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w:t>
      </w:r>
    </w:p>
    <w:tbl>
      <w:tblPr>
        <w:tblW w:w="7662" w:type="dxa"/>
        <w:jc w:val="left"/>
        <w:tblInd w:w="0" w:type="dxa"/>
        <w:tblLayout w:type="fixed"/>
        <w:tblCellMar>
          <w:top w:w="28" w:type="dxa"/>
          <w:left w:w="28" w:type="dxa"/>
          <w:bottom w:w="28" w:type="dxa"/>
          <w:right w:w="28" w:type="dxa"/>
        </w:tblCellMar>
      </w:tblPr>
      <w:tblGrid>
        <w:gridCol w:w="124"/>
        <w:gridCol w:w="109"/>
        <w:gridCol w:w="109"/>
        <w:gridCol w:w="2142"/>
        <w:gridCol w:w="2142"/>
        <w:gridCol w:w="30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7946" w:type="dxa"/>
        <w:jc w:val="left"/>
        <w:tblInd w:w="0" w:type="dxa"/>
        <w:tblLayout w:type="fixed"/>
        <w:tblCellMar>
          <w:top w:w="28" w:type="dxa"/>
          <w:left w:w="28" w:type="dxa"/>
          <w:bottom w:w="28" w:type="dxa"/>
          <w:right w:w="28" w:type="dxa"/>
        </w:tblCellMar>
      </w:tblPr>
      <w:tblGrid>
        <w:gridCol w:w="124"/>
        <w:gridCol w:w="109"/>
        <w:gridCol w:w="109"/>
        <w:gridCol w:w="2221"/>
        <w:gridCol w:w="2221"/>
        <w:gridCol w:w="3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001-35662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QUALYS,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w:t>
      </w:r>
    </w:p>
    <w:tbl>
      <w:tblPr>
        <w:tblW w:w="5156" w:type="dxa"/>
        <w:jc w:val="left"/>
        <w:tblInd w:w="0" w:type="dxa"/>
        <w:tblLayout w:type="fixed"/>
        <w:tblCellMar>
          <w:top w:w="28" w:type="dxa"/>
          <w:left w:w="28" w:type="dxa"/>
          <w:bottom w:w="28" w:type="dxa"/>
          <w:right w:w="28" w:type="dxa"/>
        </w:tblCellMar>
      </w:tblPr>
      <w:tblGrid>
        <w:gridCol w:w="992"/>
        <w:gridCol w:w="872"/>
        <w:gridCol w:w="880"/>
        <w:gridCol w:w="109"/>
        <w:gridCol w:w="109"/>
        <w:gridCol w:w="109"/>
        <w:gridCol w:w="609"/>
        <w:gridCol w:w="609"/>
        <w:gridCol w:w="867"/>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77-0534145</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919 E. Hillsdale Boulevard, 4th Floor, Foster City, California 94404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including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(650) 801-6100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307" w:type="dxa"/>
        <w:jc w:val="left"/>
        <w:tblInd w:w="0" w:type="dxa"/>
        <w:tblLayout w:type="fixed"/>
        <w:tblCellMar>
          <w:top w:w="28" w:type="dxa"/>
          <w:left w:w="28" w:type="dxa"/>
          <w:bottom w:w="28" w:type="dxa"/>
          <w:right w:w="28" w:type="dxa"/>
        </w:tblCellMar>
      </w:tblPr>
      <w:tblGrid>
        <w:gridCol w:w="1290"/>
        <w:gridCol w:w="1133"/>
        <w:gridCol w:w="1146"/>
        <w:gridCol w:w="109"/>
        <w:gridCol w:w="109"/>
        <w:gridCol w:w="109"/>
        <w:gridCol w:w="564"/>
        <w:gridCol w:w="564"/>
        <w:gridCol w:w="566"/>
        <w:gridCol w:w="109"/>
        <w:gridCol w:w="109"/>
        <w:gridCol w:w="109"/>
        <w:gridCol w:w="991"/>
        <w:gridCol w:w="991"/>
        <w:gridCol w:w="1408"/>
      </w:tblGrid>
      <w:tr>
        <w:trPr/>
        <w:tc>
          <w:tcPr>
            <w:tcW w:w="12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exchange on which registered</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QLYS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Stock Market</w:t>
            </w:r>
          </w:p>
        </w:tc>
      </w:tr>
    </w:tbl>
    <w:p>
      <w:pPr>
        <w:pStyle w:val="TextBody"/>
        <w:bidi w:val="0"/>
        <w:spacing w:lineRule="auto" w:line="288" w:before="240" w:after="283"/>
        <w:jc w:val="left"/>
        <w:rPr/>
      </w:pPr>
      <w:r>
        <w:rPr>
          <w:rFonts w:ascii="Times New Roman;sans-serif" w:hAnsi="Times New Roman;sans-serif"/>
          <w:b/>
          <w:color w:val="000000"/>
          <w:sz w:val="20"/>
        </w:rPr>
        <w:t xml:space="preserve">Securities registered pursuant to section 12(g) of the Act: </w:t>
      </w:r>
      <w:r>
        <w:rPr>
          <w:rFonts w:ascii="Times New Roman;sans-serif" w:hAnsi="Times New Roman;sans-serif"/>
          <w:b w:val="false"/>
          <w:color w:val="000000"/>
          <w:sz w:val="20"/>
        </w:rPr>
        <w:t>None</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bidi w:val="0"/>
        <w:spacing w:lineRule="auto" w:line="288" w:before="80" w:after="283"/>
        <w:jc w:val="both"/>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283"/>
        <w:jc w:val="both"/>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8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8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82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479"/>
        <w:gridCol w:w="479"/>
        <w:gridCol w:w="481"/>
        <w:gridCol w:w="109"/>
        <w:gridCol w:w="109"/>
        <w:gridCol w:w="109"/>
        <w:gridCol w:w="599"/>
        <w:gridCol w:w="599"/>
        <w:gridCol w:w="601"/>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8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80" w:after="283"/>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x</w:t>
      </w:r>
    </w:p>
    <w:p>
      <w:pPr>
        <w:pStyle w:val="TextBody"/>
        <w:bidi w:val="0"/>
        <w:spacing w:lineRule="auto" w:line="288" w:before="80" w:after="283"/>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lineRule="auto" w:line="288" w:before="80" w:after="283"/>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88" w:before="8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2023, the aggregate market value of voting shares of common stock held by non-affiliates of the registrant was $3,637 million based on the last reported sale price of the registrant's common stock on June 30, 2023.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pStyle w:val="TextBody"/>
        <w:bidi w:val="0"/>
        <w:spacing w:lineRule="auto" w:line="288" w:before="80" w:after="283"/>
        <w:jc w:val="both"/>
        <w:rPr/>
      </w:pPr>
      <w:r>
        <w:rPr>
          <w:rFonts w:ascii="Times New Roman;sans-serif" w:hAnsi="Times New Roman;sans-serif"/>
          <w:b w:val="false"/>
          <w:color w:val="000000"/>
          <w:sz w:val="20"/>
        </w:rPr>
        <w:t>The number of shares of the registrant's common stock outstanding as</w:t>
      </w:r>
      <w:r>
        <w:rPr>
          <w:color w:val="000000"/>
          <w:shd w:fill="FFFFFF" w:val="clear"/>
        </w:rPr>
        <w:t xml:space="preserve"> </w:t>
      </w:r>
      <w:r>
        <w:rPr>
          <w:rFonts w:ascii="Times New Roman;sans-serif" w:hAnsi="Times New Roman;sans-serif"/>
          <w:b w:val="false"/>
          <w:color w:val="000000"/>
          <w:sz w:val="20"/>
          <w:shd w:fill="FFFFFF" w:val="clear"/>
        </w:rPr>
        <w:t xml:space="preserve">of February 12, 2024 was 36,977,259 </w:t>
      </w:r>
      <w:r>
        <w:rPr>
          <w:rFonts w:ascii="Times New Roman;sans-serif" w:hAnsi="Times New Roman;sans-serif"/>
          <w:b w:val="false"/>
          <w:color w:val="000000"/>
          <w:sz w:val="20"/>
        </w:rPr>
        <w:t>shares.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DOCUMENTS INCORPORATED BY REFERENCE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Proxy Statement for its 2024 Annual Meeting of Stockholders are incorporated by reference in Part III of this Annual Report on Form 10-K where indicated. Such proxy statement will be filed with the Securities and Exchange Commission within 120 days of the registrant's fiscal year ended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Qualys,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52"/>
        <w:gridCol w:w="568"/>
        <w:gridCol w:w="568"/>
        <w:gridCol w:w="2681"/>
        <w:gridCol w:w="2592"/>
        <w:gridCol w:w="2600"/>
        <w:gridCol w:w="158"/>
        <w:gridCol w:w="158"/>
        <w:gridCol w:w="228"/>
      </w:tblGrid>
      <w:tr>
        <w:trPr/>
        <w:tc>
          <w:tcPr>
            <w:tcW w:w="65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0">
              <w:r>
                <w:rPr>
                  <w:rStyle w:val="InternetLink"/>
                  <w:rFonts w:ascii="Times New Roman;sans-serif" w:hAnsi="Times New Roman;sans-serif"/>
                  <w:b w:val="false"/>
                  <w:color w:val="0000FF"/>
                  <w:sz w:val="20"/>
                  <w:u w:val="single"/>
                </w:rPr>
                <w:t>Risk Factor Summary</w:t>
              </w:r>
            </w:hyperlink>
          </w:p>
        </w:tc>
        <w:tc>
          <w:tcPr>
            <w:tcW w:w="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0668aaa2a4b841bfbaf18f9d4436768b_10">
              <w:r>
                <w:rPr>
                  <w:rStyle w:val="InternetLink"/>
                  <w:rFonts w:ascii="Times New Roman;sans-serif" w:hAnsi="Times New Roman;sans-serif"/>
                  <w:b w:val="false"/>
                  <w:color w:val="0000FF"/>
                  <w:sz w:val="20"/>
                  <w:u w:val="single"/>
                </w:rPr>
                <w:t>3</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3">
              <w:r>
                <w:rPr>
                  <w:rStyle w:val="InternetLink"/>
                  <w:rFonts w:ascii="Times New Roman;sans-serif" w:hAnsi="Times New Roman;sans-serif"/>
                  <w:b w:val="false"/>
                  <w:color w:val="0000FF"/>
                  <w:sz w:val="20"/>
                  <w:u w:val="single"/>
                </w:rPr>
                <w:t>Note Regarding Forward-Looking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3">
              <w:r>
                <w:rPr>
                  <w:rStyle w:val="InternetLink"/>
                  <w:rFonts w:ascii="Times New Roman;sans-serif" w:hAnsi="Times New Roman;sans-serif"/>
                  <w:b w:val="false"/>
                  <w:color w:val="0000FF"/>
                  <w:sz w:val="20"/>
                  <w:u w:val="single"/>
                </w:rPr>
                <w:t>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6">
              <w:r>
                <w:rPr>
                  <w:rStyle w:val="InternetLink"/>
                  <w:rFonts w:ascii="Times New Roman;sans-serif" w:hAnsi="Times New Roman;sans-serif"/>
                  <w:b/>
                  <w:color w:val="0000FF"/>
                  <w:sz w:val="20"/>
                  <w:u w:val="single"/>
                </w:rPr>
                <w:t xml:space="preserve">PART I </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9">
              <w:r>
                <w:rPr>
                  <w:rStyle w:val="InternetLink"/>
                  <w:rFonts w:ascii="Times New Roman;sans-serif" w:hAnsi="Times New Roman;sans-serif"/>
                  <w:b w:val="false"/>
                  <w:strike w:val="false"/>
                  <w:dstrike w:val="false"/>
                  <w:color w:val="000000"/>
                  <w:sz w:val="20"/>
                  <w:u w:val="none"/>
                  <w:effect w:val="none"/>
                </w:rPr>
                <w:t>Item 1.</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9">
              <w:r>
                <w:rPr>
                  <w:rStyle w:val="InternetLink"/>
                  <w:rFonts w:ascii="Times New Roman;sans-serif" w:hAnsi="Times New Roman;sans-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9">
              <w:r>
                <w:rPr>
                  <w:rStyle w:val="InternetLink"/>
                  <w:rFonts w:ascii="Times New Roman;sans-serif" w:hAnsi="Times New Roman;sans-serif"/>
                  <w:b w:val="false"/>
                  <w:color w:val="0000FF"/>
                  <w:sz w:val="20"/>
                  <w:u w:val="single"/>
                </w:rPr>
                <w:t>6</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22">
              <w:r>
                <w:rPr>
                  <w:rStyle w:val="InternetLink"/>
                  <w:rFonts w:ascii="Times New Roman;sans-serif" w:hAnsi="Times New Roman;sans-serif"/>
                  <w:b w:val="false"/>
                  <w:strike w:val="false"/>
                  <w:dstrike w:val="false"/>
                  <w:color w:val="000000"/>
                  <w:sz w:val="20"/>
                  <w:u w:val="none"/>
                  <w:effect w:val="none"/>
                </w:rPr>
                <w:t>Item 1A.</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22">
              <w:r>
                <w:rPr>
                  <w:rStyle w:val="InternetLink"/>
                  <w:rFonts w:ascii="Times New Roman;sans-serif" w:hAnsi="Times New Roman;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22">
              <w:r>
                <w:rPr>
                  <w:rStyle w:val="InternetLink"/>
                  <w:rFonts w:ascii="Times New Roman;sans-serif" w:hAnsi="Times New Roman;sans-serif"/>
                  <w:b w:val="false"/>
                  <w:color w:val="0000FF"/>
                  <w:sz w:val="20"/>
                  <w:u w:val="single"/>
                </w:rPr>
                <w:t>15</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25">
              <w:r>
                <w:rPr>
                  <w:rStyle w:val="InternetLink"/>
                  <w:rFonts w:ascii="Times New Roman;sans-serif" w:hAnsi="Times New Roman;sans-serif"/>
                  <w:b w:val="false"/>
                  <w:strike w:val="false"/>
                  <w:dstrike w:val="false"/>
                  <w:color w:val="000000"/>
                  <w:sz w:val="20"/>
                  <w:u w:val="none"/>
                  <w:effect w:val="none"/>
                </w:rPr>
                <w:t>Item 1B.</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25">
              <w:r>
                <w:rPr>
                  <w:rStyle w:val="InternetLink"/>
                  <w:rFonts w:ascii="Times New Roman;sans-serif" w:hAnsi="Times New Roman;sans-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25">
              <w:r>
                <w:rPr>
                  <w:rStyle w:val="InternetLink"/>
                  <w:rFonts w:ascii="Times New Roman;sans-serif" w:hAnsi="Times New Roman;sans-serif"/>
                  <w:b w:val="false"/>
                  <w:color w:val="0000FF"/>
                  <w:sz w:val="20"/>
                  <w:u w:val="single"/>
                </w:rPr>
                <w:t>37</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432">
              <w:r>
                <w:rPr>
                  <w:rStyle w:val="InternetLink"/>
                  <w:rFonts w:ascii="Times New Roman;sans-serif" w:hAnsi="Times New Roman;sans-serif"/>
                  <w:b w:val="false"/>
                  <w:strike w:val="false"/>
                  <w:dstrike w:val="false"/>
                  <w:color w:val="000000"/>
                  <w:sz w:val="20"/>
                  <w:u w:val="none"/>
                  <w:effect w:val="none"/>
                </w:rPr>
                <w:t>Item 1C.</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432">
              <w:r>
                <w:rPr>
                  <w:rStyle w:val="InternetLink"/>
                  <w:rFonts w:ascii="Times New Roman;sans-serif" w:hAnsi="Times New Roman;sans-serif"/>
                  <w:b w:val="false"/>
                  <w:color w:val="0000FF"/>
                  <w:sz w:val="20"/>
                  <w:u w:val="single"/>
                </w:rPr>
                <w:t>Cybersecurity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432">
              <w:r>
                <w:rPr>
                  <w:rStyle w:val="InternetLink"/>
                  <w:rFonts w:ascii="Times New Roman;sans-serif" w:hAnsi="Times New Roman;sans-serif"/>
                  <w:b w:val="false"/>
                  <w:color w:val="0000FF"/>
                  <w:sz w:val="20"/>
                  <w:u w:val="single"/>
                </w:rPr>
                <w:t>37</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28">
              <w:r>
                <w:rPr>
                  <w:rStyle w:val="InternetLink"/>
                  <w:rFonts w:ascii="Times New Roman;sans-serif" w:hAnsi="Times New Roman;sans-serif"/>
                  <w:b w:val="false"/>
                  <w:strike w:val="false"/>
                  <w:dstrike w:val="false"/>
                  <w:color w:val="000000"/>
                  <w:sz w:val="20"/>
                  <w:u w:val="none"/>
                  <w:effect w:val="none"/>
                </w:rPr>
                <w:t>Item 2.</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28">
              <w:r>
                <w:rPr>
                  <w:rStyle w:val="InternetLink"/>
                  <w:rFonts w:ascii="Times New Roman;sans-serif" w:hAnsi="Times New Roman;sans-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28">
              <w:r>
                <w:rPr>
                  <w:rStyle w:val="InternetLink"/>
                  <w:rFonts w:ascii="Times New Roman;sans-serif" w:hAnsi="Times New Roman;sans-serif"/>
                  <w:b w:val="false"/>
                  <w:color w:val="0000FF"/>
                  <w:sz w:val="20"/>
                  <w:u w:val="single"/>
                </w:rPr>
                <w:t>39</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31">
              <w:r>
                <w:rPr>
                  <w:rStyle w:val="InternetLink"/>
                  <w:rFonts w:ascii="Times New Roman;sans-serif" w:hAnsi="Times New Roman;sans-serif"/>
                  <w:b w:val="false"/>
                  <w:strike w:val="false"/>
                  <w:dstrike w:val="false"/>
                  <w:color w:val="000000"/>
                  <w:sz w:val="20"/>
                  <w:u w:val="none"/>
                  <w:effect w:val="none"/>
                </w:rPr>
                <w:t>Item 3.</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31">
              <w:r>
                <w:rPr>
                  <w:rStyle w:val="InternetLink"/>
                  <w:rFonts w:ascii="Times New Roman;sans-serif" w:hAnsi="Times New Roman;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31">
              <w:r>
                <w:rPr>
                  <w:rStyle w:val="InternetLink"/>
                  <w:rFonts w:ascii="Times New Roman;sans-serif" w:hAnsi="Times New Roman;sans-serif"/>
                  <w:b w:val="false"/>
                  <w:color w:val="0000FF"/>
                  <w:sz w:val="20"/>
                  <w:u w:val="single"/>
                </w:rPr>
                <w:t>39</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34">
              <w:r>
                <w:rPr>
                  <w:rStyle w:val="InternetLink"/>
                  <w:rFonts w:ascii="Times New Roman;sans-serif" w:hAnsi="Times New Roman;sans-serif"/>
                  <w:b w:val="false"/>
                  <w:strike w:val="false"/>
                  <w:dstrike w:val="false"/>
                  <w:color w:val="000000"/>
                  <w:sz w:val="20"/>
                  <w:u w:val="none"/>
                  <w:effect w:val="none"/>
                </w:rPr>
                <w:t>Item 4.</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34">
              <w:r>
                <w:rPr>
                  <w:rStyle w:val="InternetLink"/>
                  <w:rFonts w:ascii="Times New Roman;sans-serif" w:hAnsi="Times New Roman;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34">
              <w:r>
                <w:rPr>
                  <w:rStyle w:val="InternetLink"/>
                  <w:rFonts w:ascii="Times New Roman;sans-serif" w:hAnsi="Times New Roman;sans-serif"/>
                  <w:b w:val="false"/>
                  <w:color w:val="0000FF"/>
                  <w:sz w:val="20"/>
                  <w:u w:val="single"/>
                </w:rPr>
                <w:t>39</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37">
              <w:r>
                <w:rPr>
                  <w:rStyle w:val="InternetLink"/>
                  <w:rFonts w:ascii="Times New Roman;sans-serif" w:hAnsi="Times New Roman;sans-serif"/>
                  <w:b/>
                  <w:color w:val="0000FF"/>
                  <w:sz w:val="20"/>
                  <w:u w:val="single"/>
                </w:rPr>
                <w:t>PART II</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40">
              <w:r>
                <w:rPr>
                  <w:rStyle w:val="InternetLink"/>
                  <w:rFonts w:ascii="Times New Roman;sans-serif" w:hAnsi="Times New Roman;sans-serif"/>
                  <w:b w:val="false"/>
                  <w:strike w:val="false"/>
                  <w:dstrike w:val="false"/>
                  <w:color w:val="000000"/>
                  <w:sz w:val="20"/>
                  <w:u w:val="none"/>
                  <w:effect w:val="none"/>
                </w:rPr>
                <w:t>Item 5.</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40">
              <w:r>
                <w:rPr>
                  <w:rStyle w:val="InternetLink"/>
                  <w:rFonts w:ascii="Times New Roman;sans-serif" w:hAnsi="Times New Roman;sans-serif"/>
                  <w:b w:val="false"/>
                  <w:color w:val="0000FF"/>
                  <w:sz w:val="20"/>
                  <w:u w:val="single"/>
                </w:rPr>
                <w:t>40</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43">
              <w:r>
                <w:rPr>
                  <w:rStyle w:val="InternetLink"/>
                  <w:rFonts w:ascii="Times New Roman;sans-serif" w:hAnsi="Times New Roman;sans-serif"/>
                  <w:b w:val="false"/>
                  <w:strike w:val="false"/>
                  <w:dstrike w:val="false"/>
                  <w:color w:val="000000"/>
                  <w:sz w:val="20"/>
                  <w:u w:val="none"/>
                  <w:effect w:val="none"/>
                </w:rPr>
                <w:t>Item 6.</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43">
              <w:r>
                <w:rPr>
                  <w:rStyle w:val="InternetLink"/>
                  <w:rFonts w:ascii="Times New Roman;sans-serif" w:hAnsi="Times New Roman;sans-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43">
              <w:r>
                <w:rPr>
                  <w:rStyle w:val="InternetLink"/>
                  <w:rFonts w:ascii="Times New Roman;sans-serif" w:hAnsi="Times New Roman;sans-serif"/>
                  <w:b w:val="false"/>
                  <w:color w:val="0000FF"/>
                  <w:sz w:val="20"/>
                  <w:u w:val="single"/>
                </w:rPr>
                <w:t>42</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46">
              <w:r>
                <w:rPr>
                  <w:rStyle w:val="InternetLink"/>
                  <w:rFonts w:ascii="Times New Roman;sans-serif" w:hAnsi="Times New Roman;sans-serif"/>
                  <w:b w:val="false"/>
                  <w:strike w:val="false"/>
                  <w:dstrike w:val="false"/>
                  <w:color w:val="000000"/>
                  <w:sz w:val="20"/>
                  <w:u w:val="none"/>
                  <w:effect w:val="none"/>
                </w:rPr>
                <w:t>Item 7.</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46">
              <w:r>
                <w:rPr>
                  <w:rStyle w:val="InternetLink"/>
                  <w:rFonts w:ascii="Times New Roman;sans-serif" w:hAnsi="Times New Roman;sans-serif"/>
                  <w:b w:val="false"/>
                  <w:color w:val="0000FF"/>
                  <w:sz w:val="20"/>
                  <w:u w:val="single"/>
                </w:rPr>
                <w:t>43</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70">
              <w:r>
                <w:rPr>
                  <w:rStyle w:val="InternetLink"/>
                  <w:rFonts w:ascii="Times New Roman;sans-serif" w:hAnsi="Times New Roman;sans-serif"/>
                  <w:b w:val="false"/>
                  <w:strike w:val="false"/>
                  <w:dstrike w:val="false"/>
                  <w:color w:val="000000"/>
                  <w:sz w:val="20"/>
                  <w:u w:val="none"/>
                  <w:effect w:val="none"/>
                </w:rPr>
                <w:t>Item 7A.</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70">
              <w:r>
                <w:rPr>
                  <w:rStyle w:val="InternetLink"/>
                  <w:rFonts w:ascii="Times New Roman;sans-serif" w:hAnsi="Times New Roman;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70">
              <w:r>
                <w:rPr>
                  <w:rStyle w:val="InternetLink"/>
                  <w:rFonts w:ascii="Times New Roman;sans-serif" w:hAnsi="Times New Roman;sans-serif"/>
                  <w:b w:val="false"/>
                  <w:color w:val="0000FF"/>
                  <w:sz w:val="20"/>
                  <w:u w:val="single"/>
                </w:rPr>
                <w:t>51</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73">
              <w:r>
                <w:rPr>
                  <w:rStyle w:val="InternetLink"/>
                  <w:rFonts w:ascii="Times New Roman;sans-serif" w:hAnsi="Times New Roman;sans-serif"/>
                  <w:b w:val="false"/>
                  <w:strike w:val="false"/>
                  <w:dstrike w:val="false"/>
                  <w:color w:val="000000"/>
                  <w:sz w:val="20"/>
                  <w:u w:val="none"/>
                  <w:effect w:val="none"/>
                </w:rPr>
                <w:t>Item 8.</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73">
              <w:r>
                <w:rPr>
                  <w:rStyle w:val="InternetLink"/>
                  <w:rFonts w:ascii="Times New Roman;sans-serif" w:hAnsi="Times New Roman;sans-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73">
              <w:r>
                <w:rPr>
                  <w:rStyle w:val="InternetLink"/>
                  <w:rFonts w:ascii="Times New Roman;sans-serif" w:hAnsi="Times New Roman;sans-serif"/>
                  <w:b w:val="false"/>
                  <w:color w:val="0000FF"/>
                  <w:sz w:val="20"/>
                  <w:u w:val="single"/>
                </w:rPr>
                <w:t>53</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45">
              <w:r>
                <w:rPr>
                  <w:rStyle w:val="InternetLink"/>
                  <w:rFonts w:ascii="Times New Roman;sans-serif" w:hAnsi="Times New Roman;sans-serif"/>
                  <w:b w:val="false"/>
                  <w:strike w:val="false"/>
                  <w:dstrike w:val="false"/>
                  <w:color w:val="000000"/>
                  <w:sz w:val="20"/>
                  <w:u w:val="none"/>
                  <w:effect w:val="none"/>
                </w:rPr>
                <w:t>Item 9.</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45">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45">
              <w:r>
                <w:rPr>
                  <w:rStyle w:val="InternetLink"/>
                  <w:rFonts w:ascii="Times New Roman;sans-serif" w:hAnsi="Times New Roman;sans-serif"/>
                  <w:b w:val="false"/>
                  <w:color w:val="0000FF"/>
                  <w:sz w:val="20"/>
                  <w:u w:val="single"/>
                </w:rPr>
                <w:t>90</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48">
              <w:r>
                <w:rPr>
                  <w:rStyle w:val="InternetLink"/>
                  <w:rFonts w:ascii="Times New Roman;sans-serif" w:hAnsi="Times New Roman;sans-serif"/>
                  <w:b w:val="false"/>
                  <w:strike w:val="false"/>
                  <w:dstrike w:val="false"/>
                  <w:color w:val="000000"/>
                  <w:sz w:val="20"/>
                  <w:u w:val="none"/>
                  <w:effect w:val="none"/>
                </w:rPr>
                <w:t>Item 9A.</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48">
              <w:r>
                <w:rPr>
                  <w:rStyle w:val="InternetLink"/>
                  <w:rFonts w:ascii="Times New Roman;sans-serif" w:hAnsi="Times New Roman;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48">
              <w:r>
                <w:rPr>
                  <w:rStyle w:val="InternetLink"/>
                  <w:rFonts w:ascii="Times New Roman;sans-serif" w:hAnsi="Times New Roman;sans-serif"/>
                  <w:b w:val="false"/>
                  <w:color w:val="0000FF"/>
                  <w:sz w:val="20"/>
                  <w:u w:val="single"/>
                </w:rPr>
                <w:t>90</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51">
              <w:r>
                <w:rPr>
                  <w:rStyle w:val="InternetLink"/>
                  <w:rFonts w:ascii="Times New Roman;sans-serif" w:hAnsi="Times New Roman;sans-serif"/>
                  <w:b w:val="false"/>
                  <w:strike w:val="false"/>
                  <w:dstrike w:val="false"/>
                  <w:color w:val="000000"/>
                  <w:sz w:val="20"/>
                  <w:u w:val="none"/>
                  <w:effect w:val="none"/>
                </w:rPr>
                <w:t>Item 9B.</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51">
              <w:r>
                <w:rPr>
                  <w:rStyle w:val="InternetLink"/>
                  <w:rFonts w:ascii="Times New Roman;sans-serif" w:hAnsi="Times New Roman;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51">
              <w:r>
                <w:rPr>
                  <w:rStyle w:val="InternetLink"/>
                  <w:rFonts w:ascii="Times New Roman;sans-serif" w:hAnsi="Times New Roman;sans-serif"/>
                  <w:b w:val="false"/>
                  <w:color w:val="0000FF"/>
                  <w:sz w:val="20"/>
                  <w:u w:val="single"/>
                </w:rPr>
                <w:t>91</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54">
              <w:r>
                <w:rPr>
                  <w:rStyle w:val="InternetLink"/>
                  <w:rFonts w:ascii="Times New Roman;sans-serif" w:hAnsi="Times New Roman;sans-serif"/>
                  <w:b w:val="false"/>
                  <w:strike w:val="false"/>
                  <w:dstrike w:val="false"/>
                  <w:color w:val="000000"/>
                  <w:sz w:val="20"/>
                  <w:u w:val="none"/>
                  <w:effect w:val="none"/>
                </w:rPr>
                <w:t>Item 9C.</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54">
              <w:r>
                <w:rPr>
                  <w:rStyle w:val="InternetLink"/>
                  <w:rFonts w:ascii="Times New Roman;sans-serif" w:hAnsi="Times New Roman;sans-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54">
              <w:r>
                <w:rPr>
                  <w:rStyle w:val="InternetLink"/>
                  <w:rFonts w:ascii="Times New Roman;sans-serif" w:hAnsi="Times New Roman;sans-serif"/>
                  <w:b w:val="false"/>
                  <w:color w:val="0000FF"/>
                  <w:sz w:val="20"/>
                  <w:u w:val="single"/>
                </w:rPr>
                <w:t>91</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57">
              <w:r>
                <w:rPr>
                  <w:rStyle w:val="InternetLink"/>
                  <w:rFonts w:ascii="Times New Roman;sans-serif" w:hAnsi="Times New Roman;sans-serif"/>
                  <w:b/>
                  <w:color w:val="0000FF"/>
                  <w:sz w:val="20"/>
                  <w:u w:val="single"/>
                </w:rPr>
                <w:t>PART III</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60">
              <w:r>
                <w:rPr>
                  <w:rStyle w:val="InternetLink"/>
                  <w:rFonts w:ascii="Times New Roman;sans-serif" w:hAnsi="Times New Roman;sans-serif"/>
                  <w:b w:val="false"/>
                  <w:strike w:val="false"/>
                  <w:dstrike w:val="false"/>
                  <w:color w:val="000000"/>
                  <w:sz w:val="20"/>
                  <w:u w:val="none"/>
                  <w:effect w:val="none"/>
                </w:rPr>
                <w:t>Item 10.</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60">
              <w:r>
                <w:rPr>
                  <w:rStyle w:val="InternetLink"/>
                  <w:rFonts w:ascii="Times New Roman;sans-serif" w:hAnsi="Times New Roman;sans-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60">
              <w:r>
                <w:rPr>
                  <w:rStyle w:val="InternetLink"/>
                  <w:rFonts w:ascii="Times New Roman;sans-serif" w:hAnsi="Times New Roman;sans-serif"/>
                  <w:b w:val="false"/>
                  <w:color w:val="0000FF"/>
                  <w:sz w:val="20"/>
                  <w:u w:val="single"/>
                </w:rPr>
                <w:t>92</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63">
              <w:r>
                <w:rPr>
                  <w:rStyle w:val="InternetLink"/>
                  <w:rFonts w:ascii="Times New Roman;sans-serif" w:hAnsi="Times New Roman;sans-serif"/>
                  <w:b w:val="false"/>
                  <w:strike w:val="false"/>
                  <w:dstrike w:val="false"/>
                  <w:color w:val="000000"/>
                  <w:sz w:val="20"/>
                  <w:u w:val="none"/>
                  <w:effect w:val="none"/>
                </w:rPr>
                <w:t>Item 11.</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63">
              <w:r>
                <w:rPr>
                  <w:rStyle w:val="InternetLink"/>
                  <w:rFonts w:ascii="Times New Roman;sans-serif" w:hAnsi="Times New Roman;sans-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63">
              <w:r>
                <w:rPr>
                  <w:rStyle w:val="InternetLink"/>
                  <w:rFonts w:ascii="Times New Roman;sans-serif" w:hAnsi="Times New Roman;sans-serif"/>
                  <w:b w:val="false"/>
                  <w:color w:val="0000FF"/>
                  <w:sz w:val="20"/>
                  <w:u w:val="single"/>
                </w:rPr>
                <w:t>92</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66">
              <w:r>
                <w:rPr>
                  <w:rStyle w:val="InternetLink"/>
                  <w:rFonts w:ascii="Times New Roman;sans-serif" w:hAnsi="Times New Roman;sans-serif"/>
                  <w:b w:val="false"/>
                  <w:strike w:val="false"/>
                  <w:dstrike w:val="false"/>
                  <w:color w:val="000000"/>
                  <w:sz w:val="20"/>
                  <w:u w:val="none"/>
                  <w:effect w:val="none"/>
                </w:rPr>
                <w:t>Item 12.</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6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66">
              <w:r>
                <w:rPr>
                  <w:rStyle w:val="InternetLink"/>
                  <w:rFonts w:ascii="Times New Roman;sans-serif" w:hAnsi="Times New Roman;sans-serif"/>
                  <w:b w:val="false"/>
                  <w:color w:val="0000FF"/>
                  <w:sz w:val="20"/>
                  <w:u w:val="single"/>
                </w:rPr>
                <w:t>92</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69">
              <w:r>
                <w:rPr>
                  <w:rStyle w:val="InternetLink"/>
                  <w:rFonts w:ascii="Times New Roman;sans-serif" w:hAnsi="Times New Roman;sans-serif"/>
                  <w:b w:val="false"/>
                  <w:strike w:val="false"/>
                  <w:dstrike w:val="false"/>
                  <w:color w:val="000000"/>
                  <w:sz w:val="20"/>
                  <w:u w:val="none"/>
                  <w:effect w:val="none"/>
                </w:rPr>
                <w:t>Item 13.</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6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69">
              <w:r>
                <w:rPr>
                  <w:rStyle w:val="InternetLink"/>
                  <w:rFonts w:ascii="Times New Roman;sans-serif" w:hAnsi="Times New Roman;sans-serif"/>
                  <w:b w:val="false"/>
                  <w:color w:val="0000FF"/>
                  <w:sz w:val="20"/>
                  <w:u w:val="single"/>
                </w:rPr>
                <w:t>93</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72">
              <w:r>
                <w:rPr>
                  <w:rStyle w:val="InternetLink"/>
                  <w:rFonts w:ascii="Times New Roman;sans-serif" w:hAnsi="Times New Roman;sans-serif"/>
                  <w:b w:val="false"/>
                  <w:strike w:val="false"/>
                  <w:dstrike w:val="false"/>
                  <w:color w:val="000000"/>
                  <w:sz w:val="20"/>
                  <w:u w:val="none"/>
                  <w:effect w:val="none"/>
                </w:rPr>
                <w:t>Item 14.</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72">
              <w:r>
                <w:rPr>
                  <w:rStyle w:val="InternetLink"/>
                  <w:rFonts w:ascii="Times New Roman;sans-serif" w:hAnsi="Times New Roman;sans-serif"/>
                  <w:b w:val="false"/>
                  <w:color w:val="0000FF"/>
                  <w:sz w:val="20"/>
                  <w:u w:val="single"/>
                </w:rPr>
                <w:t>Principal Accountant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72">
              <w:r>
                <w:rPr>
                  <w:rStyle w:val="InternetLink"/>
                  <w:rFonts w:ascii="Times New Roman;sans-serif" w:hAnsi="Times New Roman;sans-serif"/>
                  <w:b w:val="false"/>
                  <w:color w:val="0000FF"/>
                  <w:sz w:val="20"/>
                  <w:u w:val="single"/>
                </w:rPr>
                <w:t>93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75">
              <w:r>
                <w:rPr>
                  <w:rStyle w:val="InternetLink"/>
                  <w:rFonts w:ascii="Times New Roman;sans-serif" w:hAnsi="Times New Roman;sans-serif"/>
                  <w:b/>
                  <w:color w:val="0000FF"/>
                  <w:sz w:val="20"/>
                  <w:u w:val="single"/>
                </w:rPr>
                <w:t>PART IV</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78">
              <w:r>
                <w:rPr>
                  <w:rStyle w:val="InternetLink"/>
                  <w:rFonts w:ascii="Times New Roman;sans-serif" w:hAnsi="Times New Roman;sans-serif"/>
                  <w:b w:val="false"/>
                  <w:strike w:val="false"/>
                  <w:dstrike w:val="false"/>
                  <w:color w:val="000000"/>
                  <w:sz w:val="20"/>
                  <w:u w:val="none"/>
                  <w:effect w:val="none"/>
                </w:rPr>
                <w:t>Item 15.</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78">
              <w:r>
                <w:rPr>
                  <w:rStyle w:val="InternetLink"/>
                  <w:rFonts w:ascii="Times New Roman;sans-serif" w:hAnsi="Times New Roman;sans-serif"/>
                  <w:b w:val="false"/>
                  <w:color w:val="0000FF"/>
                  <w:sz w:val="20"/>
                  <w:u w:val="single"/>
                </w:rPr>
                <w:t>Exhibits and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78">
              <w:r>
                <w:rPr>
                  <w:rStyle w:val="InternetLink"/>
                  <w:rFonts w:ascii="Times New Roman;sans-serif" w:hAnsi="Times New Roman;sans-serif"/>
                  <w:b w:val="false"/>
                  <w:color w:val="0000FF"/>
                  <w:sz w:val="20"/>
                  <w:u w:val="single"/>
                </w:rPr>
                <w:t>94</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521">
              <w:r>
                <w:rPr>
                  <w:rStyle w:val="InternetLink"/>
                  <w:rFonts w:ascii="Times New Roman;sans-serif" w:hAnsi="Times New Roman;sans-serif"/>
                  <w:b w:val="false"/>
                  <w:strike w:val="false"/>
                  <w:dstrike w:val="false"/>
                  <w:color w:val="000000"/>
                  <w:sz w:val="20"/>
                  <w:u w:val="none"/>
                  <w:effect w:val="none"/>
                </w:rPr>
                <w:t>Item 16.</w:t>
              </w:r>
            </w:hyperlink>
          </w:p>
        </w:tc>
        <w:tc>
          <w:tcPr>
            <w:tcW w:w="78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521">
              <w:r>
                <w:rPr>
                  <w:rStyle w:val="InternetLink"/>
                  <w:rFonts w:ascii="Times New Roman;sans-serif" w:hAnsi="Times New Roman;sans-serif"/>
                  <w:b w:val="false"/>
                  <w:color w:val="000080"/>
                  <w:sz w:val="20"/>
                  <w:u w:val="single"/>
                </w:rPr>
                <w:t>F</w:t>
              </w:r>
            </w:hyperlink>
            <w:hyperlink w:anchor="i0668aaa2a4b841bfbaf18f9d4436768b_521">
              <w:r>
                <w:rPr>
                  <w:rStyle w:val="InternetLink"/>
                  <w:rFonts w:ascii="Times New Roman;sans-serif" w:hAnsi="Times New Roman;sans-serif"/>
                  <w:b w:val="false"/>
                  <w:color w:val="000080"/>
                  <w:sz w:val="20"/>
                  <w:u w:val="single"/>
                </w:rPr>
                <w:t>orm 10-K S</w:t>
              </w:r>
            </w:hyperlink>
            <w:hyperlink w:anchor="i0668aaa2a4b841bfbaf18f9d4436768b_521">
              <w:r>
                <w:rPr>
                  <w:rStyle w:val="InternetLink"/>
                  <w:rFonts w:ascii="Times New Roman;sans-serif" w:hAnsi="Times New Roman;sans-serif"/>
                  <w:b w:val="false"/>
                  <w:color w:val="000080"/>
                  <w:sz w:val="20"/>
                  <w:u w:val="single"/>
                </w:rPr>
                <w:t>ummary</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521">
              <w:r>
                <w:rPr>
                  <w:rStyle w:val="InternetLink"/>
                  <w:rFonts w:ascii="Times New Roman;sans-serif" w:hAnsi="Times New Roman;sans-serif"/>
                  <w:b w:val="false"/>
                  <w:color w:val="0000FF"/>
                  <w:sz w:val="20"/>
                  <w:u w:val="single"/>
                </w:rPr>
                <w:t>96</w:t>
              </w:r>
            </w:hyperlink>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181">
              <w:r>
                <w:rPr>
                  <w:rStyle w:val="InternetLink"/>
                  <w:rFonts w:ascii="Times New Roman;sans-serif" w:hAnsi="Times New Roman;sans-serif"/>
                  <w:b w:val="false"/>
                  <w:color w:val="0000FF"/>
                  <w:sz w:val="20"/>
                  <w:u w:val="single"/>
                </w:rPr>
                <w:t>Signatures</w:t>
              </w:r>
            </w:hyperlink>
          </w:p>
        </w:tc>
        <w:tc>
          <w:tcPr>
            <w:tcW w:w="7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181">
              <w:r>
                <w:rPr>
                  <w:rStyle w:val="InternetLink"/>
                  <w:rFonts w:ascii="Times New Roman;sans-serif" w:hAnsi="Times New Roman;sans-serif"/>
                  <w:b w:val="false"/>
                  <w:color w:val="0000FF"/>
                  <w:sz w:val="20"/>
                  <w:u w:val="single"/>
                </w:rPr>
                <w:t>97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Annual Report on Form 10-K. If any of the following risks actually occurs (or if any of those listed elsewhere in this Annual Report on Form 10-K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quarterly and annual operating results may vary from period to period, which could result in our failure to meet expectations with respect to operating results and cause the trading price of our stock to decline.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we fail to continue to effectively scale and adapt our platform to meet the performance and other requirements of our customers, our operating results and our business would be harmed.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we are unable to renew existing subscriptions for our IT, security and compliance solutions, sell additional subscriptions for our solutions and attract new customers, our operating results would be harmed.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current research and development efforts may not produce successful products or enhancements to our platform that result in significant revenue, cost savings or other benefits in the near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platform, website and internal systems may be subject to intentional disruption or other security incidents that could result in liability and adversely impact our reputation and future sales.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sales cycle can be long and unpredictable, and our sales efforts require considerable time and expense. As a result, revenues may vary from period to period, which may cause our operating results to fluctuate and could harm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economic conditions or reduced IT spending may adversely impact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IT, security and compliance solutions are delivered from 14 shared cloud platforms, and any disruption of service at these facilities would interrupt or delay our ability to deliver our solutions to our customers which could reduce our revenues and harm our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face competition in our markets, and we may lack sufficient financial or other resources to maintain or improve our competitive position.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our solutions fail to detect vulnerabilities or incorrectly detect vulnerabilities, our brand and reputation could be harmed, which could have an adverse effect on our business and results of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we are unable to continue the expansion of our sales force, sales of our solutions and the growth of our business would be harmed.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rely on third-party channel partners to generate a substantial amount of our revenues, and if we fail to expand and manage our distribution channels, our revenues could decline and our growth prospects could suffer.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the market for cloud solutions for IT, security and compliance does not evolve as we anticipate, our revenues may not grow and our operating results would be harmed.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and operations have continued to grow since inception, and if we do not appropriately manage any future growth, or are unable to improve our systems and processes, our operating results may be negatively affected.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portion of our revenues are generated by sales to government entities, which are subject to a number of challenges and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Undetected software errors or flaws in our solutions could harm our reputation, decrease market acceptance of our solutions or result in liability.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solutions could be used to collect and store personal information of our customers’ employees or customers, and therefore privacy and other data handling concerns could result in additional cost and liability to us or inhibit sales of our solutions.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solutions contain third-party open source software components, and our failure to comply with the terms of the underlying open source software licenses could restrict our ability to sell our solutions.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use third-party software and data that may be difficult to replace or cause errors or failures of our solutions that could lead to lost customers or harm to our reputation and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protect our proprietary technology and intellectual property rights could substantially harm our business and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Assertions by third parties of infringement or other violations by us of their intellectual property rights could result in significant costs and harm our business and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 addition to historical information, this Annual Report on Form 10-K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our financial performance, including our revenues, costs, expenditures, growth rates, operating expenses and ability to generate positive cash flow to fund our operations and sustain profitability;</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anticipated technology trends, such as the use of cloud solutions;</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our ability to adapt to changing market conditions;</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economic and financial conditions, including volatility in foreign exchange rates, inflation concerns, rising interest rates, recessionary fears, financial institution failures and associated uncertainty, supply chain disruption, and global labor shortage;</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our ability to diversify our sources of revenues, including selling additional solutions to our existing customers and our ability to pursue new customers;</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the effects of increased competition in our market;</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our ability to innovate and enhance our cloud solutions and platform and introduce new solutions;</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our ability to effectively manage our growth;</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our anticipated investments in sales and marketing, our infrastructure, new solutions, research and development, and acquisitions;</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maintaining and expanding our relationships with channel partners;</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our ability to maintain, protect and enhance our brand and intellectual property;</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costs associated with defending intellectual property infringement and other claims;</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our ability to attract and retain qualified employees and key personnel, including sales and marketing personnel;</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our ability to successfully enter new markets and manage our international expansion;</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our expectations, assumptions and conclusions related to our income tax provision, our deferred tax assets and our effective tax rate; and</w:t>
      </w:r>
    </w:p>
    <w:p>
      <w:pPr>
        <w:pStyle w:val="TextBody"/>
        <w:bidi w:val="0"/>
        <w:spacing w:lineRule="auto" w:line="288" w:before="0" w:after="0"/>
        <w:ind w:left="0" w:right="0" w:hanging="576"/>
        <w:jc w:val="both"/>
        <w:rPr/>
      </w:pPr>
      <w:r>
        <w:rPr>
          <w:color w:val="000000"/>
        </w:rPr>
        <w:t>•</w:t>
      </w:r>
      <w:r>
        <w:rPr>
          <w:rFonts w:ascii="Times New Roman;sans-serif" w:hAnsi="Times New Roman;sans-serif"/>
          <w:b w:val="false"/>
          <w:i/>
          <w:color w:val="000000"/>
          <w:sz w:val="20"/>
        </w:rPr>
        <w:t xml:space="preserve">other factors discussed in this Annual Report on Form 10-K in the sections titled “Risk Factors” and “Management's Discussion and Analysis of Financial Condition and Results of Operations.” </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on Form 10-K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 xml:space="preserve">Qualys, the Qualys logo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 xml:space="preserve">and </w:t>
      </w:r>
      <w:r>
        <w:rPr>
          <w:color w:val="000000"/>
        </w:rPr>
        <w:t xml:space="preserve">™ </w:t>
      </w:r>
      <w:r>
        <w:rPr>
          <w:rFonts w:ascii="Times New Roman;sans-serif" w:hAnsi="Times New Roman;sans-serif"/>
          <w:b w:val="false"/>
          <w:i/>
          <w:color w:val="000000"/>
          <w:sz w:val="20"/>
        </w:rPr>
        <w:t>designations, as applicable, for the trademarks used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pioneer and leading provider of a cloud-based platform delivering information technology (IT), security and compliance solutions. Our integrated suite of IT, security and compliance solutions delivered on Qualys' Enterprise TruRisk Platform enables our customers to: 1) identify and manage their internal and external IT and operational technology (OT) assets across on-premises, endpoints, cloud, containers, and mobile environments; 2) collect and analyze large amounts of IT security data; 3) discover and prioritize vulnerabilities; 4) quantify cyber risk exposure; 5) recommend and implement remediation actions; and 6) verify the implementation of such actions. This helps organizations protect their systems and applications from ever-evolving cyber-attacks and helps achieve compliance with internal policies and external regulations.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cloud platform addresses the growing IT, security and compliance complexities and risks that are amplified by the dissolving boundaries between IT infrastructures and web environments, the rapid adoption of cloud computing, containers and serverless IT models, and the proliferation of geographically dispersed IT assets. Organizations use our integrated suite of solutions to cost-effectively obtain a unified view of their internal and external IT and OT asset inventory as well as security and compliance posture across globally-distributed IT infrastructures as our solution offers a single platform for information technology, information security, application security, endpoint, developer security and cloud teams.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IT infrastructures are more complex and globally-distributed today than ever before, as organizations of all sizes increasingly rely upon a myriad of interconnected information systems and related assets, such as servers, databases, web applications, routers, switches, desktops, laptops, other physical and virtual infrastructure, and numerous external networks and cloud services. In this environment, new and evolving digital technologies intended to improve organizations’ operations can also increase vulnerability to cyber-attacks,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that detect, measure, prioritize and remediate cyber risk delivered in a single platform.</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designed our cloud platform to transform the way organizations secure and protect their IT infrastructures and applications. Our cloud platform offers an integrated suite of solutions that automates the lifecycle of asset discovery and management, security and compliance assessments, and remediation for an organization’s IT infrastructure and assets, whether such infrastructure and assets reside inside the organization, on their network perimeter, on endpoints or in the cloud. Since inception, our solutions have been designed to be delivered through the cloud and to be easily and rapidly deployed on a global scale, enabling faster implementation and lower total cost of ownership than traditional on-premise enterprise software products. Our customers, ranging from some of the largest global organizations to small businesses, are served from our globally-distributed cloud platform, enabling us to rapidly deliver new solutions, enhancements and security updates.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cloud platform provides our customers with unique advantages,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No hardware to buy or manage. </w:t>
      </w:r>
      <w:r>
        <w:rPr>
          <w:rFonts w:ascii="Times New Roman;sans-serif" w:hAnsi="Times New Roman;sans-serif"/>
          <w:b w:val="false"/>
          <w:color w:val="000000"/>
          <w:sz w:val="20"/>
        </w:rPr>
        <w:t>There is no infrastructure or software to buy and maintain thus reducing our customers’ operating costs; all services are accessible in the cloud via web interface. Qualys operates and maintains the platform.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Real-time visibility in one place, anytime and anywhere</w:t>
      </w:r>
      <w:r>
        <w:rPr>
          <w:rFonts w:ascii="Times New Roman;sans-serif" w:hAnsi="Times New Roman;sans-serif"/>
          <w:b w:val="false"/>
          <w:color w:val="000000"/>
          <w:sz w:val="20"/>
        </w:rPr>
        <w:t>. Our customers can conveniently see their security and compliance posture across their global IT and OT asset inventory in one browser window, without plugins or a virtual private network (VPN), whenever and wherever Internet access is available.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Easy global scanning.</w:t>
      </w:r>
      <w:r>
        <w:rPr>
          <w:color w:val="000000"/>
        </w:rPr>
        <w:t xml:space="preserve"> </w:t>
      </w:r>
      <w:r>
        <w:rPr>
          <w:rFonts w:ascii="Times New Roman;sans-serif" w:hAnsi="Times New Roman;sans-serif"/>
          <w:b w:val="false"/>
          <w:color w:val="000000"/>
          <w:sz w:val="20"/>
        </w:rPr>
        <w:t>Our customers can easily perform scans on geographically distributed and segmented networks at the perimeter, behind the firewall, on dynamic cloud environments and on endpoints.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Seamless scaling. </w:t>
      </w:r>
      <w:r>
        <w:rPr>
          <w:rFonts w:ascii="Times New Roman;sans-serif" w:hAnsi="Times New Roman;sans-serif"/>
          <w:b w:val="false"/>
          <w:color w:val="000000"/>
          <w:sz w:val="20"/>
        </w:rPr>
        <w:t>Our cloud platform is a scalable, comprehensive, and end-to-end solution for the IT, security and compliance needs of our customers. Our customers can seamlessly add new coverage, users and services after they have deployed our platform.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Up to date resources</w:t>
      </w:r>
      <w:r>
        <w:rPr>
          <w:rFonts w:ascii="Times New Roman;sans-serif" w:hAnsi="Times New Roman;sans-serif"/>
          <w:b w:val="false"/>
          <w:color w:val="000000"/>
          <w:sz w:val="20"/>
        </w:rPr>
        <w:t>. Qualys has one of the largest knowledge bases of vulnerability signatures in the industry. All security updates are made in real-time.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Data stored securely</w:t>
      </w:r>
      <w:r>
        <w:rPr>
          <w:rFonts w:ascii="Times New Roman;sans-serif" w:hAnsi="Times New Roman;sans-serif"/>
          <w:b w:val="false"/>
          <w:color w:val="000000"/>
          <w:sz w:val="20"/>
        </w:rPr>
        <w:t>. Data is securely stored and processed in a multi-tiered architecture of load-balanced servers. Our encrypted databases are physically and logically secured.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 our customers detect, measure, prioritize and remediate cyber risk spanning a range of assets across on-premises, endpoints, cloud, containers, and mobile environments.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pStyle w:val="TextBody"/>
        <w:bidi w:val="0"/>
        <w:spacing w:lineRule="auto" w:line="288"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cloud platform is currently used by over 10,000 customers worldwide, including a majority of the Forbes Global 100. Our revenues increased to $554.5 million in 2023 from $489.7 million in 2022 and $411.2 million in 2021.</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Platform</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cloud platform consists of a suite of IT security, compliance, web application security, asset management and cloud security solutions, which we refer to as the Qualys Cloud Apps, that leverage our shared and extensible core services and our highly scalable multi-tenant cloud infrastructure. We also provide open application program interfaces, or APIs, and other developer tools that allow third parties to embed our technology into their solutions and build applications on our platform.</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cloud platform utilizes physical and virtual sensors, and cloud agents that provide our customers with continuous visibility enabling customers to respond to threats immediately. Customers can extend visibility to all known IT infrastructure using our Out-of-Band Configuration Assessment sensor for systems that are air-gapped or otherwise difficult to assess.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cloud platform automatically gathers and analyzes security and compliance data in a scalable, state-of-the-art backend. The technology underlying our cloud infrastructure enables us to ingest, process, analyze and store a high volume of sensor data coming from our agents, scanners and passive analyzers, and correlate information at very high speeds in a distributed manner for millions of devices.</w:t>
      </w:r>
    </w:p>
    <w:p>
      <w:pPr>
        <w:pStyle w:val="TextBody"/>
        <w:bidi w:val="0"/>
        <w:spacing w:before="240" w:after="283"/>
        <w:jc w:val="center"/>
        <w:rPr/>
      </w:pPr>
      <w:r>
        <w:rPr/>
      </w:r>
    </w:p>
    <w:p>
      <w:pPr>
        <w:pStyle w:val="TextBody"/>
        <w:bidi w:val="0"/>
        <w:spacing w:before="240" w:after="283"/>
        <w:jc w:val="center"/>
        <w:rPr/>
      </w:pPr>
      <w:r>
        <w:rPr/>
        <w:drawing>
          <wp:inline distT="0" distB="0" distL="0" distR="0">
            <wp:extent cx="6667500" cy="33528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667500" cy="33528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8"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cloud platform is delivered to our customers via our 14 global shared cloud platforms, or via our private platform offering, Qualys Private Cloud Platform (PCP), for customers or partners that want the platform to reside within the customer's shared cloud platform. The PCP is a standalone version of our multi-layer, multi-tenant services architecture and is a fully integrated turnkey solution, making it more scalable, cost effective and faster to deploy within a customer's shared cloud platform. Solutions delivered through our PCP are typically on the same subscription basis as solutions delivered through our shared platform. Our PCP utilizes hardware and software owned by us and is physically located on the customer's premises. The customer is not permitted to take possession of the software or access the software code. We also offer our PCP as a subscription-based platform services to the customer using a virtual version of our software. This virtualized PCP allows us to extend our security and compliance solutions without the complexity and cost associated with deploying traditional enterprise software.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Qualys Core Services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core services enable our customers to detect vulnerabilities, measure and remediate cyber risk through integrated workflows, management and real-time analysis and reporting inside their organizations, on the perimeter, on endpoints or in the cloud.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core services constitute dynamic and customizable dashboards and centrally managed, self-updating integrated Cloud Apps, through a natively integrated unified platform. Our interactive, dynamic dashboards and cloud platform allow our customers to aggregate and correlate all of their IT, security and compliance data in one place, drill down into details, and generate reports customized for different audiences. Our cloud platform’s powerful Elasticsearch clusters enable customers to instantly find detailed data on any asset.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core services include: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Asset Tagging and Management. </w:t>
      </w:r>
      <w:r>
        <w:rPr>
          <w:rFonts w:ascii="Times New Roman;sans-serif" w:hAnsi="Times New Roman;sans-serif"/>
          <w:b w:val="false"/>
          <w:color w:val="000000"/>
          <w:sz w:val="20"/>
        </w:rPr>
        <w:t>Enables customers to easily identify, categorize and manage large numbers of assets in highly dynamic IT and OT environments and automates the process of inventory management and hierarchical organization of all internal and external assets. Built on top of this core service is the Qualys GAV framework, which is a global asset inventory service enabling our customers to search for information on any asset, scaling to millions of assets for customers of all sizes, helping IT and security personnel to search assets and maintain an up-to-date inventory on a continuous basis.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Reporting and Dashboards. </w:t>
      </w:r>
      <w:r>
        <w:rPr>
          <w:rFonts w:ascii="Times New Roman;sans-serif" w:hAnsi="Times New Roman;sans-serif"/>
          <w:b w:val="false"/>
          <w:color w:val="000000"/>
          <w:sz w:val="20"/>
        </w:rPr>
        <w:t>A highly configurable reporting engine that provides customers with reports and dashboards based on their roles and access privileges.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Questionnaires and Collaboration. </w:t>
      </w:r>
      <w:r>
        <w:rPr>
          <w:rFonts w:ascii="Times New Roman;sans-serif" w:hAnsi="Times New Roman;sans-serif"/>
          <w:b w:val="false"/>
          <w:color w:val="000000"/>
          <w:sz w:val="20"/>
        </w:rPr>
        <w:t>A configurable workflow engine that enables customers to easily build questionnaires and capture existing business processes and workflows to evaluate controls and gather evidence to validate and document compliance.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Remediation and Workflow. </w:t>
      </w:r>
      <w:r>
        <w:rPr>
          <w:rFonts w:ascii="Times New Roman;sans-serif" w:hAnsi="Times New Roman;sans-serif"/>
          <w:b w:val="false"/>
          <w:color w:val="000000"/>
          <w:sz w:val="20"/>
        </w:rPr>
        <w:t>An integrated workflow engine that allows customers to automatically generate helpdesk tickets for remediation 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Big Data Correlation and Analytics Engine. </w:t>
      </w:r>
      <w:r>
        <w:rPr>
          <w:rFonts w:ascii="Times New Roman;sans-serif" w:hAnsi="Times New Roman;sans-serif"/>
          <w:b w:val="false"/>
          <w:color w:val="000000"/>
          <w:sz w:val="20"/>
        </w:rPr>
        <w:t>Provides Elasticsearch capabilities for indexing, searching and correlating large amounts of security and compliance data with other security incidents and third-party security intelligence data. Embedded workflows enable customers to quickly assess risk and access information for remediation, incident analysis and forensic investigations.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Alerts and Notifications. </w:t>
      </w:r>
      <w:r>
        <w:rPr>
          <w:rFonts w:ascii="Times New Roman;sans-serif" w:hAnsi="Times New Roman;sans-serif"/>
          <w:b w:val="false"/>
          <w:color w:val="000000"/>
          <w:sz w:val="20"/>
        </w:rPr>
        <w:t>Creates email notifications to alert customers of new vulnerabilities, malware infections, scan completion, open trouble tickets and system updates.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Qualys Cloud Apps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Many organizations have an array of heterogeneous point tools that do not interoperate well and are difficult and costly to maintain and integrate, making it difficult for Chief Information Officers (CIOs) and Chief Information Security Officers (CISOs) to obtain a single, unified view of their organization’s security and compliance posture. Qualys’ Enterprise TruRisk Platform and its Cloud Apps help organizations escape this tool-fragmentation dilemma by drastically simplifying their security stacks and regaining unimpeded visibility across their on-premises, endpoints, cloud, container, and mobile environments.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Cloud Apps are self-updating, centrally managed and tightly integrated, and cover a broad range of functionality in areas such as asset management, vulnerability management, risk mitigation, threat detection and response, compliance and cloud security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9"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applications are easy to use and provide our customers with a high level of control because our applications are part of one platform, share a common user interface, utilize the same scanners and agents, access the same collected data, and leverage the same user permissions.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can subscribe to one or more of our 20+ Cloud Apps based on their initial needs and expand their subscriptions over time to new areas within their organization or to additional Qualys solutions to develop a more complete understanding of their respective environment's IT, security and compliance posture and remediate cybersecurity risk. Many of our customers use multiple Cloud Apps, some of which are noted below:</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Management</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Cybersecurity Asset Management (CSAM): CSAM is an all-in-one solution that leverages the power of our cloud platform with its multiple native sensors and CMDB synchronization to continuously inventory known and unknown assets, discover installed applications, and overlay business and risk context to establish asset criticality. It identifies unauthorized or end-of-life and end-of-service software and the absence of required security tools, and assesses the health of the attack surface. Further, CSAM enables response options with threat alerts and software removal and delivers regulatory reporting in support of the Federal Risk and Authorization Management Program ("FedRAMP"), PCI-DSS and other mandates. </w:t>
      </w:r>
      <w:r>
        <w:rPr>
          <w:rFonts w:ascii="Times New Roman;sans-serif" w:hAnsi="Times New Roman;sans-serif"/>
          <w:b w:val="false"/>
          <w:color w:val="000000"/>
          <w:sz w:val="20"/>
        </w:rPr>
        <w:t xml:space="preserve">CSAM includes External Attack Surface Management (EASM), which allows discovery of internet facing unknown assets.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Vulnerability Management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Vulnerability Management, Detection and Response (VMDR): VMDR enables organizations to automatically discover every asset in their environment, including unmanaged assets appearing on the network, inventory all hardware and software, and classify and tag critical assets. VMDR continuously assesses these assets for the latest vulnerabilities and applies the latest threat intel analysis to prioritize actively exploitable vulnerabilities. VMDR automatically detects the latest superseding patch for the vulnerable asset and easily deploys it for remediation. Finally, VMDR quantifies risk across vulnerabilities, assets and groups of assets helping organizations proactively reduce cyber risk exposure and track cyber risk reduction over time. By delivering all this in a single app workflow, VMDR automates the entire process and significantly accelerates an organization’s ability to respond to threats, thus preventing possible exploitation across on-premises, endpoints, cloud, containers, and mobile environments.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Web Application Scanning (WAS): WAS continuously discovers and catalogs web applications – including new and unknown ones – and detects vulnerabilities and misconfigurations in web apps and APIs. Scaling to thousands of scans, it conducts incisive, thorough and precise testing of browser-based web apps, mobile app backends, and Internet of things (IoT) services. WAS' powerful API enables integration with other systems and allows teams to detect issues within DevOps environments early in the application development process. Bundled malware detection capability with WAS uses reputational, behavioral, antivirus, and heuristic analyses to identify and alert on malware infecting a user's websites. By Integrating WAS with manual testing tools and bug bounty solutions, customers can build a comprehensive web application vulnerability testing program.</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 Mitigation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Patch Management (PM): PM provides automated patch deployment capabilities for Windows, Linux, Mac and third party software by correlating vulnerabilities and the right set of remediation including patches and configuration fixes. It continuously gathers and uploads telemetry about installed software, open vulnerabilities and missing patches to our cloud platform. The resulting shared visibility of assets and their posture enables IT and security teams to collaborate using common vulnerability-centric terminology and provides a consistent data set to analyze, prioritize, deploy and verify patches more efficiently.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Custom Assessment and Remediation (CAR): CAR enables security architects to create custom scripts in popular scripting languages, user-defined controls and automation, all seamlessly integrated within existing programs to quickly assess, respond to and remediate threats across global hybrid environments.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Threat Detection and Response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Multi-Vector Endpoint Detection and Response (EDR): Traditional endpoint detection and response solutions focus only on endpoint activity to detect attacks. As a result, they lack the full context to analyze attacks accurately. This leads to an incomplete picture and a high rate of false positives and negatives, requiring organizations to use multiple point solutions and large incident response teams. Our highly scalable platform fills the gaps by bringing a new multi-vector approach and the unifying power to EDR, providing vital context and comprehensive visibility to the entire attack chain, from prevention to detection to response. EDR unifies different context vectors like asset discovery, rich normalized software inventory, end-of-life visibility, vulnerabilities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0"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exploits, misconfigurations, in-depth endpoint telemetry, and network reachability with a powerful backend to correlate it all for accurate assessment, detection and response.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Context Extended Detection and Response (XDR): XDR provides context and clarity to enterprise security operations through risk-focused, single pane of glass visibility and control to improve enterprise-wide threat detection and incident response. It leverages our cloud platform's response capabilities - patching, fixing misconfigurations, killing processes and network connections, and quarantining hosts - to comprehensively remediate cyber security threats identified by Qualys’ XDR.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Compliance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Policy Compliance (PC): PC performs automated security configuration assessments on IT systems throughout a network, helping to reduce risk and continuously ensure compliance with internal policies and external regulations. PC leverages out-of-the-box library content to fast-track compliance assessments using industry-recommended best practices. PC also provides a centralized, interactive console for specifying baseline standards for different hosts. By automating requirement evaluation against multiple standards for operating systems, network devices, databases and server applications, PC enables the quick identification of security issues and works to prevent configuration drift. PC works to prioritize and track remediation and exceptions, while demonstrating a repeatable auditable process for compliance management</w:t>
      </w:r>
    </w:p>
    <w:p>
      <w:pPr>
        <w:pStyle w:val="TextBody"/>
        <w:bidi w:val="0"/>
        <w:spacing w:lineRule="auto" w:line="288" w:before="240" w:after="283"/>
        <w:ind w:left="0" w:right="0" w:firstLine="547"/>
        <w:jc w:val="both"/>
        <w:rPr>
          <w:rFonts w:ascii="Times New Roman;sans-serif" w:hAnsi="Times New Roman;sans-serif"/>
          <w:b w:val="false"/>
          <w:color w:val="000000"/>
          <w:sz w:val="20"/>
        </w:rPr>
      </w:pPr>
      <w:r>
        <w:rPr>
          <w:rFonts w:ascii="Times New Roman;sans-serif" w:hAnsi="Times New Roman;sans-serif"/>
          <w:b w:val="false"/>
          <w:color w:val="000000"/>
          <w:sz w:val="20"/>
        </w:rPr>
        <w:t>File Integrity Monitoring (FIM): FIM logs and centrally tracks file change events on common enterprise operating systems in organizations of all sizes. FIM provides customers with a simple way to achieve centralized cloud-based visibility of activity resulting from normal patching and administrative tasks, change control exceptions or violations, or malicious activity - then reports on that system activity as part of compliance mandates. FIM collects the critical details needed to quickly identify changes and root out activity that violates policy or is potentially malicious. FIM helps customers to comply with change control policy enforcement and change monitoring requirements.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Cloud Security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Qualys TotalCloud is a Cloud-Native Application Protection Platform (CNAPP), which provides an integrated suite of security capabilities designed for multi-cloud environments. It provides complete visibility and cyber-risk exposure assessment across cloud assets, enabling continuous discovery and monitoring of the cloud landscape to identify risks and maintain compliance. With its FlexScan technology, TotalCloud offers comprehensive assessment features that include no-touch, agentless, API, and snapshot-based scanning, along with agent and network-based scanning for thorough vulnerability detection. The TruRisk component allows for a unified risk view, correlating vulnerabilities, security controls, and compliance across resources to prioritize and reduce cyber risks effectively. For real-time defense, TotalCloud's InstaProtect continuously monitors all cloud assets to detect and protect against evolving and unknown threats. Remediation is streamlined through our QFlow technology, which provides no-code, drag-and-drop workflows for efficient vulnerability management. TotalCloud provides organizations with an all-encompassing solution, delivering fast, agentless, real-time security and compliance across a variety of use cases, including Cloud Workload Protection (CWP), Cloud Detection and Response (CDR), Cloud Security Posture Management (CSPM), Infrastructure as Code (IaC), and Container Security (CS) to offer organizations a single unified solution for comprehensively securing their cloud and multi-cloud environments.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Free Services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organizations of all sizes free security and compliance services based on our cloud platform: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Qualys Global AssetView app automatically creates a continuous, real-time inventory of known and unknown assets throughout a user's global IT footprint across on-premises, endpoints, cloud, containers, and mobile environments. The app also automatically normalizes and categorizes assets to ensure clean, reliable, and consistent data. In-depth asset details provide fine-grained visibility on the system, services, installed software, network, and users. It also detects any device that connects to a user's networks, via passive scanning technology. Upon an unknown device detection, users can install a light-weight Qualys self-updating agent (3MB) to turn the device into a managed device or launch a vulnerability scan.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Qualys Certificate Inventory inventories and assesses all Internet-facing certificates to generate SSL/TLS configuration grades, identifies the certificate issuer and tracks certificate expirations to help stop expired and expiring certificates from interrupting critical business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1"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strengthen our leadership position as a trusted provider of cloud-based IT, security and compliance solutions. The key elements of our growth strategy are:</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 xml:space="preserve">Continue to innovate and enhance our cloud platform and suite of solutions. </w:t>
      </w:r>
      <w:r>
        <w:rPr>
          <w:rFonts w:ascii="Times New Roman;sans-serif" w:hAnsi="Times New Roman;sans-serif"/>
          <w:b w:val="false"/>
          <w:color w:val="000000"/>
          <w:sz w:val="20"/>
        </w:rPr>
        <w:t>We intend to continue to make significant investments in research and development to extend our cloud platform’s functionality by developing new security solutions and capabilities and further enhancing our existing suite of solutions.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i/>
          <w:color w:val="000000"/>
          <w:sz w:val="20"/>
        </w:rPr>
        <w:t xml:space="preserve">Expand the use of our suite of solutions by our large and diverse customer base. </w:t>
      </w:r>
      <w:r>
        <w:rPr>
          <w:rFonts w:ascii="Times New Roman;sans-serif" w:hAnsi="Times New Roman;sans-serif"/>
          <w:b w:val="false"/>
          <w:color w:val="000000"/>
          <w:sz w:val="20"/>
          <w:shd w:fill="FFFFFF" w:val="clear"/>
        </w:rPr>
        <w:t>With more than 10,000 customers, across many industries and geographies, we believe we have a significant opportunity to sell additional solutions to our customers and expand their use of our suite of solutions. Because our customers typically initially deploy one or two of our solutions in select parts of their IT infrastructures, our existing customers serve as a strong source of new sales as they expand their scope and increase their subscriptions or choose to adopt additional solutions from our integrated suite of IT, security and compliance offerings. In this regard, we continue to expand our sales execution and marketing functions to increase adoption of our newly developed solutions among our existing customers.</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i/>
          <w:color w:val="000000"/>
          <w:sz w:val="20"/>
        </w:rPr>
        <w:t xml:space="preserve">Drive new customer growth and broaden our global reach. </w:t>
      </w:r>
      <w:r>
        <w:rPr>
          <w:rFonts w:ascii="Times New Roman;sans-serif" w:hAnsi="Times New Roman;sans-serif"/>
          <w:b w:val="false"/>
          <w:color w:val="000000"/>
          <w:sz w:val="20"/>
        </w:rPr>
        <w:t>We are pursuing new customers by targeting key accounts, releasing free IT, security and compliance services and expanding both our sales and marketing organization and network of channel partners. We will continue to seek to make significant investments to encourage organizations to replace their existing security products with our cloud solutions. We intend to expand our relationships with key security consulting organizations, leading cloud service providers, managed security service providers and value-added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shared cloud platforms, helping us expand our reach in new markets and new geographies.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i/>
          <w:color w:val="000000"/>
          <w:sz w:val="20"/>
        </w:rPr>
        <w:t xml:space="preserve">Selectively pursue technology acquisitions to bolster our capabilities and leadership position. </w:t>
      </w:r>
      <w:r>
        <w:rPr>
          <w:rFonts w:ascii="Times New Roman;sans-serif" w:hAnsi="Times New Roman;sans-serif"/>
          <w:b w:val="false"/>
          <w:color w:val="000000"/>
          <w:sz w:val="20"/>
        </w:rPr>
        <w:t xml:space="preserve">We may explore acquisitions that are complementary to and can expand the functionality of our cloud platform. We may also seek to acquire development teams to supplement our own personnel and acquire technology to increase the breadth of our cloud-based IT, security and compliance solutions. In 2022, we acquired certain intangible assets of Blue Hexagon Inc., enabling us to leverage our cloud platform with deep learning AI and machine learning (ML) technologies to uncover behavior patterns including active vulnerability exploitation, identification of advanced network threats, and adaptive risk mitigation across all assets and applications. </w:t>
      </w:r>
      <w:r>
        <w:rPr>
          <w:rFonts w:ascii="Times New Roman;sans-serif" w:hAnsi="Times New Roman;sans-serif"/>
          <w:b w:val="false"/>
          <w:color w:val="000000"/>
          <w:sz w:val="20"/>
          <w:shd w:fill="FFFFFF" w:val="clear"/>
        </w:rPr>
        <w:t>In 2021, we acquired certain intangible assets of Kandor Soft Labs Private Ltd. (TotalCloud), strengthening our cloud security solution by allowing customers to build user-defined workflows for custom policies and execute them on-demand for simplified security and compliance.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2023, we had over 10,000 customers worldwide, including a majority of the Forbes Global 100. In each of 2023, 2022 and 2021, no one customer accounted for more than 10% of our revenues. In 2023, 2022 and 2021, 60%, 60% and 61%,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sell our IT, security and compliance solutions to customers directly through our sales teams as well as indirectly through our network of channel partners.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Our global sales force is organized into a field sales team, which focuses on enterprises, generally including organizations with</w:t>
      </w:r>
      <w:r>
        <w:rPr>
          <w:color w:val="000000"/>
          <w:shd w:fill="FFFFFF" w:val="clear"/>
        </w:rPr>
        <w:t xml:space="preserve"> </w:t>
      </w:r>
      <w:r>
        <w:rPr>
          <w:rFonts w:ascii="Times New Roman;sans-serif" w:hAnsi="Times New Roman;sans-serif"/>
          <w:b w:val="false"/>
          <w:color w:val="000000"/>
          <w:sz w:val="20"/>
          <w:shd w:fill="FFFFFF" w:val="clear"/>
        </w:rPr>
        <w:t>more than 5,000 employees, and an inside sales team, which focuses on small to medium-sized businesses, which generally include organizations with less than 5,000 employees. Both our field and inside sales teams are divided into three geographic regions, the Americas; Europe, Middle East and Africa; and Asia-Pacific. We also further assign each of our sales teams into groups that focus on adding new customers or managing relationships with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2"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leading cloud providers, managed service providers and resellers.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2023, 2022 and 2021, 43%, 42% and 41%, respectively, of our revenues were generated by channel partners.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Marketing</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programs include a variety of online marketing, advertising, conferences, events, public relations activities and web-based seminar campaigns targeted at key decision makers within our prospective customers.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Customer Support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Qualys Support delivers 24x7x365 day customer technical support from global centers located in Foster City, California; Raleigh, North Carolina; and Pune, India. We recruit senior level technical personnel and trained subject matter experts who work closely with engineering and operations personnel to resolve issues quickly. Our IT, security and compliance solutions can be deployed easily and are designed to be implemented and operated without the need for significant professional services. We also offer various training programs as part of our subscriptions to all of our customers. In addition, we leverage the insights drawn from our customers to further improve the functionality of our IT, security and compliance solutions. Our mission is to ensure customer satisfaction and play a critical role in retaining and expanding our customer base.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 and Operations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devote significant resources to maintain, enhance and add new functionality to our cloud platform and the integrated suite of solutions that we offer. Our development organization consists of agile engineering teams with substantial security expertise in specific areas of our solutions. In addition to our development teams, we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France and India, which gives us access to some of the best research and engineering talent in the world. Our focus remains to attract engineering talent as we continue to add new solutions and improve existing ones.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Shared Cloud Platform Agreements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shared cloud platform operations are provided by large third-party vendors and are located in the United States, Canada, Switzerland, the Netherlands, United Arab Emirates, Australia, United Kingdom, Italy, the Kingdom of Saudi Arabia and India. Our shared cloud platform agreements have varying terms through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3"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expanding capabilities of our IT,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with large and small public companies, such as Broadcom (Symantec Enterprise Security), CrowdStrike, Palo Alto Networks, Rapid7, and Tenable Holdings, as well as privately held security providers including Axonius, Checkmarx, Flexera, Invicti, Ivanti, Tanium, HelpSystems (Tripwire), Trustwave Holdings, Veracode and Wiz. We also seek to replace IT, security and compliance solutions that organizations have developed internally. As we continue to extend our cloud platform’s functionality by further developing IT, security and compliance solutions, such as Cybersecurity Asset Management and Patch Management, we expect to face additional competition in these new markets. Our competitors may also attempt to further expand their presence in the IT, security and compliance market and compete more directly against one or more of our solutions.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principal competitive factors affecting our markets include product functionality, breadth of offerings, flexibility of delivery models, ease of deployment and use, total cost of ownership, scalability and performance, customer support and the extensibility of our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We rely on a combination of trade secrets, copyrights, patents and trademarks, as well as contractual protections, to establish and protect our intellectual property rights and protect our proprietary technology. As of December 31, 2023, we have </w:t>
      </w:r>
      <w:r>
        <w:rPr>
          <w:rFonts w:ascii="Times New Roman;sans-serif" w:hAnsi="Times New Roman;sans-serif"/>
          <w:b w:val="false"/>
          <w:color w:val="000000"/>
          <w:sz w:val="20"/>
        </w:rPr>
        <w:t>thirty-six</w:t>
      </w:r>
      <w:r>
        <w:rPr>
          <w:color w:val="000000"/>
          <w:shd w:fill="FFFFFF" w:val="clear"/>
        </w:rPr>
        <w:t xml:space="preserve"> </w:t>
      </w:r>
      <w:r>
        <w:rPr>
          <w:rFonts w:ascii="Times New Roman;sans-serif" w:hAnsi="Times New Roman;sans-serif"/>
          <w:b w:val="false"/>
          <w:color w:val="000000"/>
          <w:sz w:val="20"/>
          <w:shd w:fill="FFFFFF" w:val="clear"/>
        </w:rPr>
        <w:t xml:space="preserve">issued patents, which expire from 2029 to 2042, several pending U.S. patent applications and an exclusive license to </w:t>
      </w:r>
      <w:r>
        <w:rPr>
          <w:rFonts w:ascii="Times New Roman;sans-serif" w:hAnsi="Times New Roman;sans-serif"/>
          <w:b w:val="false"/>
          <w:color w:val="000000"/>
          <w:sz w:val="20"/>
        </w:rPr>
        <w:t>four</w:t>
      </w:r>
      <w:r>
        <w:rPr>
          <w:color w:val="000000"/>
          <w:shd w:fill="FFFFFF" w:val="clear"/>
        </w:rPr>
        <w:t xml:space="preserve"> </w:t>
      </w:r>
      <w:r>
        <w:rPr>
          <w:rFonts w:ascii="Times New Roman;sans-serif" w:hAnsi="Times New Roman;sans-serif"/>
          <w:b w:val="false"/>
          <w:color w:val="000000"/>
          <w:sz w:val="20"/>
          <w:shd w:fill="FFFFFF" w:val="clear"/>
        </w:rPr>
        <w:t>U.S. patents.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w:t>
      </w:r>
      <w:r>
        <w:rPr>
          <w:rFonts w:ascii="Times New Roman;sans-serif" w:hAnsi="Times New Roman;sans-serif"/>
          <w:b w:val="false"/>
          <w:color w:val="000000"/>
          <w:sz w:val="20"/>
        </w:rPr>
        <w:t>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our cloud platform, which we believe differentiates us from our competitors.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Human Capital Resources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We take a holistic approach to our human capital management strategy, striving to create a culture where talented people want to come to work, develop their careers, become leaders, and make a difference for all our stakeholders and communities. Doing the right thing for our people, our communities and our environment upholds the trust of our customers, partners, employees, and stockholders, enabling us to grow our business profitably and meet the diverse needs of our constituents. As of December 31, 2023, we had 2,188 full-time employees, including 1,016 in research and development, 438 in sales and marketing, 504 in operations and customer support, and 230 in general and administrative. As of December 31, 2023, approximately 75% of our employees were located outside of the United States, with 66% of our employees located in Pune, India. </w:t>
      </w:r>
      <w:r>
        <w:rPr>
          <w:rFonts w:ascii="Times New Roman;sans-serif" w:hAnsi="Times New Roman;sans-serif"/>
          <w:b w:val="false"/>
          <w:color w:val="000000"/>
          <w:sz w:val="20"/>
          <w:shd w:fill="FFFFFF" w:val="clear"/>
        </w:rPr>
        <w:t>None of our U.S. employees are covered by collective bargaining agreements. Employees in certain European countries and Brazil have collective bargaining arrangements at the national level. We believe our employee relations are good, and we have not experienced any work stoppages.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4"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Our Competitive Compensation and Benefits Policy.</w:t>
      </w:r>
      <w:r>
        <w:rPr>
          <w:color w:val="000000"/>
        </w:rPr>
        <w:t xml:space="preserve"> </w:t>
      </w:r>
      <w:r>
        <w:rPr>
          <w:rFonts w:ascii="Times New Roman;sans-serif" w:hAnsi="Times New Roman;sans-serif"/>
          <w:b w:val="false"/>
          <w:color w:val="000000"/>
          <w:sz w:val="20"/>
        </w:rPr>
        <w:t xml:space="preserve">We understand that providing competitive compensation and benefits plays a critical role in attracting and retaining the best available personnel. That is why we offer robust compensation and benefits to our employees, including competitive base salaries, variable pay and equity awards, and generous benefits packages. To support the health and wellness of our workforce, Qualys offers premium health coverage with minimal out-of-pocket contributions for our employees. </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Corporate Governance.</w:t>
      </w:r>
      <w:r>
        <w:rPr>
          <w:color w:val="000000"/>
        </w:rPr>
        <w:t xml:space="preserve"> </w:t>
      </w:r>
      <w:r>
        <w:rPr>
          <w:rFonts w:ascii="Times New Roman;sans-serif" w:hAnsi="Times New Roman;sans-serif"/>
          <w:b w:val="false"/>
          <w:color w:val="000000"/>
          <w:sz w:val="20"/>
        </w:rPr>
        <w:t xml:space="preserve">Qualys maintains a Compensation and Talent Committee of the Board of Directors to oversee the company’s compensation policies, plans and benefits programs, and overall compensation philosophy. The Committee approves CEO and executive officers’ compensation plans, and reviews, approves, and administers various employee benefit plans, among other duties. As part of its ongoing review of the performance criteria and compensation of designated key executives, the Compensation and Talent Committee also meets annually with the CEO, the Company’s principal human resources executive, and any other corporate officers as it deems appropriate. </w:t>
      </w:r>
    </w:p>
    <w:p>
      <w:pPr>
        <w:pStyle w:val="TextBody"/>
        <w:bidi w:val="0"/>
        <w:spacing w:lineRule="auto" w:line="288" w:before="240" w:after="283"/>
        <w:ind w:left="0" w:right="0" w:firstLine="490"/>
        <w:jc w:val="both"/>
        <w:rPr>
          <w:rFonts w:ascii="Times New Roman;sans-serif" w:hAnsi="Times New Roman;sans-serif"/>
          <w:b/>
          <w:i/>
          <w:color w:val="000000"/>
          <w:sz w:val="20"/>
        </w:rPr>
      </w:pPr>
      <w:r>
        <w:rPr>
          <w:rFonts w:ascii="Times New Roman;sans-serif" w:hAnsi="Times New Roman;sans-serif"/>
          <w:b/>
          <w:i/>
          <w:color w:val="000000"/>
          <w:sz w:val="20"/>
        </w:rPr>
        <w:t>Supporting our Team and Community</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 xml:space="preserve">Talent Development and Safety. </w:t>
      </w:r>
      <w:r>
        <w:rPr>
          <w:rFonts w:ascii="Times New Roman;sans-serif" w:hAnsi="Times New Roman;sans-serif"/>
          <w:b w:val="false"/>
          <w:color w:val="000000"/>
          <w:sz w:val="20"/>
        </w:rPr>
        <w:t xml:space="preserve">We take a holistic approach to our social strategy, striving to create a culture where talented people want to come to work, develop their careers, become leaders, and make a difference for all our stakeholders and communities. We believe every employee makes a difference, so we empower them in their roles and support them for professional growth. We assist employees in achieving their career goals by helping them improve their skillsets and transition to increasingly challenging roles. </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 xml:space="preserve">Diversity and Inclusion. </w:t>
      </w:r>
      <w:r>
        <w:rPr>
          <w:rFonts w:ascii="Times New Roman;sans-serif" w:hAnsi="Times New Roman;sans-serif"/>
          <w:b w:val="false"/>
          <w:color w:val="000000"/>
          <w:sz w:val="20"/>
        </w:rPr>
        <w:t>We are proud to be a leader in the promotion and practice of diversity and inclusion. We take pride in our cultural diversity with offices and employees all over the world. Our objective is to continue to improve our hiring, development, advancement, and retention of diverse talent and to foster an inclusive environment. In addition to having more than 50% of the executive team from underrepresented communities, we are also continuing to improve diversity among our growing workforce, with steady increases in recent years in the percentage of women employed among our global workforce and with over half of our US-based employees from underrepresented communities.</w:t>
      </w:r>
    </w:p>
    <w:p>
      <w:pPr>
        <w:pStyle w:val="TextBody"/>
        <w:bidi w:val="0"/>
        <w:spacing w:lineRule="auto" w:line="288" w:before="24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Qualys is focused on building a pipeline of diverse candidates across all our job functions. We define diversity as underrepresented job seekers, like women, minorities, people with disabilities, older workers, and LGBTQIA+ community members. </w:t>
      </w:r>
    </w:p>
    <w:p>
      <w:pPr>
        <w:pStyle w:val="TextBody"/>
        <w:bidi w:val="0"/>
        <w:spacing w:lineRule="auto" w:line="288" w:before="24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Qualys searches the globe for top talent in an effort to recruit and hire diverse individuals with a variety of skills, experiences, and backgrounds. Our company holiday calendar includes events and festivals from many regions and religions, and we include diverse cultural initiatives throughout the year to ensure employees feel represented.</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Promoting a Healthy Work-life Balance.</w:t>
      </w:r>
      <w:r>
        <w:rPr>
          <w:color w:val="000000"/>
        </w:rPr>
        <w:t xml:space="preserve"> </w:t>
      </w:r>
      <w:r>
        <w:rPr>
          <w:rFonts w:ascii="Times New Roman;sans-serif" w:hAnsi="Times New Roman;sans-serif"/>
          <w:b w:val="false"/>
          <w:color w:val="000000"/>
          <w:sz w:val="20"/>
        </w:rPr>
        <w:t xml:space="preserve">Qualys aims to maintain a healthy work-life balance and provide resources to support our employees’ mental and physical well-being. During 2022, our workforce gradually transitioned into a hybrid work schedule, which resulted in a significant portion of our workforce working either in-person on a part-time basis, or remotely on a permanent basis. During 2023, we continued to offer this hybrid work schedule to our workforce. Our top priority remains providing support for our employees, partners, and customers. We are fortunate that the nature of our business allows us to successfully operate in this dynamic hybrid environment. We believe that our hybrid policy will be a key enabler to support the broad needs of critical on-site to remote employees. </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Community Engagement</w:t>
      </w:r>
      <w:r>
        <w:rPr>
          <w:rFonts w:ascii="Times New Roman;sans-serif" w:hAnsi="Times New Roman;sans-serif"/>
          <w:b w:val="false"/>
          <w:color w:val="000000"/>
          <w:sz w:val="20"/>
        </w:rPr>
        <w:t xml:space="preserve">. We value the communities that support our operations and have several company and employee-led initiatives to support the communities in which we operate. In 2023, our efforts were centered on advancing education, gender equality, and environmental initiatives. </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Training and Development</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 xml:space="preserve">Employee Training. </w:t>
      </w:r>
      <w:r>
        <w:rPr>
          <w:rFonts w:ascii="Times New Roman;sans-serif" w:hAnsi="Times New Roman;sans-serif"/>
          <w:b w:val="false"/>
          <w:color w:val="000000"/>
          <w:sz w:val="20"/>
        </w:rPr>
        <w:t xml:space="preserve">We require our employees and managers to participate in myriad training programs directed at maintaining a harassment-free, diverse, and secure workplace. With our diverse employee population, we uphold the rights to work in an environment that promotes equal opportunity and prohibits discriminatory practices against race, color, national origin, ancestry, medical condition, religious creed (including religious dress and grooming practices), marital status, registered domestic partner status, sex, sexual orientation, gender identity and expression, genetic characteristics and information, age, veteran status,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5"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 any other protected characteristic. Creating a respectful workplace and preventing harassment to our employees remain our on-going commitment. </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Employee Development.</w:t>
      </w:r>
      <w:r>
        <w:rPr>
          <w:color w:val="000000"/>
        </w:rPr>
        <w:t xml:space="preserve"> </w:t>
      </w:r>
      <w:r>
        <w:rPr>
          <w:rFonts w:ascii="Times New Roman;sans-serif" w:hAnsi="Times New Roman;sans-serif"/>
          <w:b w:val="false"/>
          <w:color w:val="000000"/>
          <w:sz w:val="20"/>
        </w:rPr>
        <w:t xml:space="preserve">Investing in employees is critical to our success. Qualys employees participate in an onboarding program to integrate new hires into role-specific functions and company culture. Qualys offers managers and employees various training courses as needed. To support career growth inside and outside Qualys, we offer free self-paced and instructor-led certified training on core Qualys topics, giving employees and non-employees an opportunity to achieve certifications and job-related courses free of charge. </w:t>
      </w:r>
    </w:p>
    <w:p>
      <w:pPr>
        <w:pStyle w:val="TextBody"/>
        <w:bidi w:val="0"/>
        <w:spacing w:lineRule="auto" w:line="288" w:before="24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To allow for open dialogue between employees and managers, we conduct formal employee reviews each year. Corrective action plans are developed for employees who may be struggling to meet his or her job responsibilities. Employee performance is considered during compensation reviews. In addition to formal reviews, our Human Resources team regularly meets with managers to check in with teams and conducts exit interviews globally. Qualys India also conducts an assimilation program for new employees, through which feedback is collected as employees join the company.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Sustainable Business Operations</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Our Sustainable Solutions.</w:t>
      </w:r>
      <w:r>
        <w:rPr>
          <w:color w:val="000000"/>
        </w:rPr>
        <w:t xml:space="preserve"> </w:t>
      </w:r>
      <w:r>
        <w:rPr>
          <w:rFonts w:ascii="Times New Roman;sans-serif" w:hAnsi="Times New Roman;sans-serif"/>
          <w:b w:val="false"/>
          <w:color w:val="000000"/>
          <w:sz w:val="20"/>
        </w:rPr>
        <w:t>Qualys products, delivered via our multi-tenant cloud platform, enable improved environmental sustainability for our customers. In particular, our cloud-based solutions minimize the number of physical servers our customers have to deploy within their own environments, reducing energy consumption on their end. Qualys Cloud Apps, delivering rich content and dashboards visible on any device, also reduce paper and printing costs for our customers.</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Our Eco-Friendly Operations.</w:t>
      </w:r>
      <w:r>
        <w:rPr>
          <w:color w:val="000000"/>
        </w:rPr>
        <w:t xml:space="preserve"> </w:t>
      </w:r>
      <w:r>
        <w:rPr>
          <w:rFonts w:ascii="Times New Roman;sans-serif" w:hAnsi="Times New Roman;sans-serif"/>
          <w:b w:val="false"/>
          <w:color w:val="000000"/>
          <w:sz w:val="20"/>
        </w:rPr>
        <w:t>Our environmental, health and safety systems, processes and tools in place across our footprint enable Qualys to meet or exceed governmental and industry requirements. We strive to consistently improve how we operate our platforms in energy-efficient networks and data centers as well as pursue sustainability initiatives that reduce energy, waste and materials consumption. We have 14 multi-tenant platforms across the world, eight of which are in collocated facilities. The others are hosted in public cloud environments. Though data centers are inherently energy-intensive, utilizing collocated facilities allows us to leverage economies of scale for power and cooling. In addition, most of our third-party providers continue to advance their own sustainability programs to reduce their environmental impact.</w:t>
      </w:r>
    </w:p>
    <w:p>
      <w:pPr>
        <w:pStyle w:val="TextBody"/>
        <w:bidi w:val="0"/>
        <w:spacing w:lineRule="auto" w:line="288" w:before="240" w:after="283"/>
        <w:ind w:left="0" w:right="0" w:firstLine="432"/>
        <w:jc w:val="both"/>
        <w:rPr/>
      </w:pPr>
      <w:r>
        <w:rPr>
          <w:rFonts w:ascii="Times New Roman;sans-serif" w:hAnsi="Times New Roman;sans-serif"/>
          <w:b w:val="false"/>
          <w:i/>
          <w:color w:val="000000"/>
          <w:sz w:val="20"/>
        </w:rPr>
        <w:t>Environmental Standards Within Supply Chain</w:t>
      </w:r>
      <w:r>
        <w:rPr>
          <w:rFonts w:ascii="Times New Roman;sans-serif" w:hAnsi="Times New Roman;sans-serif"/>
          <w:b w:val="false"/>
          <w:color w:val="000000"/>
          <w:sz w:val="20"/>
        </w:rPr>
        <w:t xml:space="preserve">. We are committed to advancing supply chain responsibility and strive to enhance transparency and promote greater accountability in our own operations and with our suppliers. Qualys outsources product manufacturing and recycling to suppliers and vendors that follow the highest environmental standards in the industry, such as ISO 14001. We also seek to prohibit our suppliers from profiting from the sale of tantalum, tin, tungsten, and gold (also known as “conflict minerals”) that funds conflict in the Democratic Republic of the Congo (DRC) and adjoining countries, and we seek to require that our suppliers source these minerals from socially responsible suppliers.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Our principal executive offices are located at 919 E. Hillsdale Blvd., 4th Floor, Foster City, California 94404. The telephone number of our principal executive offices is (650) 801-6100, and our main corporate website is </w:t>
      </w:r>
      <w:r>
        <w:rPr>
          <w:rFonts w:ascii="Times New Roman;sans-serif" w:hAnsi="Times New Roman;sans-serif"/>
          <w:b w:val="false"/>
          <w:i/>
          <w:color w:val="000000"/>
          <w:sz w:val="20"/>
        </w:rPr>
        <w:t>www.qualys.com</w:t>
      </w:r>
      <w:r>
        <w:rPr>
          <w:rFonts w:ascii="Times New Roman;sans-serif" w:hAnsi="Times New Roman;sans-serif"/>
          <w:b w:val="false"/>
          <w:color w:val="000000"/>
          <w:sz w:val="20"/>
        </w:rPr>
        <w:t>. Information contained on, or that can be accessed through, our website, does not constitute part of this Annual Report on Form 10-K and inclusion of our website address in this Annual Report on Form 10-K is an inactive textual reference only.</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Times New Roman;sans-serif" w:hAnsi="Times New Roman;sans-serif"/>
          <w:b w:val="false"/>
          <w:i/>
          <w:color w:val="000000"/>
          <w:sz w:val="20"/>
        </w:rPr>
        <w:t>www.qualys.com</w:t>
      </w:r>
      <w:r>
        <w:rPr>
          <w:color w:val="000000"/>
        </w:rPr>
        <w:t xml:space="preserve"> </w:t>
      </w:r>
      <w:r>
        <w:rPr>
          <w:rFonts w:ascii="Times New Roman;sans-serif" w:hAnsi="Times New Roman;sans-serif"/>
          <w:b w:val="false"/>
          <w:color w:val="000000"/>
          <w:sz w:val="20"/>
        </w:rPr>
        <w:t xml:space="preserve">as soon as reasonably practicable after they are electronically filed with or furnished to the SEC. Additionally, copies of materials filed by us with the SEC may be accessed at the SEC's website, </w:t>
      </w:r>
      <w:r>
        <w:rPr>
          <w:rFonts w:ascii="Times New Roman;sans-serif" w:hAnsi="Times New Roman;sans-serif"/>
          <w:b w:val="false"/>
          <w:i/>
          <w:color w:val="000000"/>
          <w:sz w:val="20"/>
        </w:rPr>
        <w:t>www.sec.gov</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6"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uncertainties discussed below are not the only ones we face. Our business, operating results, financial performance or prospects could also be harmed by risks and uncertainties not currently known to us or that we currently do not believe are material.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quarterly and annual operating results may vary from period to period, which could result in our failure to meet expectations with respect to operating results and cause the trading price of our stock to decline.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have historically varied from period to period, and we expect that they will continue to do so as a result of a number of factors, many of which are outside of our control,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level of demand for our solutions, from both existing and new customers;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extent to which customers subscribe for additional solutions;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customer renewals of our solutions;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timing of deals signed within the applicable fiscal period;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seasonal buying patterns of our customers;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timely invoicing or changes in billing terms of customers;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length of our sales cycle for our products and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price competition;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 success of new product or service introductions by us or our competitors or any other changes in the competitive landscape of our industry, including consolidation among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introduction or adoption of new technologies that compete with our solutions;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decisions by potential customers to purchase IT, security and compliance products or services from other vendors;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conditions, both domestically and in the foreign markets in which we sell our solutions;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foreign currency exchange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growth rate of the IT, security and compliance market;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perceived security breaches and incidents, technical difficulties or interruptions with our service;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of our products and services to operate as designed;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publicity regarding security breaches and incidents generally and the level of perceived threats to IT security;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announcement or adoption of new regulations and policy mandates or changes to existing regulations and policy mandates;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amount and timing of operating costs and capital expenditures related to the operations and expansion of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pace and cost of hiring employees;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expenses associated with our existing and new products and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sales commissions relative to the recognition of revenues;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insolvency or credit difficulties confronting our customers, affecting their ability to purchase or pay for our solutions;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integrate any products or services that we have acquired or may acquire in the future into our product suite or migrate existing customers of any companies that we have acquired or may acquire in the future to our products and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effective tax rate, changes in tax rules, tax effects of infrequent or unusual transactions, and tax audit settlements;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amount and timing of income tax that we recognize resulting from stock-based compensation;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expenses related to the development or acquisition of technologies, services or businesses;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potential goodwill and intangible asset impairment charges associated with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7"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shared cloud platform infrastructures, programming tools and computer language technology.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solution enhancements or new solutions could fail to attain sufficient market acceptance for many reasons,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to timely meet market demand for product functionality;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inability to identify and provide intelligence regarding the attacks or techniques used by cyber-attackers;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inability to inter-operate effectively with the database technologies, file systems or web applications of our prospective customers;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defects, errors or failures;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releasing our enhancements or new solutions;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negative publicity about their performance or effectiveness;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introduction or anticipated introduction of products by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poor business conditions, causing customers to delay IT, security and compliance purchases;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easing or changing of external regulations related to IT, security and compliance;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reluctance of customers to purchase cloud solutions for IT, security and compliance.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anticipate market requirements or fail to develop and introduce solution enhancements or new solutions to satisfy those requirements in a timely manner, such failure could substantially decrease or delay market acceptance and sales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8"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present and future solutions and cause us to lose existing customers or fail to gain new customers, which would significantly harm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continue to effectively scale and adapt our platform to meet the performance and other requirements of our customers, our operating results and our business would be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depends to a significant extent 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pStyle w:val="TextBody"/>
        <w:bidi w:val="0"/>
        <w:spacing w:lineRule="auto" w:line="288" w:before="240" w:after="283"/>
        <w:jc w:val="both"/>
        <w:rPr/>
      </w:pPr>
      <w:r>
        <w:rPr>
          <w:rFonts w:ascii="Times New Roman;sans-serif" w:hAnsi="Times New Roman;sans-serif"/>
          <w:b/>
          <w:i/>
          <w:color w:val="000000"/>
          <w:sz w:val="20"/>
        </w:rPr>
        <w:t>If we are unable to renew existing subscriptions for our IT, security and compliance solutions, sell additional subscriptions for our solutions and attract new customers, our operating results would be harmed.</w:t>
      </w:r>
      <w:r>
        <w:rPr>
          <w:color w:val="000000"/>
        </w:rPr>
        <w:t xml:space="preserv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offer our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current research and development efforts may not produce successful products or enhancements to our platform that result in significant revenue, cost savings or other benefits in the near future.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platform, website and internal systems may be subject to intentional disruption or other security incidents that could result in liability and adversely impact our reputation and future sales.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We have incurred costs to respond to such incidents and may continue to incur costs to support our efforts to enhance our security measures. Additionally, due to political uncertainty and military actions in parts of Eastern Europe and the Middle East, we and our service providers are vulnerable to heightened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19"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risks of cybersecurity incidents and security and privacy breaches from or affiliated with nation-state actors, including attacks that could materially disrupt our systems, operations and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we and our service providers are at increased risk for security breaches and incidents. We have taken and intend to continue to take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or incident impacting our data security, an attack against our service availability, or any breach, incident, or attack impacting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used, publicly disclosed, altered, lost, or stolen, which could subject us to liability and cause us financial harm. If an actual or perceived disruption in the availability of our solutions or the breach or other compromise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unavailability or alteration of information, claims, demands and litigation, regulatory investigations, actions and other proceedings and possible liability. Any such actual or perceived security breach or incident or disruption could also divert the efforts of our technical and management personnel. We and our service providers may face difficulties or delays in identifying and responding to any security breach or incident. We also may incur significant costs and operational consequences of investigating, remediating, eliminating and putting in place additional tools and devices designed to prevent actual or perceived security incidents, as well as costs to respond to and otherwise address any breach or incident, including any to comply with any notification obligations resulting from any security incidents. In addition, any such actual or perceived security breach or incident could impair our ability to operate our business and provide solutions to our customers. If this happens, our reputation could be harmed, our revenues could decline and our business could suffer.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sales cycle can be long and unpredictable, and our sales efforts require considerable time and expense. As a result, revenues may vary from period to period, which may cause our operating results to fluctuate and could harm our business.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The timing of sales of subscriptions for our solutions can be difficult to forecast because of the length and unpredictability of our sales cycle, particularly with large transactions and in the current macroeconomic environment.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w:t>
      </w:r>
      <w:r>
        <w:rPr>
          <w:color w:val="000000"/>
          <w:shd w:fill="FFFFFF" w:val="clear"/>
        </w:rPr>
        <w:t xml:space="preserve"> </w:t>
      </w:r>
      <w:r>
        <w:rPr>
          <w:rFonts w:ascii="Times New Roman;sans-serif" w:hAnsi="Times New Roman;sans-serif"/>
          <w:b w:val="false"/>
          <w:color w:val="000000"/>
          <w:sz w:val="20"/>
          <w:shd w:fill="FFFFFF" w:val="clear"/>
        </w:rPr>
        <w:t>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Adverse economic conditions or reduced IT spending may adversely impact our business.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to a significant extent on the overall demand for IT and on the economic health of our current and prospective customers. Economic weakness, customer financial difficulties, supply chain constraints, change in interest rates, inflationary pressures and potential for a recession, and constrained spending on IT security, as well as longer sales cycles, which factors we have experienced in 2023, have resulted and may in the future result in decreased revenue and earnings. Such factors have made and could in the future make it difficult to accurately forecast our sales and operating results and could negatively affect our ability to provide accurate forecasts to our contract manufacturers. In addition, continued governmental budgetary challenges in the United States and Europe, inflationary pressures and potential for a recession, and geopolitical turmoil in many parts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0"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world, including the ongoing military conflicts in parts of Eastern Europe and the Middle East, and other disruptions to global and regional economies and markets in many parts of the world, as well as uncertainties related to changes in public policies such as domestic and international regulations, taxes or international trade agreements, have and may continue to put pressure on global economic conditions and overall spending on IT security and may further increase inflation, both in the U.S. and globally, which could increase our operating costs in the future and reduce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European operations, as well as our current and potential customers' available budgetary spending, which could lead to delays or reductions in planned purchases of our solutions.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pStyle w:val="TextBody"/>
        <w:bidi w:val="0"/>
        <w:spacing w:lineRule="auto" w:line="288" w:before="240" w:after="283"/>
        <w:jc w:val="both"/>
        <w:rPr/>
      </w:pPr>
      <w:r>
        <w:rPr>
          <w:rFonts w:ascii="Times New Roman;sans-serif" w:hAnsi="Times New Roman;sans-serif"/>
          <w:b/>
          <w:i/>
          <w:color w:val="000000"/>
          <w:sz w:val="20"/>
        </w:rPr>
        <w:t>Our IT, security and compliance solutions are delivered from 14 shared cloud platforms</w:t>
      </w:r>
      <w:r>
        <w:rPr>
          <w:rFonts w:ascii="Times New Roman;sans-serif" w:hAnsi="Times New Roman;sans-serif"/>
          <w:b/>
          <w:i/>
          <w:color w:val="000000"/>
          <w:sz w:val="20"/>
          <w:shd w:fill="FFFFFF" w:val="clear"/>
        </w:rPr>
        <w:t>, and any disruption of service at these facilities would interrupt or delay our ability to deliver our solutions to our customers which could reduce our revenues and harm our operating results.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We currently host substantially all of our solutions from third-party shared cloud platforms located in the United States, Canada, Switzerland, the Netherlands, United Arab Emirates, Australia, United Kingdom, Italy, the Kingdom of Saudi Arabia and India. These facilities are vulnerable to damage or interruption from earthquakes, hurricanes, floods, fires, cybersecurity attacks, terrorist attacks, employee negligence, power losses, telecommunications failures and similar events. The facilities also could be subjec</w:t>
      </w:r>
      <w:r>
        <w:rPr>
          <w:rFonts w:ascii="Times New Roman;sans-serif" w:hAnsi="Times New Roman;sans-serif"/>
          <w:b w:val="false"/>
          <w:color w:val="000000"/>
          <w:sz w:val="20"/>
        </w:rPr>
        <w:t>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face competition in our markets, and we may lack sufficient financial or other resources to maintain or improve our competitive position.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with large and small public companies, such as Broadcom (Symantec Enterprise Security), CrowdStrike, Palo Alto Networks, Rapid7, Tenable Holdings, as well as privately held security providers including Axonius, Checkmarx, Flexera, Invicti, Ivanti, Tanium, HelpSystems (Tripwire), Trustwave Holdings, Veracode and Wiz. We also seek to replace IT, security and compliance solutions that organizations have developed internally. As we continue to extend our cloud platform’s functionality by further developing IT, security and compliance solutions, such as Cybersecurity Asset Management and Patch Management, we expect to face additional competition in these new markets. Our competitors may also attempt to further expand their presence in the IT, security and compliance market and compete more directly against one or more of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1"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principal competitive factors affecting our markets include product functionality, breadth of offerings, flexibility of delivery models, ease of deployment and use, total cost of ownership, scalability and performance, customer support and the extensibility of our platform. Many of our existing and potential competitors have competitive advantages, including: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greater brand name recognition;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larger sales and marketing budgets and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broader distribution networks and more established relationships with distributors and customers;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access to larger customer bases;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greater customer support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greater resources to make acquisitions;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greater resources to develop and introduce products that compete with our solutions;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greater resources to meet relevant regulatory requirements;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substantially greater financial, technical and other resources.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sales prices of our solutions are subject to competitive pressures and may decrease, which may reduce our gross profits and adversely impact our financial results.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our solutions fail to help our customers achieve and maintain compliance with regulations and industry standards, our revenues and operating results could be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2"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which could impact the demand for or value of our solutions.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our solutions fail to detect vulnerabilities or incorrectly detect vulnerabilities, our brand and reputation could be harmed, which could have an adverse effect on our business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actual or perceived security breach or incident or loss, theft, unavailability or other compromise of the sensitive data of one of our customers, regardless of whether the breach is attributable to the failure of our solutions, could adversely affect the market’s perception of our security solutions.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continue the expansion of our sales force, sales of our solutions and the growth of our business would be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invest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3"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rely on third-party channel partners to generate a substantial amount of our revenues, and if we fail to expand and manage our distribution channels, our revenues could decline and our growth prospects could suffer.</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Our success significantly depends to a significant extent on establishing and maintaining relationships with a variety of channel partners and we anticipate that we will continue to depend on these partners in order to grow our business. For the years ended December 31, 2023, 2022 and 2021</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we derived approximately 43%, 42% and 41%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currency exchange fluctuations;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trade and foreign exchange restrictions;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economic or political instability in foreign markets, including as a result of increasing tensions between India and China;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greater difficulty in enforcing contracts, accounts receivable collection and longer collection periods;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regulatory requirements;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tax laws (including U.S. taxes on foreign subsidiaries);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and costs of staffing and managing foreign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uncertainty and limitation of protection for intellectual property rights in some countries;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costs of compliance with foreign laws and regulations and the risks and costs of non-compliance with such laws and regulations;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heightened risks of unfair or corrupt business practices in certain geographies and of improper or fraudulent sales arrangements that may impact financial results and result in restatements of, and irregularities in, financial statements;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for political unrest, acts of terrorism, hostilities or war;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management communication and integration problems resulting from cultural differences and geographic dispersion;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4"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multiple and possibly overlapping tax structures.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In addition, as of December 31, 2023, approximately 75% of our employees were located outside of the United States, with 66% of our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w:t>
      </w:r>
      <w:r>
        <w:rPr>
          <w:rFonts w:ascii="Times New Roman;sans-serif" w:hAnsi="Times New Roman;sans-serif"/>
          <w:b w:val="false"/>
          <w:color w:val="000000"/>
          <w:sz w:val="20"/>
        </w:rPr>
        <w:t>e our infrastructure effectively or as quickly as our competitors in these markets and our revenues may not increase to offset any increased costs and operating expenses, which would cause our results to suffer.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fluctuations in currency exchange rates, which could negatively affect our financial condition and results of operations.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Our reporting currency is the U.S. dollar and we generate a majority of our revenues in U.S. dollars. However, for the year ended December 31, 2023, we incurred approximately 29% of our expenses in foreign currencies, primarily Euro, British Pounds, and Indian Rupee, principally with respect to salaries and related personnel expenses associated with our European and Indian operations. Additionally, for the year ended December 31, 2023, approximately 23% of our revenue</w:t>
      </w:r>
      <w:r>
        <w:rPr>
          <w:rFonts w:ascii="Times New Roman;sans-serif" w:hAnsi="Times New Roman;sans-serif"/>
          <w:b w:val="false"/>
          <w:color w:val="000000"/>
          <w:sz w:val="20"/>
        </w:rPr>
        <w:t>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 of our operations may be adversely affected by foreign exchange fluctuations.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5"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the market for cloud solutions for IT, security and compliance does not evolve as we anticipate, our revenues may not grow and our operating results would be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to a significant extent on the willingness of organizations to increase their use of cloud solutions for their IT, security and compliance. Some organizations may be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organizations that have invested substantial personnel and financial resources to integrate on-premise software into their businesses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and operations have continued to grow since inception, and if we do not appropriately manage any future growth, or are unable to improve our systems and processes, our operating results may be negatively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continued to grow over the last several years, with revenues increasing from $411.2 million in 2021 to $554.5 million in 2023, and headcount increasing from 1,498 employees at the beginning of 2021 to 2,188 employees as of December 31, 2023.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depend on the continued services and performance of our senior management and other key employees, the loss of any of whom could adversely affect our business, operating results and financial condition.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performance depends to a significant extent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The loss of the services of our senior management or other key employees for any reason could significantly delay or prevent the achievement of our development and strategic objectives and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6"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hire, retain and motivate qualified personnel, our business may suffer.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 portion of our revenues are generated by sales to government entities, which are subject to a number of challenges and risks.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success in acquiring and integrating other businesses, products or technologies could impact our financial position.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remain competitive, we have in the past and may in the future seek to acquire additional businesses, products, services or technologies. For example, we acquired certain intellectual property of TotalCloud on August 19, 2021 and certain assets of Blue Hexagon on October 4, 2022. The environment for acquisitions in our industry is very competitive and acquisition candidate purchase prices may exceed what we would prefer to pay. Moreover, achieving the anticipated benefits of past and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rely on software-as-a-service vendors to operate certain functions of our business and any failure of such vendors to provide services to us could adversely impact our business and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7"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Incorrect or improper implementation or use of our solutions could result in customer dissatisfaction and harm our business and reputation.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recognize revenues from subscriptions over the term of the relevant service period, and therefore any decreases or increases in bookings are not immediately reflected in our operating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earthquakes, fire, power outages, floods and other catastrophic events, and to interruption by man-made problems such as terrorism.</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war, acts of terrorism, pandemics or other health emergencies, or responses to these events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28"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 Legal, Tax and Regulatory Matters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Undetected software errors or flaws in our solutions could harm our reputation, decrease market acceptance of our solutions or result in liability.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pStyle w:val="TextBody"/>
        <w:bidi w:val="0"/>
        <w:spacing w:lineRule="auto" w:line="288" w:before="240" w:after="283"/>
        <w:jc w:val="both"/>
        <w:rPr/>
      </w:pPr>
      <w:r>
        <w:rPr>
          <w:rFonts w:ascii="Times New Roman;sans-serif" w:hAnsi="Times New Roman;sans-serif"/>
          <w:b/>
          <w:i/>
          <w:color w:val="000000"/>
          <w:sz w:val="20"/>
        </w:rPr>
        <w:t>Our solutions could be used to collect and store personal information of our customers</w:t>
      </w:r>
      <w:r>
        <w:rPr>
          <w:color w:val="000000"/>
        </w:rPr>
        <w:t xml:space="preserve">’ </w:t>
      </w:r>
      <w:r>
        <w:rPr>
          <w:rFonts w:ascii="Times New Roman;sans-serif" w:hAnsi="Times New Roman;sans-serif"/>
          <w:b/>
          <w:i/>
          <w:color w:val="000000"/>
          <w:sz w:val="20"/>
        </w:rPr>
        <w:t>employees or customers, and therefore privacy and other data handling concerns could result in additional cost and liability to us or inhibit sales of our solutions.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and we may collect, store and otherwise process personal or confidential information more generally in connection with our business and operations.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29"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Global Data Protection Regulation (“GDPR”). This regulation, which took effect in May of 2018, provides for substantial obligations relating to the handling, storage and other processing of data relating to individuals and administrative fines for violations, which can be up to four percent of the previous year’s annual revenue or €20 million, whichever is higher. The GDPR may be subject to new or changing interpretations by courts, and our interpretation of the law and efforts to comply with the rules and regulations of the law may be ruled invalid. Similarly, the California Consumer Privacy Act (“CCPA”) requires covered companies to, among other things, provide new disclosures to California consumers and affords such consumers new rights to opt-out of certain sales of personal information. The CCPA also creates a private right of action for statutory damages for certain breaches of information. Additionally, the California Privacy Rights Act (“CPRA”), was approved by voters in the November 3, 2020 election. The CPRA modified the CCPA significantly, creating obligations relating to consumer data beginning on January 1, 2022, with enforcement authorized as of July 1, 2023. In addition, other states have enacted or proposed legislation that regulates the collection, use, and sale of personal information, including, for example, Washington's My Health, My Data Act and legislation similar to the CCPA adopted in Virginia, Colorado, Utah, Connecticut, Iowa, Indiana, Montana, Tennessee, Oregon, Florida, Delaware, and Texas. Aspects of the CCPA, CPRA, and these other new and evolving state laws, as well their interpretation and enforcement, remain uncertain. We cannot predict the impact of the CCPA, CPRA, or other evolving privacy and data protection obligations on our business or operations, but they may require us to modify our data processing practices and policies and incur substantial costs and expenses in an effort to comply.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privacy, data protection, and information security laws and regulations we must comply with also are subject to change. For example, the United Kingdom has enacted a Data Protection Act, and has implemented legislation referred to as the “UK GDPR,” that substantially implement the GDPR in the United Kingdom following the United Kingdom’s exit from the European Union. This legislation provides for substantial penalties for noncompliance of up to the greater of £17.5 million or four percent of the previous year’s annual revenues. While the European Union has deemed the United Kingdom an “adequate country” to which personal data could be exported from the European Economic Area (“EEA”), this decision is required to be renewed after four years of being in effect and may be modified, revoked, or challenged in the interim, creating uncertainty regarding transfers of personal data to the United Kingdom from the EEA. It remains unclear how United Kingdom data protection laws or regulations will develop in the medium to longer term and how data transfers to and from the United Kingdom will be regulated. Additionally, we have self-certified under the EU-U.S. Data Privacy Framework and a related program, the Swiss-U.S. Data Privacy Framework, and have adopted certain standard contractual clauses approved by the European Commission (“SCCs”) as part of our data processing agreements with regard to certain transfers of personal data from the EEA to the U.S. Both the EU-U.S. Data Privacy Framework and SCCs have, however, been subject to legal challenge. In its July 16, 2020 opinion, the CJEU imposed additional obligations on companies when relying on SCCs to transfer personal data. The European Commission has published revised SCCs addressing the CJEU concerns on June 4, 2021, that are required to be implemented. The United Kingdom has adopted new standard contractual clauses (“UK SCCs”), that became effective as of March 21, 2022, and which also are required to be implemented. The EU-U.S. Data Privacy Framework, Swiss-U.S. Data Privacy Framework revised SCCs and UK SCCs, guidance and opinions of regulators, and other developments relating to cross-border data transfer may require us to implement additional contractual and technical safeguards for any personal data transferred out of Europe, which may increase compliance costs, lead to increased regulatory scrutiny or liability, and which may adversely impact our business, financial condition and operating results.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0"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use AI/machine learning technologies in our solutions that could result in harm to our business and operating results.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incorporated and may continue to incorporate additional AI/machine learning solutions and features into our solutions, and these solutions and features may become more important to our operations or to our future growth over time. We expect to rely on AI/machine learning solutions and features to help drive future growth in our business, but there can be no assurance that we will realize the desired or anticipated benefits from AI/machine learning or at all. We may also fail to properly implement or market our AI/machine learning solutions and features. Our competitors or other third parties may incorporate AI/machine learning into their products, offerings, and solutions more quickly or more successfully than us, which could impair our ability to compete effectively and adversely affect our results of operations. Additionally, our offerings based on AI/machine learning may expose us to additional claims, demands and proceedings by private parties and regulatory authorities and subject us to legal liability as well as brand and reputational harm. The legal, regulatory, and policy environments around AI/machine learning are evolving rapidly, and we may become subject to new and evolving legal and other obligations. These and other developments may require us to make significant changes to our use of AI/machine learning, including by limiting or restricting our use of AI/machine learning, and which may require us to make significant changes to our policies and practices, which may necessitate expenditure of significant time, expense, and other resources, AI/machine learning also presents emerging ethical issues that could harm our reputation and business if our use of AI/machine learning becomes controversial.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solutions contain third-party open source software components, and our failure to comply with the terms of the underlying open source software licenses could restrict our ability to sell our solutions.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1"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use third-party software and data that may be difficult to replace or cause errors or failures of our solutions that could lead to lost customers or harm to our reputation and our operating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Failure to protect our proprietary technology and intellectual property rights could substantially harm our business and operating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2"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Assertions by third parties of infringement or other violations by us of their intellectual property rights could result in significant costs and harm our business and operating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adverse outcome of a dispute may require us to:</w:t>
      </w:r>
    </w:p>
    <w:p>
      <w:pPr>
        <w:pStyle w:val="TextBody"/>
        <w:bidi w:val="0"/>
        <w:spacing w:lineRule="auto" w:line="288" w:before="120" w:after="283"/>
        <w:ind w:left="0" w:right="0" w:hanging="630"/>
        <w:jc w:val="both"/>
        <w:rPr/>
      </w:pPr>
      <w:r>
        <w:rPr>
          <w:color w:val="000000"/>
        </w:rPr>
        <w:t>•</w:t>
      </w:r>
      <w:r>
        <w:rPr>
          <w:rFonts w:ascii="Times New Roman;sans-serif" w:hAnsi="Times New Roman;sans-serif"/>
          <w:b w:val="false"/>
          <w:color w:val="000000"/>
          <w:sz w:val="20"/>
        </w:rPr>
        <w:t>pay substantial damages, including treble damages, if we are found to have willfully infringed a third party’s patents or copyrights;</w:t>
      </w:r>
    </w:p>
    <w:p>
      <w:pPr>
        <w:pStyle w:val="TextBody"/>
        <w:bidi w:val="0"/>
        <w:spacing w:lineRule="auto" w:line="288" w:before="120" w:after="283"/>
        <w:ind w:left="0" w:right="0" w:hanging="630"/>
        <w:jc w:val="both"/>
        <w:rPr/>
      </w:pPr>
      <w:r>
        <w:rPr>
          <w:color w:val="000000"/>
        </w:rPr>
        <w:t>•</w:t>
      </w:r>
      <w:r>
        <w:rPr>
          <w:rFonts w:ascii="Times New Roman;sans-serif" w:hAnsi="Times New Roman;sans-serif"/>
          <w:b w:val="false"/>
          <w:color w:val="000000"/>
          <w:sz w:val="20"/>
        </w:rPr>
        <w:t>cease making, licensing or using solutions that are alleged to infringe or misappropriate the intellectual property of others;</w:t>
      </w:r>
    </w:p>
    <w:p>
      <w:pPr>
        <w:pStyle w:val="TextBody"/>
        <w:bidi w:val="0"/>
        <w:spacing w:lineRule="auto" w:line="288" w:before="120" w:after="283"/>
        <w:ind w:left="0" w:right="0" w:hanging="630"/>
        <w:jc w:val="both"/>
        <w:rPr/>
      </w:pPr>
      <w:r>
        <w:rPr>
          <w:color w:val="000000"/>
        </w:rPr>
        <w:t>•</w:t>
      </w:r>
      <w:r>
        <w:rPr>
          <w:rFonts w:ascii="Times New Roman;sans-serif" w:hAnsi="Times New Roman;sans-serif"/>
          <w:b w:val="false"/>
          <w:color w:val="000000"/>
          <w:sz w:val="20"/>
        </w:rPr>
        <w:t>expend additional development resources to attempt to redesign our solutions or otherwise develop non-infringing technology, which may not be successful;</w:t>
      </w:r>
    </w:p>
    <w:p>
      <w:pPr>
        <w:pStyle w:val="TextBody"/>
        <w:bidi w:val="0"/>
        <w:spacing w:lineRule="auto" w:line="288" w:before="120" w:after="283"/>
        <w:ind w:left="0" w:right="0" w:hanging="630"/>
        <w:jc w:val="both"/>
        <w:rPr/>
      </w:pPr>
      <w:r>
        <w:rPr>
          <w:color w:val="000000"/>
        </w:rPr>
        <w:t>•</w:t>
      </w:r>
      <w:r>
        <w:rPr>
          <w:rFonts w:ascii="Times New Roman;sans-serif" w:hAnsi="Times New Roman;sans-serif"/>
          <w:b w:val="false"/>
          <w:color w:val="000000"/>
          <w:sz w:val="20"/>
        </w:rPr>
        <w:t>enter into potentially unfavorable royalty or license agreements in order to obtain the right to use necessary technologies or intellectual property rights; and</w:t>
      </w:r>
    </w:p>
    <w:p>
      <w:pPr>
        <w:pStyle w:val="TextBody"/>
        <w:bidi w:val="0"/>
        <w:spacing w:lineRule="auto" w:line="288" w:before="120" w:after="283"/>
        <w:ind w:left="0" w:right="0" w:hanging="630"/>
        <w:jc w:val="both"/>
        <w:rPr/>
      </w:pPr>
      <w:r>
        <w:rPr>
          <w:color w:val="000000"/>
        </w:rPr>
        <w:t>•</w:t>
      </w:r>
      <w:r>
        <w:rPr>
          <w:rFonts w:ascii="Times New Roman;sans-serif" w:hAnsi="Times New Roman;sans-serif"/>
          <w:b w:val="false"/>
          <w:color w:val="000000"/>
          <w:sz w:val="20"/>
        </w:rPr>
        <w:t>indemnify our partners and other third parties.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Governmental export or import controls could subject us to liability if we violate them or limit our ability to compete in foreign markets.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3"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are required to collect higher sales and use or other taxes on the solutions we sell, we may be subject to liability for past sales and our future sales may decrease.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our income tax provision or adverse outcomes resulting from examination of our income tax returns could adversely affect our operating results. We could be subject to additional taxes.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excess tax benefits arising from stock-based compensation, other tax benefits and credits, and the valuation of deferred tax assets and liabilities. Increases in our effective tax rate could harm our operating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these could impact our financial results in future periods. The Organization for Economic Cooperation and Development has issued model rules in connection with the Base Erosion and Profit Shifting integrated framework that determine multi-jurisdictional taxing rights (Pillar One) and the minimum rate of tax applicable to certain types of income (Pillar Two). Many countries have enacted legislation to apply the Pillar Two directive for tax years beginning in January 2024, which generally provides for a minimum effective tax rate of 15% on the income arising in each jurisdiction where the Company operates. We do not anticipate these rules to have an impact on our current year’s financial results. If applicable in the future, these could have an impact on our financial results, the extent of which is currently uncertain.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Market volatility may affect our stock price and the value of an investment in our common stock and could subject us to litigation.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been, and may continue to be, subject to significant fluctuations in response to a number of factors, most of which we cannot predict or control,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announcements of new solutions, services or technologies, commercial relationships, acquisitions or other events by us or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fluctuations in stock market prices and trading volumes of securities of similar companies;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general market conditions and overall fluctuations in U.S. equity markets;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variations in our operating results, or the operating results of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our financial guidance or securities analysts’ estimates of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4"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accounting principles;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sales of large blocks of our common stock, including sales by our executive officers, directors and significant stockholders;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additions or departures of any of our key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announcements related to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changing legal or regulatory developments in the United States and other countries;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discussion of us or our stock price by the financial press and in online investor communities.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actual operating results may differ significantly from our guidance.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sales of shares by existing stockholders could cause our stock price to decline.</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 xml:space="preserve">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2023, we had approximately </w:t>
      </w:r>
      <w:r>
        <w:rPr>
          <w:rFonts w:ascii="Times New Roman;sans-serif" w:hAnsi="Times New Roman;sans-serif"/>
          <w:b w:val="false"/>
          <w:color w:val="000000"/>
          <w:sz w:val="20"/>
        </w:rPr>
        <w:t>36.9 million</w:t>
      </w:r>
      <w:r>
        <w:rPr>
          <w:color w:val="000000"/>
          <w:shd w:fill="FFFFFF" w:val="clear"/>
        </w:rPr>
        <w:t xml:space="preserve"> </w:t>
      </w:r>
      <w:r>
        <w:rPr>
          <w:rFonts w:ascii="Times New Roman;sans-serif" w:hAnsi="Times New Roman;sans-serif"/>
          <w:b w:val="false"/>
          <w:color w:val="000000"/>
          <w:sz w:val="20"/>
          <w:shd w:fill="FFFFFF" w:val="clear"/>
        </w:rPr>
        <w:t>shares of our common stock outstanding.</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 xml:space="preserve">In addition, as of December 31, 2023, there were approximately </w:t>
      </w:r>
      <w:r>
        <w:rPr>
          <w:rFonts w:ascii="Times New Roman;sans-serif" w:hAnsi="Times New Roman;sans-serif"/>
          <w:b w:val="false"/>
          <w:color w:val="000000"/>
          <w:sz w:val="20"/>
        </w:rPr>
        <w:t>1.4 million</w:t>
      </w:r>
      <w:r>
        <w:rPr>
          <w:color w:val="000000"/>
          <w:shd w:fill="FFFFFF" w:val="clear"/>
        </w:rPr>
        <w:t xml:space="preserve"> </w:t>
      </w:r>
      <w:r>
        <w:rPr>
          <w:rFonts w:ascii="Times New Roman;sans-serif" w:hAnsi="Times New Roman;sans-serif"/>
          <w:b w:val="false"/>
          <w:color w:val="000000"/>
          <w:sz w:val="20"/>
          <w:shd w:fill="FFFFFF" w:val="clear"/>
        </w:rPr>
        <w:t xml:space="preserve">options and </w:t>
      </w:r>
      <w:r>
        <w:rPr>
          <w:rFonts w:ascii="Times New Roman;sans-serif" w:hAnsi="Times New Roman;sans-serif"/>
          <w:b w:val="false"/>
          <w:color w:val="000000"/>
          <w:sz w:val="20"/>
        </w:rPr>
        <w:t>1.1 million</w:t>
      </w:r>
      <w:r>
        <w:rPr>
          <w:color w:val="000000"/>
          <w:shd w:fill="FFFFFF" w:val="clear"/>
        </w:rPr>
        <w:t xml:space="preserve"> </w:t>
      </w:r>
      <w:r>
        <w:rPr>
          <w:rFonts w:ascii="Times New Roman;sans-serif" w:hAnsi="Times New Roman;sans-serif"/>
          <w:b w:val="false"/>
          <w:color w:val="000000"/>
          <w:sz w:val="20"/>
          <w:shd w:fill="FFFFFF" w:val="clear"/>
        </w:rPr>
        <w:t>restricted stock units outstanding. If such options are exercised and restricted stock units are released, these additional shares will become available for sale. As of</w:t>
      </w:r>
      <w:r>
        <w:rPr>
          <w:color w:val="000000"/>
        </w:rPr>
        <w:t xml:space="preserve">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we had an aggregate of </w:t>
      </w:r>
      <w:r>
        <w:rPr>
          <w:rFonts w:ascii="Times New Roman;sans-serif" w:hAnsi="Times New Roman;sans-serif"/>
          <w:b w:val="false"/>
          <w:color w:val="000000"/>
          <w:sz w:val="20"/>
        </w:rPr>
        <w:t>1.8 million</w:t>
      </w:r>
      <w:r>
        <w:rPr>
          <w:color w:val="000000"/>
          <w:shd w:fill="FFFFFF" w:val="clear"/>
        </w:rPr>
        <w:t xml:space="preserve"> </w:t>
      </w:r>
      <w:r>
        <w:rPr>
          <w:rFonts w:ascii="Times New Roman;sans-serif" w:hAnsi="Times New Roman;sans-serif"/>
          <w:b w:val="false"/>
          <w:color w:val="000000"/>
          <w:sz w:val="20"/>
          <w:shd w:fill="FFFFFF" w:val="clear"/>
        </w:rPr>
        <w:t xml:space="preserve">shares of our common stock reserved for future issuance under our Restated 2012 Equity Incentive Plan and </w:t>
      </w:r>
      <w:r>
        <w:rPr>
          <w:rFonts w:ascii="Times New Roman;sans-serif" w:hAnsi="Times New Roman;sans-serif"/>
          <w:b w:val="false"/>
          <w:color w:val="000000"/>
          <w:sz w:val="20"/>
        </w:rPr>
        <w:t>0.5 million</w:t>
      </w:r>
      <w:r>
        <w:rPr>
          <w:color w:val="000000"/>
          <w:shd w:fill="FFFFFF" w:val="clear"/>
        </w:rPr>
        <w:t xml:space="preserve"> </w:t>
      </w:r>
      <w:r>
        <w:rPr>
          <w:rFonts w:ascii="Times New Roman;sans-serif" w:hAnsi="Times New Roman;sans-serif"/>
          <w:b w:val="false"/>
          <w:color w:val="000000"/>
          <w:sz w:val="20"/>
          <w:shd w:fill="FFFFFF" w:val="clear"/>
        </w:rPr>
        <w:t>shares reserved for future purchase under our 2021 Employee Stock Purchase Plan, which can be freely sold in the public market upon issuance. If a large number of these shares are sold in the public market, the sales could reduce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5"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cannot guarantee that our share repurchase program will be fully consummated or that it will enhance stockholder value, and any share repurchases we make could affect the price of our common stock.</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On February 12, 2018, we announced that our board of directors had authorized a $100.0 million repurchase program. On each of October 30, 2018, October 30, 2019, May 7, 2020, February 10, 2021 and February 9, 2023, we announced that our board of directors had authorized an increase of $100.0 million, and on each of November 3, 2021 and May 4, 2022, we announced that our board of directors had authorized an increase of $200.0 million to the share repurchase program. On February 7, 2024 we announced that our board of directors had authorized an increase of $200.0 million to the share repurchase program, resulting in an aggregate authorization of $1.2 billion to date ($1.0 billion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Although our board of directors authorized the share repurchase program, we are not obligated to repurchase any specific dollar amount or to acquire any specific number of shares. The share repurchase program could affect the price of our common stock, increase volatility and diminish our cash reserves. In addition, it may be suspended or terminated at any time, which may result in a decrease in the price of our common stock. Finally, our share repurchases in 2023 were subject to a new 1% excise tax introduced in the Inflation Reduction Act. The amount of share repurchases subject to the excise tax are reduced by the fair market value of any shares issued during the taxable year. This provision does not currently, nor do we expect it to in the future, have a material impact to our results of operations. During the year ended </w:t>
      </w:r>
      <w:r>
        <w:rPr>
          <w:rFonts w:ascii="Times New Roman;sans-serif" w:hAnsi="Times New Roman;sans-serif"/>
          <w:b w:val="false"/>
          <w:color w:val="000000"/>
          <w:sz w:val="20"/>
          <w:shd w:fill="FFFFFF" w:val="clear"/>
        </w:rPr>
        <w:t>December 31, 2023, w</w:t>
      </w:r>
      <w:r>
        <w:rPr>
          <w:rFonts w:ascii="Times New Roman;sans-serif" w:hAnsi="Times New Roman;sans-serif"/>
          <w:b w:val="false"/>
          <w:color w:val="000000"/>
          <w:sz w:val="20"/>
        </w:rPr>
        <w:t>e repurchased</w:t>
      </w:r>
      <w:r>
        <w:rPr>
          <w:color w:val="000000"/>
          <w:shd w:fill="FFFFFF" w:val="clear"/>
        </w:rPr>
        <w:t xml:space="preserve"> </w:t>
      </w:r>
      <w:r>
        <w:rPr>
          <w:rFonts w:ascii="Times New Roman;sans-serif" w:hAnsi="Times New Roman;sans-serif"/>
          <w:b w:val="false"/>
          <w:color w:val="000000"/>
          <w:sz w:val="20"/>
        </w:rPr>
        <w:t>1.3 million shares of our common stock for approximatel</w:t>
      </w:r>
      <w:r>
        <w:rPr>
          <w:rFonts w:ascii="Times New Roman;sans-serif" w:hAnsi="Times New Roman;sans-serif"/>
          <w:b w:val="false"/>
          <w:color w:val="000000"/>
          <w:sz w:val="20"/>
          <w:shd w:fill="FFFFFF" w:val="clear"/>
        </w:rPr>
        <w:t xml:space="preserve">y </w:t>
      </w:r>
      <w:r>
        <w:rPr>
          <w:rFonts w:ascii="Times New Roman;sans-serif" w:hAnsi="Times New Roman;sans-serif"/>
          <w:b w:val="false"/>
          <w:color w:val="000000"/>
          <w:sz w:val="20"/>
        </w:rPr>
        <w:t xml:space="preserve">$170.8 million.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approximately $83.7 million remained available for share repurchases pursuant to our share repurchase program.</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and therefore any returns will be limited to the value of our stock.</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may delay or prevent an acquisition of us or a change in our management. These provisions include: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classified board of directors whose members can only be dismissed for cause;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prohibition on actions by written consent of our stockholders;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limitation on who may call a special meeting of stockholders;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establishment of advance notice requirements for nominations for election to our board of directors or for proposing matters that can be acted upon at stockholder meetings;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requirement of at least two-thirds of the outstanding capital stock to amend any of the foregoing second through fifth provisions.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6"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Disruptive technologies could gain wide adoption and supplant our cloud-based IT, security and compliance solutions, thereby weakening our sales and harming our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not maintain profitability in the future.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Forecasts of market growth may prove to be inaccurate, and even if the markets in which we compete achieve the forecasted growth, there can be no assurance that our business will grow at similar rates, or at all.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financial results are based in part on our estimates or judgments relating to our critical accounting policies. These estimates or judgments may prove to be incorrect, which could harm our operating results and result in a decline in our stock price.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and stock-based compensation.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financial accounting standards may cause adverse and unexpected revenue fluctuations and impact our reported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7"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our ability to produce timely and accurate financial statements or comply with applicable regulations could be impaired.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ind w:left="0" w:right="0" w:firstLine="36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 Management and Strategy</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established an Information Security Management System (“ISMS”) comprised of policies, procedures, and processes for assessing, identifying, and managing material risks from cybersecurity threats, and have integrated these processes into our overall enterprise risk management systems and processes. Our ISMS is aligned to generally accepted security standards and is certified by third-party auditors according to ISO/IEC 27001 standards. We routinely assess cybersecurity risks for materiality, including assessing any potential unauthorized occurrence on or conducted through our information systems that may result in adverse effects on the confidentiality, integrity, or availability of our information systems or any information residing therein.</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routinely conduct risk assessments to identify cybersecurity threats and weaknesses, as well as risk assessments of events that could potentially materially change our business practices and affect our information systems that could be impacted by cybersecurity threats and vulnerabilities. These risk assessments include identification of reasonably foreseeable internal and external risks, the likelihood and potential damage that could result from such risks, and the sufficiency of existing policies, procedures, systems, and safeguards in place to manage such risks. </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Following these risk assessments, we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Chief Information Security Officer (“CISO”) who reports to our Chief Executive Officer, to manage the risk assessment and mitigation process.</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part of our overall risk management system, we monitor and test our safeguards and train our employees on these safeguards, in collaboration with human resources, IT, and management. Personnel at all levels and departments are made aware of our cybersecurity policies through periodic trainings.</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established a Computer Security Incident Response Team (“CSIRT”) that identifies security incidents, characterizes the nature and severity of incidents, and provides diagnostic and corrective actions when appropriate. The security measures the CSIRT employs are consistent with relevant requirements of the National Institute of Standards and Technology (“NIST”), Federal Risk and Authorization Management Program (“FedRAMP”), International Organization for Standardization (“ISO”), and Federal Information Security Management Act (“FISMA”). We have also adopted certain guidelines from NIST and the United States Computer Emergency Readiness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38"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Incident Response Program and Plan describes the major phases of an incident management lifecycle which includes the preparation, detection and analysis, containment, eradication and recovery, and post-incident activity. Qualys' 24x7 Security Operations Center (“QSOC”) and CSIRT conduct Incident Response Plan testing and training on a periodic basis through tabletop exercises or simulated attack scenarios. This testing appraises our readiness to respond to such scenarios and tests the completeness and accuracy of the incident response plan. The QSOC and CSIRT teams drive these exercises to participants via various cyber security incident scenarios in the form of multiple injects. Exercise participants primarily consist of members from various Qualys departments such as security operations, IT operations, network operations, and other departments depending on the selected scenario.</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routinely evaluate the risks posed by third-party providers and engage with those whom fail to comply with our relevant contract requirements, or when we feel further action is needed to keep our risk levels within approved tolerance levels.</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engage assessors, consultants, auditors, and other third parties in order to obtain external validation for effectiveness and adequacy of our security posture in compliance with regulatory requirements. These service providers attest to our organization-wide design and implementation of cybersecurity policies and procedures, and annually monitor such policies and procedures from a safety perspective.</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additional information regarding whether any risks from cybersecurity threats have materially affected or are reasonably likely to materially affect our company, including our business strategy, results of operations, or financial condition, please refer to Item 1A, “Risk Factors,” in this annual report on Form 10-K, including the risk factor entitled “Our platform, website and internal systems may be subject to intentional disruption or other security incidents that could result in liability and adversely impact our reputation and future sales.” We have not currently encountered any cybersecurity threats that have materially impaired our operations or financial standing. </w:t>
      </w:r>
    </w:p>
    <w:p>
      <w:pPr>
        <w:pStyle w:val="TextBody"/>
        <w:bidi w:val="0"/>
        <w:spacing w:lineRule="auto" w:line="288" w:before="240" w:after="283"/>
        <w:ind w:left="0" w:right="0" w:firstLine="36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Governance</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board of directors, with assistance from management, monitors and assesses strategic risk exposure, and our management team is responsible for the day-to-day management of the material risks we face. Our board of directors administers its cybersecurity risk oversight function directly as a whole, as well as through the Audit and Risk Committee of our board of directors (“Audit and Risk Committee”).</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CISO and our Security Steering Committee, which includes members from management across all company functions such as security, IT, human resources, sales and marketing, engineering, legal, and finance, are primarily responsible for assessing and managing cybersecurity threats. Our CISO is a cybersecurity industry expert with over two decades of experience in cybersecurity, including work at multi-national technology companies and for a U.S. state government. He holds several industry certifications including CISSP, OSCP, CCSP, and GCFA and is also a graduate of the Carnegie Mellon University’s Chief Information Security Officer Executive Program. Our CEO is also a cybersecurity industry expert who has deep insight and over two decades of experience in cybersecurity, technology and information security.</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CISO and our Security Steering Committee, along with other senior executives including the CEO and CTO, review and manage our cybersecurity policies and processes, including those described in “Risk Management and Strategy” above. The processes by which our CISO is informed about and monitors the prevention, detection, mitigation, and remediation of cybersecurity incidents, include prompt communication from the CSIRT describing the severity and impact of the incident and status throughout the incident handling lifecycle and routine monitoring of key risk indicators.</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CISO provides briefings to the Audit and Risk Committee along with our CEO and other members of our senior management team, both on a quarterly basis via the Qualys Security Steering Committee and as needed, regarding our cybersecurity risks and activities, including, if any, critical and high impact cybersecurity incidents and related responses, cybersecurity systems testing, activities of third parties, and the emerging threat landscape. Our Audit and Risk Committee provides regular updates to the board of directors on such reports. In addition, our CISO and management team provide periodic briefings to the board of directors on cybersecurity risks and activities. Management is committed to notifying the Audit and Risk Committee, and the full Board in the event of a cyber incident that is confirmed to have a material effect on Qualys, or in the event that Qualys has identified a cyber risk that is likely to have a high probability of having a material impact on Qualys if not mitigated.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39"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principal executive offices are located in Foster City, California, where we occupy a 76,922 square-foot facility under a lease expiring on April 30, 2028. We also have 281,787 square feet of office space in Pune, India under a non-cancellable lease expiring in February 2025. We have an additional U.S. office in North Carolina and other offices in France, United Arab Emirates and United Kingdom. We believe our facilities are adequate for our current needs and for the foreseeable future.</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 xml:space="preserve">We operate shared cloud platforms at third-party facilities in </w:t>
      </w:r>
      <w:r>
        <w:rPr>
          <w:rFonts w:ascii="Times New Roman;sans-serif" w:hAnsi="Times New Roman;sans-serif"/>
          <w:b w:val="false"/>
          <w:color w:val="000000"/>
          <w:sz w:val="20"/>
        </w:rPr>
        <w:t>United States, Canada, Switzerland, the Netherlands, United Arab Emirates, Australia, United Kingdom, Italy, the Kingdom of Saudi Arabia and India. Our shared cloud platform agreements have varying terms through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legal proceedings or be subject to claims arising in the ordinary course of our business. As of December 31, 2023, there has not been at least a reasonable possibility that we have incurred a material loss from any ongoing legal proceedings, individually or taken together. However, litigation is inherently unpredictable and is subject to significant uncertainties, some of which are beyond our control. Should any of these estimates and assumptions change or prove to have been incorrect, we could incur significant charges related to legal matters which could have a material impact on its results of operations, financial position and cash flows. For more information, please refer to Note 9 in the accompanying notes to the consolidated financial statements, which is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0"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Market Information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and traded on the NASDAQ Global Select Market under the symbol “QLYS”.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February 12, 2024, there were approximately 48 holders of record of our common stock. Because many of our shares of common stock are held by brokers and other institutions on behalf of stockholders, we are unable to estimate the total number of stockholders represented by these record 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Price Performance Graph</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comparison from December 31, 2018 through December 31, 2023 of the cumulative total return for an investment of $100 (and the reinvestment of dividends) in our common stock, the NASDAQ Global Select Market Composite Index and the NASDAQ Computer Index and the S&amp;P 500 Index. Such returns are based on historical results and are not intended to suggest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1"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COMPARISON OF CUMULATIVE TOTAL RETURN*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Among Qualys, Inc., NASDAQ-Global Select Market Composite Index, and NASDAQ Computer Index and S&amp;P 500 Index</w:t>
      </w:r>
    </w:p>
    <w:p>
      <w:pPr>
        <w:pStyle w:val="TextBody"/>
        <w:bidi w:val="0"/>
        <w:spacing w:lineRule="auto" w:line="288" w:before="240" w:after="283"/>
        <w:ind w:left="0" w:right="0" w:hanging="180"/>
        <w:jc w:val="both"/>
        <w:rPr/>
      </w:pP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$100 invested on December 31, 2018 in stock or index, including reinvestment of dividends. Fiscal year ending December 31.</w:t>
      </w:r>
    </w:p>
    <w:p>
      <w:pPr>
        <w:pStyle w:val="TextBody"/>
        <w:bidi w:val="0"/>
        <w:spacing w:before="240" w:after="283"/>
        <w:jc w:val="center"/>
        <w:rPr/>
      </w:pPr>
      <w:r>
        <w:rPr/>
        <w:drawing>
          <wp:inline distT="0" distB="0" distL="0" distR="0">
            <wp:extent cx="5838825" cy="3619500"/>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3"/>
                    <a:stretch>
                      <a:fillRect/>
                    </a:stretch>
                  </pic:blipFill>
                  <pic:spPr bwMode="auto">
                    <a:xfrm>
                      <a:off x="0" y="0"/>
                      <a:ext cx="5838825" cy="36195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545"/>
        <w:gridCol w:w="407"/>
        <w:gridCol w:w="379"/>
        <w:gridCol w:w="242"/>
        <w:gridCol w:w="830"/>
        <w:gridCol w:w="125"/>
        <w:gridCol w:w="109"/>
        <w:gridCol w:w="109"/>
        <w:gridCol w:w="109"/>
        <w:gridCol w:w="242"/>
        <w:gridCol w:w="830"/>
        <w:gridCol w:w="125"/>
        <w:gridCol w:w="109"/>
        <w:gridCol w:w="109"/>
        <w:gridCol w:w="109"/>
        <w:gridCol w:w="242"/>
        <w:gridCol w:w="830"/>
        <w:gridCol w:w="125"/>
        <w:gridCol w:w="109"/>
        <w:gridCol w:w="109"/>
        <w:gridCol w:w="109"/>
        <w:gridCol w:w="242"/>
        <w:gridCol w:w="830"/>
        <w:gridCol w:w="125"/>
        <w:gridCol w:w="109"/>
        <w:gridCol w:w="109"/>
        <w:gridCol w:w="109"/>
        <w:gridCol w:w="242"/>
        <w:gridCol w:w="830"/>
        <w:gridCol w:w="125"/>
        <w:gridCol w:w="109"/>
        <w:gridCol w:w="109"/>
        <w:gridCol w:w="109"/>
        <w:gridCol w:w="241"/>
        <w:gridCol w:w="825"/>
        <w:gridCol w:w="188"/>
      </w:tblGrid>
      <w:tr>
        <w:trPr/>
        <w:tc>
          <w:tcPr>
            <w:tcW w:w="54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Inc.</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Computer</w:t>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3"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repurchases of common stock during the three months ended December 31, 2023 is as follows:</w:t>
      </w:r>
    </w:p>
    <w:tbl>
      <w:tblPr>
        <w:tblW w:w="10205" w:type="dxa"/>
        <w:jc w:val="left"/>
        <w:tblInd w:w="0" w:type="dxa"/>
        <w:tblLayout w:type="fixed"/>
        <w:tblCellMar>
          <w:top w:w="28" w:type="dxa"/>
          <w:left w:w="28" w:type="dxa"/>
          <w:bottom w:w="28" w:type="dxa"/>
          <w:right w:w="28" w:type="dxa"/>
        </w:tblCellMar>
      </w:tblPr>
      <w:tblGrid>
        <w:gridCol w:w="771"/>
        <w:gridCol w:w="570"/>
        <w:gridCol w:w="574"/>
        <w:gridCol w:w="109"/>
        <w:gridCol w:w="109"/>
        <w:gridCol w:w="109"/>
        <w:gridCol w:w="475"/>
        <w:gridCol w:w="475"/>
        <w:gridCol w:w="476"/>
        <w:gridCol w:w="109"/>
        <w:gridCol w:w="109"/>
        <w:gridCol w:w="109"/>
        <w:gridCol w:w="329"/>
        <w:gridCol w:w="1125"/>
        <w:gridCol w:w="169"/>
        <w:gridCol w:w="109"/>
        <w:gridCol w:w="109"/>
        <w:gridCol w:w="109"/>
        <w:gridCol w:w="567"/>
        <w:gridCol w:w="567"/>
        <w:gridCol w:w="568"/>
        <w:gridCol w:w="109"/>
        <w:gridCol w:w="109"/>
        <w:gridCol w:w="109"/>
        <w:gridCol w:w="278"/>
        <w:gridCol w:w="1429"/>
        <w:gridCol w:w="144"/>
        <w:gridCol w:w="109"/>
        <w:gridCol w:w="109"/>
        <w:gridCol w:w="162"/>
      </w:tblGrid>
      <w:tr>
        <w:trPr/>
        <w:tc>
          <w:tcPr>
            <w:tcW w:w="77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Number of Shares </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Number of Shares </w:t>
              <w:br/>
              <w:t xml:space="preserve">Purchased as Part of Publicly </w:t>
              <w:br/>
              <w:t>Announced Plan or Program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Approximate Dollar Value of </w:t>
              <w:br/>
              <w:t>Shares that May Yet Be</w:t>
              <w:br/>
              <w:t xml:space="preserve"> Purchased under the Plan or </w:t>
              <w:br/>
              <w:t>Program</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94,828,514 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86,425,300 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83,681,929 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On February 12, 2018, we announced that our board of directors authorized a $100.0 million share repurchase program. On each of October 30, 2018, October 30, 2019, May 7, 2020, February 10, 2021 and February 9, 2023,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$1.0 billion as of December 31, 2023.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pStyle w:val="TextBody"/>
        <w:bidi w:val="0"/>
        <w:spacing w:lineRule="auto" w:line="288" w:before="240" w:after="283"/>
        <w:jc w:val="both"/>
        <w:rPr/>
      </w:pPr>
      <w:r>
        <w:rPr>
          <w:rFonts w:ascii="Times New Roman;sans-serif" w:hAnsi="Times New Roman;sans-serif"/>
          <w:b w:val="false"/>
          <w:color w:val="000000"/>
          <w:sz w:val="20"/>
        </w:rPr>
        <w:t xml:space="preserve">(2) Does not reflect the </w:t>
      </w:r>
      <w:r>
        <w:rPr>
          <w:rFonts w:ascii="Times New Roman;sans-serif" w:hAnsi="Times New Roman;sans-serif"/>
          <w:b w:val="false"/>
          <w:color w:val="000000"/>
          <w:sz w:val="20"/>
          <w:shd w:fill="FFFFFF" w:val="clear"/>
        </w:rPr>
        <w:t>$200.0 million</w:t>
      </w:r>
      <w:r>
        <w:rPr>
          <w:color w:val="000000"/>
        </w:rPr>
        <w:t xml:space="preserve"> </w:t>
      </w:r>
      <w:r>
        <w:rPr>
          <w:rFonts w:ascii="Times New Roman;sans-serif" w:hAnsi="Times New Roman;sans-serif"/>
          <w:b w:val="false"/>
          <w:color w:val="000000"/>
          <w:sz w:val="20"/>
        </w:rPr>
        <w:t>increase to our share repurchase program announced on February 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4"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in conjunction with our consolidated financial statements and the related notes included elsewhere in this Annual Report on Form 10-K. You should carefully review and consider the information regarding our financial condition and results of operations set forth under Part II-Item 7 (Management’s Discussion and Analysis of Financial Condition and Results of Operations) in our Annual Report on Form 10-K for the fiscal year ended December 31, 2022, filed with the SEC on February 23, 2023, for an understanding of our results of operations and liquidity discussions and analysis comparing fiscal year 2022 to fiscal year 2021, which information is hereby incorporated by reference.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pioneer and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platform address the growing security and compliance complexities and risks that are amplified by the dissolving boundaries between IT infrastructures and web environments, the rapid adoption of cloud computing, containers and serverless IT models, and the proliferation of geographically dispersed IT assets. Our integrated suite of IT, security and compliance solutions delivered on Qualys' Enterprise TruRisk Platform enables our customers to identify and manage their IT and operational technology (OT) assets, collect and analyze large amounts of IT security data, discover and prioritize vulnerabilities, quantify cyber risk exposure, recommend and implement remediation actions and verify the implementation of such actions. Organizations use our integrated suite of solutions to cost-effectively obtain a unified view of their internal and external IT and OT asset inventory as well as security and compliance posture across globally-distributed IT infrastructures as our solution offers a single platform for information technology, information security, application security, endpoint, developer security and cloud teams.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 our customers detect, measure, prioritize and remediate cyber risk spanning a range of assets across on-premises, endpoints, cloud, containers, and mobile environments.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sell our solutions to enterprises, government entities and small and medium-sized businesses across a broad range of industries, including education, financial services, government, healthcare, insurance, manufacturing, media, retail, technology and utilities. In 2023, 2022 and 2021, 60%, 60% and 61%,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leading cloud providers, value-added resellers and consulting firms in the United States and internationally.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Impacts of Current Macroeconomic Environment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uncertainty surrounding macroeconomic factors in the U.S. and globally characterized by the supply chain environment, inflationary pressure, rising interest rates, financial institution failures and associated uncertainty, labor shortages, significant volatility of global markets, reduced spending and extended sales cycles, and geopolitical conflicts could have a material adverse effect on our long-term business and could lead to further economic disruption and expose us to greater risk as our current and potential customers may reduce or eliminate their overall spending on IT security. We will continue to evaluate the nature and extent of the impact to our business,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5"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cloud platform into our customers' private cloud environment. Customers are required to return physical scanner appliances and computer equipment if they do not renew their subscriptions.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consists primarily of personnel expenses, comprised of salaries, benefits, performance-based compensation and stock-based compensation, for employees who operate our shared cloud platforms and provide support services to our customers. Other expenses include depreciation of shared cloud platform equipment, physical scanner appliances and computer hardware provided to certain customers as part of their subscriptions, expenses related to the use of shared cloud platforms, amortization of software and license fees, amortization of intangibles related to acquisitions, maintenance support, fees paid to contractors who supplement or support our operations center personnel and overhead allocations. We expect to continue to expand our shared cloud platform infrastructures and hire additional employees to support our operations, which will increase the cost of revenues in absolute dollars.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 We expect to continue to devote resources to research and development in an effort to continuously improve our existing solutions as well as develop new solutions and capabilities and expect that research and development expenses will increase in absolute dollars.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invest in additional sales personnel worldwide and also in more marketing programs to support new solutions on our platform, which will increase sales and marketing expenses in absolute dollars.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6"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other income (expense), net consists primarily of interest and returns from our short-term and long-term marketable securities, non-marketable securities gains and losses, and foreign exchange gains and losses.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are generally similar to the U.S. statutory tax rate. We regularly assess the realizability of our net deferred tax assets. As of December 31, 2023, valuation allowances remain in certain jurisdictions where we believe it is necessary to see further positive evidence, such as sustained achievement of sufficient profits to meet a more likely than not stance that the valuation allowance should be reversed. If additional positive evidence becomes available in the foreseeable future, we may release all or a portion of the valuation allowance. The exact timing and amount of the valuation allowance release is subject to change based on the level of profitability achieved in future periods. Release of the valuation allowance would result in the recognition of deferred tax assets and a corresponding decrease to income tax expense in the period the release is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consolidated statements of operations data for each of the periods presented as a percentage of revenues:</w:t>
      </w:r>
    </w:p>
    <w:tbl>
      <w:tblPr>
        <w:tblW w:w="4909" w:type="dxa"/>
        <w:jc w:val="left"/>
        <w:tblInd w:w="0" w:type="dxa"/>
        <w:tblLayout w:type="fixed"/>
        <w:tblCellMar>
          <w:top w:w="28" w:type="dxa"/>
          <w:left w:w="28" w:type="dxa"/>
          <w:bottom w:w="28" w:type="dxa"/>
          <w:right w:w="28" w:type="dxa"/>
        </w:tblCellMar>
      </w:tblPr>
      <w:tblGrid>
        <w:gridCol w:w="865"/>
        <w:gridCol w:w="757"/>
        <w:gridCol w:w="762"/>
        <w:gridCol w:w="266"/>
        <w:gridCol w:w="200"/>
        <w:gridCol w:w="472"/>
        <w:gridCol w:w="190"/>
        <w:gridCol w:w="190"/>
        <w:gridCol w:w="190"/>
        <w:gridCol w:w="266"/>
        <w:gridCol w:w="200"/>
        <w:gridCol w:w="551"/>
      </w:tblGrid>
      <w:tr>
        <w:trPr/>
        <w:tc>
          <w:tcPr>
            <w:tcW w:w="86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7"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pPr>
      <w:r>
        <w:rPr>
          <w:rFonts w:ascii="Times New Roman;sans-serif" w:hAnsi="Times New Roman;sans-serif"/>
          <w:b/>
          <w:color w:val="000000"/>
          <w:sz w:val="20"/>
        </w:rPr>
        <w:t>Comparison of</w:t>
      </w:r>
      <w:r>
        <w:rPr>
          <w:color w:val="000000"/>
        </w:rPr>
        <w:t xml:space="preserve"> </w:t>
      </w:r>
      <w:r>
        <w:rPr>
          <w:rFonts w:ascii="Times New Roman;sans-serif" w:hAnsi="Times New Roman;sans-serif"/>
          <w:b/>
          <w:color w:val="000000"/>
          <w:sz w:val="20"/>
        </w:rPr>
        <w:t>Years Ended December 31, 2023 and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5907" w:type="dxa"/>
        <w:jc w:val="left"/>
        <w:tblInd w:w="0" w:type="dxa"/>
        <w:tblLayout w:type="fixed"/>
        <w:tblCellMar>
          <w:top w:w="28" w:type="dxa"/>
          <w:left w:w="28" w:type="dxa"/>
          <w:bottom w:w="28" w:type="dxa"/>
          <w:right w:w="28" w:type="dxa"/>
        </w:tblCellMar>
      </w:tblPr>
      <w:tblGrid>
        <w:gridCol w:w="332"/>
        <w:gridCol w:w="291"/>
        <w:gridCol w:w="29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Revenues increased by </w:t>
      </w:r>
      <w:r>
        <w:rPr>
          <w:rFonts w:ascii="Times New Roman;sans-serif" w:hAnsi="Times New Roman;sans-serif"/>
          <w:b w:val="false"/>
          <w:color w:val="000000"/>
          <w:sz w:val="20"/>
          <w:shd w:fill="FFFFFF" w:val="clear"/>
        </w:rPr>
        <w:t>$64.7 million</w:t>
      </w:r>
      <w:r>
        <w:rPr>
          <w:color w:val="000000"/>
        </w:rPr>
        <w:t xml:space="preserve"> </w:t>
      </w:r>
      <w:r>
        <w:rPr>
          <w:rFonts w:ascii="Times New Roman;sans-serif" w:hAnsi="Times New Roman;sans-serif"/>
          <w:b w:val="false"/>
          <w:color w:val="000000"/>
          <w:sz w:val="20"/>
        </w:rPr>
        <w:t xml:space="preserve">in 2023 compared to 2022, driven by increased demand for our subscription services by our end customers. Of the total increase of </w:t>
      </w:r>
      <w:r>
        <w:rPr>
          <w:rFonts w:ascii="Times New Roman;sans-serif" w:hAnsi="Times New Roman;sans-serif"/>
          <w:b w:val="false"/>
          <w:color w:val="000000"/>
          <w:sz w:val="20"/>
          <w:shd w:fill="FFFFFF" w:val="clear"/>
        </w:rPr>
        <w:t>$64.7 million</w:t>
      </w:r>
      <w:r>
        <w:rPr>
          <w:color w:val="000000"/>
        </w:rPr>
        <w:t xml:space="preserve"> </w:t>
      </w:r>
      <w:r>
        <w:rPr>
          <w:rFonts w:ascii="Times New Roman;sans-serif" w:hAnsi="Times New Roman;sans-serif"/>
          <w:b w:val="false"/>
          <w:color w:val="000000"/>
          <w:sz w:val="20"/>
        </w:rPr>
        <w:t xml:space="preserve">in revenues, 80% was from customers existing at or prior to December 31, 2022, and the remaining 20% was from new customers added in 2023. Of the total increase of </w:t>
      </w:r>
      <w:r>
        <w:rPr>
          <w:rFonts w:ascii="Times New Roman;sans-serif" w:hAnsi="Times New Roman;sans-serif"/>
          <w:b w:val="false"/>
          <w:color w:val="000000"/>
          <w:sz w:val="20"/>
          <w:shd w:fill="FFFFFF" w:val="clear"/>
        </w:rPr>
        <w:t>$64.7 million</w:t>
      </w:r>
      <w:r>
        <w:rPr>
          <w:rFonts w:ascii="Times New Roman;sans-serif" w:hAnsi="Times New Roman;sans-serif"/>
          <w:b w:val="false"/>
          <w:color w:val="000000"/>
          <w:sz w:val="20"/>
        </w:rPr>
        <w:t xml:space="preserve">, 62% was from customers in the United States and the remaining 38% was from customers in foreign countries. In 2023, 57% of total revenues were direct and 43% of total revenues were through partners. Of the total increase of </w:t>
      </w:r>
      <w:r>
        <w:rPr>
          <w:rFonts w:ascii="Times New Roman;sans-serif" w:hAnsi="Times New Roman;sans-serif"/>
          <w:b w:val="false"/>
          <w:color w:val="000000"/>
          <w:sz w:val="20"/>
          <w:shd w:fill="FFFFFF" w:val="clear"/>
        </w:rPr>
        <w:t>$64.7 million</w:t>
      </w:r>
      <w:r>
        <w:rPr>
          <w:rFonts w:ascii="Times New Roman;sans-serif" w:hAnsi="Times New Roman;sans-serif"/>
          <w:b w:val="false"/>
          <w:color w:val="000000"/>
          <w:sz w:val="20"/>
        </w:rPr>
        <w:t>, 46% was direct and the remaining 54% was from partners. With our strong market position driving further demand for our solutions, we expect revenue growth from new and existing customers to continue.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tbl>
      <w:tblPr>
        <w:tblW w:w="6250" w:type="dxa"/>
        <w:jc w:val="left"/>
        <w:tblInd w:w="0" w:type="dxa"/>
        <w:tblLayout w:type="fixed"/>
        <w:tblCellMar>
          <w:top w:w="28" w:type="dxa"/>
          <w:left w:w="28" w:type="dxa"/>
          <w:bottom w:w="28" w:type="dxa"/>
          <w:right w:w="28" w:type="dxa"/>
        </w:tblCellMar>
      </w:tblPr>
      <w:tblGrid>
        <w:gridCol w:w="531"/>
        <w:gridCol w:w="468"/>
        <w:gridCol w:w="470"/>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28"/>
        <w:gridCol w:w="128"/>
        <w:gridCol w:w="316"/>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Cost of revenues increased by </w:t>
      </w:r>
      <w:r>
        <w:rPr>
          <w:rFonts w:ascii="Times New Roman;sans-serif" w:hAnsi="Times New Roman;sans-serif"/>
          <w:b w:val="false"/>
          <w:color w:val="000000"/>
          <w:sz w:val="20"/>
          <w:shd w:fill="FFFFFF" w:val="clear"/>
        </w:rPr>
        <w:t>$4.7 million</w:t>
      </w:r>
      <w:r>
        <w:rPr>
          <w:color w:val="000000"/>
        </w:rPr>
        <w:t xml:space="preserve"> </w:t>
      </w:r>
      <w:r>
        <w:rPr>
          <w:rFonts w:ascii="Times New Roman;sans-serif" w:hAnsi="Times New Roman;sans-serif"/>
          <w:b w:val="false"/>
          <w:color w:val="000000"/>
          <w:sz w:val="20"/>
        </w:rPr>
        <w:t xml:space="preserve">in 2023 compared to 2022, </w:t>
      </w:r>
      <w:r>
        <w:rPr>
          <w:rFonts w:ascii="Times New Roman;sans-serif" w:hAnsi="Times New Roman;sans-serif"/>
          <w:b w:val="false"/>
          <w:color w:val="000000"/>
          <w:sz w:val="20"/>
          <w:shd w:fill="FFFFFF" w:val="clear"/>
        </w:rPr>
        <w:t>due to an increase in personnel costs, including stock-based compensation, of $5.1 million, driven by additional employees hired to support the growth of our business, an increase in shared cloud platform cost of $4.8 million, and an increase in subscribed license and software costs of $1.5 million, partially offset by a decrease in depreciation and amortization expense of $6.7 million resulting from our assets becoming fully depreciated or amortized.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7090"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28"/>
        <w:gridCol w:w="128"/>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Research and development</w:t>
      </w:r>
      <w:r>
        <w:rPr>
          <w:color w:val="000000"/>
          <w:shd w:fill="FFFFFF" w:val="clear"/>
        </w:rPr>
        <w:t xml:space="preserve"> </w:t>
      </w:r>
      <w:r>
        <w:rPr>
          <w:rFonts w:ascii="Times New Roman;sans-serif" w:hAnsi="Times New Roman;sans-serif"/>
          <w:b w:val="false"/>
          <w:color w:val="000000"/>
          <w:sz w:val="20"/>
          <w:shd w:fill="FFFFFF" w:val="clear"/>
        </w:rPr>
        <w:t>expenses increased by $9.3 million in 2023 compared to 2022, due to an increase in personnel costs, including stock-based compensation, of $11.4 million, driven by increased headcount, annual merit increases for eligible employees and refresh grants to eligible employees, partially offset by a decrease in professional service expense of $1.2 million, and a decrease in depreciation and amortization expense in property and equipment of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8"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 Expenses</w:t>
      </w:r>
    </w:p>
    <w:tbl>
      <w:tblPr>
        <w:tblW w:w="6640" w:type="dxa"/>
        <w:jc w:val="left"/>
        <w:tblInd w:w="0" w:type="dxa"/>
        <w:tblLayout w:type="fixed"/>
        <w:tblCellMar>
          <w:top w:w="28" w:type="dxa"/>
          <w:left w:w="28" w:type="dxa"/>
          <w:bottom w:w="28" w:type="dxa"/>
          <w:right w:w="28" w:type="dxa"/>
        </w:tblCellMar>
      </w:tblPr>
      <w:tblGrid>
        <w:gridCol w:w="634"/>
        <w:gridCol w:w="558"/>
        <w:gridCol w:w="562"/>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Sales and marketing</w:t>
      </w:r>
      <w:r>
        <w:rPr>
          <w:color w:val="000000"/>
          <w:shd w:fill="FFFFFF" w:val="clear"/>
        </w:rPr>
        <w:t xml:space="preserve"> </w:t>
      </w:r>
      <w:r>
        <w:rPr>
          <w:rFonts w:ascii="Times New Roman;sans-serif" w:hAnsi="Times New Roman;sans-serif"/>
          <w:b w:val="false"/>
          <w:color w:val="000000"/>
          <w:sz w:val="20"/>
          <w:shd w:fill="FFFFFF" w:val="clear"/>
        </w:rPr>
        <w:t xml:space="preserve">expenses increased by $14.5 million in 2023 compared to 2022, due to an increase in personnel costs, including stock-based compensation, of $13.6 million, driven by increased headcount, </w:t>
      </w:r>
      <w:r>
        <w:rPr>
          <w:rFonts w:ascii="Times New Roman;sans-serif" w:hAnsi="Times New Roman;sans-serif"/>
          <w:b w:val="false"/>
          <w:color w:val="000000"/>
          <w:sz w:val="20"/>
        </w:rPr>
        <w:t xml:space="preserve">an increase in travel and entertainment cost of $1.5 million associated with increased in-person sales meetings and marketing events, and an increase in subscribed license and software costs of $0.7 million, </w:t>
      </w:r>
      <w:r>
        <w:rPr>
          <w:rFonts w:ascii="Times New Roman;sans-serif" w:hAnsi="Times New Roman;sans-serif"/>
          <w:b w:val="false"/>
          <w:color w:val="000000"/>
          <w:sz w:val="20"/>
          <w:shd w:fill="FFFFFF" w:val="clear"/>
        </w:rPr>
        <w:t xml:space="preserve">partially offset by </w:t>
      </w:r>
      <w:r>
        <w:rPr>
          <w:rFonts w:ascii="Times New Roman;sans-serif" w:hAnsi="Times New Roman;sans-serif"/>
          <w:b w:val="false"/>
          <w:color w:val="000000"/>
          <w:sz w:val="20"/>
        </w:rPr>
        <w:t>a decrease in professional service expense of $1.3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tbl>
      <w:tblPr>
        <w:tblW w:w="6880" w:type="dxa"/>
        <w:jc w:val="left"/>
        <w:tblInd w:w="0" w:type="dxa"/>
        <w:tblLayout w:type="fixed"/>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General and administrative</w:t>
      </w:r>
      <w:r>
        <w:rPr>
          <w:color w:val="000000"/>
          <w:shd w:fill="FFFFFF" w:val="clear"/>
        </w:rPr>
        <w:t xml:space="preserve"> </w:t>
      </w:r>
      <w:r>
        <w:rPr>
          <w:rFonts w:ascii="Times New Roman;sans-serif" w:hAnsi="Times New Roman;sans-serif"/>
          <w:b w:val="false"/>
          <w:color w:val="000000"/>
          <w:sz w:val="20"/>
          <w:shd w:fill="FFFFFF" w:val="clear"/>
        </w:rPr>
        <w:t>expenses increased by $3.8 million in 2023 compared to 2022, due to an increase in personnel costs, including stock-based compensation of $5.7 million, driven by increased headcount, annual merit increases for eligible employees and refresh grants to eligible employees and executives, and an increase in subscribed license and software cost of $0.8 million, partially offset by a decrease in professional service expense of $1.4 million, and a decrease in legal expense of $1.3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Total other income, net</w:t>
      </w:r>
    </w:p>
    <w:tbl>
      <w:tblPr>
        <w:tblW w:w="6791" w:type="dxa"/>
        <w:jc w:val="left"/>
        <w:tblInd w:w="0" w:type="dxa"/>
        <w:tblLayout w:type="fixed"/>
        <w:tblCellMar>
          <w:top w:w="28" w:type="dxa"/>
          <w:left w:w="28" w:type="dxa"/>
          <w:bottom w:w="28" w:type="dxa"/>
          <w:right w:w="28" w:type="dxa"/>
        </w:tblCellMar>
      </w:tblPr>
      <w:tblGrid>
        <w:gridCol w:w="727"/>
        <w:gridCol w:w="640"/>
        <w:gridCol w:w="643"/>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33"/>
        <w:gridCol w:w="233"/>
        <w:gridCol w:w="316"/>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Total other income, net</w:t>
      </w:r>
      <w:r>
        <w:rPr>
          <w:color w:val="000000"/>
          <w:shd w:fill="FFFFFF" w:val="clear"/>
        </w:rPr>
        <w:t xml:space="preserve"> </w:t>
      </w:r>
      <w:r>
        <w:rPr>
          <w:rFonts w:ascii="Times New Roman;sans-serif" w:hAnsi="Times New Roman;sans-serif"/>
          <w:b w:val="false"/>
          <w:color w:val="000000"/>
          <w:sz w:val="20"/>
          <w:shd w:fill="FFFFFF" w:val="clear"/>
        </w:rPr>
        <w:t xml:space="preserve">increased by $12.4 million in 2023 compared to 2022, due to an increase in </w:t>
      </w:r>
      <w:r>
        <w:rPr>
          <w:rFonts w:ascii="Times New Roman;sans-serif" w:hAnsi="Times New Roman;sans-serif"/>
          <w:b w:val="false"/>
          <w:color w:val="000000"/>
          <w:sz w:val="20"/>
        </w:rPr>
        <w:t>interest income of $11.7 million driven by an increase of market interest rates, in addition to a $1.2 million decrease in foreign currency loss, partially offset by an unrealized loss of $0.5 million on a non-marketable equity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49"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provision</w:t>
      </w:r>
    </w:p>
    <w:tbl>
      <w:tblPr>
        <w:tblW w:w="6416" w:type="dxa"/>
        <w:jc w:val="left"/>
        <w:tblInd w:w="0" w:type="dxa"/>
        <w:tblLayout w:type="fixed"/>
        <w:tblCellMar>
          <w:top w:w="28" w:type="dxa"/>
          <w:left w:w="28" w:type="dxa"/>
          <w:bottom w:w="28" w:type="dxa"/>
          <w:right w:w="28" w:type="dxa"/>
        </w:tblCellMar>
      </w:tblPr>
      <w:tblGrid>
        <w:gridCol w:w="667"/>
        <w:gridCol w:w="588"/>
        <w:gridCol w:w="590"/>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2023, the IRS issued a rule change allowing taxpayers to temporarily apply the regulations in effect prior to 2022 related to U.S. federal foreign tax credits to foreign taxes paid or accrued in years 2022 and 2023. Additionally, on September 8, 2023, the IRS issued interim guidance on the capitalization and amortization of research and development expenses. A cumulative tax benefit applicable to prior periods for the rule change and the guidance was recorded in 2023, which reduced the effective tax rate in 2023 compared to 2022. On December 11, 2023, the IRS extended the temporary relief for U.S. Federal foreign tax credit until further guidance, which is expected to provide similar tax benefits in future tax years.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Income tax provision increased by </w:t>
      </w:r>
      <w:r>
        <w:rPr>
          <w:rFonts w:ascii="Times New Roman;sans-serif" w:hAnsi="Times New Roman;sans-serif"/>
          <w:b w:val="false"/>
          <w:color w:val="000000"/>
          <w:sz w:val="20"/>
          <w:shd w:fill="FFFFFF" w:val="clear"/>
        </w:rPr>
        <w:t>$1.3 million</w:t>
      </w:r>
      <w:r>
        <w:rPr>
          <w:color w:val="000000"/>
        </w:rPr>
        <w:t xml:space="preserve"> </w:t>
      </w:r>
      <w:r>
        <w:rPr>
          <w:rFonts w:ascii="Times New Roman;sans-serif" w:hAnsi="Times New Roman;sans-serif"/>
          <w:b w:val="false"/>
          <w:color w:val="000000"/>
          <w:sz w:val="20"/>
        </w:rPr>
        <w:t>in 2023 compared to 2022, primarily due to an increase in pretax income and a decrease in excess tax benefits arising from stock-based compensation compared to the same period in 2022. The increase was partially offset by higher foreign tax credits and lower net capitalization of research and development expenses for tax purposes than previously estimated, reflecting the rule change and the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Operating and Non-GAAP Financial Performance Metrics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Dollar Expansion Rate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ability to retain and grow existing customers by assessing our net dollar expansion rate on a last twelve months, or LTM, basis. This metric is used to appropriately manage resources and customer retention and expansion. We calculate the net dollar expansion rate on a foreign exchange neutral basis by dividing a numerator by a denominator, each defined as follows: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Denominator: To calculate our net dollar expansion rate as of the end of a reporting period, we first determine the annual recurring revenue, or ARR, from all active subscriptions as of the last day of the same reporting period in the prior year. This represents recurring payments that we expect to receive in the next 12-month period from the cohort of customers that existed on the last day of the same reporting period in the prior year.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Numerator: We measure the ARR for that same cohort of customers representing all active subscriptions as of the end of the reporting period, using the same foreign exchange rate from the prior year.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net dollar expansion rates were 105% and 109% for the years ended December 31, 2023 and 2022,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0"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has limitations as an analytical tool and should not be considered in isolation from or as a substitute for the measures presented in accordance with U.S. GAAP. Some of these limitations are: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Adjusted EBITDA does not reflect certain cash and non-cash charges that are recurring;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Adjusted EBITDA does not reflect income tax payments that reduce cash available to us;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Adjusted EBITDA excludes depreciation and amortization of property and equipment and amortization of intangible assets, although these are non-cash charges, the assets being depreciated and amortized may have to be replaced in the future;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companies, including companies in our industry, may calculate Adjusted EBITDA differently or not at all, which reduces its usefulness as a comparative measure.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these limitations, Adjusted EBITDA should be considered alongside other financial performance measures, including revenues, net income, cash flows from operating activities and our financial results presented in accordance with U.S. GAAP.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table presents the reconciliation of net income to Adjusted EBITDA for the years ended December 31, 2023 and 2022.</w:t>
      </w:r>
    </w:p>
    <w:tbl>
      <w:tblPr>
        <w:tblW w:w="7788" w:type="dxa"/>
        <w:jc w:val="left"/>
        <w:tblInd w:w="0" w:type="dxa"/>
        <w:tblLayout w:type="fixed"/>
        <w:tblCellMar>
          <w:top w:w="28" w:type="dxa"/>
          <w:left w:w="28" w:type="dxa"/>
          <w:bottom w:w="28" w:type="dxa"/>
          <w:right w:w="28" w:type="dxa"/>
        </w:tblCellMar>
      </w:tblPr>
      <w:tblGrid>
        <w:gridCol w:w="1739"/>
        <w:gridCol w:w="1523"/>
        <w:gridCol w:w="1538"/>
        <w:gridCol w:w="211"/>
        <w:gridCol w:w="826"/>
        <w:gridCol w:w="271"/>
        <w:gridCol w:w="109"/>
        <w:gridCol w:w="109"/>
        <w:gridCol w:w="109"/>
        <w:gridCol w:w="211"/>
        <w:gridCol w:w="826"/>
        <w:gridCol w:w="316"/>
      </w:tblGrid>
      <w:tr>
        <w:trPr/>
        <w:tc>
          <w:tcPr>
            <w:tcW w:w="173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as a percentage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218,577 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as a percentage of revenues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our principal source of liquidity was cash, cash equivalents and marketable securities of $482.2 million, including $94.8 million of cash held outside of the United States. The following summary of cash flows for the periods indicated have been derived from our consolidated financial statements included elsewhere in this report:</w:t>
      </w:r>
    </w:p>
    <w:tbl>
      <w:tblPr>
        <w:tblW w:w="7373" w:type="dxa"/>
        <w:jc w:val="left"/>
        <w:tblInd w:w="0" w:type="dxa"/>
        <w:tblLayout w:type="fixed"/>
        <w:tblCellMar>
          <w:top w:w="28" w:type="dxa"/>
          <w:left w:w="28" w:type="dxa"/>
          <w:bottom w:w="28" w:type="dxa"/>
          <w:right w:w="28" w:type="dxa"/>
        </w:tblCellMar>
      </w:tblPr>
      <w:tblGrid>
        <w:gridCol w:w="1704"/>
        <w:gridCol w:w="1500"/>
        <w:gridCol w:w="1505"/>
        <w:gridCol w:w="211"/>
        <w:gridCol w:w="826"/>
        <w:gridCol w:w="109"/>
        <w:gridCol w:w="109"/>
        <w:gridCol w:w="109"/>
        <w:gridCol w:w="109"/>
        <w:gridCol w:w="211"/>
        <w:gridCol w:w="826"/>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1"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Activities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In 2023, </w:t>
      </w:r>
      <w:r>
        <w:rPr>
          <w:rFonts w:ascii="Times New Roman;sans-serif" w:hAnsi="Times New Roman;sans-serif"/>
          <w:b w:val="false"/>
          <w:color w:val="000000"/>
          <w:sz w:val="20"/>
        </w:rPr>
        <w:t xml:space="preserve">we generated </w:t>
      </w:r>
      <w:r>
        <w:rPr>
          <w:rFonts w:ascii="Times New Roman;sans-serif" w:hAnsi="Times New Roman;sans-serif"/>
          <w:b w:val="false"/>
          <w:color w:val="000000"/>
          <w:sz w:val="20"/>
          <w:shd w:fill="FFFFFF" w:val="clear"/>
        </w:rPr>
        <w:t>$226.4 million</w:t>
      </w:r>
      <w:r>
        <w:rPr>
          <w:color w:val="000000"/>
        </w:rPr>
        <w:t xml:space="preserve"> </w:t>
      </w:r>
      <w:r>
        <w:rPr>
          <w:rFonts w:ascii="Times New Roman;sans-serif" w:hAnsi="Times New Roman;sans-serif"/>
          <w:b w:val="false"/>
          <w:color w:val="000000"/>
          <w:sz w:val="20"/>
        </w:rPr>
        <w:t xml:space="preserve">of cash from our net income, as adjusted for non-cash items mainly related to stock-based compensation expense, depreciation and amortization expense and deferred taxes, as compared to </w:t>
      </w:r>
      <w:r>
        <w:rPr>
          <w:rFonts w:ascii="Times New Roman;sans-serif" w:hAnsi="Times New Roman;sans-serif"/>
          <w:b w:val="false"/>
          <w:color w:val="000000"/>
          <w:sz w:val="20"/>
          <w:shd w:fill="FFFFFF" w:val="clear"/>
        </w:rPr>
        <w:t>$177.2 million</w:t>
      </w:r>
      <w:r>
        <w:rPr>
          <w:color w:val="000000"/>
        </w:rPr>
        <w:t xml:space="preserve"> </w:t>
      </w:r>
      <w:r>
        <w:rPr>
          <w:rFonts w:ascii="Times New Roman;sans-serif" w:hAnsi="Times New Roman;sans-serif"/>
          <w:b w:val="false"/>
          <w:color w:val="000000"/>
          <w:sz w:val="20"/>
        </w:rPr>
        <w:t xml:space="preserve">in 2022. In addition, we also generated </w:t>
      </w:r>
      <w:r>
        <w:rPr>
          <w:rFonts w:ascii="Times New Roman;sans-serif" w:hAnsi="Times New Roman;sans-serif"/>
          <w:b w:val="false"/>
          <w:color w:val="000000"/>
          <w:sz w:val="20"/>
          <w:shd w:fill="FFFFFF" w:val="clear"/>
        </w:rPr>
        <w:t>$18.2 million</w:t>
      </w:r>
      <w:r>
        <w:rPr>
          <w:color w:val="000000"/>
        </w:rPr>
        <w:t xml:space="preserve"> </w:t>
      </w:r>
      <w:r>
        <w:rPr>
          <w:rFonts w:ascii="Times New Roman;sans-serif" w:hAnsi="Times New Roman;sans-serif"/>
          <w:b w:val="false"/>
          <w:color w:val="000000"/>
          <w:sz w:val="20"/>
        </w:rPr>
        <w:t xml:space="preserve">of cash from working capital change in 2023, of which </w:t>
      </w:r>
      <w:r>
        <w:rPr>
          <w:rFonts w:ascii="Times New Roman;sans-serif" w:hAnsi="Times New Roman;sans-serif"/>
          <w:b w:val="false"/>
          <w:color w:val="000000"/>
          <w:sz w:val="20"/>
          <w:shd w:fill="FFFFFF" w:val="clear"/>
        </w:rPr>
        <w:t>$22.7 million</w:t>
      </w:r>
      <w:r>
        <w:rPr>
          <w:color w:val="000000"/>
        </w:rPr>
        <w:t xml:space="preserve"> </w:t>
      </w:r>
      <w:r>
        <w:rPr>
          <w:rFonts w:ascii="Times New Roman;sans-serif" w:hAnsi="Times New Roman;sans-serif"/>
          <w:b w:val="false"/>
          <w:color w:val="000000"/>
          <w:sz w:val="20"/>
        </w:rPr>
        <w:t xml:space="preserve">was related to a net increase in deferred revenue and accounts receivable due to the growth in billing and the timing of collections, partially offset by a </w:t>
      </w:r>
      <w:r>
        <w:rPr>
          <w:rFonts w:ascii="Times New Roman;sans-serif" w:hAnsi="Times New Roman;sans-serif"/>
          <w:b w:val="false"/>
          <w:color w:val="000000"/>
          <w:sz w:val="20"/>
          <w:shd w:fill="FFFFFF" w:val="clear"/>
        </w:rPr>
        <w:t>$1.1 million</w:t>
      </w:r>
      <w:r>
        <w:rPr>
          <w:color w:val="000000"/>
        </w:rPr>
        <w:t xml:space="preserve"> </w:t>
      </w:r>
      <w:r>
        <w:rPr>
          <w:rFonts w:ascii="Times New Roman;sans-serif" w:hAnsi="Times New Roman;sans-serif"/>
          <w:b w:val="false"/>
          <w:color w:val="000000"/>
          <w:sz w:val="20"/>
        </w:rPr>
        <w:t>decrease in payables and accrued liabilities and a $3.4 million increase in prepaid expenses primarily driven by the timing of payments. In 2022, we generated $177.2 million of cash from our net income, as adjusted for non-cash items mainly related to stock-based compensation expense, depreciation and amortization expense and deferred taxes, as compared to $169.6 million in 2021. In addition, we also generated $21.7 million of cash from working capital change in 2022, of which $11.8 million was related to a net increase in deferred revenue and accounts receivable as a result of our continued growth in billing and the timing of collections, and $9.9 million was due to lower prepaid expenses and an increase in payables and accrued liabilities primarily due to timing of payments.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 2023, we used </w:t>
      </w:r>
      <w:r>
        <w:rPr>
          <w:rFonts w:ascii="Times New Roman;sans-serif" w:hAnsi="Times New Roman;sans-serif"/>
          <w:b w:val="false"/>
          <w:color w:val="000000"/>
          <w:sz w:val="20"/>
          <w:shd w:fill="FFFFFF" w:val="clear"/>
        </w:rPr>
        <w:t>$64.4 million</w:t>
      </w:r>
      <w:r>
        <w:rPr>
          <w:color w:val="000000"/>
        </w:rPr>
        <w:t xml:space="preserve"> </w:t>
      </w:r>
      <w:r>
        <w:rPr>
          <w:rFonts w:ascii="Times New Roman;sans-serif" w:hAnsi="Times New Roman;sans-serif"/>
          <w:b w:val="false"/>
          <w:color w:val="000000"/>
          <w:sz w:val="20"/>
        </w:rPr>
        <w:t xml:space="preserve">of cash for purchases of marketable securities net of sales and maturities, and used </w:t>
      </w:r>
      <w:r>
        <w:rPr>
          <w:rFonts w:ascii="Times New Roman;sans-serif" w:hAnsi="Times New Roman;sans-serif"/>
          <w:b w:val="false"/>
          <w:color w:val="000000"/>
          <w:sz w:val="20"/>
          <w:shd w:fill="FFFFFF" w:val="clear"/>
        </w:rPr>
        <w:t>$8.8 million</w:t>
      </w:r>
      <w:r>
        <w:rPr>
          <w:color w:val="000000"/>
        </w:rPr>
        <w:t xml:space="preserve"> </w:t>
      </w:r>
      <w:r>
        <w:rPr>
          <w:rFonts w:ascii="Times New Roman;sans-serif" w:hAnsi="Times New Roman;sans-serif"/>
          <w:b w:val="false"/>
          <w:color w:val="000000"/>
          <w:sz w:val="20"/>
        </w:rPr>
        <w:t>of cash in capital expenditures mainly related to computer equipment to support our growth and development, as compared to $169.0 million of cash generated from net sales and maturities of our marketable securities, $15.4 million of cash used in capital expenditures mainly related to computer equipment to support our growth and development and $8.6 million of cash used to acquire certain technology assets in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 2023, we used </w:t>
      </w:r>
      <w:r>
        <w:rPr>
          <w:rFonts w:ascii="Times New Roman;sans-serif" w:hAnsi="Times New Roman;sans-serif"/>
          <w:b w:val="false"/>
          <w:color w:val="000000"/>
          <w:sz w:val="20"/>
          <w:shd w:fill="FFFFFF" w:val="clear"/>
        </w:rPr>
        <w:t>$170.8 million</w:t>
      </w:r>
      <w:r>
        <w:rPr>
          <w:color w:val="000000"/>
        </w:rPr>
        <w:t xml:space="preserve"> </w:t>
      </w:r>
      <w:r>
        <w:rPr>
          <w:rFonts w:ascii="Times New Roman;sans-serif" w:hAnsi="Times New Roman;sans-serif"/>
          <w:b w:val="false"/>
          <w:color w:val="000000"/>
          <w:sz w:val="20"/>
        </w:rPr>
        <w:t xml:space="preserve">of cash for share repurchase and </w:t>
      </w:r>
      <w:r>
        <w:rPr>
          <w:rFonts w:ascii="Times New Roman;sans-serif" w:hAnsi="Times New Roman;sans-serif"/>
          <w:b w:val="false"/>
          <w:color w:val="000000"/>
          <w:sz w:val="20"/>
          <w:shd w:fill="FFFFFF" w:val="clear"/>
        </w:rPr>
        <w:t>$22.3 million</w:t>
      </w:r>
      <w:r>
        <w:rPr>
          <w:color w:val="000000"/>
        </w:rPr>
        <w:t xml:space="preserve"> </w:t>
      </w:r>
      <w:r>
        <w:rPr>
          <w:rFonts w:ascii="Times New Roman;sans-serif" w:hAnsi="Times New Roman;sans-serif"/>
          <w:b w:val="false"/>
          <w:color w:val="000000"/>
          <w:sz w:val="20"/>
        </w:rPr>
        <w:t xml:space="preserve">of cash in payment of employee withholding taxes upon vesting of restricted stock units, partially offset by </w:t>
      </w:r>
      <w:r>
        <w:rPr>
          <w:rFonts w:ascii="Times New Roman;sans-serif" w:hAnsi="Times New Roman;sans-serif"/>
          <w:b w:val="false"/>
          <w:color w:val="000000"/>
          <w:sz w:val="20"/>
          <w:shd w:fill="FFFFFF" w:val="clear"/>
        </w:rPr>
        <w:t>$45.6 million</w:t>
      </w:r>
      <w:r>
        <w:rPr>
          <w:color w:val="000000"/>
        </w:rPr>
        <w:t xml:space="preserve"> </w:t>
      </w:r>
      <w:r>
        <w:rPr>
          <w:rFonts w:ascii="Times New Roman;sans-serif" w:hAnsi="Times New Roman;sans-serif"/>
          <w:b w:val="false"/>
          <w:color w:val="000000"/>
          <w:sz w:val="20"/>
        </w:rPr>
        <w:t xml:space="preserve">of proceeds from employee exercise of stock options and </w:t>
      </w:r>
      <w:r>
        <w:rPr>
          <w:rFonts w:ascii="Times New Roman;sans-serif" w:hAnsi="Times New Roman;sans-serif"/>
          <w:b w:val="false"/>
          <w:color w:val="000000"/>
          <w:sz w:val="20"/>
          <w:shd w:fill="FFFFFF" w:val="clear"/>
        </w:rPr>
        <w:t xml:space="preserve">$6.1 million </w:t>
      </w:r>
      <w:r>
        <w:rPr>
          <w:rFonts w:ascii="Times New Roman;sans-serif" w:hAnsi="Times New Roman;sans-serif"/>
          <w:b w:val="false"/>
          <w:color w:val="000000"/>
          <w:sz w:val="20"/>
        </w:rPr>
        <w:t xml:space="preserve">of proceeds from issuance of common stock through our employee stock purchase plan ("ESPP"), as compared to $317.3 million of cash used for share repurchase and $17.6 million of cash in payment of employee withholding taxes upon vesting of restricted stock units, partially offset by $24.5 million of proceeds from employee exercise of stock options and $4.4 million of proceeds from issuance of common stock through our ESPP in 2022.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marketable securities and our expected cash flow generated from operations will be sufficient to fund our operations for the next twelve months and beyond. If we repatriate funds from our foreign subsidiaries, we could be subject to foreign withholding taxes.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material cash requirements mainly include the following contractual and other obligations: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operating lease obligations to make payments under our non-cancelable lease agreements for our facilities and shared cloud platforms. We had fixed operating lease payment obligations of $31.1 million as of December 31, 2023, with $13.1 million expected to be paid within the next 12 months.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Cash outflow for capital expenditures in 2024 is expected to be in a range of $15.0 million to $20.0 million. Our future capital requirements will depend on many factors, including our rate of revenue growth, the expansion of our sales and marketing activities, the timing, type and extent of our spending on research and development efforts, international expansion and investment in shared cloud platforms and cloud infrastructures. We may also seek to invest in or acquire complementary businesses or technologies.</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Other non-cancelable purchase obligations related to cloud infrastructures and other service providers </w:t>
      </w:r>
      <w:r>
        <w:rPr>
          <w:rFonts w:ascii="Times New Roman;sans-serif" w:hAnsi="Times New Roman;sans-serif"/>
          <w:b w:val="false"/>
          <w:color w:val="000000"/>
          <w:sz w:val="20"/>
          <w:shd w:fill="FFFFFF" w:val="clear"/>
        </w:rPr>
        <w:t>totaled $70.6 million, of which $29.7 million is expected to be paid with</w:t>
      </w:r>
      <w:r>
        <w:rPr>
          <w:rFonts w:ascii="Times New Roman;sans-serif" w:hAnsi="Times New Roman;sans-serif"/>
          <w:b w:val="false"/>
          <w:color w:val="000000"/>
          <w:sz w:val="20"/>
        </w:rPr>
        <w:t>in the next 12 months.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use cash to repurchase shares in 2024 under our share repurchase program authorized by our board of directors on February 5, 2018. As of December 31, 2023, our board of directors had authorized an aggregate amount of $1.0 billion for repurchases under our share repurchase program, of which approximately $83.7 million remained available. Shares will be repurchased from time to time in the open market in accordance with Rule 10b-18 of the Exchange Act of 1934, including pursuant to a pre-set trading plan adopted in accordance with Rule 10b5-1 under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2"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2024, we announced that our Board of Directors authorized an additional $200.0 million under the share repurchase program, increasing the total amount of authorized repurchase to $1.2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Estimates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accordance with U.S. GAAP requires us to make estimates and assumptions that affect the reported amounts of assets, liabilities, revenues, expenses and related disclosures. Our significant accounting policies are described in Note 1 - The Company and Summary of Significant Accounting Policies in the accompanying notes to the consolidated financial statements included in Part II, Item 8, "Financial Statements and Supplementary Data" of this Annual Report on Form 10-K. On an ongoing basis, we evaluate our estimates and assumptions based on historical and anticipated results and trends that we believe represent our best estimate under the circumstances. However, as accounting estimates are subject to inherent uncertainty, our actual results may differ from these estimates under different assumptions or conditions.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assumptions, judgments and estimates are involved in determining our provision for (benefit from) income taxes, our deferred tax assets and liabilities, and any valuation allowance to be recorded against our deferred tax assets. Our judgments, assumptions and estimates relating to the current provision for income taxes include the geographic mix and amount of income (loss), expectations of future income, our interpretation of current tax laws, our business, and possible outcomes of current and future audits conducted by foreign and domestic tax authorities. Our judgments also include anticipating the tax positions we will record in the financial statements before preparing and filing the tax returns. Our estimates and assumptions may differ from the actual results as reflected in our income tax returns and we record the required adjustments when they are identified or resolved. Changes in our business and tax laws or our interpretation of those, and developments in current and future tax audits, could significantly impact the amounts provided for income taxes in our results of operations, financial position, or cash flows.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assessment of tax effects of our uncertain tax positions in our financial statements involves significant judgment in interpreting complex and ambiguous tax laws, regulations, and administrative practices, determining the probability of various possible settlement outcomes, evaluating the litigation process based on tax authority behaviors in similar cases, and estimating the likelihood that another taxing authority could review the respective tax position. These judgments are inherently challenging and subjective because a taxing authority may change its behavior at any time. We must also determine when it is reasonably possible that the amount of unrecognized tax benefits will significantly increase or decrease in the 12 months after each fiscal year-end. We reevaluate our income tax positions on a quarterly basis to consider factors such as changes in facts or circumstances, changes in tax laws, effectively settled issues under audit, the potential for interest and penalties, and new audit activity. Such a change in recognition or measurement would result in recognition of a tax benefit or an additional charge to the tax provision that could be material in the future.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fair value of our employee stock options and restricted stock units, including performance-based restricted stock units, over the requisite service period. The fair value of each stock option is estimated on date of grant using the Black-Scholes-Merton option pricing model. Determining the appropriate fair value model and calculating the fair value of employee stock options requires the use of subjective assumptions, including the expected life of the stock option and stock price volatility. The recognition of expenses for performance based restricted stock units requires us to estimate the probability that the performance condition will be achieved and the number of awards that will vest are adjusted accordingly at each reporting period. The assumptions used in calculating the fair value of employee stock options and estimating the probability of achievement of performance metrics represent management’s best estimates, which require significant judgment and involve inherent uncertainties. If factors change and we use different assumptions, our stock-based compensation expense could be materially different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3"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Our results of operations and cash flows have been and will continue to be subject to fluctuations because of changes in foreign currency exchange rates, particularly changes in exchange rates between the U.S. Dollar and the EUR, GBP, INR and Canadian Dollar ("C$" or "</w:t>
      </w:r>
      <w:r>
        <w:rPr>
          <w:rFonts w:ascii="Times New Roman;sans-serif" w:hAnsi="Times New Roman;sans-serif"/>
          <w:b w:val="false"/>
          <w:color w:val="000000"/>
          <w:sz w:val="20"/>
        </w:rPr>
        <w:t>CAD")</w:t>
      </w:r>
      <w:r>
        <w:rPr>
          <w:rFonts w:ascii="Times New Roman;sans-serif" w:hAnsi="Times New Roman;sans-serif"/>
          <w:b w:val="false"/>
          <w:color w:val="000000"/>
          <w:sz w:val="20"/>
          <w:shd w:fill="FFFFFF" w:val="clear"/>
        </w:rPr>
        <w:t xml:space="preserve">, the currencies of countries where we currently have our most significant international operations. We enter into foreign currency forward contracts to reduce our exposure to foreign currency exchange rate fluctuations related to forecasted subscription revenue, operating expenses and foreign currency denominated assets or liabilities. </w:t>
      </w:r>
      <w:r>
        <w:rPr>
          <w:rFonts w:ascii="Times New Roman;sans-serif" w:hAnsi="Times New Roman;sans-serif"/>
          <w:b w:val="false"/>
          <w:color w:val="000000"/>
          <w:sz w:val="20"/>
        </w:rPr>
        <w:t>As of December 31, 2023, we had designated cash flow hedge forward contracts with notional amounts of €48.5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£14.6 million</w:t>
      </w:r>
      <w:r>
        <w:rPr>
          <w:color w:val="000000"/>
          <w:shd w:fill="FFFFFF" w:val="clear"/>
        </w:rPr>
        <w:t xml:space="preserve"> </w:t>
      </w:r>
      <w:r>
        <w:rPr>
          <w:rFonts w:ascii="Times New Roman;sans-serif" w:hAnsi="Times New Roman;sans-serif"/>
          <w:b w:val="false"/>
          <w:color w:val="000000"/>
          <w:sz w:val="20"/>
          <w:shd w:fill="FFFFFF" w:val="clear"/>
        </w:rPr>
        <w:t>and Rs.</w:t>
      </w:r>
      <w:r>
        <w:rPr>
          <w:rFonts w:ascii="Times New Roman;sans-serif" w:hAnsi="Times New Roman;sans-serif"/>
          <w:b w:val="false"/>
          <w:color w:val="000000"/>
          <w:sz w:val="20"/>
        </w:rPr>
        <w:t>4,042.0 million and non-designated forward contracts with notional amounts of €19.2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£6.0 million</w:t>
      </w:r>
      <w:r>
        <w:rPr>
          <w:rFonts w:ascii="Times New Roman;sans-serif" w:hAnsi="Times New Roman;sans-serif"/>
          <w:b w:val="false"/>
          <w:color w:val="000000"/>
          <w:sz w:val="20"/>
          <w:shd w:fill="FFFFFF" w:val="clear"/>
        </w:rPr>
        <w:t>, Rs.</w:t>
      </w:r>
      <w:r>
        <w:rPr>
          <w:rFonts w:ascii="Times New Roman;sans-serif" w:hAnsi="Times New Roman;sans-serif"/>
          <w:b w:val="false"/>
          <w:color w:val="000000"/>
          <w:sz w:val="20"/>
        </w:rPr>
        <w:t>440.0 million</w:t>
      </w:r>
      <w:r>
        <w:rPr>
          <w:color w:val="000000"/>
          <w:shd w:fill="FFFFFF" w:val="clear"/>
        </w:rPr>
        <w:t xml:space="preserve"> </w:t>
      </w:r>
      <w:r>
        <w:rPr>
          <w:rFonts w:ascii="Times New Roman;sans-serif" w:hAnsi="Times New Roman;sans-serif"/>
          <w:b w:val="false"/>
          <w:color w:val="000000"/>
          <w:sz w:val="20"/>
          <w:shd w:fill="FFFFFF" w:val="clear"/>
        </w:rPr>
        <w:t>and C</w:t>
      </w:r>
      <w:r>
        <w:rPr>
          <w:rFonts w:ascii="Times New Roman;sans-serif" w:hAnsi="Times New Roman;sans-serif"/>
          <w:b w:val="false"/>
          <w:color w:val="000000"/>
          <w:sz w:val="20"/>
        </w:rPr>
        <w:t>$1.0 million. With our hedging strategy applied, the effect of an immediate 10% adverse change in foreign exchange rates would not be material to our financial condition, operating results or cash flows.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Rate Sensitivity</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We had </w:t>
      </w:r>
      <w:r>
        <w:rPr>
          <w:rFonts w:ascii="Times New Roman;sans-serif" w:hAnsi="Times New Roman;sans-serif"/>
          <w:b w:val="false"/>
          <w:color w:val="000000"/>
          <w:sz w:val="20"/>
          <w:shd w:fill="FFFFFF" w:val="clear"/>
        </w:rPr>
        <w:t>$482.2 million</w:t>
      </w:r>
      <w:r>
        <w:rPr>
          <w:color w:val="000000"/>
        </w:rPr>
        <w:t xml:space="preserve"> </w:t>
      </w:r>
      <w:r>
        <w:rPr>
          <w:rFonts w:ascii="Times New Roman;sans-serif" w:hAnsi="Times New Roman;sans-serif"/>
          <w:b w:val="false"/>
          <w:color w:val="000000"/>
          <w:sz w:val="20"/>
        </w:rPr>
        <w:t>in cash, cash equivalents and short-term and long-term marketable securities as of December 31, 2023. Our exposure to market risk for changes in interest rates primarily relates to our cash and cash equivalents and marketable securities. Our cash equivalents and marketable securities are held in money market funds, fixed-income U.S. Treasury and government agency securities, commercial paper, corporate bonds and asset-backed securities. The primary objectives of our investment activities are the preservation of principal and support of our liquidity requirements. We do not invest for trading or speculative purposes. Our marketable securities a</w:t>
      </w:r>
      <w:r>
        <w:rPr>
          <w:rFonts w:ascii="Times New Roman;sans-serif" w:hAnsi="Times New Roman;sans-serif"/>
          <w:b w:val="false"/>
          <w:color w:val="000000"/>
          <w:sz w:val="20"/>
          <w:shd w:fill="FFFFFF" w:val="clear"/>
        </w:rPr>
        <w:t xml:space="preserve">re subject to market risk due to changes in interest rates, which may affect the interest income we earn and the fair market value. </w:t>
      </w:r>
      <w:r>
        <w:rPr>
          <w:rFonts w:ascii="Times New Roman;sans-serif" w:hAnsi="Times New Roman;sans-serif"/>
          <w:b w:val="false"/>
          <w:color w:val="000000"/>
          <w:sz w:val="20"/>
        </w:rPr>
        <w:t>As of December 31, 2023, a hypothetical 100 basis point increase in interest rate would result in a decrease in the fair value of our marketable securities by</w:t>
      </w:r>
      <w:r>
        <w:rPr>
          <w:color w:val="000000"/>
          <w:shd w:fill="FFFFFF" w:val="clear"/>
        </w:rPr>
        <w:t xml:space="preserve"> </w:t>
      </w:r>
      <w:r>
        <w:rPr>
          <w:rFonts w:ascii="Times New Roman;sans-serif" w:hAnsi="Times New Roman;sans-serif"/>
          <w:b w:val="false"/>
          <w:color w:val="000000"/>
          <w:sz w:val="20"/>
          <w:shd w:fill="FFFFFF" w:val="clear"/>
        </w:rPr>
        <w:t>$1.4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4"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Qualys,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7575" w:type="dxa"/>
        <w:jc w:val="left"/>
        <w:tblInd w:w="0" w:type="dxa"/>
        <w:tblLayout w:type="fixed"/>
        <w:tblCellMar>
          <w:top w:w="28" w:type="dxa"/>
          <w:left w:w="28" w:type="dxa"/>
          <w:bottom w:w="28" w:type="dxa"/>
          <w:right w:w="28" w:type="dxa"/>
        </w:tblCellMar>
      </w:tblPr>
      <w:tblGrid>
        <w:gridCol w:w="2546"/>
        <w:gridCol w:w="2238"/>
        <w:gridCol w:w="2250"/>
        <w:gridCol w:w="158"/>
        <w:gridCol w:w="158"/>
        <w:gridCol w:w="225"/>
      </w:tblGrid>
      <w:tr>
        <w:trPr/>
        <w:tc>
          <w:tcPr>
            <w:tcW w:w="2546"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76">
              <w:r>
                <w:rPr>
                  <w:rStyle w:val="InternetLink"/>
                  <w:rFonts w:ascii="Times New Roman;sans-serif" w:hAnsi="Times New Roman;sans-serif"/>
                  <w:b w:val="false"/>
                  <w:color w:val="000080"/>
                  <w:sz w:val="20"/>
                  <w:u w:val="single"/>
                </w:rPr>
                <w:t xml:space="preserve">Reports of Independent Registered Public Accounting Firm (PCAOB ID Number </w:t>
              </w:r>
            </w:hyperlink>
            <w:r>
              <w:rPr>
                <w:rFonts w:ascii="Times New Roman;sans-serif" w:hAnsi="Times New Roman;sans-serif"/>
                <w:b w:val="false"/>
                <w:color w:val="0000FF"/>
                <w:sz w:val="20"/>
                <w:u w:val="single"/>
              </w:rPr>
              <w:t>248</w:t>
            </w:r>
            <w:hyperlink w:anchor="i0668aaa2a4b841bfbaf18f9d4436768b_76">
              <w:r>
                <w:rPr>
                  <w:rStyle w:val="InternetLink"/>
                  <w:rFonts w:ascii="Times New Roman;sans-serif" w:hAnsi="Times New Roman;sans-serif"/>
                  <w:b w:val="false"/>
                  <w:color w:val="000080"/>
                  <w:sz w:val="20"/>
                  <w:u w:val="single"/>
                </w:rPr>
                <w:t>)</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0668aaa2a4b841bfbaf18f9d4436768b_76">
              <w:r>
                <w:rPr>
                  <w:rStyle w:val="InternetLink"/>
                  <w:rFonts w:ascii="Times New Roman;sans-serif" w:hAnsi="Times New Roman;sans-serif"/>
                  <w:b w:val="false"/>
                  <w:color w:val="0000FF"/>
                  <w:sz w:val="20"/>
                  <w:u w:val="single"/>
                </w:rPr>
                <w:t>54</w:t>
              </w:r>
            </w:hyperlink>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79">
              <w:r>
                <w:rPr>
                  <w:rStyle w:val="InternetLink"/>
                  <w:rFonts w:ascii="Times New Roman;sans-serif" w:hAnsi="Times New Roman;sans-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79">
              <w:r>
                <w:rPr>
                  <w:rStyle w:val="InternetLink"/>
                  <w:rFonts w:ascii="Times New Roman;sans-serif" w:hAnsi="Times New Roman;sans-serif"/>
                  <w:b w:val="false"/>
                  <w:color w:val="0000FF"/>
                  <w:sz w:val="20"/>
                  <w:u w:val="single"/>
                </w:rPr>
                <w:t>56</w:t>
              </w:r>
            </w:hyperlink>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82">
              <w:r>
                <w:rPr>
                  <w:rStyle w:val="InternetLink"/>
                  <w:rFonts w:ascii="Times New Roman;sans-serif" w:hAnsi="Times New Roman;sans-serif"/>
                  <w:b w:val="false"/>
                  <w:color w:val="0000FF"/>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82">
              <w:r>
                <w:rPr>
                  <w:rStyle w:val="InternetLink"/>
                  <w:rFonts w:ascii="Times New Roman;sans-serif" w:hAnsi="Times New Roman;sans-serif"/>
                  <w:b w:val="false"/>
                  <w:color w:val="0000FF"/>
                  <w:sz w:val="20"/>
                  <w:u w:val="single"/>
                </w:rPr>
                <w:t>57</w:t>
              </w:r>
            </w:hyperlink>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85">
              <w:r>
                <w:rPr>
                  <w:rStyle w:val="InternetLink"/>
                  <w:rFonts w:ascii="Times New Roman;sans-serif" w:hAnsi="Times New Roman;sans-serif"/>
                  <w:b w:val="false"/>
                  <w:color w:val="0000FF"/>
                  <w:sz w:val="20"/>
                  <w:u w:val="single"/>
                </w:rPr>
                <w:t>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85">
              <w:r>
                <w:rPr>
                  <w:rStyle w:val="InternetLink"/>
                  <w:rFonts w:ascii="Times New Roman;sans-serif" w:hAnsi="Times New Roman;sans-serif"/>
                  <w:b w:val="false"/>
                  <w:color w:val="0000FF"/>
                  <w:sz w:val="20"/>
                  <w:u w:val="single"/>
                </w:rPr>
                <w:t>58</w:t>
              </w:r>
            </w:hyperlink>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88">
              <w:r>
                <w:rPr>
                  <w:rStyle w:val="InternetLink"/>
                  <w:rFonts w:ascii="Times New Roman;sans-serif" w:hAnsi="Times New Roman;sans-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88">
              <w:r>
                <w:rPr>
                  <w:rStyle w:val="InternetLink"/>
                  <w:rFonts w:ascii="Times New Roman;sans-serif" w:hAnsi="Times New Roman;sans-serif"/>
                  <w:b w:val="false"/>
                  <w:color w:val="0000FF"/>
                  <w:sz w:val="20"/>
                  <w:u w:val="single"/>
                </w:rPr>
                <w:t>59</w:t>
              </w:r>
            </w:hyperlink>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91">
              <w:r>
                <w:rPr>
                  <w:rStyle w:val="InternetLink"/>
                  <w:rFonts w:ascii="Times New Roman;sans-serif" w:hAnsi="Times New Roman;sans-serif"/>
                  <w:b w:val="false"/>
                  <w:color w:val="0000FF"/>
                  <w:sz w:val="20"/>
                  <w:u w:val="single"/>
                </w:rPr>
                <w:t>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91">
              <w:r>
                <w:rPr>
                  <w:rStyle w:val="InternetLink"/>
                  <w:rFonts w:ascii="Times New Roman;sans-serif" w:hAnsi="Times New Roman;sans-serif"/>
                  <w:b w:val="false"/>
                  <w:color w:val="0000FF"/>
                  <w:sz w:val="20"/>
                  <w:u w:val="single"/>
                </w:rPr>
                <w:t>60</w:t>
              </w:r>
            </w:hyperlink>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aa2a4b841bfbaf18f9d4436768b_94">
              <w:r>
                <w:rPr>
                  <w:rStyle w:val="InternetLink"/>
                  <w:rFonts w:ascii="Times New Roman;sans-serif" w:hAnsi="Times New Roman;sans-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68aaa2a4b841bfbaf18f9d4436768b_94">
              <w:r>
                <w:rPr>
                  <w:rStyle w:val="InternetLink"/>
                  <w:rFonts w:ascii="Times New Roman;sans-serif" w:hAnsi="Times New Roman;sans-serif"/>
                  <w:b w:val="false"/>
                  <w:color w:val="0000FF"/>
                  <w:sz w:val="20"/>
                  <w:u w:val="singl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5"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Board of Directors and Stockholders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Qualys, Inc.</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Opinion on the financial statements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audited the accompanying consolidated balance sheets of Qualys, Inc. (a Delaware corporation) and subsidiaries (the “Company”) as of December 31, 2023 and 2022, the related consolidated statements of operations, comprehensive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have audited, in accordance with the standards of the Public Company Accounting Oversight Board (United States) (“PCAOB”), the Company’s internal control over financial reporting as of December 31, 2023, based on criteria established in the 2013 Internal Control—Integrated Framework issued by the Committee of Sponsoring Organizations of the Treadway Commission (“COSO”), and our report dated February 22, 2024, expressed an unqualified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Basis for opinion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audit matters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GRANT THORNTON LLP</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served as the Company’s auditor since 2005.</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San Jose, California</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22,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6"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lineRule="auto" w:line="288" w:before="4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Board of Directors and Stockholders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Qualys, Inc.</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internal control over financial reporting</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audited the internal control over financial reporting of Qualys, Inc. (a Delaware corporation) and subsidiaries (the “Company”) as of December 31, 2023,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2023, based on criteria established in the 2013 Internal Control—Integrated Framework issued by COSO.</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have audited, in accordance with the standards of the Public Company Accounting Oversight Board (United States) (“PCAOB”), the consolidated financial statements of the Company as of and for the year ended December 31, 2023, and our report dated February 22, 2024 expressed an unqualified opinion on those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for opinion</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Definition and limitations of internal control over financial reporting</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GRANT THORNTON LLP</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San Jose, California</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7"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Qualys,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844"/>
        <w:gridCol w:w="2364"/>
        <w:gridCol w:w="2331"/>
        <w:gridCol w:w="211"/>
        <w:gridCol w:w="826"/>
        <w:gridCol w:w="109"/>
        <w:gridCol w:w="109"/>
        <w:gridCol w:w="109"/>
        <w:gridCol w:w="109"/>
        <w:gridCol w:w="211"/>
        <w:gridCol w:w="826"/>
        <w:gridCol w:w="156"/>
      </w:tblGrid>
      <w:tr>
        <w:trPr/>
        <w:tc>
          <w:tcPr>
            <w:tcW w:w="2844"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$778 and $736 as of December 31, 2023 and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 right of 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700,941 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20,000 shares authorized, no shares issued and outstanding as of December 31, 2023 and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1,000,000 shares authorized, 36,909 and 37,362 shares issued and outstanding as of December 31, 2023 and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700,941 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8"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Qualys,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9596" w:type="dxa"/>
        <w:jc w:val="left"/>
        <w:tblInd w:w="0" w:type="dxa"/>
        <w:tblLayout w:type="fixed"/>
        <w:tblCellMar>
          <w:top w:w="28" w:type="dxa"/>
          <w:left w:w="28" w:type="dxa"/>
          <w:bottom w:w="28" w:type="dxa"/>
          <w:right w:w="28" w:type="dxa"/>
        </w:tblCellMar>
      </w:tblPr>
      <w:tblGrid>
        <w:gridCol w:w="1981"/>
        <w:gridCol w:w="1733"/>
        <w:gridCol w:w="1745"/>
        <w:gridCol w:w="211"/>
        <w:gridCol w:w="826"/>
        <w:gridCol w:w="109"/>
        <w:gridCol w:w="109"/>
        <w:gridCol w:w="109"/>
        <w:gridCol w:w="109"/>
        <w:gridCol w:w="211"/>
        <w:gridCol w:w="826"/>
        <w:gridCol w:w="109"/>
        <w:gridCol w:w="109"/>
        <w:gridCol w:w="109"/>
        <w:gridCol w:w="109"/>
        <w:gridCol w:w="211"/>
        <w:gridCol w:w="826"/>
        <w:gridCol w:w="154"/>
      </w:tblGrid>
      <w:tr>
        <w:trPr/>
        <w:tc>
          <w:tcPr>
            <w:tcW w:w="198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income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39,030</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40,118</w:t>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59"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Qualys,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52"/>
        <w:gridCol w:w="1950"/>
        <w:gridCol w:w="1969"/>
        <w:gridCol w:w="211"/>
        <w:gridCol w:w="826"/>
        <w:gridCol w:w="109"/>
        <w:gridCol w:w="109"/>
        <w:gridCol w:w="109"/>
        <w:gridCol w:w="109"/>
        <w:gridCol w:w="211"/>
        <w:gridCol w:w="826"/>
        <w:gridCol w:w="109"/>
        <w:gridCol w:w="109"/>
        <w:gridCol w:w="109"/>
        <w:gridCol w:w="109"/>
        <w:gridCol w:w="211"/>
        <w:gridCol w:w="721"/>
        <w:gridCol w:w="156"/>
      </w:tblGrid>
      <w:tr>
        <w:trPr/>
        <w:tc>
          <w:tcPr>
            <w:tcW w:w="225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gains (losses) on available-for-sale debt securities,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gains (losses) on cash flow hedges,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0"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Qualys,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320"/>
        <w:gridCol w:w="2022"/>
        <w:gridCol w:w="2039"/>
        <w:gridCol w:w="196"/>
        <w:gridCol w:w="736"/>
        <w:gridCol w:w="109"/>
        <w:gridCol w:w="109"/>
        <w:gridCol w:w="109"/>
        <w:gridCol w:w="109"/>
        <w:gridCol w:w="196"/>
        <w:gridCol w:w="736"/>
        <w:gridCol w:w="109"/>
        <w:gridCol w:w="109"/>
        <w:gridCol w:w="109"/>
        <w:gridCol w:w="109"/>
        <w:gridCol w:w="196"/>
        <w:gridCol w:w="736"/>
        <w:gridCol w:w="156"/>
      </w:tblGrid>
      <w:tr>
        <w:trPr/>
        <w:tc>
          <w:tcPr>
            <w:tcW w:w="232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 off of noncurrent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non-marketable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amounts capitalized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(accretion) of premiums (discount) on marketable securities,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and 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(368,450)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of note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through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under 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(107,888)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 recorded in accrued liabilities and other noncurrent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recorded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1"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Qualys, Inc.</w:t>
      </w:r>
    </w:p>
    <w:p>
      <w:pPr>
        <w:pStyle w:val="TextBody"/>
        <w:bidi w:val="0"/>
        <w:spacing w:lineRule="auto" w:line="288" w:before="0" w:after="0"/>
        <w:jc w:val="center"/>
        <w:rPr/>
      </w:pPr>
      <w:r>
        <w:rPr>
          <w:rFonts w:ascii="Times New Roman;sans-serif" w:hAnsi="Times New Roman;sans-serif"/>
          <w:b/>
          <w:color w:val="000000"/>
          <w:sz w:val="20"/>
        </w:rPr>
        <w:t>CONSOLIDATED STATEMENTS OF STOCKHOLDERS’ EQUITY</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930"/>
        <w:gridCol w:w="501"/>
        <w:gridCol w:w="504"/>
        <w:gridCol w:w="225"/>
        <w:gridCol w:w="225"/>
        <w:gridCol w:w="226"/>
        <w:gridCol w:w="109"/>
        <w:gridCol w:w="109"/>
        <w:gridCol w:w="109"/>
        <w:gridCol w:w="241"/>
        <w:gridCol w:w="414"/>
        <w:gridCol w:w="126"/>
        <w:gridCol w:w="109"/>
        <w:gridCol w:w="109"/>
        <w:gridCol w:w="109"/>
        <w:gridCol w:w="211"/>
        <w:gridCol w:w="826"/>
        <w:gridCol w:w="109"/>
        <w:gridCol w:w="109"/>
        <w:gridCol w:w="109"/>
        <w:gridCol w:w="109"/>
        <w:gridCol w:w="317"/>
        <w:gridCol w:w="950"/>
        <w:gridCol w:w="164"/>
        <w:gridCol w:w="109"/>
        <w:gridCol w:w="109"/>
        <w:gridCol w:w="109"/>
        <w:gridCol w:w="232"/>
        <w:gridCol w:w="928"/>
        <w:gridCol w:w="121"/>
        <w:gridCol w:w="109"/>
        <w:gridCol w:w="109"/>
        <w:gridCol w:w="109"/>
        <w:gridCol w:w="232"/>
        <w:gridCol w:w="909"/>
        <w:gridCol w:w="179"/>
      </w:tblGrid>
      <w:tr>
        <w:trPr/>
        <w:tc>
          <w:tcPr>
            <w:tcW w:w="93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Other</w:t>
              <w:br/>
              <w:t xml:space="preserve">Comprehensive </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Retained </w:t>
              <w:br/>
              <w:t>Earnings</w:t>
              <w:b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 xml:space="preserve">Stockholders’ </w:t>
              <w:br/>
              <w:t>Equity</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2020</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404,482 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49,994 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(129,977)</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net share settlement of equity awards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2021</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24,483 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(317,344)</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net share settlement of equity awards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(17,615)</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through employee stock purchase plan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2022</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(221,447)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289,129 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45,576 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(171,219)</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net share settlement of equity awards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(22,346)</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through employee stock purchase plan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2023</w:t>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(228,080)</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368,174 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2"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Qualys,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NOTE 1.     The Company and Summary of Significant Accounting Policies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Description of Business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Qualys, Inc. (the “Company”, "we", "us", "our") was incorporated in the state of Delaware on</w:t>
      </w:r>
      <w:r>
        <w:rPr>
          <w:color w:val="000000"/>
        </w:rPr>
        <w:t xml:space="preserve"> </w:t>
      </w:r>
      <w:r>
        <w:rPr>
          <w:rFonts w:ascii="Times New Roman;sans-serif" w:hAnsi="Times New Roman;sans-serif"/>
          <w:b w:val="false"/>
          <w:color w:val="000000"/>
          <w:sz w:val="20"/>
        </w:rPr>
        <w:t>December 30, 1999</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Company is headquartered in Foster City, California and has wholly-owned subsidiaries throughout the world. The Company is a leading provider of cloud-based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Qualys' Enterprise TruRisk Platform to cost-effectively obtain a unified view of their security and compliance posture across globally-distributed IT infrastructures.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and footnotes have been prepared in accordance with U.S. GAAP as well as the instructions to Form 10-K and the rules and regulations of the SEC. Certain prior year amounts have been reclassified to conform with the current year presentation. In the opinion of management, the accompanying consolidated financial statements reflect all adjustments, which include only normal recurring adjustments, necessary for the fair presentation of the Company’s consolidated financial position, results of operations and cash flows for the periods presented. The accompanying consolidated financial statements include the accounts of the Company and its wholly-owned subsidiaries. All intercompany transactions and balances have been eliminated upon consolidation.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consolidated financial statements.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Credit risk with respect to accounts receivable is dispersed due to the large number of customers. Collateral is not required for accounts receivable. As of December 31, 2023 and 2022, </w:t>
      </w:r>
      <w:r>
        <w:rPr>
          <w:rFonts w:ascii="Times New Roman;sans-serif" w:hAnsi="Times New Roman;sans-serif"/>
          <w:b w:val="false"/>
          <w:color w:val="000000"/>
          <w:sz w:val="20"/>
          <w:shd w:fill="FFFFFF" w:val="clear"/>
        </w:rPr>
        <w:t>no customer or channel partner accounted for more than 10% of the Company's revenues and accounts receivable balance.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Restricted cash and Short-Term and Long-Term Marketable Securities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cash held in banks, highly liquid money market funds, and fixed-income U.S. Treasury and government agencies, all with original maturities of three months or less when acquired. The Company’s short-term and long-term marketable securities consist of fixed-income U.S. and foreign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marketable securities as either short-term or long-term based on each instrument's underlying remaining contractual maturity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3"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a restricted cash balance of $2.7 million, of which $1.5 million is related to cash held in escrow as part of the Blue Hexagon acquisition and $1.2 million in the form of a letter of credit issued to the landlord of the Company's California headquarter office lease as security deposit.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are stated at cost, which approximates fair market value. Short-term and long-term marketable securities are classified as available-for-sale debt securities (AFS debt securities) and are carried at fair value. Unrealized gains and losses in fair value of the AFS debt securities are reported in other comprehensive income (loss). When the AFS debt securities are sold, cost is based on the specific identification method, and the realized gains and losses are included in other income (expense), net in the consolidated statements of operations. AFS debt securities are reviewed quarterly for impairment. An investment is considered impaired when its fair value is below its amortized cost. Declines in fair value from amortized cost for AFS debt securities that the company intends to sell or will more likely than not be required to sell before the expected recovery of the amortized cost basis are charged to other income (expense), net in the period in which the loss occurs. Otherwise, the credit loss component of the impairment is recorded as allowance for credit losses with an offsetting entry charged to other income (expense), net, while the remaining loss is recognized in other comprehensive income (loss).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invoiced amount and do not bear interest. The allowance for credit losses is determined on a collective basis where similar risk characteristics exist and on an individual basis when the Company identifies significant customers or invoices with collectability issues. The estimate for credit losses considers historical write-offs by aging category, that are adjusted for current conditions and reasonable and supportable forecasts of future losses. Any change in the assumptions used in analyzing credit losses may result in additional allowances being recognized in the period in which the change occurs. When the Company ultimately concludes that a receivable is uncollectible, the balance is written off against the allowance for credit losses. Payments subsequently received on such receivables are recognized in the period received. The allowance for credit losses recognized and write-offs charged against the allowance were not significant for the years ended December 31, 2023 and 2022. The balance of accounts receivable, net of allowance for credit losses was $146.2 million, $121.8 million and $109.0 million as of December 31, 2023, December 31, 2022 and December 31, 2021, respectively.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Non-marketable securities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2018, the Company invested $2.5 million in preferred stock of a privately-held company (the “Investee”). The fair value of the investment is not readily available, and there are no quoted market prices for the investment. The Company elected the measurement alternative to account for the investment at cost less impairment and will measure the investment at fair value when the Company identifies observable price changes. The investment is assessed for impairment annually or whenever events or changes in circumstances indicate that the fair value of the investment is less than carrying value. The investment is included in other noncurrent assets in the consolidated balance sheets. The Company has not received any dividends from the investment. During the second quarter of 2023, the Company identified an observable price change in the investment and recognized an immaterial unrealized loss in other income (expense), net of the consolidated statement of operations.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2019, the Company made an advance payment of $0.6 million to the Investee for it to perform certain technology development work, which should either be settled in the form of royalty fee charges when the technology materializes and is licensed to the Company or, otherwise, should be repaid to the Company in cash. The advance payment was recorded in other non-current assets in the consolidated balance sheet. During the fourth quarter ended December 31, 2021, the technology has not been developed and the Company decided to no longer pursue the development of the technology or the collection of the advanced amount. Accordingly, the entire amount of the advance payment was written off and recorded in the general and administrative expense during the year ended December 31, 2021.</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computed using the straight-line method over the estimated useful lives of the assets, which range from three to five years. Leasehold improvements are amortized on a straight-line basis over the lesser of the estimated useful life of the asset or the remaining lease term.</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purchases physical scanner appliances and other computer equipment that are provided to some customers on a subscription basis. This equipment is recorded within property and equipment and the depreciation is recorded in cost of revenues over an estimated useful life of three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4"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certain offices, computer equipment and its shared cloud platform facilities under finance leases and non-cancelable operating leases. For both operating and finance leases, the Company recognizes a right-of-use asset, which represents the Company's right to use the underlying asset for the lease term, and a lease liability, which represents the present value of the Company's obligation to make payments arising over the lease term. Many of the Company's leases include rental escalation clauses, renewal options and/or termination options that are factored into the Company's determination of lease payments and lease terms when appropriate. The present value of the lease payments is calculated using the incremental borrowing rate of the underlying leases determined at lease commencement. As most of the Company's leases do not provide a readily determinable implicit rate, the Company determines an incremental borrowing rate using a portfolio approach based on the rate of interest that the Company would have to pay to borrow an amount equal to the lease payments on a collateralized basis over a similar term as the leases.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Where the Company is the lessee, the Company elects to account for non-lease components associated with its leases (e.g., common area maintenance costs) and lease components separately for substantially all of its asset classes, except for shared cloud platforms, for which the Company elected to combine lease and non-lease components. For leases with a term of one year or less, the Company has elected not to record the right-of-use asset or liability.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arrangements where the Company is the lessor, the Company elected to apply the practical expedient to account for lease components (e.g., customer premise equipment) and non-lease components (e.g., service revenue) as combined components as revenue under ASC 606 as service revenues are the predominant components in the arrangements.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For the years ended December 31, 2023, 2022 and 2021, there was no impairment of long-lived assets.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the net tangible and identifiable intangible assets acquired in a business combination. Goodwill and indefinite-lived intangible assets are not amortized but tested for impairment at least annually or more frequently if certain circumstances indicate a possible impairment may exist. The goodwill impairment tests are performed at the reporting unit level. The Company’s operations are organized as one reporting unit.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testing for a potential impairment of goodwill and the indefinite-lived intangible assets, the Company first performs a qualitative assessment to determine if it is more likely than not (a more than 50% likelihood) that the fair value of the reporting unit or the indefinite-lived intangible assets is less than their carrying amount. If the fair value is not considered to be less than the carrying amount, no further evaluation is necessary. Otherwise, the Company will perform a quantitative test. Goodwill impairment is measured as the amount by which the carrying value of the reporting unit or the indefinite-lived intangible assets exceeds their fair value. The Company performed the annual assessments on December 1, 2023 and 2022 and concluded there was no impairment of goodwill or the indefinite-lived intangible assets.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Software Development Costs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costs to develop software that is marketed externally have not been capitalized as the Company believes its current software development process is essentially completed concurrent with the establishment of technological feasibility. As such, all related software development costs are expensed as incurred and included in research and development expense on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5"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Costs related to software developed, acquired or modified for internal use are capitalized and included in other noncurrent assets on the consolidated balance sheets. Costs incurred during the preliminary planning and evaluation stage of the project and during the post implementation stages of the project are expensed as incurred. Costs incurred during the application development stage of the project are capitalized. These capitalized costs consist of internal compensation related costs and external direct costs. Costs related to software developed for internal use are amortized over an estimated useful life of three years and recorded in cost of revenues. Management evaluates the useful lives of these assets on an annual basis and tests for impairment whenever events or changes in circumstances occur that could impact the recoverability of these assets. As of December 31, 2023 and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unamortized balances related to the Company's internally developed software costs are immaterial.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Asset Acquisitions and Business Combinations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provisions of ASC 805, Business Combinations, in accounting for its acquisitions. To determine whether transactions should be accounted for as asset acquisition or business combination, the Company evaluates whether substantially all of the fair value of gross assets included in a transaction is concentrated in a single asset (or a group of similar assets), resulting in an asset acquisition, if not, resulting in a business combination. In an asset acquisition, the cost of acquiring the asset group, including transaction costs, is allocated to the acquired assets or assumed liabilities based on their relative fair values without giving rise to goodwill. In a business combination, the Company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the Company uses its best estimates and assumptions to accurately value assets acquired and liabilities assumed at the acquisition date as well as any contingent consideration, where applicable,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its consolidated statements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are utilized by the Company to reduce foreign currency exchange risks. The Company uses foreign currency forward contracts, with maturities of 13 months or less, to mitigate the impact of foreign currency fluctuations of certain non-U.S. dollar denominated net asset positions, to date primarily cash, accounts receivable and operating lease liabilities, as well as to manage foreign currency fluctuation risk related to forecasted transactions. Open contracts are recorded within prepaid expenses and other current assets, other noncurrent assets, accrued liabilities or other noncurrent liabilities in the consolidated balance sheets. Gains and losses resulting from currency exchange rate movements on non-designated forward contracts are recognized in other income (expense), net. Any gains or losses from derivatives designated as cash flow hedges are first recorded within accumulated other comprehensive income (“AOCI”) and then reclassified into revenue or operating expenses when the hedged item impacts the consolidated statements of operations. Cash flows related to these forward contracts are classified in the Company's consolidated statements of cash flows in the same manner as the underlying hedged transaction within cash flows from operating activities.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fair value of its stock options, restricted stock units (“RSUs”) and stock purchase rights under the ESPP on a straight-line basis over the requisite service periods. The fair value of each stock option or stock purchase right is estimated on the date of grant using the Black-Scholes-Merton option pricing model and the fair value of each RSU is based on the Company's common stock price on the date of grant. Compensation expenses for performance-based stock options (“PSOs”) and performance-based restricted stock units (“PSUs”) are recorded based on expected achievement of the performance metrics specified in the grant, which are assessed on a quarterly basis. Forfeitures are estimated on the date of grant and revised if actual or expected forfeiture materially differs from original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6"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derives revenues from subscriptions that require customers to pay a fee in order to access the Company’s cloud solutions. Contract period with customers generally are one year with occasional contracts ranging up to five years.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In some limited cases, the Company also provides certain computer equipment used to extend Qualys' Enterprise TruRisk Platform into its customers’ private cloud environment. Customers are required to return physical scanner appliances and computer equipment if they do not renew their subscriptions.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revenue recognition through the following steps: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a customer contract, the Company makes an assessment as to that customer's ability to pay for the services provided. The Company assesses collectability based on several factors, including credit worthiness of the customer along with past transaction history. In addition, the Company performs periodic evaluations of its customers’ financial condition.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Company’s revenue contracts are subscription based and contain a single performance obligation. The subscription contracts typically do not offer to the customers any future rights that would constitute material rights. Contract prices are generally composed of fixed consideration for a specific period of time as the Company in general does not offer refunds, volume rebates, customer loyalty programs or other forms of customer incentive payments. In limited situations, contract prices are contingent on future events, such as actual usage during the contract terms, which are accounted for as variable consideration and estimated based on the most likely amount of consideration that the Company is expected to be entitled to. Estimates are included in the contract price to the extent that it is considered probable that a significant reversal in the amount of cumulative revenue recognized will not occur when the uncertainty associated with the variable consideration is subsequently resolved. Such estimates are made at contract inception and updated periodically when additional information becomes available. A cumulative catch-up adjustment is made when there is a change in the estimate of variable consideration.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Company's cloud-based subscription services are delivered to customers electronically and over time, revenue is generally recognized ratably over the contract terms. When physical equipment is provided to the customers as part of the subscription service contract, the Company applies the practical expedient allowed under ASC 842 Leases to combine lease and nonlease components as a combined component to be accounted for under ASC 606, as the Company determined that the software subscription is the predominant component of the combined components. Therefore, the Company recognizes revenue for the physical equipment ratably over the related subscription period.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Contract modifications happen when there is an upsell, where the customers subsequently enter into contract with the Company to purchase additional product offerings or additional scans for additional devices. Contract modifications related to upsells are accounted for prospectively.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Costs of shipping and handling charges incurred by the Company associated with physical scanner appliances and other computer equipment are included in cost of revenues. Sales taxes and other taxes collected from customers to be remitted to government authorities are excluded from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7"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consolidated balance sheets.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Advertising Expenses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Advertising costs are expensed as incurred and are included in sales and marketing expense in the consolidated statements of operations. The Company incurred advertising costs of $3.0 million, $3.3 million and $2.1 million for the years ended</w:t>
      </w:r>
      <w:r>
        <w:rPr>
          <w:color w:val="000000"/>
        </w:rPr>
        <w:t xml:space="preserve">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2022 and 2021,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The Company regularly reviews its deferred tax assets for recoverability and establishes a valuation allowance if it is more likely than not that some portion or all of the deferred tax assets will not be realized. To make this assessment, the Company takes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or benefit is recognized for the amount of taxes payable or refundable for the current year and for deferred tax assets and liabilities for the tax consequences of events that have been recognized in an entity’s financial statements or tax returns. The Company must make significant assumptions, judgments and estimates to determine its current income tax provision (benefit), its deferred tax assets and liabilities, and any valuation allowance to be recorded against its deferred tax assets. The Company's estimates and assumptions may differ from the actual results as reflected on its income tax returns and will record the required adjustments when they are identified or resolved.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a two-step approach to determining the financial statement recognition and measurement of uncertain tax positions. 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 processes. To make this judgment, the Company must interpret complex and sometimes ambiguous tax laws, regulations and administrative practices. If an income tax position meets the more likely than not recognition 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 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 benefit or an additional charge to the tax provision. The Company's policy is to recognize interest and penalties related to unrecognized tax benefits as a component of the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8"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Comprehensive Income (Loss)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consists of unrealized gains (losses) on marketable securities, net of tax, and derivative financial instruments designated as cash flow hedges, net of tax, which are not included in the Company’s net income. Total comprehensive income includes net income and other comprehensive income (loss) and is included in the consolidated statements of comprehensive income.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Transactions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Net Income Per Share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computed by dividing net income by the weighted-average number of shares outstanding during the period. Diluted net income per share is computed by dividing net income by the weighted-average number of shares outstanding plus potentially dilutive shares outstanding during the period. The potentially dilutive shares are computed by applying the treasury stock method to the Company's stock options, RSUs and the stock purchase rights under the ESPP. Any potential shares that would be anti-dilutive are excluded from the computation of diluted net income per share.</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2023-07 requiring enhanced segment disclosures. The ASU requires disclosure of significant segment expenses regularly provided to the chief operating decision maker ("CODM") included within segment operating profit or loss. Additionally, the ASU requires a description of how the CODM utilizes segment operating profit or loss to assess segment performance. The requirements of the ASU are effective for annual periods beginning after December 15, 2023, and interim periods within fiscal years beginning after December 15, 2024. The Company's annual reporting requirements will be effective for fiscal 2024 and interim reporting requirements will be effective beginning with the first quarter of fiscal 2025. Early adoption is permitted and retrospective application is required for all periods presented. The Company is in the process of analyzing the impact of the ASU on related disclosures.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requiring enhanced income tax disclosures. The ASU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Early adoption is permitted and the amendments should be applied on a prospective basis. Retrospective application is permitted. The Company is in the process of analyzing the impact of the ASU on related disclosures.</w:t>
      </w:r>
    </w:p>
    <w:p>
      <w:pPr>
        <w:pStyle w:val="TextBody"/>
        <w:bidi w:val="0"/>
        <w:spacing w:lineRule="auto" w:line="288"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does not believe any other new accounting pronouncements issued by the FASB that have not become effective will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NOTE 2.     Fair Value of Financial Instruments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69"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Level 1 </w:t>
      </w:r>
      <w:r>
        <w:rPr>
          <w:rFonts w:ascii="Times New Roman;sans-serif" w:hAnsi="Times New Roman;sans-serif"/>
          <w:b w:val="false"/>
          <w:color w:val="000000"/>
          <w:sz w:val="20"/>
        </w:rPr>
        <w:t>- Valuations based on quoted prices in active markets for identical assets or liabilities.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Level 2 </w:t>
      </w:r>
      <w:r>
        <w:rPr>
          <w:rFonts w:ascii="Times New Roman;sans-serif" w:hAnsi="Times New Roman;sans-serif"/>
          <w:b w:val="false"/>
          <w:color w:val="000000"/>
          <w:sz w:val="20"/>
        </w:rPr>
        <w:t>- Valuations based on other than quoted prices in active markets for identical assets and liabilities, including quoted prices for identical assets or liabilities in less active or inactive markets, quoted prices for similar assets or liabilities in active markets, or inputs other than quoted prices that are observable for substantially the full term of the assets or liabilities.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Level 3 </w:t>
      </w:r>
      <w:r>
        <w:rPr>
          <w:rFonts w:ascii="Times New Roman;sans-serif" w:hAnsi="Times New Roman;sans-serif"/>
          <w:b w:val="false"/>
          <w:color w:val="000000"/>
          <w:sz w:val="20"/>
        </w:rPr>
        <w:t>- Valuations based on inputs that are generally unobservable and typically reflect management’s estimates of assumptions that market participants would use in pricing the asset or liability.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foreign government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the fair value of the Company's financial assets and liabilities measured at fair value on a recurring basis:</w:t>
      </w:r>
    </w:p>
    <w:tbl>
      <w:tblPr>
        <w:tblW w:w="7040" w:type="dxa"/>
        <w:jc w:val="left"/>
        <w:tblInd w:w="0" w:type="dxa"/>
        <w:tblLayout w:type="fixed"/>
        <w:tblCellMar>
          <w:top w:w="28" w:type="dxa"/>
          <w:left w:w="28" w:type="dxa"/>
          <w:bottom w:w="28" w:type="dxa"/>
          <w:right w:w="28" w:type="dxa"/>
        </w:tblCellMar>
      </w:tblPr>
      <w:tblGrid>
        <w:gridCol w:w="1198"/>
        <w:gridCol w:w="1056"/>
        <w:gridCol w:w="1061"/>
        <w:gridCol w:w="213"/>
        <w:gridCol w:w="411"/>
        <w:gridCol w:w="110"/>
        <w:gridCol w:w="109"/>
        <w:gridCol w:w="109"/>
        <w:gridCol w:w="109"/>
        <w:gridCol w:w="211"/>
        <w:gridCol w:w="826"/>
        <w:gridCol w:w="109"/>
        <w:gridCol w:w="109"/>
        <w:gridCol w:w="109"/>
        <w:gridCol w:w="109"/>
        <w:gridCol w:w="211"/>
        <w:gridCol w:w="826"/>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agencies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0"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tbl>
      <w:tblPr>
        <w:tblW w:w="7347" w:type="dxa"/>
        <w:jc w:val="left"/>
        <w:tblInd w:w="0" w:type="dxa"/>
        <w:tblLayout w:type="fixed"/>
        <w:tblCellMar>
          <w:top w:w="28" w:type="dxa"/>
          <w:left w:w="28" w:type="dxa"/>
          <w:bottom w:w="28" w:type="dxa"/>
          <w:right w:w="28" w:type="dxa"/>
        </w:tblCellMar>
      </w:tblPr>
      <w:tblGrid>
        <w:gridCol w:w="1198"/>
        <w:gridCol w:w="1056"/>
        <w:gridCol w:w="1061"/>
        <w:gridCol w:w="211"/>
        <w:gridCol w:w="721"/>
        <w:gridCol w:w="109"/>
        <w:gridCol w:w="109"/>
        <w:gridCol w:w="109"/>
        <w:gridCol w:w="109"/>
        <w:gridCol w:w="211"/>
        <w:gridCol w:w="826"/>
        <w:gridCol w:w="109"/>
        <w:gridCol w:w="109"/>
        <w:gridCol w:w="109"/>
        <w:gridCol w:w="109"/>
        <w:gridCol w:w="211"/>
        <w:gridCol w:w="826"/>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agencies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categories during the years ended December 31, 2023 and 2022.</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Cash equivalent and investments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and marketable securities consist of the following:</w:t>
      </w:r>
    </w:p>
    <w:tbl>
      <w:tblPr>
        <w:tblW w:w="10120" w:type="dxa"/>
        <w:jc w:val="left"/>
        <w:tblInd w:w="0" w:type="dxa"/>
        <w:tblLayout w:type="fixed"/>
        <w:tblCellMar>
          <w:top w:w="28" w:type="dxa"/>
          <w:left w:w="28" w:type="dxa"/>
          <w:bottom w:w="28" w:type="dxa"/>
          <w:right w:w="28" w:type="dxa"/>
        </w:tblCellMar>
      </w:tblPr>
      <w:tblGrid>
        <w:gridCol w:w="1201"/>
        <w:gridCol w:w="1053"/>
        <w:gridCol w:w="1060"/>
        <w:gridCol w:w="262"/>
        <w:gridCol w:w="1027"/>
        <w:gridCol w:w="135"/>
        <w:gridCol w:w="109"/>
        <w:gridCol w:w="109"/>
        <w:gridCol w:w="109"/>
        <w:gridCol w:w="422"/>
        <w:gridCol w:w="934"/>
        <w:gridCol w:w="219"/>
        <w:gridCol w:w="109"/>
        <w:gridCol w:w="109"/>
        <w:gridCol w:w="109"/>
        <w:gridCol w:w="429"/>
        <w:gridCol w:w="982"/>
        <w:gridCol w:w="224"/>
        <w:gridCol w:w="109"/>
        <w:gridCol w:w="109"/>
        <w:gridCol w:w="109"/>
        <w:gridCol w:w="211"/>
        <w:gridCol w:w="82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(1)</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agencies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agencies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222,168 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14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agencies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333,113 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(1)Excludes cash of $149.0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1"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tbl>
      <w:tblPr>
        <w:tblW w:w="10118" w:type="dxa"/>
        <w:jc w:val="left"/>
        <w:tblInd w:w="0" w:type="dxa"/>
        <w:tblLayout w:type="fixed"/>
        <w:tblCellMar>
          <w:top w:w="28" w:type="dxa"/>
          <w:left w:w="28" w:type="dxa"/>
          <w:bottom w:w="28" w:type="dxa"/>
          <w:right w:w="28" w:type="dxa"/>
        </w:tblCellMar>
      </w:tblPr>
      <w:tblGrid>
        <w:gridCol w:w="1201"/>
        <w:gridCol w:w="1053"/>
        <w:gridCol w:w="1060"/>
        <w:gridCol w:w="262"/>
        <w:gridCol w:w="1027"/>
        <w:gridCol w:w="135"/>
        <w:gridCol w:w="109"/>
        <w:gridCol w:w="109"/>
        <w:gridCol w:w="109"/>
        <w:gridCol w:w="457"/>
        <w:gridCol w:w="880"/>
        <w:gridCol w:w="237"/>
        <w:gridCol w:w="109"/>
        <w:gridCol w:w="109"/>
        <w:gridCol w:w="109"/>
        <w:gridCol w:w="360"/>
        <w:gridCol w:w="1086"/>
        <w:gridCol w:w="188"/>
        <w:gridCol w:w="109"/>
        <w:gridCol w:w="109"/>
        <w:gridCol w:w="109"/>
        <w:gridCol w:w="211"/>
        <w:gridCol w:w="82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(1)</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agencies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agencies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agencies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322,012 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(1)Excludes cash of $61.2 million.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gross unrealized losses and fair value of the Company's marketable securities that were in an unrealized loss position aggregated by length of time: </w:t>
      </w:r>
    </w:p>
    <w:tbl>
      <w:tblPr>
        <w:tblW w:w="10205" w:type="dxa"/>
        <w:jc w:val="left"/>
        <w:tblInd w:w="0" w:type="dxa"/>
        <w:tblLayout w:type="fixed"/>
        <w:tblCellMar>
          <w:top w:w="28" w:type="dxa"/>
          <w:left w:w="28" w:type="dxa"/>
          <w:bottom w:w="28" w:type="dxa"/>
          <w:right w:w="28" w:type="dxa"/>
        </w:tblCellMar>
      </w:tblPr>
      <w:tblGrid>
        <w:gridCol w:w="635"/>
        <w:gridCol w:w="496"/>
        <w:gridCol w:w="498"/>
        <w:gridCol w:w="211"/>
        <w:gridCol w:w="721"/>
        <w:gridCol w:w="109"/>
        <w:gridCol w:w="109"/>
        <w:gridCol w:w="109"/>
        <w:gridCol w:w="109"/>
        <w:gridCol w:w="369"/>
        <w:gridCol w:w="659"/>
        <w:gridCol w:w="193"/>
        <w:gridCol w:w="109"/>
        <w:gridCol w:w="109"/>
        <w:gridCol w:w="109"/>
        <w:gridCol w:w="211"/>
        <w:gridCol w:w="721"/>
        <w:gridCol w:w="109"/>
        <w:gridCol w:w="109"/>
        <w:gridCol w:w="109"/>
        <w:gridCol w:w="109"/>
        <w:gridCol w:w="321"/>
        <w:gridCol w:w="733"/>
        <w:gridCol w:w="166"/>
        <w:gridCol w:w="109"/>
        <w:gridCol w:w="109"/>
        <w:gridCol w:w="109"/>
        <w:gridCol w:w="211"/>
        <w:gridCol w:w="826"/>
        <w:gridCol w:w="109"/>
        <w:gridCol w:w="109"/>
        <w:gridCol w:w="109"/>
        <w:gridCol w:w="109"/>
        <w:gridCol w:w="315"/>
        <w:gridCol w:w="719"/>
        <w:gridCol w:w="238"/>
      </w:tblGrid>
      <w:tr>
        <w:trPr/>
        <w:tc>
          <w:tcPr>
            <w:tcW w:w="63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longer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agencies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72"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630"/>
        <w:gridCol w:w="478"/>
        <w:gridCol w:w="480"/>
        <w:gridCol w:w="211"/>
        <w:gridCol w:w="826"/>
        <w:gridCol w:w="109"/>
        <w:gridCol w:w="109"/>
        <w:gridCol w:w="109"/>
        <w:gridCol w:w="109"/>
        <w:gridCol w:w="251"/>
        <w:gridCol w:w="819"/>
        <w:gridCol w:w="129"/>
        <w:gridCol w:w="109"/>
        <w:gridCol w:w="109"/>
        <w:gridCol w:w="109"/>
        <w:gridCol w:w="211"/>
        <w:gridCol w:w="721"/>
        <w:gridCol w:w="109"/>
        <w:gridCol w:w="109"/>
        <w:gridCol w:w="109"/>
        <w:gridCol w:w="109"/>
        <w:gridCol w:w="251"/>
        <w:gridCol w:w="819"/>
        <w:gridCol w:w="129"/>
        <w:gridCol w:w="109"/>
        <w:gridCol w:w="109"/>
        <w:gridCol w:w="109"/>
        <w:gridCol w:w="211"/>
        <w:gridCol w:w="826"/>
        <w:gridCol w:w="109"/>
        <w:gridCol w:w="109"/>
        <w:gridCol w:w="109"/>
        <w:gridCol w:w="109"/>
        <w:gridCol w:w="249"/>
        <w:gridCol w:w="814"/>
        <w:gridCol w:w="188"/>
      </w:tblGrid>
      <w:tr>
        <w:trPr/>
        <w:tc>
          <w:tcPr>
            <w:tcW w:w="6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longer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agencies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considered the extent to which any unrealized losses on its marketable securities were driven by credit risk and other factors, including market risk, and if it is more-likely-than-not that the Company would have to sell the security before the recovery of the amortized cost basis. At December 31, 2023 and 2022, the unrealized losses related to its marketable securities were due to rising market interest rates compared to when the investments were initiated. The Company does not believe the unrealized losses represent credit risk, and the Company does not intend to sell any of the securities in an unrealized loss position and it is not likely that the Company would be required to sell these securities before recovery of their amortized cost basis, which may be at maturity. Thus, no credit loss was recognized for the Company's marketable securities for the years ended December 31, 2023 and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fair value of marketable securities by contractual maturity:</w:t>
      </w:r>
    </w:p>
    <w:tbl>
      <w:tblPr>
        <w:tblW w:w="6182" w:type="dxa"/>
        <w:jc w:val="left"/>
        <w:tblInd w:w="0" w:type="dxa"/>
        <w:tblLayout w:type="fixed"/>
        <w:tblCellMar>
          <w:top w:w="28" w:type="dxa"/>
          <w:left w:w="28" w:type="dxa"/>
          <w:bottom w:w="28" w:type="dxa"/>
          <w:right w:w="28" w:type="dxa"/>
        </w:tblCellMar>
      </w:tblPr>
      <w:tblGrid>
        <w:gridCol w:w="1173"/>
        <w:gridCol w:w="1029"/>
        <w:gridCol w:w="1038"/>
        <w:gridCol w:w="262"/>
        <w:gridCol w:w="1027"/>
        <w:gridCol w:w="135"/>
        <w:gridCol w:w="109"/>
        <w:gridCol w:w="109"/>
        <w:gridCol w:w="109"/>
        <w:gridCol w:w="211"/>
        <w:gridCol w:w="82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Two Years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over Two Years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333,113 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Designated cash flow hedges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foreign currency forward contracts to reduce the risk of variability in future cash flow due to foreign currency exchange rate fluctuation from certain forecasted subscription revenue orders billed in GBP and EUR and operation expenses incurred in INR, which are designated as cash flow hedges. Hedge effectiveness is assessed at inception and at each reporting period utilizing regression analysis.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are recognized in earnings.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designated cash flow hedge forward contracts with notional amounts of €48.5 million, £14.6 million and Rs.4,042.0 million. As of December 31, 2022, the Company had designated cash flow hedge forward contracts with notional amounts of €37.4 million, £10.4 million and Rs.3,411.0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3"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a net amount of unrealized loss of $1.5 million before tax on the foreign currency forward contracts for GBP and EUR reported in AOCI is expected to be reclassified into revenue within the next 12 months.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an immaterial amount of unrealized loss before tax on the foreign currency forward contracts for INR reported in AOCI is expected to be reclassified into operating expenses within the next 12 months.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Non-designated forward contracts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uses foreign currency forward contracts to hedge certain foreign currency denominated assets or liabilities, which are not designated as cash flow hedges. Unrealized foreign exchange gain or losses related to the non-designated forward contracts are recorded in other income (expenses), net and offset the foreign exchange gain or loss on the underlying net monetary assets or liabilities.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non-designated forward contracts with notional amounts of €19.2 million, £6.0 million, Rs.440.0 million, and C$1.0 million. As of December 31, 2022, the Company had non-designated forward contracts with notional amounts of €40.2 million, £16.2 million, Rs.484.0 million, and C$3.8 million.</w:t>
      </w:r>
    </w:p>
    <w:p>
      <w:pPr>
        <w:pStyle w:val="TextBody"/>
        <w:bidi w:val="0"/>
        <w:spacing w:before="240" w:after="283"/>
        <w:ind w:left="0" w:right="0" w:firstLine="540"/>
        <w:jc w:val="both"/>
        <w:rPr/>
      </w:pPr>
      <w:r>
        <w:rPr/>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The following summarizes </w:t>
      </w:r>
      <w:r>
        <w:rPr>
          <w:rFonts w:ascii="Times New Roman;sans-serif" w:hAnsi="Times New Roman;sans-serif"/>
          <w:b w:val="false"/>
          <w:color w:val="000000"/>
          <w:sz w:val="20"/>
        </w:rPr>
        <w:t xml:space="preserve">the fair value of </w:t>
      </w:r>
      <w:r>
        <w:rPr>
          <w:rFonts w:ascii="Times New Roman;sans-serif" w:hAnsi="Times New Roman;sans-serif"/>
          <w:b w:val="false"/>
          <w:color w:val="000000"/>
          <w:sz w:val="20"/>
          <w:shd w:fill="FFFFFF" w:val="clear"/>
        </w:rPr>
        <w:t xml:space="preserve">derivative financial instruments as of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and 2022:</w:t>
      </w:r>
    </w:p>
    <w:tbl>
      <w:tblPr>
        <w:tblW w:w="8349" w:type="dxa"/>
        <w:jc w:val="left"/>
        <w:tblInd w:w="0" w:type="dxa"/>
        <w:tblLayout w:type="fixed"/>
        <w:tblCellMar>
          <w:top w:w="28" w:type="dxa"/>
          <w:left w:w="28" w:type="dxa"/>
          <w:bottom w:w="28" w:type="dxa"/>
          <w:right w:w="28" w:type="dxa"/>
        </w:tblCellMar>
      </w:tblPr>
      <w:tblGrid>
        <w:gridCol w:w="2203"/>
        <w:gridCol w:w="1942"/>
        <w:gridCol w:w="1960"/>
        <w:gridCol w:w="211"/>
        <w:gridCol w:w="616"/>
        <w:gridCol w:w="109"/>
        <w:gridCol w:w="109"/>
        <w:gridCol w:w="109"/>
        <w:gridCol w:w="109"/>
        <w:gridCol w:w="211"/>
        <w:gridCol w:w="616"/>
        <w:gridCol w:w="154"/>
      </w:tblGrid>
      <w:tr>
        <w:trPr/>
        <w:tc>
          <w:tcPr>
            <w:tcW w:w="2203"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designated as cash flow hedge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not designated as hedging instruments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designated as cash flow hedge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not designated as hedging instruments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presents its derivative assets and derivative liabilities at gross fair values in the consolidated balance sheets. However, under the master netting agreements with the respective counterparties of the foreign exchange contracts, subject to applicable requirements, the Company is allowed to net settle transactions of the same currency with a single net amount payable by one party to the other. The potential offset to both assets and liabilities under the right of set-off associated with the Company's foreign currency exchange contracts are immaterial as of December 31, 2023 and 2022. The derivatives held by the Company are not subject to any credit contingent features negotiated with its counterparties. The Company is not required to pledge nor is entitled to receive cash collateral related to the above contracts. The counterparties to these derivatives are large, global financial institutions that the Company believes are creditworthy, and therefore, it does not consider the risk of counterparty nonperformance to be material.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gains (losses) recognized from forward contracts and other foreign currency transactions in other income (expense), net in the consolidated statements of operations:</w:t>
      </w:r>
    </w:p>
    <w:tbl>
      <w:tblPr>
        <w:tblW w:w="8202" w:type="dxa"/>
        <w:jc w:val="left"/>
        <w:tblInd w:w="0" w:type="dxa"/>
        <w:tblLayout w:type="fixed"/>
        <w:tblCellMar>
          <w:top w:w="28" w:type="dxa"/>
          <w:left w:w="28" w:type="dxa"/>
          <w:bottom w:w="28" w:type="dxa"/>
          <w:right w:w="28" w:type="dxa"/>
        </w:tblCellMar>
      </w:tblPr>
      <w:tblGrid>
        <w:gridCol w:w="1700"/>
        <w:gridCol w:w="1496"/>
        <w:gridCol w:w="1499"/>
        <w:gridCol w:w="211"/>
        <w:gridCol w:w="541"/>
        <w:gridCol w:w="109"/>
        <w:gridCol w:w="109"/>
        <w:gridCol w:w="109"/>
        <w:gridCol w:w="109"/>
        <w:gridCol w:w="211"/>
        <w:gridCol w:w="691"/>
        <w:gridCol w:w="109"/>
        <w:gridCol w:w="109"/>
        <w:gridCol w:w="109"/>
        <w:gridCol w:w="109"/>
        <w:gridCol w:w="211"/>
        <w:gridCol w:w="616"/>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gains from non-designated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currency transactions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 exchange losses,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4"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3.     Accumulated Other Comprehensive Income (Loss)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and changes in accumulated other comprehensive income (loss) were as follows:</w:t>
      </w:r>
    </w:p>
    <w:tbl>
      <w:tblPr>
        <w:tblW w:w="10205" w:type="dxa"/>
        <w:jc w:val="left"/>
        <w:tblInd w:w="0" w:type="dxa"/>
        <w:tblLayout w:type="fixed"/>
        <w:tblCellMar>
          <w:top w:w="28" w:type="dxa"/>
          <w:left w:w="28" w:type="dxa"/>
          <w:bottom w:w="28" w:type="dxa"/>
          <w:right w:w="28" w:type="dxa"/>
        </w:tblCellMar>
      </w:tblPr>
      <w:tblGrid>
        <w:gridCol w:w="1526"/>
        <w:gridCol w:w="1334"/>
        <w:gridCol w:w="1342"/>
        <w:gridCol w:w="628"/>
        <w:gridCol w:w="1837"/>
        <w:gridCol w:w="327"/>
        <w:gridCol w:w="109"/>
        <w:gridCol w:w="109"/>
        <w:gridCol w:w="109"/>
        <w:gridCol w:w="314"/>
        <w:gridCol w:w="1026"/>
        <w:gridCol w:w="162"/>
        <w:gridCol w:w="109"/>
        <w:gridCol w:w="109"/>
        <w:gridCol w:w="109"/>
        <w:gridCol w:w="211"/>
        <w:gridCol w:w="686"/>
        <w:gridCol w:w="158"/>
      </w:tblGrid>
      <w:tr>
        <w:trPr/>
        <w:tc>
          <w:tcPr>
            <w:tcW w:w="152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Available-for-sale debt securities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Cash flow hedges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2020</w:t>
            </w:r>
          </w:p>
        </w:tc>
        <w:tc>
          <w:tcPr>
            <w:tcW w:w="6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(losses) during the period</w:t>
            </w:r>
          </w:p>
        </w:tc>
        <w:tc>
          <w:tcPr>
            <w:tcW w:w="2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reclassified into income during the period</w:t>
            </w:r>
          </w:p>
        </w:tc>
        <w:tc>
          <w:tcPr>
            <w:tcW w:w="2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2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during the period</w:t>
            </w:r>
          </w:p>
        </w:tc>
        <w:tc>
          <w:tcPr>
            <w:tcW w:w="2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2021</w:t>
            </w:r>
          </w:p>
        </w:tc>
        <w:tc>
          <w:tcPr>
            <w:tcW w:w="2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(losses) during the period</w:t>
            </w:r>
          </w:p>
        </w:tc>
        <w:tc>
          <w:tcPr>
            <w:tcW w:w="24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w:t>
            </w:r>
          </w:p>
        </w:tc>
        <w:tc>
          <w:tcPr>
            <w:tcW w:w="3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reclassified into income during the period</w:t>
            </w:r>
          </w:p>
        </w:tc>
        <w:tc>
          <w:tcPr>
            <w:tcW w:w="2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2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during the period</w:t>
            </w:r>
          </w:p>
        </w:tc>
        <w:tc>
          <w:tcPr>
            <w:tcW w:w="2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2022</w:t>
            </w:r>
          </w:p>
        </w:tc>
        <w:tc>
          <w:tcPr>
            <w:tcW w:w="2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(losses) during the period</w:t>
            </w:r>
          </w:p>
        </w:tc>
        <w:tc>
          <w:tcPr>
            <w:tcW w:w="24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reclassified into income during the period</w:t>
            </w:r>
          </w:p>
        </w:tc>
        <w:tc>
          <w:tcPr>
            <w:tcW w:w="2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2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during the period</w:t>
            </w:r>
          </w:p>
        </w:tc>
        <w:tc>
          <w:tcPr>
            <w:tcW w:w="2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2023</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on income before income taxes of amounts reclassified from AOCI to the consolidated statements of operations were as follows:</w:t>
      </w:r>
    </w:p>
    <w:tbl>
      <w:tblPr>
        <w:tblW w:w="8547" w:type="dxa"/>
        <w:jc w:val="left"/>
        <w:tblInd w:w="0" w:type="dxa"/>
        <w:tblLayout w:type="fixed"/>
        <w:tblCellMar>
          <w:top w:w="28" w:type="dxa"/>
          <w:left w:w="28" w:type="dxa"/>
          <w:bottom w:w="28" w:type="dxa"/>
          <w:right w:w="28" w:type="dxa"/>
        </w:tblCellMar>
      </w:tblPr>
      <w:tblGrid>
        <w:gridCol w:w="1799"/>
        <w:gridCol w:w="1580"/>
        <w:gridCol w:w="1586"/>
        <w:gridCol w:w="211"/>
        <w:gridCol w:w="616"/>
        <w:gridCol w:w="109"/>
        <w:gridCol w:w="109"/>
        <w:gridCol w:w="109"/>
        <w:gridCol w:w="109"/>
        <w:gridCol w:w="211"/>
        <w:gridCol w:w="616"/>
        <w:gridCol w:w="109"/>
        <w:gridCol w:w="109"/>
        <w:gridCol w:w="109"/>
        <w:gridCol w:w="109"/>
        <w:gridCol w:w="211"/>
        <w:gridCol w:w="691"/>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AOCI - Available-for-sale debt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AOCI - Cash flow hedges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5" name="Frame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48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NOTE 4.     Property and Equipment, 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which includes assets under finance leases, consists of the following: </w:t>
      </w:r>
    </w:p>
    <w:tbl>
      <w:tblPr>
        <w:tblW w:w="6774" w:type="dxa"/>
        <w:jc w:val="left"/>
        <w:tblInd w:w="0" w:type="dxa"/>
        <w:tblLayout w:type="fixed"/>
        <w:tblCellMar>
          <w:top w:w="28" w:type="dxa"/>
          <w:left w:w="28" w:type="dxa"/>
          <w:bottom w:w="28" w:type="dxa"/>
          <w:right w:w="28" w:type="dxa"/>
        </w:tblCellMar>
      </w:tblPr>
      <w:tblGrid>
        <w:gridCol w:w="1489"/>
        <w:gridCol w:w="1306"/>
        <w:gridCol w:w="1315"/>
        <w:gridCol w:w="211"/>
        <w:gridCol w:w="826"/>
        <w:gridCol w:w="109"/>
        <w:gridCol w:w="109"/>
        <w:gridCol w:w="109"/>
        <w:gridCol w:w="109"/>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Scanner appliances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2022, physical scanner appliances and other computer equipment that are or will be subject to leases by customers had a net carrying value of $10.1 million and $6.7 million, respectively, including assets that had not been placed in service of $6.4 million and $4.0 million, respectively.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Depreciation and amortization expenses relating to property and equipment were $23.9 million, $28.2 million and $28.5 million for the years ended</w:t>
      </w:r>
      <w:r>
        <w:rPr>
          <w:color w:val="000000"/>
        </w:rPr>
        <w:t xml:space="preserve">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2022 and 2021, respectively, which were mainly recorded in cost of revenues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5.     Revenue from Contracts with Customers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Company records deferred revenue when cash payments are received or due in advance of its performance obligations offset by revenue recognized in the period. Revenues of </w:t>
      </w:r>
      <w:r>
        <w:rPr>
          <w:rFonts w:ascii="Times New Roman;sans-serif" w:hAnsi="Times New Roman;sans-serif"/>
          <w:b w:val="false"/>
          <w:color w:val="000000"/>
          <w:sz w:val="20"/>
          <w:shd w:fill="FFFFFF" w:val="clear"/>
        </w:rPr>
        <w:t xml:space="preserve">$292.2 million and $254.9 million were recognized during the years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xml:space="preserve">, respectively, which amounts were included in the deferred revenue balances of $317.2 million and $290.6 million as of </w:t>
      </w:r>
      <w:r>
        <w:rPr>
          <w:rFonts w:ascii="Times New Roman;sans-serif" w:hAnsi="Times New Roman;sans-serif"/>
          <w:b w:val="false"/>
          <w:color w:val="000000"/>
          <w:sz w:val="20"/>
        </w:rPr>
        <w:t>December 31, 2022</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2021</w:t>
      </w:r>
      <w:r>
        <w:rPr>
          <w:rFonts w:ascii="Times New Roman;sans-serif" w:hAnsi="Times New Roman;sans-serif"/>
          <w:b w:val="false"/>
          <w:color w:val="000000"/>
          <w:sz w:val="20"/>
          <w:shd w:fill="FFFFFF" w:val="clear"/>
        </w:rPr>
        <w:t>, respectively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expected revenue from all remaining performance obligations as of December 31, 2023:</w:t>
      </w:r>
    </w:p>
    <w:tbl>
      <w:tblPr>
        <w:tblW w:w="3014" w:type="dxa"/>
        <w:jc w:val="left"/>
        <w:tblInd w:w="0" w:type="dxa"/>
        <w:tblLayout w:type="fixed"/>
        <w:tblCellMar>
          <w:top w:w="28" w:type="dxa"/>
          <w:left w:w="28" w:type="dxa"/>
          <w:bottom w:w="28" w:type="dxa"/>
          <w:right w:w="28" w:type="dxa"/>
        </w:tblCellMar>
      </w:tblPr>
      <w:tblGrid>
        <w:gridCol w:w="612"/>
        <w:gridCol w:w="537"/>
        <w:gridCol w:w="545"/>
        <w:gridCol w:w="234"/>
        <w:gridCol w:w="916"/>
        <w:gridCol w:w="170"/>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200,872 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374,415 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76"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contracts with customers that extend beyond one year, with certain of its customers electing to pay for more than one year of services upon contract execution. The Company concluded that these contracts did not contain a financing component.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sales channel are as follows:</w:t>
      </w:r>
    </w:p>
    <w:tbl>
      <w:tblPr>
        <w:tblW w:w="4828" w:type="dxa"/>
        <w:jc w:val="left"/>
        <w:tblInd w:w="0" w:type="dxa"/>
        <w:tblLayout w:type="fixed"/>
        <w:tblCellMar>
          <w:top w:w="28" w:type="dxa"/>
          <w:left w:w="28" w:type="dxa"/>
          <w:bottom w:w="28" w:type="dxa"/>
          <w:right w:w="28" w:type="dxa"/>
        </w:tblCellMar>
      </w:tblPr>
      <w:tblGrid>
        <w:gridCol w:w="250"/>
        <w:gridCol w:w="219"/>
        <w:gridCol w:w="222"/>
        <w:gridCol w:w="211"/>
        <w:gridCol w:w="826"/>
        <w:gridCol w:w="109"/>
        <w:gridCol w:w="109"/>
        <w:gridCol w:w="109"/>
        <w:gridCol w:w="109"/>
        <w:gridCol w:w="211"/>
        <w:gridCol w:w="826"/>
        <w:gridCol w:w="109"/>
        <w:gridCol w:w="109"/>
        <w:gridCol w:w="109"/>
        <w:gridCol w:w="109"/>
        <w:gridCol w:w="211"/>
        <w:gridCol w:w="826"/>
        <w:gridCol w:w="15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13, "Segment and Geographic Area Information" for disaggregation of revenue by geographic area.</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costs to obtain contracts are as follows:</w:t>
      </w:r>
    </w:p>
    <w:tbl>
      <w:tblPr>
        <w:tblW w:w="3490" w:type="dxa"/>
        <w:jc w:val="left"/>
        <w:tblInd w:w="0" w:type="dxa"/>
        <w:tblLayout w:type="fixed"/>
        <w:tblCellMar>
          <w:top w:w="28" w:type="dxa"/>
          <w:left w:w="28" w:type="dxa"/>
          <w:bottom w:w="28" w:type="dxa"/>
          <w:right w:w="28" w:type="dxa"/>
        </w:tblCellMar>
      </w:tblPr>
      <w:tblGrid>
        <w:gridCol w:w="374"/>
        <w:gridCol w:w="329"/>
        <w:gridCol w:w="333"/>
        <w:gridCol w:w="211"/>
        <w:gridCol w:w="721"/>
        <w:gridCol w:w="109"/>
        <w:gridCol w:w="109"/>
        <w:gridCol w:w="109"/>
        <w:gridCol w:w="109"/>
        <w:gridCol w:w="211"/>
        <w:gridCol w:w="721"/>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For the years ended</w:t>
      </w:r>
      <w:r>
        <w:rPr>
          <w:color w:val="000000"/>
        </w:rPr>
        <w:t xml:space="preserve">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2022 and 2021, the Company recognized $6.0 million, $5.0 million and $4.0 million, respectively, of amortization expense relating to deferred costs to obtain contracts </w:t>
      </w:r>
      <w:r>
        <w:rPr>
          <w:rFonts w:ascii="Times New Roman;sans-serif" w:hAnsi="Times New Roman;sans-serif"/>
          <w:b w:val="false"/>
          <w:color w:val="000000"/>
          <w:sz w:val="20"/>
        </w:rPr>
        <w:t>in sales and marketing expense in the consolidated statements of operations.</w:t>
      </w:r>
      <w:r>
        <w:rPr>
          <w:color w:val="000000"/>
          <w:shd w:fill="FFFFFF" w:val="clear"/>
        </w:rPr>
        <w:t xml:space="preserve"> </w:t>
      </w:r>
      <w:r>
        <w:rPr>
          <w:rFonts w:ascii="Times New Roman;sans-serif" w:hAnsi="Times New Roman;sans-serif"/>
          <w:b w:val="false"/>
          <w:color w:val="000000"/>
          <w:sz w:val="20"/>
          <w:shd w:fill="FFFFFF" w:val="clear"/>
        </w:rPr>
        <w:t>During the same periods, there was no impairment loss related to the deferred costs to obtain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6.     Acquisitions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4, 2022, the Company acquired certain assets of Blue Hexagon Inc., a privately held company incorporated in Delaware, for $10.0 million in cash, of which $8.5 million was paid on the acquisition date and the remaining $1.5 million will be due eighteen months from the acquisition date, subject to potential adjustment from possible indemnity claims. In addition, the Company assumed $1.4 million deferred revenue. Blue Hexagon's AI/ML-driven network detection enables the Company to leverage its cloud platform with AI/machine learning to uncover behavior patterns including active vulnerability exploitation, identification of advanced network threats, and adaptive risk mitigation across all assets and application. The Company accounted for this transaction as an asset acquisition, as substantially all of the fair value is concentrated in developed technology acquired. The Company incurred $0.6 million transaction costs which is included as the cost of acquiring the intangible assets. The Company recognized intangible assets of $11.5 million for developed technology and $0.4 million for assembled workforce, which will be amortized over five years and two years, respectively.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19, 2021, the Company acquired certain developed technology intangible assets of TotalCloud, a privately held company incorporated in India, for a total cash consideration of $1.2 million, of which $1.1 million was paid on the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77"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and the remaining $0.1 million was deferred and paid in August 2022. TotalCloud's technology strengthens the Company's cloud security solution by allowing customers to build user-defined workflows for custom policies and execute them on-demand for simplified security and compliance. The acquired intangible assets will be amortized over five years.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carrying amount of goodwill for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7.     Intangible Assets, 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primarily of developed technology and patent licenses acquired from business or asset acquisitions. Acquired intangibles are amortized on a straight-line basis over the respective estimated useful lives of the assets.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intangible assets are as follows:</w:t>
      </w:r>
    </w:p>
    <w:tbl>
      <w:tblPr>
        <w:tblW w:w="10205" w:type="dxa"/>
        <w:jc w:val="left"/>
        <w:tblInd w:w="0" w:type="dxa"/>
        <w:tblLayout w:type="fixed"/>
        <w:tblCellMar>
          <w:top w:w="28" w:type="dxa"/>
          <w:left w:w="28" w:type="dxa"/>
          <w:bottom w:w="28" w:type="dxa"/>
          <w:right w:w="28" w:type="dxa"/>
        </w:tblCellMar>
      </w:tblPr>
      <w:tblGrid>
        <w:gridCol w:w="872"/>
        <w:gridCol w:w="666"/>
        <w:gridCol w:w="667"/>
        <w:gridCol w:w="109"/>
        <w:gridCol w:w="109"/>
        <w:gridCol w:w="109"/>
        <w:gridCol w:w="469"/>
        <w:gridCol w:w="469"/>
        <w:gridCol w:w="470"/>
        <w:gridCol w:w="109"/>
        <w:gridCol w:w="109"/>
        <w:gridCol w:w="109"/>
        <w:gridCol w:w="488"/>
        <w:gridCol w:w="488"/>
        <w:gridCol w:w="490"/>
        <w:gridCol w:w="109"/>
        <w:gridCol w:w="109"/>
        <w:gridCol w:w="109"/>
        <w:gridCol w:w="211"/>
        <w:gridCol w:w="721"/>
        <w:gridCol w:w="109"/>
        <w:gridCol w:w="109"/>
        <w:gridCol w:w="109"/>
        <w:gridCol w:w="109"/>
        <w:gridCol w:w="251"/>
        <w:gridCol w:w="880"/>
        <w:gridCol w:w="131"/>
        <w:gridCol w:w="109"/>
        <w:gridCol w:w="109"/>
        <w:gridCol w:w="109"/>
        <w:gridCol w:w="254"/>
        <w:gridCol w:w="742"/>
        <w:gridCol w:w="192"/>
      </w:tblGrid>
      <w:tr>
        <w:trPr/>
        <w:tc>
          <w:tcPr>
            <w:tcW w:w="87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Life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w:t>
              <w:br/>
              <w:t>Remaining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Book Value</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Assembled workforce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 subject to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4"/>
        <w:gridCol w:w="658"/>
        <w:gridCol w:w="659"/>
        <w:gridCol w:w="109"/>
        <w:gridCol w:w="109"/>
        <w:gridCol w:w="109"/>
        <w:gridCol w:w="465"/>
        <w:gridCol w:w="465"/>
        <w:gridCol w:w="466"/>
        <w:gridCol w:w="109"/>
        <w:gridCol w:w="109"/>
        <w:gridCol w:w="109"/>
        <w:gridCol w:w="485"/>
        <w:gridCol w:w="485"/>
        <w:gridCol w:w="486"/>
        <w:gridCol w:w="109"/>
        <w:gridCol w:w="109"/>
        <w:gridCol w:w="109"/>
        <w:gridCol w:w="211"/>
        <w:gridCol w:w="721"/>
        <w:gridCol w:w="109"/>
        <w:gridCol w:w="109"/>
        <w:gridCol w:w="109"/>
        <w:gridCol w:w="109"/>
        <w:gridCol w:w="248"/>
        <w:gridCol w:w="872"/>
        <w:gridCol w:w="130"/>
        <w:gridCol w:w="109"/>
        <w:gridCol w:w="109"/>
        <w:gridCol w:w="109"/>
        <w:gridCol w:w="240"/>
        <w:gridCol w:w="823"/>
        <w:gridCol w:w="183"/>
      </w:tblGrid>
      <w:tr>
        <w:trPr/>
        <w:tc>
          <w:tcPr>
            <w:tcW w:w="8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Life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w:t>
              <w:br/>
              <w:t>Remaining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Book Value</w:t>
            </w:r>
          </w:p>
        </w:tc>
      </w:tr>
      <w:tr>
        <w:trPr/>
        <w:tc>
          <w:tcPr>
            <w:tcW w:w="2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Assembled workforce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 subject to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Intangible assets amortization expenses were $3.1 million, $5.7 million and $6.7 million for the </w:t>
      </w:r>
      <w:r>
        <w:rPr>
          <w:rFonts w:ascii="Times New Roman;sans-serif" w:hAnsi="Times New Roman;sans-serif"/>
          <w:b w:val="false"/>
          <w:color w:val="000000"/>
          <w:sz w:val="20"/>
        </w:rPr>
        <w:t>years ended December 31, 2023, 2022 and 2021, respectively, which were recorded in the consolidated statements of operations.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expects amortization expense in future periods to be as follows:</w:t>
      </w:r>
    </w:p>
    <w:tbl>
      <w:tblPr>
        <w:tblW w:w="4964" w:type="dxa"/>
        <w:jc w:val="left"/>
        <w:tblInd w:w="0" w:type="dxa"/>
        <w:tblLayout w:type="fixed"/>
        <w:tblCellMar>
          <w:top w:w="28" w:type="dxa"/>
          <w:left w:w="28" w:type="dxa"/>
          <w:bottom w:w="28" w:type="dxa"/>
          <w:right w:w="28" w:type="dxa"/>
        </w:tblCellMar>
      </w:tblPr>
      <w:tblGrid>
        <w:gridCol w:w="1318"/>
        <w:gridCol w:w="1157"/>
        <w:gridCol w:w="1170"/>
        <w:gridCol w:w="283"/>
        <w:gridCol w:w="829"/>
        <w:gridCol w:w="207"/>
      </w:tblGrid>
      <w:tr>
        <w:trPr/>
        <w:tc>
          <w:tcPr>
            <w:tcW w:w="131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expected future amortization expense</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78" name="Frame7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The Company leases certain offices, computer equipment and its shared cloud platform facilities under non-cancelable operating leases for varying periods through 2028.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$16.1 million, $14.9 million and $16.8 million for the years ended</w:t>
      </w:r>
      <w:r>
        <w:rPr>
          <w:color w:val="000000"/>
        </w:rPr>
        <w:t xml:space="preserve">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2022 and 2021, respectively.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was as follows:</w:t>
      </w:r>
    </w:p>
    <w:tbl>
      <w:tblPr>
        <w:tblW w:w="9041" w:type="dxa"/>
        <w:jc w:val="left"/>
        <w:tblInd w:w="0" w:type="dxa"/>
        <w:tblLayout w:type="fixed"/>
        <w:tblCellMar>
          <w:top w:w="28" w:type="dxa"/>
          <w:left w:w="28" w:type="dxa"/>
          <w:bottom w:w="28" w:type="dxa"/>
          <w:right w:w="28" w:type="dxa"/>
        </w:tblCellMar>
      </w:tblPr>
      <w:tblGrid>
        <w:gridCol w:w="1892"/>
        <w:gridCol w:w="1659"/>
        <w:gridCol w:w="1668"/>
        <w:gridCol w:w="211"/>
        <w:gridCol w:w="721"/>
        <w:gridCol w:w="109"/>
        <w:gridCol w:w="109"/>
        <w:gridCol w:w="109"/>
        <w:gridCol w:w="109"/>
        <w:gridCol w:w="211"/>
        <w:gridCol w:w="721"/>
        <w:gridCol w:w="109"/>
        <w:gridCol w:w="109"/>
        <w:gridCol w:w="109"/>
        <w:gridCol w:w="109"/>
        <w:gridCol w:w="211"/>
        <w:gridCol w:w="721"/>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included in the measurement of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arising from obtaining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and the weighted average discount rate of the Company's operating leases were as follows:</w:t>
      </w:r>
    </w:p>
    <w:tbl>
      <w:tblPr>
        <w:tblW w:w="5670" w:type="dxa"/>
        <w:jc w:val="left"/>
        <w:tblInd w:w="0" w:type="dxa"/>
        <w:tblLayout w:type="fixed"/>
        <w:tblCellMar>
          <w:top w:w="28" w:type="dxa"/>
          <w:left w:w="28" w:type="dxa"/>
          <w:bottom w:w="28" w:type="dxa"/>
          <w:right w:w="28" w:type="dxa"/>
        </w:tblCellMar>
      </w:tblPr>
      <w:tblGrid>
        <w:gridCol w:w="1410"/>
        <w:gridCol w:w="1241"/>
        <w:gridCol w:w="1249"/>
        <w:gridCol w:w="203"/>
        <w:gridCol w:w="203"/>
        <w:gridCol w:w="292"/>
        <w:gridCol w:w="109"/>
        <w:gridCol w:w="109"/>
        <w:gridCol w:w="109"/>
        <w:gridCol w:w="203"/>
        <w:gridCol w:w="203"/>
        <w:gridCol w:w="339"/>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the Company's operating lease liabilities as of December 31, 2023 are as follows:</w:t>
      </w:r>
    </w:p>
    <w:tbl>
      <w:tblPr>
        <w:tblW w:w="5173" w:type="dxa"/>
        <w:jc w:val="left"/>
        <w:tblInd w:w="0" w:type="dxa"/>
        <w:tblLayout w:type="fixed"/>
        <w:tblCellMar>
          <w:top w:w="28" w:type="dxa"/>
          <w:left w:w="28" w:type="dxa"/>
          <w:bottom w:w="28" w:type="dxa"/>
          <w:right w:w="28" w:type="dxa"/>
        </w:tblCellMar>
      </w:tblPr>
      <w:tblGrid>
        <w:gridCol w:w="1378"/>
        <w:gridCol w:w="1210"/>
        <w:gridCol w:w="1221"/>
        <w:gridCol w:w="265"/>
        <w:gridCol w:w="906"/>
        <w:gridCol w:w="193"/>
      </w:tblGrid>
      <w:tr>
        <w:trPr/>
        <w:tc>
          <w:tcPr>
            <w:tcW w:w="137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net minimum lease payments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liabilities, current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16,885 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79" name="Frame7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9.     Commitment and Contingencies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Purchase Obligation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agreements to purchase goods and services in the ordinary course of business. As of December 31, 2023, these remaining purchase commitments for future periods are as follows:</w:t>
      </w:r>
    </w:p>
    <w:tbl>
      <w:tblPr>
        <w:tblW w:w="3780" w:type="dxa"/>
        <w:jc w:val="left"/>
        <w:tblInd w:w="0" w:type="dxa"/>
        <w:tblLayout w:type="fixed"/>
        <w:tblCellMar>
          <w:top w:w="28" w:type="dxa"/>
          <w:left w:w="28" w:type="dxa"/>
          <w:bottom w:w="28" w:type="dxa"/>
          <w:right w:w="28" w:type="dxa"/>
        </w:tblCellMar>
      </w:tblPr>
      <w:tblGrid>
        <w:gridCol w:w="890"/>
        <w:gridCol w:w="781"/>
        <w:gridCol w:w="789"/>
        <w:gridCol w:w="256"/>
        <w:gridCol w:w="877"/>
        <w:gridCol w:w="187"/>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Indemnifications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director and officer insurance, which may cover certain liabilities arising from its obligation to indemnify its directors.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involved in legal proceedings or be subject to claims arising in the ordinary course of the Company's business. The Company records a provision for a liability when it is both probable that a liability has been incurred and the amount can be reasonably estimated. Legal expenses related to such matters are expensed as incurred. The Company provides disclosure if it is reasonably possible that a loss has been incurred and a range of loss or possible loss can be reasonably estimated. Significant judgment is required to determine both probability and the estimated amount. The Company reviews these provisions at least quarterly and adjust these provisions to reflect the impact of negotiations, settlements, rulings, advice of legal counsel, and updated information.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10.     Stockholders' Equity and Stock-based Compensation</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Effective October 3, 2012, the Company is authorized to issue 20.0 million shares of undesignated preferred stock with a par value of $0.001 per share. Each series of preferred stock will have such rights and preferences including dividend rights, dividend rate, conversion rights, voting rights, rights and terms of redemption (including sinking fund provisions), redemption price, and liquidation preferences as determined by the board of directors. As of December 31, 2023, and 2022, there were no issued or outstanding shares of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80" name="Frame7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Equity Incentive Plan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2012 Equity Incentive Plan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2012 Equity Incentive Plan (“Previous 2012 Plan”) was adopted and approved in September 2012 and became effective on September 26, 2012. Under the Previous 2012 Plan, the Company is authorized to grant to eligible participant’s incentive stock options ("ISOs"), nonstatutory stock options ("NSOs"), stock appreciation rights (“SARs”), restricted stock awards, restricted stock units ("RSUs"), performance units and performance shares. The number of shares of common stock available for issuance under the Previous 2012 Plan is subject to an annual increase on January 1 of each year by an amount equal to the least of 3,050 thousand shares, 5% of the outstanding shares of stock as of the last day of the immediately preceding fiscal year or an amount determined by the board of directors. For the year ended December 31, 2023, no shares were added to the Previous 2012 Plan.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8, 2022 ("Effective Date"), the Company's stockholders approved the Amended and Restated 2012 Equity Incentive Plan (the "Restated 2012 Plan"). Under the Restated 2012 Plan, the Company is authorized to grant to eligible participants ISOs, NSOs, restricted stock, RSUs, SARs, performance units and performance shares. Pursuant to the relevant plan provisions, 3,072 thousand shares were available for grant under the Restated 2012 Plan on the Effective Date. In addition, any outstanding awards or options granted under the Previous 2012 Equity Incentive Plan will be added back to the shares available for grant under the Restated 2012 Plan if they expire unexercised or are otherwise forfeited after the Effective Date. Any remaining shares of 9,689 thousand available for grant under the Previous 2012 Plan as of the Effective Date were no longer available for future grants under the Restated 2012 Plan. As of December 31, 2023, 1,824 thousand shares are available for future grants. Options may be granted with an exercise price that is at least equal to the fair market value of the Company's stock at the date of grant and are exercisable when vested. Options and RSU's granted generally vest over a period of up to four years. ISOs may only be granted to employees and any subsidiary corporations' employees. All other awards may be granted to employees, directors and consultants and subsidiary corporations' employees and consultants. Options, SARs, RSUs, performance units and performance awards may be granted with vesting terms as determined by the board of directors and expire no more than ten years after the date of grant or earlier if employment or service is terminated.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2021 Employee Stock Purchase Plan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2021, the Company’s stockholders approved the 2021 ESPP. A total of 600 thousand shares were authorized for issuance to eligible participating employees upon adoption of the ESPP.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During the year ended December 31, 2023, 60 thousand shares </w:t>
      </w:r>
      <w:r>
        <w:rPr>
          <w:rFonts w:ascii="Times New Roman;sans-serif" w:hAnsi="Times New Roman;sans-serif"/>
          <w:b w:val="false"/>
          <w:color w:val="000000"/>
          <w:sz w:val="20"/>
          <w:shd w:fill="FFFFFF" w:val="clear"/>
        </w:rPr>
        <w:t xml:space="preserve">were issued in connection with the purchase of common stock by participating employees. </w:t>
      </w:r>
      <w:r>
        <w:rPr>
          <w:rFonts w:ascii="Times New Roman;sans-serif" w:hAnsi="Times New Roman;sans-serif"/>
          <w:b w:val="false"/>
          <w:color w:val="000000"/>
          <w:sz w:val="20"/>
        </w:rPr>
        <w:t xml:space="preserve">As of December 31, 2023, 494 thousand shares were available for future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81" name="Frame7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the stock-based compensation expenses included in the consolidated statements of operations for the years ended December 31, 2023, 2022 and 2021:</w:t>
      </w:r>
    </w:p>
    <w:tbl>
      <w:tblPr>
        <w:tblW w:w="9072" w:type="dxa"/>
        <w:jc w:val="left"/>
        <w:tblInd w:w="0" w:type="dxa"/>
        <w:tblLayout w:type="fixed"/>
        <w:tblCellMar>
          <w:top w:w="28" w:type="dxa"/>
          <w:left w:w="28" w:type="dxa"/>
          <w:bottom w:w="28" w:type="dxa"/>
          <w:right w:w="28" w:type="dxa"/>
        </w:tblCellMar>
      </w:tblPr>
      <w:tblGrid>
        <w:gridCol w:w="1898"/>
        <w:gridCol w:w="1673"/>
        <w:gridCol w:w="1679"/>
        <w:gridCol w:w="211"/>
        <w:gridCol w:w="721"/>
        <w:gridCol w:w="109"/>
        <w:gridCol w:w="109"/>
        <w:gridCol w:w="109"/>
        <w:gridCol w:w="109"/>
        <w:gridCol w:w="211"/>
        <w:gridCol w:w="721"/>
        <w:gridCol w:w="109"/>
        <w:gridCol w:w="109"/>
        <w:gridCol w:w="109"/>
        <w:gridCol w:w="109"/>
        <w:gridCol w:w="211"/>
        <w:gridCol w:w="721"/>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net of amounts capitalized (1)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(1)Total stock-based compensation expense capitalized was de minimis during the year ended December 31, 2023.</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income tax benefit related to the stock-based compensation expenses was </w:t>
      </w:r>
      <w:r>
        <w:rPr>
          <w:rFonts w:ascii="Times New Roman;sans-serif" w:hAnsi="Times New Roman;sans-serif"/>
          <w:b w:val="false"/>
          <w:color w:val="000000"/>
          <w:sz w:val="20"/>
          <w:shd w:fill="FFFFFF" w:val="clear"/>
        </w:rPr>
        <w:t xml:space="preserve">$11.0 million, $8.3 million and </w:t>
      </w:r>
      <w:r>
        <w:rPr>
          <w:rFonts w:ascii="Times New Roman;sans-serif" w:hAnsi="Times New Roman;sans-serif"/>
          <w:b w:val="false"/>
          <w:color w:val="000000"/>
          <w:sz w:val="20"/>
        </w:rPr>
        <w:t xml:space="preserve">$6.2 million for the years ended December 31, 2023, 2022 and 2021, respectively. The tax benefit realized from stock-based compensation vested or exercised was </w:t>
      </w:r>
      <w:r>
        <w:rPr>
          <w:rFonts w:ascii="Times New Roman;sans-serif" w:hAnsi="Times New Roman;sans-serif"/>
          <w:b w:val="false"/>
          <w:color w:val="000000"/>
          <w:sz w:val="20"/>
          <w:shd w:fill="FFFFFF" w:val="clear"/>
        </w:rPr>
        <w:t>$5.9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$7.0 million</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shd w:fill="FFFFFF" w:val="clear"/>
        </w:rPr>
        <w:t>$4.9 million</w:t>
      </w:r>
      <w:r>
        <w:rPr>
          <w:color w:val="000000"/>
        </w:rPr>
        <w:t xml:space="preserve"> </w:t>
      </w:r>
      <w:r>
        <w:rPr>
          <w:rFonts w:ascii="Times New Roman;sans-serif" w:hAnsi="Times New Roman;sans-serif"/>
          <w:b w:val="false"/>
          <w:color w:val="000000"/>
          <w:sz w:val="20"/>
        </w:rPr>
        <w:t xml:space="preserve">for the years ended December 31, 2023, 2022 and 2021, respectively. </w:t>
      </w:r>
      <w:r>
        <w:rPr>
          <w:rFonts w:ascii="Times New Roman;sans-serif" w:hAnsi="Times New Roman;sans-serif"/>
          <w:b w:val="false"/>
          <w:color w:val="000000"/>
          <w:sz w:val="20"/>
          <w:shd w:fill="FFFFFF" w:val="clear"/>
        </w:rPr>
        <w:t>As of</w:t>
      </w:r>
      <w:r>
        <w:rPr>
          <w:color w:val="000000"/>
        </w:rPr>
        <w:t xml:space="preserve">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the Company had unrecognized stock-based compensation expenses of $23.3 million, $94.3 million, $1.4 million, and $0.3 million related to options, RSUs, performance-based RSUs, and ESPP, respectively, which are expected to be recognized over weighted-average periods of 2.6 years, 2.8 years, 0.6 years, and 0.1 years,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Performance-Based Stock Options and Restricted Stock Units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2018, the Compensation and Talent committee of the Company's board of directors (“Compensation Committee”) granted the equity award for 2019 to the Company’s former chief executive officer, Philippe Courtot (“Mr. Courtot”). The first portion of the award consisted of 56 thousand RSUs that were scheduled to vest in 16 quarterly increments beginning on January 1, 2019. The second portion of the award consisted of a target number of 33 thousand PSUs, which were scheduled to vest at the end of the three-year performance period from January 2019 through December 2021. The actual number of PSUs eligible to vest ranged from 0% to 200% of the target number, depending on the level of achievement of goals related to revenue growth during the three-year performance period from January 2019 through December 2021 and Adjusted EBITDA margin for the fiscal year of 2021. The third portion of the award consisted of a target number of 33 thousand PSUs, one third of which (11 thousand target PSUs) was scheduled to vest at the end of each fiscal year of 2019, 2020 and 2021. The actual number of PSUs eligible to vest at each vesting date ranged from 0% to 200% of the target number, depending on the level of achievement of goals related to revenue growth and Adjusted EBITDA margin for each of those years.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 2019, the Compensation Committee granted the equity award for 2020 to Mr. Courtot. The first portion of the award consisted of 49 thousand RSUs that were scheduled to vest in 16 quarterly installments beginning on December 1, 2019. The second portion of the award consisted of a target number of 124 thousand PSOs, which were scheduled to vest at the end of the three-year performance period from January 2020 through December 2022. The actual number of PSOs eligible to vest ranged from 0% to 200% of the target number, depending on the level of achievement of goals related to revenue growth and free cash flow per share growth during the performance period.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10, 2020, the Compensation Committee granted the equity award for 2021 to Mr. Courtot. The first portion of the award consisted of 69 thousand RSUs that were scheduled to vest in 16 quarterly installments beginning on November 1, 2020. The second portion of the award consisted of a target number of 224 thousand PSOs, which were scheduled to vest at the end of the three-year performance period from January 2021 through December 2023. The actual number of PSOs eligible to vest ranged from 0% to 200% of the target number, depending on the level of achievement of goals related to revenue growth and free cash flow per share growth during the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9085"/>
                <wp:effectExtent l="0" t="0" r="0" b="0"/>
                <wp:wrapNone/>
                <wp:docPr id="82" name="Frame8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vesting of the above awards was conditioned on Mr. Courtot’s continued service through the vesting dates or, for PSOs and PSUs, the dates that performance is certified in addition to the achievement of performance goals. If Mr. Courtot’s employment was terminated (a) by reason of death or disability or (b) by the Company for reasons other than cause or good reason within 12 months following a change in control, then 100% of any unvested portions of these awards would vest, with any vesting in connection with change in control terminations conditioned upon the effectiveness of a release of claims in favor of the Company.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and 2020, 22 thousand shares (representing 200% of target number of awards) and 15 thousand shares (representing 135% of target number of awards) under the equity award for 2019 for Mr. Courtot, vested as a result of the Company achieving the corresponding level of performance goals for 2020 and 2019, respectively.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19, 2021, Mr. Courtot resigned from the Company due to health issues. The Compensation Committee determined that Mr. Courtot’s termination of employment was on account of disability. In accordance with the grant agreements of the equity awards for 2021, 2020 and 2019 for Mr. Courtot, all remaining outstanding RSUs, PSUs and PSOs under these grants were subject to accelerated vesting and became fully vested at 100% of the target number of awards as of the date of his termination of employment, which consist of 127 thousand RSUs, 44 thousand PSUs and 348 thousand PSOs. As a result, the Company recognized an additional $27.3 million of stock-based compensation expense due to the accelerated vesting in the consolidated statements of operations for the year ended December 31, 2021.</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2021, the Compensation Committee granted to the Company’s current president and chief executive officer an equity award consisting of certain RSUs and a target number of 10 thousand PSUs. The PSUs are scheduled to vest at the end of the three-year performance period from January 2021 through December 2023. The actual number of the PSUs eligible to vest range from 0% to 200% of the target number, depending on the level of achievement of goals related to revenue growth and free cash flow per share growth during the performance period. If the Company's current president and chief executive officer is terminated (a) by reason of death or disability or (b) by the Company for reasons other than cause or good reason within 12 months following a change in control, then 100% of any unvested portions of the award will vest, with any vesting in connection with terminations due to change in control conditioned upon the effectiveness of a release of claims in favor of the Company.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28, 2021, the Compensation Committee approved to certain executive officers of the Company equity awards consisting of certain RSUs and an aggregate target number of 73 thousand PSUs. The target PSUs are scheduled to vest in three equal annual installments over a three-year period from January 2022 through December 2024. Each annual installments at 200% of the annual target will be considered granted when the performance targets for the corresponding performance year are determined and approved. The actual number of the PSUs eligible to vest each year range from 0% to 200% of the annual target number, depending on the level of achievement of goals related to revenue growth and adjusted EBITDA margin corresponding to that year. The vesting and release of the first and second installment is capped at 100% of the target number at the end of the first and second year, respectively, with cumulative achievement over 100%, if any, to be vested and released at the end of the third year, together with the vesting of the third installment.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27, 2022, the Compensation Committee approved to certain executive officers of the Company equity awards consisting of certain RSUs and an aggregate target number of 86 thousand PSUs. The target PSUs are scheduled to vest in three equal annual installments over a three-year period from January 2023 through December 2025. Each annual installments at 200% of the annual target will be considered granted when the performance targets for the corresponding performance year is determined and approved. The actual number of the PSUs eligible to vest each year range from 0% to 200% of the annual target number, depending on the level of achievement of goals related to revenue growth and adjusted EBITDA margin corresponding to that year. The vesting and release of the first and second installment is capped at 100% of the target number at the end of the first and second year, respectively, with cumulative achievement over 100%, if any, to be vested and released at the end of the third year, together with the vesting of the third installment.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9085"/>
                <wp:effectExtent l="0" t="0" r="0" b="0"/>
                <wp:wrapNone/>
                <wp:docPr id="83" name="Frame8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and July 27, 2023, the Compensation Committee approved to certain executive officers of the Company equity awards consisting of certain RSUs and an aggregate target number of 6 thousand and 9 thousand PSUs, respectively. The target PSUs are scheduled to vest in three equal annual installments over a three-year period from January 2023 through December 2025. Each annual installments at 200% of the annual target will be considered granted when the performance targets for the corresponding performance year are determined and approved. The actual number of the PSUs eligible to vest each year ranges from 0% to 200% of the annual target number, depending on the level of achievement of goals related to revenue growth and adjusted EBITDA margin corresponding to that year. The vesting and release of the first and second installment is capped at 100% of the target number at the end of the first and second year, respectively, with cumulative achievement over 100%, if any, to be vested and released at the end of the third year, together with the vesting of the third installment.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26, 2023, the Compensation Committee approved to certain executive officers of the Company equity awards consisting of certain RSUs and an aggregate target number of 81 thousand PSUs. The target PSUs are scheduled to vest in three equal annual installments over a three-year period from January 2024 through December 2026. Each annual installments at 200% of the annual target will be considered granted when the performance targets for the corresponding performance year is determined and approved. The performance targets are determined and approved each year in the first quarter of the corresponding performance year. Accordingly, such awards are not considered granted for accounting purposes as of December 31, 2023. The actual number of the PSUs eligible to vest each year range from 0% to 200% of the annual target number, depending on the level of achievement of goals related to revenue growth and adjusted EBITDA margin corresponding to that year. The vesting and release of the first and second installment is capped at 100% of the target number at the end of the first and second year, respectively, with cumulative achievement over 100%, if any, to be vested and released at the end of the third year, together with the vesting of the third installment.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PSUs approved on October 28, 2021, October 27, 2022, February 6, 2023, July 27, 2023 and October 26, 2023, any unvested PSU award may be accelerated in part or in full upon the occurrence of certain events, such as death or disability, or a change in control, as defined in the grant agreement.</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For the years ended</w:t>
      </w:r>
      <w:r>
        <w:rPr>
          <w:color w:val="000000"/>
        </w:rPr>
        <w:t xml:space="preserve">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2022 and 2021, stock-based compensation expenses of $[nil], $[nil] and $13.3 million for PSOs, respectively, and $7.4 million, $3.9 million and $5.3 million for PSUs, respectively, were recognized.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The weighted-average grant date fair value of the Company’s stock options granted for the years ended December 31, 2023,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2021</w:t>
      </w:r>
      <w:r>
        <w:rPr>
          <w:color w:val="000000"/>
        </w:rPr>
        <w:t xml:space="preserve"> </w:t>
      </w:r>
      <w:r>
        <w:rPr>
          <w:rFonts w:ascii="Times New Roman;sans-serif" w:hAnsi="Times New Roman;sans-serif"/>
          <w:b w:val="false"/>
          <w:color w:val="000000"/>
          <w:sz w:val="20"/>
        </w:rPr>
        <w:t>was</w:t>
      </w:r>
      <w:r>
        <w:rPr>
          <w:color w:val="000000"/>
          <w:shd w:fill="FFFFFF" w:val="clear"/>
        </w:rPr>
        <w:t xml:space="preserve"> </w:t>
      </w:r>
      <w:r>
        <w:rPr>
          <w:rFonts w:ascii="Times New Roman;sans-serif" w:hAnsi="Times New Roman;sans-serif"/>
          <w:b w:val="false"/>
          <w:color w:val="000000"/>
          <w:sz w:val="20"/>
          <w:shd w:fill="FFFFFF" w:val="clear"/>
        </w:rPr>
        <w:t>$49.08, $50.32 and $41.23, respectively, using the Black-Scholes-Merton option-pricing model based on the following assumptions:</w:t>
      </w:r>
    </w:p>
    <w:tbl>
      <w:tblPr>
        <w:tblW w:w="6640" w:type="dxa"/>
        <w:jc w:val="left"/>
        <w:tblInd w:w="0" w:type="dxa"/>
        <w:tblLayout w:type="fixed"/>
        <w:tblCellMar>
          <w:top w:w="28" w:type="dxa"/>
          <w:left w:w="28" w:type="dxa"/>
          <w:bottom w:w="28" w:type="dxa"/>
          <w:right w:w="28" w:type="dxa"/>
        </w:tblCellMar>
      </w:tblPr>
      <w:tblGrid>
        <w:gridCol w:w="755"/>
        <w:gridCol w:w="663"/>
        <w:gridCol w:w="666"/>
        <w:gridCol w:w="399"/>
        <w:gridCol w:w="399"/>
        <w:gridCol w:w="402"/>
        <w:gridCol w:w="152"/>
        <w:gridCol w:w="152"/>
        <w:gridCol w:w="152"/>
        <w:gridCol w:w="399"/>
        <w:gridCol w:w="399"/>
        <w:gridCol w:w="402"/>
        <w:gridCol w:w="152"/>
        <w:gridCol w:w="152"/>
        <w:gridCol w:w="152"/>
        <w:gridCol w:w="363"/>
        <w:gridCol w:w="363"/>
        <w:gridCol w:w="518"/>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 to 3.9</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 to 4.4</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 to 5.5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 to 43%</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 to 43%</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 to 41%</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 to 4.9%</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 to 4.2%</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 to 1.2%</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term of the options is based on evaluations of historical and expected future employee exercise behavior. The risk-free interest rate is based on the U.S. Treasury rates at the date of grant with maturity dates equal to the expected term at the grant date. The volatility was estimated using the historical volatility derived from the Company's common stock. The Company has not historically declared any dividends and does not expect to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9085"/>
                <wp:effectExtent l="0" t="0" r="0" b="0"/>
                <wp:wrapNone/>
                <wp:docPr id="84" name="Frame8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is as follows:</w:t>
      </w:r>
    </w:p>
    <w:tbl>
      <w:tblPr>
        <w:tblW w:w="10205" w:type="dxa"/>
        <w:jc w:val="left"/>
        <w:tblInd w:w="0" w:type="dxa"/>
        <w:tblLayout w:type="fixed"/>
        <w:tblCellMar>
          <w:top w:w="28" w:type="dxa"/>
          <w:left w:w="28" w:type="dxa"/>
          <w:bottom w:w="28" w:type="dxa"/>
          <w:right w:w="28" w:type="dxa"/>
        </w:tblCellMar>
      </w:tblPr>
      <w:tblGrid>
        <w:gridCol w:w="973"/>
        <w:gridCol w:w="788"/>
        <w:gridCol w:w="794"/>
        <w:gridCol w:w="483"/>
        <w:gridCol w:w="483"/>
        <w:gridCol w:w="485"/>
        <w:gridCol w:w="109"/>
        <w:gridCol w:w="109"/>
        <w:gridCol w:w="109"/>
        <w:gridCol w:w="342"/>
        <w:gridCol w:w="1170"/>
        <w:gridCol w:w="176"/>
        <w:gridCol w:w="109"/>
        <w:gridCol w:w="109"/>
        <w:gridCol w:w="109"/>
        <w:gridCol w:w="607"/>
        <w:gridCol w:w="607"/>
        <w:gridCol w:w="608"/>
        <w:gridCol w:w="109"/>
        <w:gridCol w:w="109"/>
        <w:gridCol w:w="109"/>
        <w:gridCol w:w="301"/>
        <w:gridCol w:w="1179"/>
        <w:gridCol w:w="228"/>
      </w:tblGrid>
      <w:tr>
        <w:trPr/>
        <w:tc>
          <w:tcPr>
            <w:tcW w:w="97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Remaining </w:t>
              <w:br/>
              <w:t>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December 31, 2023</w:t>
            </w:r>
          </w:p>
        </w:tc>
        <w:tc>
          <w:tcPr>
            <w:tcW w:w="14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2023</w:t>
            </w:r>
          </w:p>
        </w:tc>
        <w:tc>
          <w:tcPr>
            <w:tcW w:w="1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The total intrinsic value of options exercised for the years ended</w:t>
      </w:r>
      <w:r>
        <w:rPr>
          <w:color w:val="000000"/>
        </w:rPr>
        <w:t xml:space="preserve">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2022 and 2021 was $41.7 million, $39.8 million and $42.5 million, respectively. Intrinsic value of an option is the difference between the fair value of the Company’s common stock at the time of exercise and the exercise price paid.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RSU activity is as follows:</w:t>
      </w:r>
    </w:p>
    <w:tbl>
      <w:tblPr>
        <w:tblW w:w="9554" w:type="dxa"/>
        <w:jc w:val="left"/>
        <w:tblInd w:w="0" w:type="dxa"/>
        <w:tblLayout w:type="fixed"/>
        <w:tblCellMar>
          <w:top w:w="28" w:type="dxa"/>
          <w:left w:w="28" w:type="dxa"/>
          <w:bottom w:w="28" w:type="dxa"/>
          <w:right w:w="28" w:type="dxa"/>
        </w:tblCellMar>
      </w:tblPr>
      <w:tblGrid>
        <w:gridCol w:w="1766"/>
        <w:gridCol w:w="1549"/>
        <w:gridCol w:w="1560"/>
        <w:gridCol w:w="544"/>
        <w:gridCol w:w="544"/>
        <w:gridCol w:w="546"/>
        <w:gridCol w:w="110"/>
        <w:gridCol w:w="110"/>
        <w:gridCol w:w="110"/>
        <w:gridCol w:w="527"/>
        <w:gridCol w:w="1803"/>
        <w:gridCol w:w="385"/>
      </w:tblGrid>
      <w:tr>
        <w:trPr/>
        <w:tc>
          <w:tcPr>
            <w:tcW w:w="176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RSUs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w:t>
              <w:br/>
              <w:t>Fair Value Per Share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expected to vest as of December 31, 2023</w:t>
            </w:r>
          </w:p>
        </w:tc>
        <w:tc>
          <w:tcPr>
            <w:tcW w:w="163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(1)Included 175 thousand PSUs granted to certain executive officers in 2022 and 2021.</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(2)Included 10 thousand PSUs granted to certain executive officers in 2023</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(3)Included 24 thousand PSUs granted to certain executive officers in 2021.</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(4)Included 22 thousand PSUs granted to certain executive officers in 2022 and 2021.</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(5)Included 139 thousand PSUs granted to certain executive officers in 2023, 2022 and 2021.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aggregate fair value of RSUs vested for the years ended December 31, 2023, 2022 and 2021 was </w:t>
      </w:r>
      <w:r>
        <w:rPr>
          <w:rFonts w:ascii="Times New Roman;sans-serif" w:hAnsi="Times New Roman;sans-serif"/>
          <w:b w:val="false"/>
          <w:color w:val="000000"/>
          <w:sz w:val="20"/>
          <w:shd w:fill="FFFFFF" w:val="clear"/>
        </w:rPr>
        <w:t>$55.7 million, $43.9 million and $59.5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9085"/>
                <wp:effectExtent l="0" t="0" r="0" b="0"/>
                <wp:wrapNone/>
                <wp:docPr id="85" name="Frame8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the Company’s ESPP for the year ended December 31, 2023 and 2022 was $34.50 and $39.14, respectively, using the Black-Scholes-Merton option-pricing model based on the following assumptions:</w:t>
      </w:r>
    </w:p>
    <w:tbl>
      <w:tblPr>
        <w:tblW w:w="5743" w:type="dxa"/>
        <w:jc w:val="left"/>
        <w:tblInd w:w="0" w:type="dxa"/>
        <w:tblLayout w:type="fixed"/>
        <w:tblCellMar>
          <w:top w:w="28" w:type="dxa"/>
          <w:left w:w="28" w:type="dxa"/>
          <w:bottom w:w="28" w:type="dxa"/>
          <w:right w:w="28" w:type="dxa"/>
        </w:tblCellMar>
      </w:tblPr>
      <w:tblGrid>
        <w:gridCol w:w="755"/>
        <w:gridCol w:w="663"/>
        <w:gridCol w:w="666"/>
        <w:gridCol w:w="470"/>
        <w:gridCol w:w="470"/>
        <w:gridCol w:w="470"/>
        <w:gridCol w:w="250"/>
        <w:gridCol w:w="250"/>
        <w:gridCol w:w="250"/>
        <w:gridCol w:w="439"/>
        <w:gridCol w:w="439"/>
        <w:gridCol w:w="62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30.0% to 43.8%</w:t>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41.1% to 50.1% </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 to 5.5%</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0.7% to 3.1%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term of the ESPP represents the six-month offering period. The risk-free interest rate is based on the U.S. Treasury rates at the date of grant with maturity dates equal to the expected term at the grant date. The volatility was estimated using the historical volatility derived from the Company's common stock. The Company has not historically declared any dividends and does not expect to in the future.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 Repurchase Program</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 repurchase program was authorized by the board of directors as follows:</w:t>
      </w:r>
    </w:p>
    <w:tbl>
      <w:tblPr>
        <w:tblW w:w="5157" w:type="dxa"/>
        <w:jc w:val="left"/>
        <w:tblInd w:w="0" w:type="dxa"/>
        <w:tblLayout w:type="fixed"/>
        <w:tblCellMar>
          <w:top w:w="28" w:type="dxa"/>
          <w:left w:w="28" w:type="dxa"/>
          <w:bottom w:w="28" w:type="dxa"/>
          <w:right w:w="28" w:type="dxa"/>
        </w:tblCellMar>
      </w:tblPr>
      <w:tblGrid>
        <w:gridCol w:w="940"/>
        <w:gridCol w:w="827"/>
        <w:gridCol w:w="828"/>
        <w:gridCol w:w="109"/>
        <w:gridCol w:w="109"/>
        <w:gridCol w:w="109"/>
        <w:gridCol w:w="417"/>
        <w:gridCol w:w="1514"/>
        <w:gridCol w:w="30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Announcement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Authorized Dollar Value</w:t>
            </w:r>
          </w:p>
        </w:tc>
      </w:tr>
      <w:tr>
        <w:trPr/>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original cost of additional paid-in capital per share of identified issuances. The remaining amount is allocated to accumulated deficit.</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On February 7, 2024, the Company announced that its Board of Directors authorized an additional </w:t>
      </w:r>
      <w:r>
        <w:rPr>
          <w:rFonts w:ascii="Times New Roman;sans-serif" w:hAnsi="Times New Roman;sans-serif"/>
          <w:b w:val="false"/>
          <w:color w:val="000000"/>
          <w:sz w:val="20"/>
          <w:shd w:fill="FFFFFF" w:val="clear"/>
        </w:rPr>
        <w:t>$200.0 million</w:t>
      </w:r>
      <w:r>
        <w:rPr>
          <w:color w:val="000000"/>
        </w:rPr>
        <w:t xml:space="preserve"> </w:t>
      </w:r>
      <w:r>
        <w:rPr>
          <w:rFonts w:ascii="Times New Roman;sans-serif" w:hAnsi="Times New Roman;sans-serif"/>
          <w:b w:val="false"/>
          <w:color w:val="000000"/>
          <w:sz w:val="20"/>
        </w:rPr>
        <w:t>under the share repurchase program, increasing the total amount of authorized repurchase to $1.2 billion.</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For the years ended </w:t>
      </w:r>
      <w:r>
        <w:rPr>
          <w:rFonts w:ascii="Times New Roman;sans-serif" w:hAnsi="Times New Roman;sans-serif"/>
          <w:b w:val="false"/>
          <w:color w:val="000000"/>
          <w:sz w:val="20"/>
        </w:rPr>
        <w:t>December 31, 2023, 2022 and 2021, the Company repurch</w:t>
      </w:r>
      <w:r>
        <w:rPr>
          <w:rFonts w:ascii="Times New Roman;sans-serif" w:hAnsi="Times New Roman;sans-serif"/>
          <w:b w:val="false"/>
          <w:color w:val="000000"/>
          <w:sz w:val="20"/>
          <w:shd w:fill="FFFFFF" w:val="clear"/>
        </w:rPr>
        <w:t>ased 1.3 million shares, 2.5 million shares and 1.1 million shares of its common stock for $170.8 million, $317.3 million and $130.0 million, respectively</w:t>
      </w:r>
      <w:r>
        <w:rPr>
          <w:rFonts w:ascii="Times New Roman;sans-serif" w:hAnsi="Times New Roman;sans-serif"/>
          <w:b w:val="false"/>
          <w:color w:val="000000"/>
          <w:sz w:val="20"/>
        </w:rPr>
        <w:t>. As of December 31, 2023, $83.7 million remained available for share repurchases pursuant to the Company's share repurchase program.</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President Biden signed into law the Inflation Reduction Act of 2022 which contained provisions effective January 1, 2023, including a 1% excise tax on stock repurchases net of issue, which was immaterial to the Company's financial results and cash flows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9085"/>
                <wp:effectExtent l="0" t="0" r="0" b="0"/>
                <wp:wrapNone/>
                <wp:docPr id="86" name="Frame8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11.     Employee Benefits Plan</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The Company’s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For the years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2022 and 2021, the Company made contributions to the 401(k) Plan of $4.1 million, $3.5 million and $2.4 million, respectively.</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The Company contributes to a Provident Fund Plan for its employees in India, which is a defined contribution plan set up in accordance with local labor and tax laws. Gratuity is also paid by the Company to eligible employees in India in accordance with Payment of Gratuity Act, 1972. For the years ended</w:t>
      </w:r>
      <w:r>
        <w:rPr>
          <w:color w:val="000000"/>
        </w:rPr>
        <w:t xml:space="preserve">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2022 and 2021, the Company contributed $2.3 million, $2.0 million and $1.7 million, respectively, to those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12.     Income Taxes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geographical breakdown of income before income taxes is as follows:</w:t>
      </w:r>
    </w:p>
    <w:tbl>
      <w:tblPr>
        <w:tblW w:w="6417" w:type="dxa"/>
        <w:jc w:val="left"/>
        <w:tblInd w:w="0" w:type="dxa"/>
        <w:tblLayout w:type="fixed"/>
        <w:tblCellMar>
          <w:top w:w="28" w:type="dxa"/>
          <w:left w:w="28" w:type="dxa"/>
          <w:bottom w:w="28" w:type="dxa"/>
          <w:right w:w="28" w:type="dxa"/>
        </w:tblCellMar>
      </w:tblPr>
      <w:tblGrid>
        <w:gridCol w:w="864"/>
        <w:gridCol w:w="759"/>
        <w:gridCol w:w="762"/>
        <w:gridCol w:w="211"/>
        <w:gridCol w:w="826"/>
        <w:gridCol w:w="109"/>
        <w:gridCol w:w="109"/>
        <w:gridCol w:w="109"/>
        <w:gridCol w:w="109"/>
        <w:gridCol w:w="211"/>
        <w:gridCol w:w="826"/>
        <w:gridCol w:w="109"/>
        <w:gridCol w:w="109"/>
        <w:gridCol w:w="109"/>
        <w:gridCol w:w="109"/>
        <w:gridCol w:w="211"/>
        <w:gridCol w:w="72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tax provision consists of the following:</w:t>
      </w:r>
    </w:p>
    <w:tbl>
      <w:tblPr>
        <w:tblW w:w="6326" w:type="dxa"/>
        <w:jc w:val="left"/>
        <w:tblInd w:w="0" w:type="dxa"/>
        <w:tblLayout w:type="fixed"/>
        <w:tblCellMar>
          <w:top w:w="28" w:type="dxa"/>
          <w:left w:w="28" w:type="dxa"/>
          <w:bottom w:w="28" w:type="dxa"/>
          <w:right w:w="28" w:type="dxa"/>
        </w:tblCellMar>
      </w:tblPr>
      <w:tblGrid>
        <w:gridCol w:w="903"/>
        <w:gridCol w:w="795"/>
        <w:gridCol w:w="806"/>
        <w:gridCol w:w="211"/>
        <w:gridCol w:w="721"/>
        <w:gridCol w:w="109"/>
        <w:gridCol w:w="109"/>
        <w:gridCol w:w="109"/>
        <w:gridCol w:w="109"/>
        <w:gridCol w:w="211"/>
        <w:gridCol w:w="721"/>
        <w:gridCol w:w="109"/>
        <w:gridCol w:w="109"/>
        <w:gridCol w:w="109"/>
        <w:gridCol w:w="109"/>
        <w:gridCol w:w="211"/>
        <w:gridCol w:w="721"/>
        <w:gridCol w:w="154"/>
      </w:tblGrid>
      <w:tr>
        <w:trPr/>
        <w:tc>
          <w:tcPr>
            <w:tcW w:w="90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provision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tax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9085"/>
                <wp:effectExtent l="0" t="0" r="0" b="0"/>
                <wp:wrapNone/>
                <wp:docPr id="87" name="Frame8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statutory federal income tax rate to the Company’s effective tax rate is as follows:</w:t>
      </w:r>
    </w:p>
    <w:tbl>
      <w:tblPr>
        <w:tblW w:w="7836" w:type="dxa"/>
        <w:jc w:val="left"/>
        <w:tblInd w:w="0" w:type="dxa"/>
        <w:tblLayout w:type="fixed"/>
        <w:tblCellMar>
          <w:top w:w="28" w:type="dxa"/>
          <w:left w:w="28" w:type="dxa"/>
          <w:bottom w:w="28" w:type="dxa"/>
          <w:right w:w="28" w:type="dxa"/>
        </w:tblCellMar>
      </w:tblPr>
      <w:tblGrid>
        <w:gridCol w:w="1686"/>
        <w:gridCol w:w="1486"/>
        <w:gridCol w:w="1492"/>
        <w:gridCol w:w="255"/>
        <w:gridCol w:w="256"/>
        <w:gridCol w:w="294"/>
        <w:gridCol w:w="118"/>
        <w:gridCol w:w="118"/>
        <w:gridCol w:w="118"/>
        <w:gridCol w:w="255"/>
        <w:gridCol w:w="256"/>
        <w:gridCol w:w="294"/>
        <w:gridCol w:w="118"/>
        <w:gridCol w:w="118"/>
        <w:gridCol w:w="118"/>
        <w:gridCol w:w="255"/>
        <w:gridCol w:w="256"/>
        <w:gridCol w:w="343"/>
      </w:tblGrid>
      <w:tr>
        <w:trPr/>
        <w:tc>
          <w:tcPr>
            <w:tcW w:w="16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benefits related to stock-based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source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Foreign-derived intangible income deduction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state research and development credit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to return adjustments and Other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Deferred Income Taxes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tbl>
      <w:tblPr>
        <w:tblW w:w="6414" w:type="dxa"/>
        <w:jc w:val="left"/>
        <w:tblInd w:w="0" w:type="dxa"/>
        <w:tblLayout w:type="fixed"/>
        <w:tblCellMar>
          <w:top w:w="28" w:type="dxa"/>
          <w:left w:w="28" w:type="dxa"/>
          <w:bottom w:w="28" w:type="dxa"/>
          <w:right w:w="28" w:type="dxa"/>
        </w:tblCellMar>
      </w:tblPr>
      <w:tblGrid>
        <w:gridCol w:w="1431"/>
        <w:gridCol w:w="1260"/>
        <w:gridCol w:w="1269"/>
        <w:gridCol w:w="211"/>
        <w:gridCol w:w="721"/>
        <w:gridCol w:w="109"/>
        <w:gridCol w:w="109"/>
        <w:gridCol w:w="109"/>
        <w:gridCol w:w="109"/>
        <w:gridCol w:w="211"/>
        <w:gridCol w:w="721"/>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 right of use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9085"/>
                <wp:effectExtent l="0" t="0" r="0" b="0"/>
                <wp:wrapNone/>
                <wp:docPr id="88" name="Frame8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The realization of deferred tax assets is dependent upon the generation of sufficient taxable income of the appropriate character in future periods. The Company regularly assesses the ability to realize its deferred tax assets and establishes a valuation allowance if it is more-likely than-not that some portion, or all, of the deferred tax assets will not be realized. The Company weighs all available positive and negative evidence, including its earnings history and results of recent operations, scheduled reversals of deferred tax liabilities, projected future taxable income, and tax planning strategies. Due to the weight of objectively verifiable negative evidence, it is more-likely-than-not that its California deferred tax assets will not be realized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Additionally, due to a lack of sufficient future income of the appropriate character, certain U.S. federal and state deferred tax assets are not more-likely-than-not to be realized. Accordingly, the Company has recorded a valuation allowance of $12.4 million and $12.5 million against such deferred tax assets as of</w:t>
      </w:r>
      <w:r>
        <w:rPr>
          <w:color w:val="000000"/>
        </w:rPr>
        <w:t xml:space="preserve">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and 2022, respectively. The decrease in valuation allowance was mainly associated with the California research and development credit generated during the year ended</w:t>
      </w:r>
      <w:r>
        <w:rPr>
          <w:color w:val="000000"/>
        </w:rPr>
        <w:t xml:space="preserve">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offset by a decrease in unrealized loss on available for sale securities that will not likely be realized in the foreseeable future.</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As of</w:t>
      </w:r>
      <w:r>
        <w:rPr>
          <w:color w:val="000000"/>
        </w:rPr>
        <w:t xml:space="preserve"> </w:t>
      </w:r>
      <w:r>
        <w:rPr>
          <w:rFonts w:ascii="Times New Roman;sans-serif" w:hAnsi="Times New Roman;sans-serif"/>
          <w:b w:val="false"/>
          <w:color w:val="000000"/>
          <w:sz w:val="20"/>
        </w:rPr>
        <w:t xml:space="preserve">December 31, 2023 and </w:t>
      </w:r>
      <w:r>
        <w:rPr>
          <w:rFonts w:ascii="Times New Roman;sans-serif" w:hAnsi="Times New Roman;sans-serif"/>
          <w:b w:val="false"/>
          <w:color w:val="000000"/>
          <w:sz w:val="20"/>
          <w:shd w:fill="FFFFFF" w:val="clear"/>
        </w:rPr>
        <w:t>2022, the Company had $17.0 million and $16.2 million, respectively, of California research and development credit carryforwards. California research and development credits are carried forward indefinitely. As of</w:t>
      </w:r>
      <w:r>
        <w:rPr>
          <w:color w:val="000000"/>
        </w:rPr>
        <w:t xml:space="preserve"> </w:t>
      </w:r>
      <w:r>
        <w:rPr>
          <w:rFonts w:ascii="Times New Roman;sans-serif" w:hAnsi="Times New Roman;sans-serif"/>
          <w:b w:val="false"/>
          <w:color w:val="000000"/>
          <w:sz w:val="20"/>
        </w:rPr>
        <w:t xml:space="preserve">December 31, 2023 and </w:t>
      </w:r>
      <w:r>
        <w:rPr>
          <w:rFonts w:ascii="Times New Roman;sans-serif" w:hAnsi="Times New Roman;sans-serif"/>
          <w:b w:val="false"/>
          <w:color w:val="000000"/>
          <w:sz w:val="20"/>
          <w:shd w:fill="FFFFFF" w:val="clear"/>
        </w:rPr>
        <w:t xml:space="preserve">2022, the Company had foreign tax credit carryforwards of $1.0 million and $0.9 million, respectively, which begin to expire in 2028.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Company’s unrecognized tax benefits:</w:t>
      </w:r>
    </w:p>
    <w:tbl>
      <w:tblPr>
        <w:tblW w:w="7572" w:type="dxa"/>
        <w:jc w:val="left"/>
        <w:tblInd w:w="0" w:type="dxa"/>
        <w:tblLayout w:type="fixed"/>
        <w:tblCellMar>
          <w:top w:w="28" w:type="dxa"/>
          <w:left w:w="28" w:type="dxa"/>
          <w:bottom w:w="28" w:type="dxa"/>
          <w:right w:w="28" w:type="dxa"/>
        </w:tblCellMar>
      </w:tblPr>
      <w:tblGrid>
        <w:gridCol w:w="1398"/>
        <w:gridCol w:w="1225"/>
        <w:gridCol w:w="1232"/>
        <w:gridCol w:w="211"/>
        <w:gridCol w:w="721"/>
        <w:gridCol w:w="109"/>
        <w:gridCol w:w="109"/>
        <w:gridCol w:w="109"/>
        <w:gridCol w:w="109"/>
        <w:gridCol w:w="211"/>
        <w:gridCol w:w="721"/>
        <w:gridCol w:w="109"/>
        <w:gridCol w:w="109"/>
        <w:gridCol w:w="109"/>
        <w:gridCol w:w="109"/>
        <w:gridCol w:w="211"/>
        <w:gridCol w:w="61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 for tax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 for tax positions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 for tax positions of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tax benefits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The unrecognized tax benefits, if recognized, would impact the income tax provision by $6.1 million, $5.3 million and $4.9 million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2022 and 2021, respectively. The remaining amount would result in the recognition of a corresponding deferred tax asset that is then offset by a full valuation allowance.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the Company does not believe that its estimates, as otherwise provided for, on such tax positions will significantly increase or decrease within the next twelve months. The Company has elected to include interest and penalties as a component of income tax expense. The amounts were not material for the years ended</w:t>
      </w:r>
      <w:r>
        <w:rPr>
          <w:color w:val="000000"/>
        </w:rPr>
        <w:t xml:space="preserve">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2022 and 2021.</w:t>
      </w:r>
    </w:p>
    <w:p>
      <w:pPr>
        <w:pStyle w:val="TextBody"/>
        <w:bidi w:val="0"/>
        <w:spacing w:lineRule="auto" w:line="288"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files income tax returns in the United States, including various state jurisdictions. The Company’s subsidiaries file tax returns in India and various other foreign jurisdictions. The tax years 2001 through 2023 remain open to examination by the major taxing jurisdictions in which the Company is subject to tax. The Company is also currently subject to tax audits in various jurisdictions. The Company believes that an adequate provision has been made for any adjustments that may result from tax examinations. However, the outcome of tax audits cannot be predicted with certainty. If any issues addressed in the Company's tax audits are resolved in a manner inconsistent with its expectations, the Company could be required to adjust its income tax provision in the period such resolution occurs.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As of</w:t>
      </w:r>
      <w:r>
        <w:rPr>
          <w:color w:val="000000"/>
        </w:rPr>
        <w:t xml:space="preserve"> </w:t>
      </w:r>
      <w:r>
        <w:rPr>
          <w:rFonts w:ascii="Times New Roman;sans-serif" w:hAnsi="Times New Roman;sans-serif"/>
          <w:b w:val="false"/>
          <w:color w:val="000000"/>
          <w:sz w:val="20"/>
        </w:rPr>
        <w:t>December 31, 2023, the Company has undistributed earnings in certain foreign subsidiaries that the Company has indefinitely reinvested outside the United States. Due to U.S. tax rules related to taxation of foreign earnings, the unrecorded deferred tax liability is immaterial. The Company may be required to pay additional foreign withholding taxes if the Company repatriates those earnings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9085"/>
                <wp:effectExtent l="0" t="0" r="0" b="0"/>
                <wp:wrapNone/>
                <wp:docPr id="89" name="Frame8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13.     Segment and Geographic Area Information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area, based on the customer's billing address, is as follows:</w:t>
      </w:r>
    </w:p>
    <w:tbl>
      <w:tblPr>
        <w:tblW w:w="5456" w:type="dxa"/>
        <w:jc w:val="left"/>
        <w:tblInd w:w="0" w:type="dxa"/>
        <w:tblLayout w:type="fixed"/>
        <w:tblCellMar>
          <w:top w:w="28" w:type="dxa"/>
          <w:left w:w="28" w:type="dxa"/>
          <w:bottom w:w="28" w:type="dxa"/>
          <w:right w:w="28" w:type="dxa"/>
        </w:tblCellMar>
      </w:tblPr>
      <w:tblGrid>
        <w:gridCol w:w="479"/>
        <w:gridCol w:w="419"/>
        <w:gridCol w:w="421"/>
        <w:gridCol w:w="211"/>
        <w:gridCol w:w="826"/>
        <w:gridCol w:w="109"/>
        <w:gridCol w:w="109"/>
        <w:gridCol w:w="109"/>
        <w:gridCol w:w="109"/>
        <w:gridCol w:w="211"/>
        <w:gridCol w:w="826"/>
        <w:gridCol w:w="109"/>
        <w:gridCol w:w="109"/>
        <w:gridCol w:w="109"/>
        <w:gridCol w:w="109"/>
        <w:gridCol w:w="211"/>
        <w:gridCol w:w="82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which consist of Property and equipment, net and Operating leases - right of use asset, by geographic area, are as follows:</w:t>
      </w:r>
    </w:p>
    <w:tbl>
      <w:tblPr>
        <w:tblW w:w="4524" w:type="dxa"/>
        <w:jc w:val="left"/>
        <w:tblInd w:w="0" w:type="dxa"/>
        <w:tblLayout w:type="fixed"/>
        <w:tblCellMar>
          <w:top w:w="28" w:type="dxa"/>
          <w:left w:w="28" w:type="dxa"/>
          <w:bottom w:w="28" w:type="dxa"/>
          <w:right w:w="28" w:type="dxa"/>
        </w:tblCellMar>
      </w:tblPr>
      <w:tblGrid>
        <w:gridCol w:w="751"/>
        <w:gridCol w:w="658"/>
        <w:gridCol w:w="661"/>
        <w:gridCol w:w="211"/>
        <w:gridCol w:w="721"/>
        <w:gridCol w:w="109"/>
        <w:gridCol w:w="109"/>
        <w:gridCol w:w="109"/>
        <w:gridCol w:w="109"/>
        <w:gridCol w:w="211"/>
        <w:gridCol w:w="721"/>
        <w:gridCol w:w="154"/>
      </w:tblGrid>
      <w:tr>
        <w:trPr/>
        <w:tc>
          <w:tcPr>
            <w:tcW w:w="75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NOTE 14.     Net Income Per Share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computations for basic and diluted net income per share are as follows:</w:t>
      </w:r>
    </w:p>
    <w:tbl>
      <w:tblPr>
        <w:tblW w:w="7077" w:type="dxa"/>
        <w:jc w:val="left"/>
        <w:tblInd w:w="0" w:type="dxa"/>
        <w:tblLayout w:type="fixed"/>
        <w:tblCellMar>
          <w:top w:w="28" w:type="dxa"/>
          <w:left w:w="28" w:type="dxa"/>
          <w:bottom w:w="28" w:type="dxa"/>
          <w:right w:w="28" w:type="dxa"/>
        </w:tblCellMar>
      </w:tblPr>
      <w:tblGrid>
        <w:gridCol w:w="1098"/>
        <w:gridCol w:w="968"/>
        <w:gridCol w:w="979"/>
        <w:gridCol w:w="211"/>
        <w:gridCol w:w="826"/>
        <w:gridCol w:w="109"/>
        <w:gridCol w:w="109"/>
        <w:gridCol w:w="109"/>
        <w:gridCol w:w="109"/>
        <w:gridCol w:w="211"/>
        <w:gridCol w:w="826"/>
        <w:gridCol w:w="109"/>
        <w:gridCol w:w="109"/>
        <w:gridCol w:w="109"/>
        <w:gridCol w:w="109"/>
        <w:gridCol w:w="211"/>
        <w:gridCol w:w="721"/>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potentially dilutive shares: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9085"/>
                <wp:effectExtent l="0" t="0" r="0" b="0"/>
                <wp:wrapNone/>
                <wp:docPr id="90" name="Frame8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shares not included in the calculation of diluted net income per share because doing so would be anti-dilutive are as follows:</w:t>
      </w:r>
    </w:p>
    <w:tbl>
      <w:tblPr>
        <w:tblW w:w="5130" w:type="dxa"/>
        <w:jc w:val="left"/>
        <w:tblInd w:w="0" w:type="dxa"/>
        <w:tblLayout w:type="fixed"/>
        <w:tblCellMar>
          <w:top w:w="28" w:type="dxa"/>
          <w:left w:w="28" w:type="dxa"/>
          <w:bottom w:w="28" w:type="dxa"/>
          <w:right w:w="28" w:type="dxa"/>
        </w:tblCellMar>
      </w:tblPr>
      <w:tblGrid>
        <w:gridCol w:w="938"/>
        <w:gridCol w:w="825"/>
        <w:gridCol w:w="832"/>
        <w:gridCol w:w="175"/>
        <w:gridCol w:w="175"/>
        <w:gridCol w:w="176"/>
        <w:gridCol w:w="152"/>
        <w:gridCol w:w="152"/>
        <w:gridCol w:w="152"/>
        <w:gridCol w:w="175"/>
        <w:gridCol w:w="175"/>
        <w:gridCol w:w="176"/>
        <w:gridCol w:w="152"/>
        <w:gridCol w:w="152"/>
        <w:gridCol w:w="152"/>
        <w:gridCol w:w="167"/>
        <w:gridCol w:w="167"/>
        <w:gridCol w:w="237"/>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shares</w:t>
            </w:r>
          </w:p>
        </w:tc>
        <w:tc>
          <w:tcPr>
            <w:tcW w:w="5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9085"/>
                <wp:effectExtent l="0" t="0" r="0" b="0"/>
                <wp:wrapNone/>
                <wp:docPr id="91" name="Frame8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conducted an evaluation of the effectiveness of our internal control over financial reporting as of December 31, 2023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as of December 31, 2023 has been audited by Grant Thornton LLP, an independent registered public accounting firm, as stated in its report, which is included in Item 8 of this Annual Report on Form 10-K.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connection with the evaluation required by Rule 13a-15(d) and 15d-15(d) of the Exchange Act that occurred during the fourth quarter ended December 31,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9085"/>
                <wp:effectExtent l="0" t="0" r="0" b="0"/>
                <wp:wrapNone/>
                <wp:docPr id="92" name="Frame9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the following director, as defined in Rule 16a-1(f), adopted a “Rule 10b5-1 trading arrangement” as defined in Regulation S-K Item 408, as follows: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21, 2023, Jeffrey P. Hank, the chair of our board of directors, adopted a Rule 10b5-1 trading arrangement providing for the sale from time to time of an aggregate of up to 8,850 shares of our common stock plus an additional number of shares to be granted on the date of the Company's 2024 Annual Meeting of Stockholders. Pursuant to the Company's non-employee director compensation program, each non-employee director who has served on our board of directors for at least six months prior to such date will be granted an award of restricted stock units with an intended value (based on the average of the closing prices of our common stock for the 30 trading days ending one week before the applicable grant date) of $200,000.</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arrangement is intended to satisfy the affirmative defense in Rule 10b5-1(c). The duration of the trading arrangement is until June 30, 2025, or earlier if all transactions under the trading arrangement are completed.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other director or officer, as defined in Rule 16a-1(f), adopted or terminated a “Rule 10b5-1 trading arrangement” or a “non-Rule 10b5-1 trading arrangement,” each as defined in Regulation S-K Item 408, during the three months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9085"/>
                <wp:effectExtent l="0" t="0" r="0" b="0"/>
                <wp:wrapNone/>
                <wp:docPr id="93" name="Frame9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Executive Officers and Directors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 information required by this item is incorporated by reference to our Proxy Statement for our 2024 Annual Meeting of Stockholders to be filed with the SEC within 120 days after the end of the fiscal year ended December 31,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Codes of Business Conduct and Ethics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at www.qualys.com.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for our 2024 Annual Meeting of Stockholders to be filed with the SEC within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with respect to Item 403 of Regulation S-K regarding security ownership of certain beneficial owners and management is incorporated by reference to our Proxy Statement for our 2024 Annual Meeting of Stockholders to be filed with the SEC within 120 days after the end of the fiscal year ended December 31, 2023. </w:t>
      </w: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 xml:space="preserve">Securities Authorized for Issuance under Equity Compensation Plans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our equity compensation plans as of December 31, 2023. All outstanding awards relate to our common stock.</w:t>
      </w:r>
    </w:p>
    <w:tbl>
      <w:tblPr>
        <w:tblW w:w="10205" w:type="dxa"/>
        <w:jc w:val="left"/>
        <w:tblInd w:w="0" w:type="dxa"/>
        <w:tblLayout w:type="fixed"/>
        <w:tblCellMar>
          <w:top w:w="28" w:type="dxa"/>
          <w:left w:w="28" w:type="dxa"/>
          <w:bottom w:w="28" w:type="dxa"/>
          <w:right w:w="28" w:type="dxa"/>
        </w:tblCellMar>
      </w:tblPr>
      <w:tblGrid>
        <w:gridCol w:w="682"/>
        <w:gridCol w:w="599"/>
        <w:gridCol w:w="527"/>
        <w:gridCol w:w="109"/>
        <w:gridCol w:w="109"/>
        <w:gridCol w:w="109"/>
        <w:gridCol w:w="698"/>
        <w:gridCol w:w="698"/>
        <w:gridCol w:w="700"/>
        <w:gridCol w:w="109"/>
        <w:gridCol w:w="109"/>
        <w:gridCol w:w="109"/>
        <w:gridCol w:w="450"/>
        <w:gridCol w:w="1315"/>
        <w:gridCol w:w="235"/>
        <w:gridCol w:w="109"/>
        <w:gridCol w:w="109"/>
        <w:gridCol w:w="109"/>
        <w:gridCol w:w="980"/>
        <w:gridCol w:w="980"/>
        <w:gridCol w:w="982"/>
        <w:gridCol w:w="109"/>
        <w:gridCol w:w="109"/>
        <w:gridCol w:w="160"/>
      </w:tblGrid>
      <w:tr>
        <w:trPr/>
        <w:tc>
          <w:tcPr>
            <w:tcW w:w="6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 Number of Securities to be Issued Upon Exercise of Outstanding Options, Warrants and </w:t>
              <w:br/>
              <w:t>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 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 Number of Securities Remaining Available for Future Issuance Under Equity Compensation Plans (Excluding Securities Reflected in Column (a))</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Equity compensation plans approved by security holders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(1)Includes our Amended and Restated 2012 Equity Incentive Plan (Restated 2012 Plan) and 2021 Employee Stock Purchase Plan (ESPP).</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(2)Consists of 1,074 thousand restricted stock units and 1,447 thousand shares underlying stock options.</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(3)The weighted average exercise price is calculated based solely on outstanding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9085"/>
                <wp:effectExtent l="0" t="0" r="0" b="0"/>
                <wp:wrapNone/>
                <wp:docPr id="94" name="Frame9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(4)Consists of 1,824 thousand shares reserved for issuance under our Amended and Restated 2012 Plan and 494 thousand shares reserved for issuance under our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for our 2024 Annual Meeting of Stockholders to be filed with the SEC within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for our 2024 Annual Meeting of Stockholders to be filed with the SEC within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99085"/>
                <wp:effectExtent l="0" t="0" r="0" b="0"/>
                <wp:wrapNone/>
                <wp:docPr id="95" name="Frame9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(a)(1) Financial Statements - The financial statements filed as part of this Annual Report on Form 10-K are listed on the Index to Consolidated Financial Statements in Item 8.</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 - All financial statement schedules have been omitted since the required information is not applicable or has been included in the consolidated financial statements and accompanying notes included in this Form 10-K.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613"/>
        <w:gridCol w:w="1280"/>
        <w:gridCol w:w="1293"/>
        <w:gridCol w:w="280"/>
        <w:gridCol w:w="280"/>
        <w:gridCol w:w="281"/>
        <w:gridCol w:w="410"/>
        <w:gridCol w:w="410"/>
        <w:gridCol w:w="416"/>
        <w:gridCol w:w="281"/>
        <w:gridCol w:w="281"/>
        <w:gridCol w:w="270"/>
        <w:gridCol w:w="268"/>
        <w:gridCol w:w="268"/>
        <w:gridCol w:w="269"/>
        <w:gridCol w:w="364"/>
        <w:gridCol w:w="364"/>
        <w:gridCol w:w="48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76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841"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Filed </w:t>
              <w:br/>
              <w:t>Herewith</w:t>
            </w:r>
          </w:p>
        </w:tc>
        <w:tc>
          <w:tcPr>
            <w:tcW w:w="1236"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832"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805"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1212"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7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Amended and Restated Certificate of Incorporation of Qualys, Inc.</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333-182027</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12, 2012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Amended and Restated Bylaws of Qualys, Inc.</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001-35662</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 2022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Form of common stock certificate.</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333-182027</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12, 2012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Description of Registrant’s securities</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001-35662</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2020</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2000 Equity Incentive Plan, as amended, and the form of stock option agreement thereunder.</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333-182027</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2012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Qualys, Inc. 2012 Equity Incentive Plan, as amended, restated and extended.</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001-35662</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10, 2022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20"/>
                  <w:u w:val="single"/>
                </w:rPr>
                <w:t>Qualys, Inc. 2021 Employee Stock Purchase Plan</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001-35662</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2021</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Offer Letter, between Qualys, Inc. and Sumedh S. Thakar, dated January 20, 2003.</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333-182027</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2012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20"/>
                  <w:u w:val="single"/>
                </w:rPr>
                <w:t>Offer Letter, between Qualys, Inc. and Joo Mi Kim, dated May 21, 2020.</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001-35662</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26, 2020</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Offer Letter, between Qualys, Inc. and Bruce K. Posey, dated May 8, 2012.</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333-182027</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2012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Form of Performance-Based Restricted Stock Unit Agreement for Executives under the 2012 Equity Incentive Plan, dated October 28, 2021</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001-35662</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Form of director and executive officer indemnification agreement.</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333-182027</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10, 2012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Qualys, Inc. Executive Performance Bonus Plan.</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Schedule 14A, Appendix A</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001-35662</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2016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85"/>
        <w:gridCol w:w="251"/>
        <w:gridCol w:w="252"/>
        <w:gridCol w:w="109"/>
        <w:gridCol w:w="109"/>
        <w:gridCol w:w="109"/>
        <w:gridCol w:w="1915"/>
        <w:gridCol w:w="1660"/>
        <w:gridCol w:w="1664"/>
        <w:gridCol w:w="280"/>
        <w:gridCol w:w="280"/>
        <w:gridCol w:w="281"/>
        <w:gridCol w:w="175"/>
        <w:gridCol w:w="175"/>
        <w:gridCol w:w="176"/>
        <w:gridCol w:w="269"/>
        <w:gridCol w:w="269"/>
        <w:gridCol w:w="177"/>
        <w:gridCol w:w="264"/>
        <w:gridCol w:w="264"/>
        <w:gridCol w:w="265"/>
        <w:gridCol w:w="343"/>
        <w:gridCol w:w="271"/>
        <w:gridCol w:w="362"/>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78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841"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Filed </w:t>
              <w:br/>
              <w:t>Herewith</w:t>
            </w:r>
          </w:p>
        </w:tc>
        <w:tc>
          <w:tcPr>
            <w:tcW w:w="526"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715"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793"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976"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lys-20231231xex1010.htm">
              <w:r>
                <w:rPr>
                  <w:rStyle w:val="InternetLink"/>
                  <w:rFonts w:ascii="Times New Roman;sans-serif" w:hAnsi="Times New Roman;sans-serif"/>
                  <w:b w:val="false"/>
                  <w:color w:val="0000FF"/>
                  <w:sz w:val="20"/>
                  <w:u w:val="single"/>
                </w:rPr>
                <w:t>Qualys, Inc. 2023 Corporate Bonus Plan.</w:t>
              </w:r>
            </w:hyperlink>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Lease Agreement, between Qualys, Inc. and Hudson Metro Center, LLC, dated October 14, 2016.</w:t>
              </w:r>
            </w:hyperlink>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001-35662</w:t>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19, 2016</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lys-20231231xex211.htm">
              <w:r>
                <w:rPr>
                  <w:rStyle w:val="InternetLink"/>
                  <w:rFonts w:ascii="Times New Roman;sans-serif" w:hAnsi="Times New Roman;sans-serif"/>
                  <w:b w:val="false"/>
                  <w:color w:val="0000FF"/>
                  <w:sz w:val="20"/>
                  <w:u w:val="single"/>
                </w:rPr>
                <w:t>List of subsidiaries of Qualys, Inc.</w:t>
              </w:r>
            </w:hyperlink>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lys-20231231xex231.htm">
              <w:r>
                <w:rPr>
                  <w:rStyle w:val="InternetLink"/>
                  <w:rFonts w:ascii="Times New Roman;sans-serif" w:hAnsi="Times New Roman;sans-serif"/>
                  <w:b w:val="false"/>
                  <w:color w:val="0000FF"/>
                  <w:sz w:val="20"/>
                  <w:u w:val="single"/>
                </w:rPr>
                <w:t>Consent of Grant Thornton LLP, independent registered public accounting firm.</w:t>
              </w:r>
            </w:hyperlink>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lys-20231231xex311.htm">
              <w:r>
                <w:rPr>
                  <w:rStyle w:val="InternetLink"/>
                  <w:rFonts w:ascii="Times New Roman;sans-serif" w:hAnsi="Times New Roman;sans-serif"/>
                  <w:b w:val="false"/>
                  <w:color w:val="0000FF"/>
                  <w:sz w:val="20"/>
                  <w:u w:val="single"/>
                </w:rPr>
                <w:t>Certification of Chief Executive Officer pursuant to Rule 13a-14(a) or Rule 15d-14(a) of the Securities Exchange Act of 1934, as adopted pursuant to Section 302 of The Sarbanes-Oxley Act of 2002.</w:t>
              </w:r>
            </w:hyperlink>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lys-20231231xex312.htm">
              <w:r>
                <w:rPr>
                  <w:rStyle w:val="InternetLink"/>
                  <w:rFonts w:ascii="Times New Roman;sans-serif" w:hAnsi="Times New Roman;sans-serif"/>
                  <w:b w:val="false"/>
                  <w:color w:val="0000FF"/>
                  <w:sz w:val="20"/>
                  <w:u w:val="single"/>
                </w:rPr>
                <w:t>Certification of Chief Financial Officer pursuant to Rule 13a-14(a) or Rule 15d-14(a) of the Securities Exchange Act of 1934, as adopted pursuant to Section 302 of The Sarbanes-Oxley Act of 2002.</w:t>
              </w:r>
            </w:hyperlink>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lys-20231231xex321.htm">
              <w:r>
                <w:rPr>
                  <w:rStyle w:val="InternetLink"/>
                  <w:rFonts w:ascii="Times New Roman;sans-serif" w:hAnsi="Times New Roman;sans-serif"/>
                  <w:b w:val="false"/>
                  <w:color w:val="0000FF"/>
                  <w:sz w:val="20"/>
                  <w:u w:val="single"/>
                </w:rPr>
                <w:t>Certification of Chief Executive Officer pursuant to Rule 13a-14(b) or Rule 15d-14(b) of the Securities Exchange Act of 1934 and 18 U.S.C. Section 1350 as adopted pursuant to Section 906 of The Sarbanes-Oxley Act of 2002.</w:t>
              </w:r>
            </w:hyperlink>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lys-20231231xex322.htm">
              <w:r>
                <w:rPr>
                  <w:rStyle w:val="InternetLink"/>
                  <w:rFonts w:ascii="Times New Roman;sans-serif" w:hAnsi="Times New Roman;sans-serif"/>
                  <w:b w:val="false"/>
                  <w:color w:val="0000FF"/>
                  <w:sz w:val="20"/>
                  <w:u w:val="single"/>
                </w:rPr>
                <w:t>Certification of Chief Financial Officer pursuant to Rule 13a-14(b) or Rule 15d-14(b) of the Securities Exchange Act of 1934 and 18 U.S.C. Section 1350 as adopted pursuant to Section 906 of The Sarbanes-Oxley Act of 2002.</w:t>
              </w:r>
            </w:hyperlink>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lys-20231231xex971.htm">
              <w:r>
                <w:rPr>
                  <w:rStyle w:val="InternetLink"/>
                  <w:rFonts w:ascii="Times New Roman;sans-serif" w:hAnsi="Times New Roman;sans-serif"/>
                  <w:b w:val="false"/>
                  <w:color w:val="0000FF"/>
                  <w:sz w:val="20"/>
                  <w:u w:val="single"/>
                </w:rPr>
                <w:t>Qualys Inc. Compensation Recovery Policy, as adopted on October 26, 2023</w:t>
              </w:r>
            </w:hyperlink>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88"/>
        <w:gridCol w:w="254"/>
        <w:gridCol w:w="255"/>
        <w:gridCol w:w="109"/>
        <w:gridCol w:w="109"/>
        <w:gridCol w:w="109"/>
        <w:gridCol w:w="1945"/>
        <w:gridCol w:w="1813"/>
        <w:gridCol w:w="1818"/>
        <w:gridCol w:w="280"/>
        <w:gridCol w:w="280"/>
        <w:gridCol w:w="281"/>
        <w:gridCol w:w="175"/>
        <w:gridCol w:w="175"/>
        <w:gridCol w:w="176"/>
        <w:gridCol w:w="180"/>
        <w:gridCol w:w="180"/>
        <w:gridCol w:w="165"/>
        <w:gridCol w:w="275"/>
        <w:gridCol w:w="275"/>
        <w:gridCol w:w="276"/>
        <w:gridCol w:w="228"/>
        <w:gridCol w:w="228"/>
        <w:gridCol w:w="331"/>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79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841"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Filed </w:t>
              <w:br/>
              <w:t>Herewith</w:t>
            </w:r>
          </w:p>
        </w:tc>
        <w:tc>
          <w:tcPr>
            <w:tcW w:w="526"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525"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826"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787"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formatted in Inline XBRL and included as Exhibit 101.</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exhibit, marked by brackets, have been omitted because the omitted information (i) is not material and (ii) would likely cause competitive harm if publicly disclosed.</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99085"/>
                <wp:effectExtent l="0" t="0" r="0" b="0"/>
                <wp:wrapNone/>
                <wp:docPr id="98" name="Frame9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pPr>
      <w:r>
        <w:rPr>
          <w:rFonts w:ascii="Times New Roman;sans-serif" w:hAnsi="Times New Roman;sans-serif"/>
          <w:b w:val="false"/>
          <w:color w:val="000000"/>
          <w:sz w:val="20"/>
        </w:rPr>
        <w:t>Pursuant to the requirements of Section 13 or 15(d) of the Securities Exchange Act of 1934, the registrant has duly caused this Annual Report on Form 10-K to be signed on its behalf by the undersigned, thereunto duly authorized, in the City of Foster City, State of California on February 22, 2024</w:t>
      </w:r>
      <w:r>
        <w:rPr>
          <w:rFonts w:ascii="Times New Roman;sans-serif" w:hAnsi="Times New Roman;sans-serif"/>
          <w:b w:val="false"/>
          <w:color w:val="000000"/>
          <w:sz w:val="20"/>
          <w:shd w:fill="FFFFFF" w:val="clear"/>
        </w:rPr>
        <w:t>.</w:t>
      </w:r>
    </w:p>
    <w:tbl>
      <w:tblPr>
        <w:tblW w:w="4193" w:type="dxa"/>
        <w:jc w:val="left"/>
        <w:tblInd w:w="0" w:type="dxa"/>
        <w:tblLayout w:type="fixed"/>
        <w:tblCellMar>
          <w:top w:w="28" w:type="dxa"/>
          <w:left w:w="28" w:type="dxa"/>
          <w:bottom w:w="28" w:type="dxa"/>
          <w:right w:w="28" w:type="dxa"/>
        </w:tblCellMar>
      </w:tblPr>
      <w:tblGrid>
        <w:gridCol w:w="124"/>
        <w:gridCol w:w="109"/>
        <w:gridCol w:w="109"/>
        <w:gridCol w:w="214"/>
        <w:gridCol w:w="214"/>
        <w:gridCol w:w="214"/>
        <w:gridCol w:w="929"/>
        <w:gridCol w:w="929"/>
        <w:gridCol w:w="1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SUMEDH S. THAKAR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Sumedh S. Thakar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99085"/>
                <wp:effectExtent l="0" t="0" r="0" b="0"/>
                <wp:wrapNone/>
                <wp:docPr id="99" name="Frame9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240" w:after="283"/>
        <w:jc w:val="left"/>
        <w:rPr/>
      </w:pPr>
      <w:hyperlink w:anchor="i0668aaa2a4b841bfbaf18f9d4436768b_7">
        <w:r>
          <w:rPr>
            <w:rStyle w:val="InternetLink"/>
            <w:rFonts w:ascii="Times New Roman;sans-serif" w:hAnsi="Times New Roman;sans-serif"/>
            <w:b w:val="false"/>
            <w:color w:val="000080"/>
            <w:sz w:val="20"/>
            <w:u w:val="single"/>
          </w:rPr>
          <w:t xml:space="preserve">Table of </w:t>
        </w:r>
      </w:hyperlink>
      <w:hyperlink w:anchor="i0668aaa2a4b841bfbaf18f9d4436768b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w:t>
      </w:r>
    </w:p>
    <w:tbl>
      <w:tblPr>
        <w:tblW w:w="10205" w:type="dxa"/>
        <w:jc w:val="left"/>
        <w:tblInd w:w="0" w:type="dxa"/>
        <w:tblLayout w:type="fixed"/>
        <w:tblCellMar>
          <w:top w:w="28" w:type="dxa"/>
          <w:left w:w="28" w:type="dxa"/>
          <w:bottom w:w="28" w:type="dxa"/>
          <w:right w:w="28" w:type="dxa"/>
        </w:tblCellMar>
      </w:tblPr>
      <w:tblGrid>
        <w:gridCol w:w="794"/>
        <w:gridCol w:w="675"/>
        <w:gridCol w:w="679"/>
        <w:gridCol w:w="109"/>
        <w:gridCol w:w="109"/>
        <w:gridCol w:w="109"/>
        <w:gridCol w:w="1965"/>
        <w:gridCol w:w="1950"/>
        <w:gridCol w:w="1976"/>
        <w:gridCol w:w="109"/>
        <w:gridCol w:w="109"/>
        <w:gridCol w:w="109"/>
        <w:gridCol w:w="440"/>
        <w:gridCol w:w="440"/>
        <w:gridCol w:w="632"/>
      </w:tblGrid>
      <w:tr>
        <w:trPr/>
        <w:tc>
          <w:tcPr>
            <w:tcW w:w="79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SUMEDH S. THAKAR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Sumedh S. Thakar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JOO MI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Joo Mi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P. HANK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P. Hank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THOMAS P. BERQUIST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P. Berquist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BERUTTI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Berutti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WENDY M. PFEIFFER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Wendy M. Pfeiffer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 M.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 M.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ZANGARDI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Zangardi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99085"/>
                <wp:effectExtent l="0" t="0" r="0" b="0"/>
                <wp:wrapNone/>
                <wp:docPr id="100" name="Frame9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10.10</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The Appendix in this document has been excluded because it both (i) is not material and (ii) would likely cause competitive harm to the registrant if publicly disclosed.</w:t>
      </w:r>
    </w:p>
    <w:p>
      <w:pPr>
        <w:pStyle w:val="TextBody"/>
        <w:bidi w:val="0"/>
        <w:spacing w:before="0" w:after="0"/>
        <w:jc w:val="left"/>
        <w:rPr/>
      </w:pPr>
      <w:r>
        <w:rPr/>
      </w:r>
    </w:p>
    <w:p>
      <w:pPr>
        <w:pStyle w:val="TextBody"/>
        <w:bidi w:val="0"/>
        <w:spacing w:before="0" w:after="0"/>
        <w:jc w:val="center"/>
        <w:rPr/>
      </w:pPr>
      <w:r>
        <w:rPr/>
        <w:drawing>
          <wp:inline distT="0" distB="0" distL="0" distR="0">
            <wp:extent cx="1828800" cy="1609725"/>
            <wp:effectExtent l="0" t="0" r="0" b="0"/>
            <wp:docPr id="10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 descr=""/>
                    <pic:cNvPicPr>
                      <a:picLocks noChangeAspect="1" noChangeArrowheads="1"/>
                    </pic:cNvPicPr>
                  </pic:nvPicPr>
                  <pic:blipFill>
                    <a:blip r:embed="rId18"/>
                    <a:stretch>
                      <a:fillRect/>
                    </a:stretch>
                  </pic:blipFill>
                  <pic:spPr bwMode="auto">
                    <a:xfrm>
                      <a:off x="0" y="0"/>
                      <a:ext cx="1828800" cy="1609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 CORPORATE BONUS PLAN</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 xml:space="preserve">1. </w:t>
      </w:r>
      <w:r>
        <w:rPr>
          <w:rFonts w:ascii="Times New Roman;sans-serif" w:hAnsi="Times New Roman;sans-serif"/>
          <w:b/>
          <w:color w:val="000000"/>
          <w:sz w:val="20"/>
          <w:u w:val="single"/>
        </w:rPr>
        <w:t>Purpose.</w:t>
      </w:r>
      <w:r>
        <w:rPr>
          <w:color w:val="000000"/>
        </w:rPr>
        <w:t xml:space="preserve"> </w:t>
      </w:r>
      <w:r>
        <w:rPr>
          <w:rFonts w:ascii="Times New Roman;sans-serif" w:hAnsi="Times New Roman;sans-serif"/>
          <w:b w:val="false"/>
          <w:color w:val="000000"/>
          <w:sz w:val="20"/>
        </w:rPr>
        <w:t>The purpose of this 2023 Corporate Bonus Plan (the “Plan”) is to motivate and encourage the employees of Qualys (the “Company”) to achieve its stated goals and to assist the Company in attracting, motivating and retaining employees on a competitive basis.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 xml:space="preserve">2. </w:t>
      </w:r>
      <w:r>
        <w:rPr>
          <w:rFonts w:ascii="Times New Roman;sans-serif" w:hAnsi="Times New Roman;sans-serif"/>
          <w:b/>
          <w:color w:val="000000"/>
          <w:sz w:val="20"/>
          <w:u w:val="single"/>
        </w:rPr>
        <w:t>Eligibility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An officer or employee of the Company is designated as a participant in the Plan ("Participant") and shall be eligible to participate in the Plan if they are either a regular full-time or regular part-time employee (working greater than 20 hours a week) and they are not already participating in a separate Compensation or MBO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color w:val="000000"/>
          <w:sz w:val="20"/>
        </w:rPr>
        <w:t>New Hires.</w:t>
      </w:r>
      <w:r>
        <w:rPr>
          <w:color w:val="000000"/>
        </w:rPr>
        <w:t xml:space="preserve"> </w:t>
      </w:r>
      <w:r>
        <w:rPr>
          <w:rFonts w:ascii="Times New Roman;sans-serif" w:hAnsi="Times New Roman;sans-serif"/>
          <w:b w:val="false"/>
          <w:color w:val="000000"/>
          <w:sz w:val="20"/>
        </w:rPr>
        <w:t>New employees hired in the first or second month of a quarter will be eligible to participate in the Plan for that quarter, such participation will be prorated based on the number of working days employed in the quarter.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color w:val="000000"/>
          <w:sz w:val="20"/>
        </w:rPr>
        <w:t>Termination of Employment.</w:t>
      </w:r>
      <w:r>
        <w:rPr>
          <w:color w:val="000000"/>
        </w:rPr>
        <w:t xml:space="preserve"> </w:t>
      </w:r>
      <w:r>
        <w:rPr>
          <w:rFonts w:ascii="Times New Roman;sans-serif" w:hAnsi="Times New Roman;sans-serif"/>
          <w:b w:val="false"/>
          <w:color w:val="000000"/>
          <w:sz w:val="20"/>
        </w:rPr>
        <w:t>To be eligible for the bonus, the employee must be employed as of the last working day of the quarter.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color w:val="000000"/>
          <w:sz w:val="20"/>
        </w:rPr>
        <w:t>Absence during Performance Period.</w:t>
      </w:r>
      <w:r>
        <w:rPr>
          <w:color w:val="000000"/>
        </w:rPr>
        <w:t xml:space="preserve"> </w:t>
      </w:r>
      <w:r>
        <w:rPr>
          <w:rFonts w:ascii="Times New Roman;sans-serif" w:hAnsi="Times New Roman;sans-serif"/>
          <w:b w:val="false"/>
          <w:color w:val="000000"/>
          <w:sz w:val="20"/>
        </w:rPr>
        <w:t>If a Participant is absent for a period of more than one-half of the working days in a quarter, for any reason, the Participant’s bonus payment will be prorated based on the number of working days the Participant actually worked compared to the total number of working days during that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 xml:space="preserve">3. </w:t>
      </w:r>
      <w:r>
        <w:rPr>
          <w:rFonts w:ascii="Times New Roman;sans-serif" w:hAnsi="Times New Roman;sans-serif"/>
          <w:b/>
          <w:color w:val="000000"/>
          <w:sz w:val="20"/>
          <w:u w:val="single"/>
        </w:rPr>
        <w:t>Bonus Criteria</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color w:val="000000"/>
          <w:sz w:val="20"/>
        </w:rPr>
        <w:t>Bonus Period.</w:t>
      </w:r>
      <w:r>
        <w:rPr>
          <w:color w:val="000000"/>
        </w:rPr>
        <w:t xml:space="preserve"> </w:t>
      </w:r>
      <w:r>
        <w:rPr>
          <w:rFonts w:ascii="Times New Roman;sans-serif" w:hAnsi="Times New Roman;sans-serif"/>
          <w:b w:val="false"/>
          <w:color w:val="000000"/>
          <w:sz w:val="20"/>
        </w:rPr>
        <w:t>The Bonus Plan is effective from January 1, 2023 through December 31, 2023. Each calendar quarter is a separate bonus period.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color w:val="000000"/>
          <w:sz w:val="20"/>
        </w:rPr>
        <w:t xml:space="preserve">Bonus Level. </w:t>
      </w:r>
      <w:r>
        <w:rPr>
          <w:rFonts w:ascii="Times New Roman;sans-serif" w:hAnsi="Times New Roman;sans-serif"/>
          <w:b w:val="false"/>
          <w:color w:val="000000"/>
          <w:sz w:val="20"/>
        </w:rPr>
        <w:t>A Participant’s level of participation in the Plan is set based on the corporate bonus level as of the last working day of that quarter as well as their location and applicable variable plan during the Bonus Period as determined by the Human Resources Department. This will be applied to the Participant’s base salary to determine the bonus amount.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Effective 1/1/2023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Effective 1/1/2023</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color w:val="000000"/>
          <w:sz w:val="20"/>
        </w:rPr>
        <w:t>Objective Criteria:</w:t>
      </w:r>
      <w:r>
        <w:rPr>
          <w:color w:val="000000"/>
        </w:rPr>
        <w:t xml:space="preserve"> </w:t>
      </w:r>
      <w:r>
        <w:rPr>
          <w:rFonts w:ascii="Times New Roman;sans-serif" w:hAnsi="Times New Roman;sans-serif"/>
          <w:b w:val="false"/>
          <w:color w:val="000000"/>
          <w:sz w:val="20"/>
        </w:rPr>
        <w:t>The Plan payments will be based on ASV (as defined below), Revenue (as defined below) and Non-GAAP EPS (as defined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(1) </w:t>
      </w:r>
      <w:r>
        <w:rPr>
          <w:rFonts w:ascii="Times New Roman;sans-serif" w:hAnsi="Times New Roman;sans-serif"/>
          <w:b/>
          <w:color w:val="000000"/>
          <w:sz w:val="20"/>
        </w:rPr>
        <w:t>ASV.</w:t>
      </w:r>
      <w:r>
        <w:rPr>
          <w:color w:val="000000"/>
        </w:rPr>
        <w:t xml:space="preserve"> </w:t>
      </w:r>
      <w:r>
        <w:rPr>
          <w:rFonts w:ascii="Times New Roman;sans-serif" w:hAnsi="Times New Roman;sans-serif"/>
          <w:b w:val="false"/>
          <w:color w:val="000000"/>
          <w:sz w:val="20"/>
        </w:rPr>
        <w:t>The stated goal is the growth in company-wide bookings as represented by Annual Subscription Value (“ASV”) for the current quarter over the same quarter of the prior year. ASV is the sum of one year’s worth of subscribed revenues to Qualys for all new, renewal and upsell subscriptions contracted by customers and channel partners in each quarter. ASV is determined by policies and practices administered by the Controller and the final quarterly ASV amount is approved by the CFO.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(2) </w:t>
      </w:r>
      <w:r>
        <w:rPr>
          <w:rFonts w:ascii="Times New Roman;sans-serif" w:hAnsi="Times New Roman;sans-serif"/>
          <w:b/>
          <w:color w:val="000000"/>
          <w:sz w:val="20"/>
        </w:rPr>
        <w:t>Revenue.</w:t>
      </w:r>
      <w:r>
        <w:rPr>
          <w:color w:val="000000"/>
        </w:rPr>
        <w:t xml:space="preserve"> </w:t>
      </w:r>
      <w:r>
        <w:rPr>
          <w:rFonts w:ascii="Times New Roman;sans-serif" w:hAnsi="Times New Roman;sans-serif"/>
          <w:b w:val="false"/>
          <w:color w:val="000000"/>
          <w:sz w:val="20"/>
        </w:rPr>
        <w:t>The stated goal is the growth in company-wide revenue (as determined in accordance with GAAP and set forth in the Company’s quarterly and annual financial statements) for the current quarter over the same quarter of the prior year.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(3) </w:t>
      </w:r>
      <w:r>
        <w:rPr>
          <w:rFonts w:ascii="Times New Roman;sans-serif" w:hAnsi="Times New Roman;sans-serif"/>
          <w:b/>
          <w:color w:val="000000"/>
          <w:sz w:val="20"/>
        </w:rPr>
        <w:t>Non-GAAP EPS.</w:t>
      </w:r>
      <w:r>
        <w:rPr>
          <w:color w:val="000000"/>
        </w:rPr>
        <w:t xml:space="preserve"> </w:t>
      </w:r>
      <w:r>
        <w:rPr>
          <w:rFonts w:ascii="Times New Roman;sans-serif" w:hAnsi="Times New Roman;sans-serif"/>
          <w:b w:val="false"/>
          <w:color w:val="000000"/>
          <w:sz w:val="20"/>
        </w:rPr>
        <w:t>The stated goal is Non-GAAP earnings per diluted share. Non-GAAP EPS is GAAP net income less stock-based compensation expense, acquisition-related expenses (except for ordinary course advisory fees), tax adjustments and bonus payments under this Plan divided by weighted average shares (diluted) for the applicable quarter.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color w:val="000000"/>
          <w:sz w:val="20"/>
        </w:rPr>
        <w:t>Payout Calculation.</w:t>
      </w:r>
      <w:r>
        <w:rPr>
          <w:color w:val="000000"/>
        </w:rPr>
        <w:t xml:space="preserve"> </w:t>
      </w:r>
      <w:r>
        <w:rPr>
          <w:rFonts w:ascii="Times New Roman;sans-serif" w:hAnsi="Times New Roman;sans-serif"/>
          <w:b w:val="false"/>
          <w:color w:val="000000"/>
          <w:sz w:val="20"/>
        </w:rPr>
        <w:t>A Participant’s bonus amount will be equal to the aggregate for each of the applicable objective goals as follows: the payment percentage described below multiplied by weighting percentage for the applicable goal. ASV Growth, Revenue Growth and Non-GAAP EPS shall be the 3 goals and shall be equally weighted.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(1) </w:t>
      </w:r>
      <w:r>
        <w:rPr>
          <w:rFonts w:ascii="Times New Roman;sans-serif" w:hAnsi="Times New Roman;sans-serif"/>
          <w:b/>
          <w:color w:val="000000"/>
          <w:sz w:val="20"/>
        </w:rPr>
        <w:t>ASV.</w:t>
      </w:r>
      <w:r>
        <w:rPr>
          <w:color w:val="000000"/>
        </w:rPr>
        <w:t xml:space="preserve"> </w:t>
      </w:r>
      <w:r>
        <w:rPr>
          <w:rFonts w:ascii="Times New Roman;sans-serif" w:hAnsi="Times New Roman;sans-serif"/>
          <w:b w:val="false"/>
          <w:color w:val="000000"/>
          <w:sz w:val="20"/>
        </w:rPr>
        <w:t xml:space="preserve">The payout percentage scales based upon achievement of ASV as described in Section 1 of the Appendix </w:t>
      </w:r>
      <w:r>
        <w:rPr>
          <w:rFonts w:ascii="Times New Roman;sans-serif" w:hAnsi="Times New Roman;sans-serif"/>
          <w:b/>
          <w:color w:val="000000"/>
          <w:sz w:val="2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(2) </w:t>
      </w:r>
      <w:r>
        <w:rPr>
          <w:rFonts w:ascii="Times New Roman;sans-serif" w:hAnsi="Times New Roman;sans-serif"/>
          <w:b/>
          <w:color w:val="000000"/>
          <w:sz w:val="20"/>
        </w:rPr>
        <w:t>Revenue.</w:t>
      </w:r>
      <w:r>
        <w:rPr>
          <w:color w:val="000000"/>
        </w:rPr>
        <w:t xml:space="preserve"> </w:t>
      </w:r>
      <w:r>
        <w:rPr>
          <w:rFonts w:ascii="Times New Roman;sans-serif" w:hAnsi="Times New Roman;sans-serif"/>
          <w:b w:val="false"/>
          <w:color w:val="000000"/>
          <w:sz w:val="20"/>
        </w:rPr>
        <w:t xml:space="preserve">The payout percentage scales based upon achievement of Revenue as described in Section 2 of the Appendix </w:t>
      </w:r>
      <w:r>
        <w:rPr>
          <w:rFonts w:ascii="Times New Roman;sans-serif" w:hAnsi="Times New Roman;sans-serif"/>
          <w:b/>
          <w:color w:val="000000"/>
          <w:sz w:val="2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(3) </w:t>
      </w:r>
      <w:r>
        <w:rPr>
          <w:rFonts w:ascii="Times New Roman;sans-serif" w:hAnsi="Times New Roman;sans-serif"/>
          <w:b/>
          <w:color w:val="000000"/>
          <w:sz w:val="20"/>
        </w:rPr>
        <w:t>Non-GAAP EPS.</w:t>
      </w:r>
      <w:r>
        <w:rPr>
          <w:color w:val="000000"/>
        </w:rPr>
        <w:t xml:space="preserve"> </w:t>
      </w:r>
      <w:r>
        <w:rPr>
          <w:rFonts w:ascii="Times New Roman;sans-serif" w:hAnsi="Times New Roman;sans-serif"/>
          <w:b w:val="false"/>
          <w:color w:val="000000"/>
          <w:sz w:val="20"/>
        </w:rPr>
        <w:t xml:space="preserve">The payout percentage scales based upon achievement of Non-GAAP EPS as described in Section 3 of the Appendix </w:t>
      </w:r>
      <w:r>
        <w:rPr>
          <w:rFonts w:ascii="Times New Roman;sans-serif" w:hAnsi="Times New Roman;sans-serif"/>
          <w:b/>
          <w:color w:val="000000"/>
          <w:sz w:val="2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(e) </w:t>
      </w:r>
      <w:r>
        <w:rPr>
          <w:rFonts w:ascii="Times New Roman;sans-serif" w:hAnsi="Times New Roman;sans-serif"/>
          <w:b/>
          <w:color w:val="000000"/>
          <w:sz w:val="20"/>
        </w:rPr>
        <w:t>Bonus Payments.</w:t>
      </w:r>
      <w:r>
        <w:rPr>
          <w:color w:val="000000"/>
        </w:rPr>
        <w:t xml:space="preserve"> </w:t>
      </w:r>
      <w:r>
        <w:rPr>
          <w:rFonts w:ascii="Times New Roman;sans-serif" w:hAnsi="Times New Roman;sans-serif"/>
          <w:b w:val="false"/>
          <w:color w:val="000000"/>
          <w:sz w:val="20"/>
        </w:rPr>
        <w:t>Bonus payments to Participants under this Plan will be made with the first payroll of the second month following the end of the quarter. Bonus payments are “gross” amounts, meaning that they constitute the full amount and that there will be no other increases (for example, to cover income taxes). The company will deduct from any payment under the Plan the amount of all applicable income and employment taxes, and any other amounts required by law to be withheld or deducted from such payment, and any voluntary deductions applicable. None of the payments will be “benefits bearing” (i.e., the bonus amounts will not be used for purposes of determining any other company-provided benefits or compensation).</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color w:val="000000"/>
          <w:sz w:val="20"/>
          <w:u w:val="single"/>
        </w:rPr>
        <w:t>Administration.</w:t>
      </w:r>
      <w:r>
        <w:rPr>
          <w:color w:val="000000"/>
        </w:rPr>
        <w:t xml:space="preserve"> </w:t>
      </w:r>
      <w:r>
        <w:rPr>
          <w:rFonts w:ascii="Times New Roman;sans-serif" w:hAnsi="Times New Roman;sans-serif"/>
          <w:b w:val="false"/>
          <w:color w:val="000000"/>
          <w:sz w:val="20"/>
        </w:rPr>
        <w:t>This Plan shall be administered by the Company’s CFO (except with respect to Participants who are the Company’s executive officers, in which case the Compensation and Talent Committee of the Board of Directors will serve as the administrator), who may make and apply such rules deemed desirable or necessary to administer the Plan in the best interests of the Company. All questions of interpretation or application of the Plan may be addressed in writing to the CFO (or as applicable, the Compensation and Talent Committee), who shall review each inquiry in good faith, and each such determination shall be final and binding. With the approval of the Compensation and Talent Committee, the results with respect to determination of ASV, Revenue, and Non-GAAP EPS will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Effective 1/1/2023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Effective 1/1/2023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subsidiaries of Qualys, Inc.*</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07"/>
        <w:gridCol w:w="2011"/>
        <w:gridCol w:w="2021"/>
        <w:gridCol w:w="109"/>
        <w:gridCol w:w="109"/>
        <w:gridCol w:w="109"/>
        <w:gridCol w:w="1004"/>
        <w:gridCol w:w="1004"/>
        <w:gridCol w:w="1431"/>
      </w:tblGrid>
      <w:tr>
        <w:trPr/>
        <w:tc>
          <w:tcPr>
            <w:tcW w:w="2407"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6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Jurisdiction of Incorporation or Organization</w:t>
            </w:r>
          </w:p>
        </w:tc>
      </w:tr>
      <w:tr>
        <w:trPr/>
        <w:tc>
          <w:tcPr>
            <w:tcW w:w="6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International,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Jay Acquisition Sub,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Brazil Desenvolvimento de Produtos e Consultoria de Tecnologias de Seguranca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Canada,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6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Technologies,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6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Hong Kong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6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Security TechServices Private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6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Japan K.K.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6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6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Middle East FZE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r>
      <w:tr>
        <w:trPr/>
        <w:tc>
          <w:tcPr>
            <w:tcW w:w="6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Australia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6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Switzerland Sarl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6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Colombia 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w:t>
            </w:r>
          </w:p>
        </w:tc>
      </w:tr>
      <w:tr>
        <w:trPr/>
        <w:tc>
          <w:tcPr>
            <w:tcW w:w="6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South Africa Proprietary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6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Netherlands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Inclusion on the list above is not an admission that any of the above entities, individually or in the aggregate, constitutes a significant subsidiary within the meaning of Rule 1-02(w) of Regulation S-X and Item 601(b)(21)(ii) of Regulation S-K.</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issued our reports dated February 22, 2024, with respect to the consolidated financial statements and internal control over financial reporting included in the Annual Report of Qualys, Inc. on Form 10-K for the year ended December 31, 2023. We consent to the incorporation by reference of said reports in the Registration Statements of Qualys, Inc. on Forms S-8 (File Nos. 333-184394, 333-193576, 333-202587, 333-209735, 333-216232, 333-223192, 333-229908, 333-236576, 333-253373, 333-257657 and 333-262912).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Sumedh S. Thakar, certify that:</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Qualys, Inc.;</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091" w:type="dxa"/>
        <w:jc w:val="left"/>
        <w:tblInd w:w="0" w:type="dxa"/>
        <w:tblLayout w:type="fixed"/>
        <w:tblCellMar>
          <w:top w:w="28" w:type="dxa"/>
          <w:left w:w="28" w:type="dxa"/>
          <w:bottom w:w="28" w:type="dxa"/>
          <w:right w:w="28" w:type="dxa"/>
        </w:tblCellMar>
      </w:tblPr>
      <w:tblGrid>
        <w:gridCol w:w="200"/>
        <w:gridCol w:w="177"/>
        <w:gridCol w:w="178"/>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SUMEDH S. THAKAR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Sumedh S. Thakar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Joo Mi Kim, certify that:</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Qualys, Inc.;</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27" w:type="dxa"/>
        <w:jc w:val="left"/>
        <w:tblInd w:w="0" w:type="dxa"/>
        <w:tblLayout w:type="fixed"/>
        <w:tblCellMar>
          <w:top w:w="28" w:type="dxa"/>
          <w:left w:w="28" w:type="dxa"/>
          <w:bottom w:w="28" w:type="dxa"/>
          <w:right w:w="28" w:type="dxa"/>
        </w:tblCellMar>
      </w:tblPr>
      <w:tblGrid>
        <w:gridCol w:w="200"/>
        <w:gridCol w:w="177"/>
        <w:gridCol w:w="178"/>
        <w:gridCol w:w="1199"/>
        <w:gridCol w:w="1199"/>
        <w:gridCol w:w="120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JOO MI KIM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Joo Mi Kim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13a-14(b) OR RULE 15d-14(b)</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AND 18 U.S.C. SECTION 1350</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Qualys, Inc. (the “Company”) on Form 10-K for the year ended December 31, 2023, as filed with the Securities and Exchange Commission on the date hereof (the “Report”), I, Sumedh S. Thakar, Chief Executive Officer of the Company, certify, pursuant to 18 U.S.C. § 1350, as adopted pursuant to § 906 of the Sarbanes-Oxley Act of 2002, that, to the best of my knowledge: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091" w:type="dxa"/>
        <w:jc w:val="left"/>
        <w:tblInd w:w="0" w:type="dxa"/>
        <w:tblLayout w:type="fixed"/>
        <w:tblCellMar>
          <w:top w:w="28" w:type="dxa"/>
          <w:left w:w="28" w:type="dxa"/>
          <w:bottom w:w="28" w:type="dxa"/>
          <w:right w:w="28" w:type="dxa"/>
        </w:tblCellMar>
      </w:tblPr>
      <w:tblGrid>
        <w:gridCol w:w="200"/>
        <w:gridCol w:w="177"/>
        <w:gridCol w:w="178"/>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SUMEDH S. THAKAR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Sumedh S. Thakar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13a-14(b) OR RULE 15d-14(b)</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AND 18 U.S.C. SECTION 1350</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Qualys, Inc. (the “Company”) on Form 10-K for the year ended December 31, 2023,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527" w:type="dxa"/>
        <w:jc w:val="left"/>
        <w:tblInd w:w="0" w:type="dxa"/>
        <w:tblLayout w:type="fixed"/>
        <w:tblCellMar>
          <w:top w:w="28" w:type="dxa"/>
          <w:left w:w="28" w:type="dxa"/>
          <w:bottom w:w="28" w:type="dxa"/>
          <w:right w:w="28" w:type="dxa"/>
        </w:tblCellMar>
      </w:tblPr>
      <w:tblGrid>
        <w:gridCol w:w="200"/>
        <w:gridCol w:w="177"/>
        <w:gridCol w:w="178"/>
        <w:gridCol w:w="1199"/>
        <w:gridCol w:w="1199"/>
        <w:gridCol w:w="120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JOO MI KIM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Joo Mi Kim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97.1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QUALYS,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COMPENSATION RECOVERY POLICY</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on October 26, 2023</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Qualys,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is committed to strong corporate governance. As part of this commitment, the Company’s Board of Directors (the “</w:t>
      </w:r>
      <w:r>
        <w:rPr>
          <w:rFonts w:ascii="Times New Roman;sans-serif" w:hAnsi="Times New Roman;sans-serif"/>
          <w:b/>
          <w:color w:val="000000"/>
          <w:sz w:val="20"/>
        </w:rPr>
        <w:t>Board</w:t>
      </w:r>
      <w:r>
        <w:rPr>
          <w:color w:val="000000"/>
        </w:rPr>
        <w:t>”</w:t>
      </w:r>
      <w:r>
        <w:rPr>
          <w:rFonts w:ascii="Times New Roman;sans-serif" w:hAnsi="Times New Roman;sans-serif"/>
          <w:b w:val="false"/>
          <w:color w:val="000000"/>
          <w:sz w:val="20"/>
        </w:rPr>
        <w:t>) has adopted this clawback policy called the Compensation Recovery Policy (the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The Policy is intended to comply with, and will be interpreted in a manner consistent with, Section 10D of the Securities Exchange Act of 1934 (the “</w:t>
      </w:r>
      <w:r>
        <w:rPr>
          <w:rFonts w:ascii="Times New Roman;sans-serif" w:hAnsi="Times New Roman;sans-serif"/>
          <w:b/>
          <w:color w:val="000000"/>
          <w:sz w:val="20"/>
        </w:rPr>
        <w:t>Exchange Act</w:t>
      </w:r>
      <w:r>
        <w:rPr>
          <w:color w:val="000000"/>
        </w:rPr>
        <w:t>”</w:t>
      </w:r>
      <w:r>
        <w:rPr>
          <w:rFonts w:ascii="Times New Roman;sans-serif" w:hAnsi="Times New Roman;sans-serif"/>
          <w:b w:val="false"/>
          <w:color w:val="000000"/>
          <w:sz w:val="20"/>
        </w:rPr>
        <w:t>), with Exchange Act Rule 10D-1 and with the listing standards of the national securities exchange (the “</w:t>
      </w:r>
      <w:r>
        <w:rPr>
          <w:rFonts w:ascii="Times New Roman;sans-serif" w:hAnsi="Times New Roman;sans-serif"/>
          <w:b/>
          <w:color w:val="000000"/>
          <w:sz w:val="20"/>
        </w:rPr>
        <w:t>Exchange</w:t>
      </w:r>
      <w:r>
        <w:rPr>
          <w:color w:val="000000"/>
        </w:rPr>
        <w:t>”</w:t>
      </w:r>
      <w:r>
        <w:rPr>
          <w:rFonts w:ascii="Times New Roman;sans-serif" w:hAnsi="Times New Roman;sans-serif"/>
          <w:b w:val="false"/>
          <w:color w:val="000000"/>
          <w:sz w:val="20"/>
        </w:rPr>
        <w:t>) on which the securities of the Company are listed,</w:t>
      </w:r>
      <w:r>
        <w:rPr>
          <w:color w:val="FF0000"/>
        </w:rPr>
        <w:t xml:space="preserve"> </w:t>
      </w:r>
      <w:r>
        <w:rPr>
          <w:rFonts w:ascii="Times New Roman;sans-serif" w:hAnsi="Times New Roman;sans-serif"/>
          <w:b w:val="false"/>
          <w:color w:val="000000"/>
          <w:sz w:val="20"/>
        </w:rPr>
        <w:t xml:space="preserve">including any official interpretive guidance.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Persons Covered by the Policy</w:t>
      </w:r>
    </w:p>
    <w:p>
      <w:pPr>
        <w:pStyle w:val="TextBody"/>
        <w:bidi w:val="0"/>
        <w:spacing w:lineRule="auto" w:line="288" w:before="240" w:after="283"/>
        <w:ind w:left="0" w:right="0" w:firstLine="720"/>
        <w:jc w:val="both"/>
        <w:rPr/>
      </w:pPr>
      <w:r>
        <w:rPr>
          <w:rFonts w:ascii="Times New Roman;sans-serif" w:hAnsi="Times New Roman;sans-serif"/>
          <w:b w:val="false"/>
          <w:color w:val="262626"/>
          <w:sz w:val="20"/>
        </w:rPr>
        <w:t>The Policy is binding and enforceable against all “</w:t>
      </w:r>
      <w:r>
        <w:rPr>
          <w:rFonts w:ascii="Times New Roman;sans-serif" w:hAnsi="Times New Roman;sans-serif"/>
          <w:b/>
          <w:color w:val="262626"/>
          <w:sz w:val="20"/>
        </w:rPr>
        <w:t>Covered Executives.</w:t>
      </w:r>
      <w:r>
        <w:rPr>
          <w:color w:val="262626"/>
        </w:rPr>
        <w:t xml:space="preserve">” </w:t>
      </w:r>
      <w:r>
        <w:rPr>
          <w:rFonts w:ascii="Times New Roman;sans-serif" w:hAnsi="Times New Roman;sans-serif"/>
          <w:b w:val="false"/>
          <w:color w:val="262626"/>
          <w:sz w:val="20"/>
        </w:rPr>
        <w:t>A Covered Executive is each individual who is or was ever designated as an “officer” by the Board in accordance with Exchange Act Rule 16a-1(f) (a “</w:t>
      </w:r>
      <w:r>
        <w:rPr>
          <w:rFonts w:ascii="Times New Roman;sans-serif" w:hAnsi="Times New Roman;sans-serif"/>
          <w:b/>
          <w:color w:val="262626"/>
          <w:sz w:val="20"/>
        </w:rPr>
        <w:t>Section 16 Officer</w:t>
      </w:r>
      <w:r>
        <w:rPr>
          <w:color w:val="262626"/>
        </w:rPr>
        <w:t>”</w:t>
      </w:r>
      <w:r>
        <w:rPr>
          <w:rFonts w:ascii="Times New Roman;sans-serif" w:hAnsi="Times New Roman;sans-serif"/>
          <w:b w:val="false"/>
          <w:color w:val="262626"/>
          <w:sz w:val="20"/>
        </w:rPr>
        <w:t>). The Committee may (but is not obligated to) request or require a Covered Executive to sign and return to the Company an acknowledgement that such Covered Executive will be bound by the terms and comply with the Policy. The Policy is binding on each Covered Executive whether or not the Covered Executive signs and/or returns any acknowledgment.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Administration of the Policy</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The Compensation and Talent Committee (the “</w:t>
      </w:r>
      <w:r>
        <w:rPr>
          <w:rFonts w:ascii="Times New Roman;sans-serif" w:hAnsi="Times New Roman;sans-serif"/>
          <w:b/>
          <w:color w:val="000000"/>
          <w:sz w:val="20"/>
        </w:rPr>
        <w:t>Committee</w:t>
      </w:r>
      <w:r>
        <w:rPr>
          <w:color w:val="000000"/>
        </w:rPr>
        <w:t>”</w:t>
      </w:r>
      <w:r>
        <w:rPr>
          <w:rFonts w:ascii="Times New Roman;sans-serif" w:hAnsi="Times New Roman;sans-serif"/>
          <w:b w:val="false"/>
          <w:color w:val="000000"/>
          <w:sz w:val="20"/>
        </w:rPr>
        <w:t>) of the Board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Accounting Restatements Requiring Application of the Policy</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sans-serif" w:hAnsi="Times New Roman;sans-serif"/>
          <w:b/>
          <w:color w:val="000000"/>
          <w:sz w:val="20"/>
        </w:rPr>
        <w:t>Accounting Restatement</w:t>
      </w:r>
      <w:r>
        <w:rPr>
          <w:color w:val="000000"/>
        </w:rPr>
        <w:t>”</w:t>
      </w:r>
      <w:r>
        <w:rPr>
          <w:rFonts w:ascii="Times New Roman;sans-serif" w:hAnsi="Times New Roman;sans-serif"/>
          <w:b w:val="false"/>
          <w:color w:val="000000"/>
          <w:sz w:val="20"/>
        </w:rPr>
        <w:t>), then the Committee must determine the Excess Compensation, if any, that must be recovered. The Company’s obligation to recover Excess Compensation is not dependent on if or when restated financial statements are filed.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Compensation Covered by the Policy</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Policy applies to certain </w:t>
      </w:r>
      <w:r>
        <w:rPr>
          <w:rFonts w:ascii="Times New Roman;sans-serif" w:hAnsi="Times New Roman;sans-serif"/>
          <w:b/>
          <w:color w:val="000000"/>
          <w:sz w:val="20"/>
        </w:rPr>
        <w:t>Incentive-Based Compensation</w:t>
      </w:r>
      <w:r>
        <w:rPr>
          <w:color w:val="000000"/>
        </w:rPr>
        <w:t xml:space="preserve"> </w:t>
      </w:r>
      <w:r>
        <w:rPr>
          <w:rFonts w:ascii="Times New Roman;sans-serif" w:hAnsi="Times New Roman;sans-serif"/>
          <w:b w:val="false"/>
          <w:color w:val="000000"/>
          <w:sz w:val="20"/>
        </w:rPr>
        <w:t xml:space="preserve">(certain terms used in this Section are defined below) that is </w:t>
      </w:r>
      <w:r>
        <w:rPr>
          <w:rFonts w:ascii="Times New Roman;sans-serif" w:hAnsi="Times New Roman;sans-serif"/>
          <w:b/>
          <w:color w:val="000000"/>
          <w:sz w:val="20"/>
        </w:rPr>
        <w:t>Received</w:t>
      </w:r>
      <w:r>
        <w:rPr>
          <w:color w:val="000000"/>
        </w:rPr>
        <w:t xml:space="preserve"> </w:t>
      </w:r>
      <w:r>
        <w:rPr>
          <w:rFonts w:ascii="Times New Roman;sans-serif" w:hAnsi="Times New Roman;sans-serif"/>
          <w:b w:val="false"/>
          <w:color w:val="000000"/>
          <w:sz w:val="20"/>
        </w:rPr>
        <w:t>on or after October 2, 2023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xml:space="preserve">), during the </w:t>
      </w:r>
      <w:r>
        <w:rPr>
          <w:rFonts w:ascii="Times New Roman;sans-serif" w:hAnsi="Times New Roman;sans-serif"/>
          <w:b/>
          <w:color w:val="000000"/>
          <w:sz w:val="20"/>
        </w:rPr>
        <w:t>Covered Period</w:t>
      </w:r>
      <w:r>
        <w:rPr>
          <w:color w:val="000000"/>
        </w:rPr>
        <w:t xml:space="preserve"> </w:t>
      </w:r>
      <w:r>
        <w:rPr>
          <w:rFonts w:ascii="Times New Roman;sans-serif" w:hAnsi="Times New Roman;sans-serif"/>
          <w:b w:val="false"/>
          <w:color w:val="000000"/>
          <w:sz w:val="20"/>
        </w:rPr>
        <w:t>while the Company has a class of securities listed on a national securities exchange. Such Incentive-Based Compensation is considered “</w:t>
      </w:r>
      <w:r>
        <w:rPr>
          <w:rFonts w:ascii="Times New Roman;sans-serif" w:hAnsi="Times New Roman;sans-serif"/>
          <w:b/>
          <w:color w:val="000000"/>
          <w:sz w:val="20"/>
        </w:rPr>
        <w:t>Clawback Eligible Incentive-Based Compensation</w:t>
      </w:r>
      <w:r>
        <w:rPr>
          <w:color w:val="000000"/>
        </w:rPr>
        <w:t xml:space="preserve">” </w:t>
      </w:r>
      <w:r>
        <w:rPr>
          <w:rFonts w:ascii="Times New Roman;sans-serif" w:hAnsi="Times New Roman;sans-serif"/>
          <w:b w:val="false"/>
          <w:color w:val="000000"/>
          <w:sz w:val="20"/>
        </w:rPr>
        <w:t xml:space="preserve">if the Incentive-Based Compensation is Received by a person after such person became a Section 16 Officer and the person served as a Section 16 Officer at any time during the </w:t>
      </w:r>
    </w:p>
    <w:p>
      <w:pPr>
        <w:pStyle w:val="TextBody"/>
        <w:bidi w:val="0"/>
        <w:spacing w:lineRule="auto" w:line="288" w:before="240" w:after="283"/>
        <w:jc w:val="both"/>
        <w:rPr/>
      </w:pPr>
      <w:r>
        <w:rPr>
          <w:rFonts w:ascii="Times New Roman;sans-serif" w:hAnsi="Times New Roman;sans-serif"/>
          <w:b w:val="false"/>
          <w:color w:val="000000"/>
          <w:sz w:val="20"/>
        </w:rPr>
        <w:t>performance period for the Incentive-Based Compensation. “</w:t>
      </w:r>
      <w:r>
        <w:rPr>
          <w:rFonts w:ascii="Times New Roman;sans-serif" w:hAnsi="Times New Roman;sans-serif"/>
          <w:b/>
          <w:color w:val="000000"/>
          <w:sz w:val="20"/>
        </w:rPr>
        <w:t>Excess Compensation</w:t>
      </w:r>
      <w:r>
        <w:rPr>
          <w:color w:val="000000"/>
        </w:rPr>
        <w:t xml:space="preserve">” </w:t>
      </w:r>
      <w:r>
        <w:rPr>
          <w:rFonts w:ascii="Times New Roman;sans-serif" w:hAnsi="Times New Roman;sans-serif"/>
          <w:b w:val="false"/>
          <w:color w:val="000000"/>
          <w:sz w:val="20"/>
        </w:rPr>
        <w:t>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0"/>
        </w:rPr>
        <w:t>Incentive-Based Compensation</w:t>
      </w:r>
      <w:r>
        <w:rPr>
          <w:color w:val="000000"/>
        </w:rPr>
        <w:t xml:space="preserve">” </w:t>
      </w:r>
      <w:r>
        <w:rPr>
          <w:rFonts w:ascii="Times New Roman;sans-serif" w:hAnsi="Times New Roman;sans-serif"/>
          <w:b w:val="false"/>
          <w:color w:val="000000"/>
          <w:sz w:val="20"/>
        </w:rPr>
        <w:t xml:space="preserve">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 </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0"/>
        </w:rPr>
        <w:t>Financial Reporting Measures</w:t>
      </w:r>
      <w:r>
        <w:rPr>
          <w:color w:val="000000"/>
        </w:rPr>
        <w:t xml:space="preserve">” </w:t>
      </w:r>
      <w:r>
        <w:rPr>
          <w:rFonts w:ascii="Times New Roman;sans-serif" w:hAnsi="Times New Roman;sans-serif"/>
          <w:b w:val="false"/>
          <w:color w:val="000000"/>
          <w:sz w:val="20"/>
        </w:rPr>
        <w:t xml:space="preserve">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Incentive-Based Compensation is “</w:t>
      </w:r>
      <w:r>
        <w:rPr>
          <w:rFonts w:ascii="Times New Roman;sans-serif" w:hAnsi="Times New Roman;sans-serif"/>
          <w:b/>
          <w:color w:val="000000"/>
          <w:sz w:val="20"/>
        </w:rPr>
        <w:t>Received</w:t>
      </w:r>
      <w:r>
        <w:rPr>
          <w:color w:val="000000"/>
        </w:rPr>
        <w:t xml:space="preserve">” </w:t>
      </w:r>
      <w:r>
        <w:rPr>
          <w:rFonts w:ascii="Times New Roman;sans-serif" w:hAnsi="Times New Roman;sans-serif"/>
          <w:b w:val="false"/>
          <w:color w:val="000000"/>
          <w:sz w:val="20"/>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0"/>
        </w:rPr>
        <w:t>Covered Period</w:t>
      </w:r>
      <w:r>
        <w:rPr>
          <w:color w:val="000000"/>
        </w:rPr>
        <w:t xml:space="preserve">” </w:t>
      </w:r>
      <w:r>
        <w:rPr>
          <w:rFonts w:ascii="Times New Roman;sans-serif" w:hAnsi="Times New Roman;sans-serif"/>
          <w:b w:val="false"/>
          <w:color w:val="000000"/>
          <w:sz w:val="20"/>
        </w:rPr>
        <w:t xml:space="preserve">means the three completed fiscal years immediately preceding the Accounting Restatement Determination Date. In addition, Covered Period can include certain transition periods resulting from a change in the Company’s fiscal year. </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0"/>
        </w:rPr>
        <w:t>Accounting Restatement Determination Date</w:t>
      </w:r>
      <w:r>
        <w:rPr>
          <w:color w:val="000000"/>
        </w:rPr>
        <w:t xml:space="preserve">” </w:t>
      </w:r>
      <w:r>
        <w:rPr>
          <w:rFonts w:ascii="Times New Roman;sans-serif" w:hAnsi="Times New Roman;sans-serif"/>
          <w:b w:val="false"/>
          <w:color w:val="000000"/>
          <w:sz w:val="20"/>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Repayment of Excess Compensation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(these determinations do not need to be identical as to each Covered Executive). These means include (but are not limited to):</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a.requiring reimbursement of cash Incentive-Based Compensation previously paid;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d.cancelling outstanding vested or unvested equity awards (including, but not limited to, time-based vesting awards), without regard to whether such awards are Incentive-Based Compensation; and/or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e.taking any other remedial and recovery action permitted by law, as determined by the Committee.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repayment of Excess Compensation must be made by a Covered Executive notwithstanding any Covered Executive’s belief (whether or not legitimate) that the Excess Compensation had been previously earned under applicable law and therefore is not subject to clawback.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to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Limited Exceptions to the Policy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must recover the Excess Compensation in accordance with the Policy except to the limited extent that any of the conditions set forth below is met, and the Committee determines that recovery of the Excess Compensation would be impracticable: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b.Recovery would likely cause an otherwise tax-qualified retirement plan, under which benefits are broadly available to employees of the Company, to fail to meet the legal requirements as such.</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Important Information in the Policy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or Board may review and modify the Policy from time to time.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provision of the Policy or the application of any such provision to any Covered Executive is adjudicated to be invalid, illegal or unenforceable in any respect, such invalidity, illegality or unenforceability will not affect any other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Policy will terminate and no longer be enforceable when the Company ceases to be a listed issuer within the meaning of Section 10D of the Exchange Act.</w:t>
      </w: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ACKNOWLEDGEMENT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acknowledge that I have received and read the Compensation Recovery Policy (the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of Qualys,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understand that my failure to comply in all respects with the Policy is a basis for termination of my employment with the Company and any affiliate of the Company as well as any other appropriate discipline.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understand that neither the Policy, nor the application of the Policy to me, gives rise to a resignation for good reason (or similar concept) by me under any applicable employment agreement or arrangement.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acknowledge that if I have questions concerning the meaning or application of the Policy, it is my responsibility to seek guidance from the Chief Legal Officer or my own personal advisors.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acknowledge that neither this Acknowledgement nor the Policy is meant to constitute an employment contract.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review, sign and return this form to Human Resources.</w:t>
      </w:r>
    </w:p>
    <w:tbl>
      <w:tblPr>
        <w:tblW w:w="1769" w:type="dxa"/>
        <w:jc w:val="left"/>
        <w:tblInd w:w="0" w:type="dxa"/>
        <w:tblLayout w:type="fixed"/>
        <w:tblCellMar>
          <w:top w:w="28" w:type="dxa"/>
          <w:left w:w="28" w:type="dxa"/>
          <w:bottom w:w="28" w:type="dxa"/>
          <w:right w:w="28" w:type="dxa"/>
        </w:tblCellMar>
      </w:tblPr>
      <w:tblGrid>
        <w:gridCol w:w="566"/>
        <w:gridCol w:w="498"/>
        <w:gridCol w:w="705"/>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ans-serif" w:hAnsi="Times New Roman;sans-serif"/>
                <w:b/>
                <w:color w:val="000000"/>
                <w:sz w:val="20"/>
              </w:rPr>
              <w:t>Covered Executive</w:t>
              <w:br/>
            </w:r>
            <w:r>
              <w:rPr>
                <w:rFonts w:ascii="Times New Roman;sans-serif" w:hAnsi="Times New Roman;sans-serif"/>
                <w:b/>
                <w:sz w:val="20"/>
              </w:rPr>
              <w:br/>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print name</w:t>
            </w:r>
            <w:r>
              <w:rPr>
                <w:rFonts w:ascii="Times New Roman;sans-serif" w:hAnsi="Times New Roman;sans-serif"/>
                <w:b w:val="false"/>
                <w:color w:val="000000"/>
                <w:sz w:val="20"/>
              </w:rPr>
              <w:t>)</w:t>
            </w:r>
          </w:p>
          <w:p>
            <w:pPr>
              <w:pStyle w:val="TableContents"/>
              <w:bidi w:val="0"/>
              <w:spacing w:before="0" w:after="0"/>
              <w:jc w:val="left"/>
              <w:rPr/>
            </w:pPr>
            <w:r>
              <w:rPr/>
            </w:r>
          </w:p>
          <w:p>
            <w:pPr>
              <w:pStyle w:val="TableContents"/>
              <w:bidi w:val="0"/>
              <w:spacing w:before="0" w:after="0"/>
              <w:jc w:val="left"/>
              <w:rPr/>
            </w:pPr>
            <w:r>
              <w:rPr/>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w:t>
            </w:r>
            <w:r>
              <w:rPr>
                <w:rFonts w:ascii="Times New Roman;sans-serif" w:hAnsi="Times New Roman;sans-serif"/>
                <w:b w:val="false"/>
                <w:color w:val="000000"/>
                <w:sz w:val="20"/>
              </w:rPr>
              <w:t>)</w:t>
            </w:r>
          </w:p>
          <w:p>
            <w:pPr>
              <w:pStyle w:val="TableContents"/>
              <w:bidi w:val="0"/>
              <w:spacing w:before="0" w:after="0"/>
              <w:jc w:val="left"/>
              <w:rPr/>
            </w:pPr>
            <w:r>
              <w:rPr/>
            </w:r>
          </w:p>
          <w:p>
            <w:pPr>
              <w:pStyle w:val="TableContents"/>
              <w:bidi w:val="0"/>
              <w:spacing w:before="0" w:after="0"/>
              <w:jc w:val="left"/>
              <w:rPr/>
            </w:pPr>
            <w:r>
              <w:rPr/>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(date)</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107843/000119312512388433/d355355dex33.htm" TargetMode="External"/><Relationship Id="rId5" Type="http://schemas.openxmlformats.org/officeDocument/2006/relationships/hyperlink" Target="http://www.sec.gov/Archives/edgar/data/1107843/000119312522275854/d374785dex31.htm" TargetMode="External"/><Relationship Id="rId6" Type="http://schemas.openxmlformats.org/officeDocument/2006/relationships/hyperlink" Target="http://www.sec.gov/Archives/edgar/data/1107843/000119312512388433/d355355dex41.htm" TargetMode="External"/><Relationship Id="rId7" Type="http://schemas.openxmlformats.org/officeDocument/2006/relationships/hyperlink" Target="http://www.sec.gov/Archives/edgar/data/1107843/000162828020001963/qlys-201910kxexht42.htm" TargetMode="External"/><Relationship Id="rId8" Type="http://schemas.openxmlformats.org/officeDocument/2006/relationships/hyperlink" Target="http://www.sec.gov/Archives/edgar/data/1107843/000119312512265366/d355355dex101.htm" TargetMode="External"/><Relationship Id="rId9" Type="http://schemas.openxmlformats.org/officeDocument/2006/relationships/hyperlink" Target="http://www.sec.gov/Archives/edgar/data/1107843/000119312522171918/d286585dex101.htm" TargetMode="External"/><Relationship Id="rId10" Type="http://schemas.openxmlformats.org/officeDocument/2006/relationships/hyperlink" Target="http://www.sec.gov/Archives/edgar/data/0001107843/000119312521188846/d573211dex101.htm" TargetMode="External"/><Relationship Id="rId11" Type="http://schemas.openxmlformats.org/officeDocument/2006/relationships/hyperlink" Target="http://www.sec.gov/Archives/edgar/data/1107843/000119312512265366/d355355dex105.htm" TargetMode="External"/><Relationship Id="rId12" Type="http://schemas.openxmlformats.org/officeDocument/2006/relationships/hyperlink" Target="http://www.sec.gov/Archives/edgar/data/1107843/000119312520151509/d800805dex101.htm" TargetMode="External"/><Relationship Id="rId13" Type="http://schemas.openxmlformats.org/officeDocument/2006/relationships/hyperlink" Target="http://www.sec.gov/Archives/edgar/data/1107843/000119312512265366/d355355dex109.htm" TargetMode="External"/><Relationship Id="rId14" Type="http://schemas.openxmlformats.org/officeDocument/2006/relationships/hyperlink" Target="http://www.sec.gov/Archives/edgar/data/1107843/000143774922004075/ex_332987.htm" TargetMode="External"/><Relationship Id="rId15" Type="http://schemas.openxmlformats.org/officeDocument/2006/relationships/hyperlink" Target="http://www.sec.gov/Archives/edgar/data/1107843/000119312512350036/d355355dex1010.htm" TargetMode="External"/><Relationship Id="rId16" Type="http://schemas.openxmlformats.org/officeDocument/2006/relationships/hyperlink" Target="http://www.sec.gov/Archives/edgar/data/1107843/000119312516554340/d85159ddef14a.htm" TargetMode="External"/><Relationship Id="rId17" Type="http://schemas.openxmlformats.org/officeDocument/2006/relationships/hyperlink" Target="http://www.sec.gov/Archives/edgar/data/1107843/000119312516741827/d270006dex101.htm" TargetMode="External"/><Relationship Id="rId18" Type="http://schemas.openxmlformats.org/officeDocument/2006/relationships/image" Target="media/image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57898</Words>
  <Characters>325307</Characters>
  <CharactersWithSpaces>380674</CharactersWithSpaces>
  <Paragraphs>3887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