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1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21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right="80" w:hanging="439"/>
        <w:spacing w:after="0" w:line="269"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269"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-3506470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-3163570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-2691765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-2348865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-1971040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-822325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-478790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-135890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206375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13" w:right="4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1600 Bridge Parkway</w:t>
      </w:r>
    </w:p>
    <w:p>
      <w:pPr>
        <w:jc w:val="center"/>
        <w:ind w:right="-139"/>
        <w:spacing w:after="0"/>
        <w:rPr>
          <w:sz w:val="20"/>
          <w:szCs w:val="20"/>
          <w:color w:val="auto"/>
        </w:rPr>
      </w:pPr>
      <w:r>
        <w:rPr>
          <w:rFonts w:ascii="Arial" w:cs="Arial" w:eastAsia="Arial" w:hAnsi="Arial"/>
          <w:sz w:val="18"/>
          <w:szCs w:val="18"/>
          <w:b w:val="1"/>
          <w:bCs w:val="1"/>
          <w:color w:val="auto"/>
        </w:rPr>
        <w:t>Redwood City, California 94065</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3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To Be Held at 11:00 a.m. Pacific Daylight Time on Monday, June 5,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OF QUALYS, INC.:</w:t>
      </w:r>
    </w:p>
    <w:p>
      <w:pPr>
        <w:spacing w:after="0" w:line="134"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Monday, June 5, 2017, at 11:00 a.m. Pacific</w:t>
      </w:r>
      <w:r>
        <w:rPr>
          <w:rFonts w:ascii="Arial" w:cs="Arial" w:eastAsia="Arial" w:hAnsi="Arial"/>
          <w:sz w:val="18"/>
          <w:szCs w:val="18"/>
          <w:color w:val="auto"/>
        </w:rPr>
        <w:t xml:space="preserve"> </w:t>
      </w:r>
      <w:r>
        <w:rPr>
          <w:rFonts w:ascii="Arial" w:cs="Arial" w:eastAsia="Arial" w:hAnsi="Arial"/>
          <w:sz w:val="18"/>
          <w:szCs w:val="18"/>
          <w:b w:val="1"/>
          <w:bCs w:val="1"/>
          <w:color w:val="auto"/>
        </w:rPr>
        <w:t>Daylight Time</w:t>
      </w:r>
      <w:r>
        <w:rPr>
          <w:rFonts w:ascii="Arial" w:cs="Arial" w:eastAsia="Arial" w:hAnsi="Arial"/>
          <w:sz w:val="18"/>
          <w:szCs w:val="18"/>
          <w:color w:val="auto"/>
        </w:rPr>
        <w:t>, at Qualys’s corporate headquarters, 1600 Bridge Parkway, Redwood City, California 94065, for the following purposes as more</w:t>
      </w:r>
      <w:r>
        <w:rPr>
          <w:rFonts w:ascii="Arial" w:cs="Arial" w:eastAsia="Arial" w:hAnsi="Arial"/>
          <w:sz w:val="18"/>
          <w:szCs w:val="18"/>
          <w:b w:val="1"/>
          <w:bCs w:val="1"/>
          <w:color w:val="auto"/>
        </w:rPr>
        <w:t xml:space="preserve"> </w:t>
      </w:r>
      <w:r>
        <w:rPr>
          <w:rFonts w:ascii="Arial" w:cs="Arial" w:eastAsia="Arial" w:hAnsi="Arial"/>
          <w:sz w:val="18"/>
          <w:szCs w:val="18"/>
          <w:color w:val="auto"/>
        </w:rPr>
        <w:t>fully described in the accompanying proxy statement:</w:t>
      </w:r>
    </w:p>
    <w:p>
      <w:pPr>
        <w:spacing w:after="0" w:line="36" w:lineRule="exact"/>
        <w:rPr>
          <w:sz w:val="20"/>
          <w:szCs w:val="20"/>
          <w:color w:val="auto"/>
        </w:rPr>
      </w:pPr>
    </w:p>
    <w:p>
      <w:pPr>
        <w:ind w:left="900" w:right="340" w:hanging="446"/>
        <w:spacing w:after="0" w:line="26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 directors to serve until the 2020 annual meeting of stockholders or until their successors are duly elected and qualified;</w:t>
      </w:r>
    </w:p>
    <w:p>
      <w:pPr>
        <w:spacing w:after="0" w:line="22" w:lineRule="exact"/>
        <w:rPr>
          <w:rFonts w:ascii="Arial" w:cs="Arial" w:eastAsia="Arial" w:hAnsi="Arial"/>
          <w:sz w:val="18"/>
          <w:szCs w:val="18"/>
          <w:color w:val="auto"/>
        </w:rPr>
      </w:pPr>
    </w:p>
    <w:p>
      <w:pPr>
        <w:ind w:left="900" w:right="580" w:hanging="446"/>
        <w:spacing w:after="0" w:line="26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2017;</w:t>
      </w:r>
    </w:p>
    <w:p>
      <w:pPr>
        <w:spacing w:after="0" w:line="22"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executive compensation as described in this proxy statement;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58" w:lineRule="exact"/>
        <w:rPr>
          <w:sz w:val="20"/>
          <w:szCs w:val="20"/>
          <w:color w:val="auto"/>
        </w:rPr>
      </w:pPr>
    </w:p>
    <w:p>
      <w:pPr>
        <w:jc w:val="both"/>
        <w:ind w:right="40" w:firstLine="456"/>
        <w:spacing w:after="0" w:line="252" w:lineRule="auto"/>
        <w:rPr>
          <w:sz w:val="20"/>
          <w:szCs w:val="20"/>
          <w:color w:val="auto"/>
        </w:rPr>
      </w:pPr>
      <w:r>
        <w:rPr>
          <w:rFonts w:ascii="Arial" w:cs="Arial" w:eastAsia="Arial" w:hAnsi="Arial"/>
          <w:sz w:val="18"/>
          <w:szCs w:val="18"/>
          <w:color w:val="auto"/>
        </w:rPr>
        <w:t>The board of directors of Qualys, Inc. has fixed the close of business on April 7, 2017 as the record date for the meeting. Only stockholders of record of our common stock on April 7, 2017 are entitled to notice of and to vote at the meeting. Further information regarding voting rights and the matters to be voted upon is presented in our proxy statement.</w:t>
      </w:r>
    </w:p>
    <w:p>
      <w:pPr>
        <w:spacing w:after="0" w:line="118"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 xml:space="preserve">On or about April 24, 2017, we expect to mail to our stockholders a Notice of Internet Availability of Proxy Materials (the “Notice”) containing instructions on how to access our proxy statement for our annual meeting and our annual report to stockholders. The Notice provides instructions on how to vote online or by telephone and includes instructions on how to receive a paper copy of proxy materials by mail. This proxy statement and our 2016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25" w:lineRule="exact"/>
        <w:rPr>
          <w:sz w:val="20"/>
          <w:szCs w:val="20"/>
          <w:color w:val="auto"/>
        </w:rPr>
      </w:pPr>
    </w:p>
    <w:p>
      <w:pPr>
        <w:ind w:right="180" w:firstLine="456"/>
        <w:spacing w:after="0" w:line="281"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85" w:lineRule="exact"/>
        <w:rPr>
          <w:sz w:val="20"/>
          <w:szCs w:val="20"/>
          <w:color w:val="auto"/>
        </w:rPr>
      </w:pPr>
    </w:p>
    <w:p>
      <w:pPr>
        <w:ind w:right="300" w:firstLine="456"/>
        <w:spacing w:after="0" w:line="269"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Philippe F. Courtot</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Philippe F. Courtot</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ind w:left="6060"/>
        <w:spacing w:after="0" w:line="234" w:lineRule="auto"/>
        <w:rPr>
          <w:sz w:val="20"/>
          <w:szCs w:val="20"/>
          <w:color w:val="auto"/>
        </w:rPr>
      </w:pPr>
      <w:r>
        <w:rPr>
          <w:rFonts w:ascii="Arial" w:cs="Arial" w:eastAsia="Arial" w:hAnsi="Arial"/>
          <w:sz w:val="18"/>
          <w:szCs w:val="18"/>
          <w:color w:val="auto"/>
        </w:rPr>
        <w:t>Redwood City, California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24, 2017</w:t>
      </w:r>
    </w:p>
    <w:p>
      <w:pPr>
        <w:sectPr>
          <w:pgSz w:w="11900" w:h="16838" w:orient="portrait"/>
          <w:cols w:equalWidth="0" w:num="1">
            <w:col w:w="11300"/>
          </w:cols>
          <w:pgMar w:left="240" w:top="252"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1600 Bridge Parkway</w:t>
      </w:r>
    </w:p>
    <w:p>
      <w:pPr>
        <w:jc w:val="center"/>
        <w:ind w:right="-59"/>
        <w:spacing w:after="0"/>
        <w:rPr>
          <w:sz w:val="20"/>
          <w:szCs w:val="20"/>
          <w:color w:val="auto"/>
        </w:rPr>
      </w:pPr>
      <w:r>
        <w:rPr>
          <w:rFonts w:ascii="Arial" w:cs="Arial" w:eastAsia="Arial" w:hAnsi="Arial"/>
          <w:sz w:val="18"/>
          <w:szCs w:val="18"/>
          <w:b w:val="1"/>
          <w:bCs w:val="1"/>
          <w:color w:val="auto"/>
        </w:rPr>
        <w:t>Redwood City, California 94065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2017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Monday, June 5, 2017 at 11:00 a.m. Pacific Daylight Time</w:t>
      </w:r>
    </w:p>
    <w:p>
      <w:pPr>
        <w:spacing w:after="0" w:line="136" w:lineRule="exact"/>
        <w:rPr>
          <w:sz w:val="20"/>
          <w:szCs w:val="20"/>
          <w:color w:val="auto"/>
        </w:rPr>
      </w:pPr>
    </w:p>
    <w:p>
      <w:pPr>
        <w:ind w:right="100" w:firstLine="456"/>
        <w:spacing w:after="0" w:line="241"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annual meeting of stockholders (the “Annual Meeting”) to be held on June 5, 2017, and any postponements, adjournments or continuations thereof. The Annual Meeting will be held at the Qualys’s corporate headquarters, 1600 Bridge Parkway, Redwood City, California 94065, on June 5, 2017 at 11:00 a.m. Pacific Daylight Time. On or about April 24, 2017, we expect to mail to our stockholders a Notice of Internet Availability of Proxy Materials containing instructions on how to access our proxy statement for our Annual Meeting and our annual report to stockholders.</w:t>
      </w:r>
    </w:p>
    <w:p>
      <w:pPr>
        <w:spacing w:after="0" w:line="130" w:lineRule="exact"/>
        <w:rPr>
          <w:sz w:val="20"/>
          <w:szCs w:val="20"/>
          <w:color w:val="auto"/>
        </w:rPr>
      </w:pPr>
    </w:p>
    <w:p>
      <w:pPr>
        <w:ind w:firstLine="456"/>
        <w:spacing w:after="0" w:line="26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voting on:</w:t>
      </w:r>
    </w:p>
    <w:p>
      <w:pPr>
        <w:spacing w:after="0" w:line="77" w:lineRule="exact"/>
        <w:rPr>
          <w:sz w:val="20"/>
          <w:szCs w:val="20"/>
          <w:color w:val="auto"/>
        </w:rPr>
      </w:pPr>
    </w:p>
    <w:p>
      <w:pPr>
        <w:ind w:left="900" w:right="500" w:hanging="325"/>
        <w:spacing w:after="0" w:line="26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II directors to hold office until the 2020 annual meeting of stockholders or until their successors are duly elected and qualified;</w:t>
      </w:r>
    </w:p>
    <w:p>
      <w:pPr>
        <w:spacing w:after="0" w:line="22" w:lineRule="exact"/>
        <w:rPr>
          <w:rFonts w:ascii="Arial" w:cs="Arial" w:eastAsia="Arial" w:hAnsi="Arial"/>
          <w:sz w:val="18"/>
          <w:szCs w:val="18"/>
          <w:color w:val="auto"/>
        </w:rPr>
      </w:pPr>
    </w:p>
    <w:p>
      <w:pPr>
        <w:ind w:left="900" w:right="400" w:hanging="325"/>
        <w:spacing w:after="0" w:line="26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2017;</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executive compensation as described in this proxy statement;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7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nominees for election as Class II directors;</w:t>
      </w:r>
    </w:p>
    <w:p>
      <w:pPr>
        <w:spacing w:after="0" w:line="76" w:lineRule="exact"/>
        <w:rPr>
          <w:rFonts w:ascii="Arial" w:cs="Arial" w:eastAsia="Arial" w:hAnsi="Arial"/>
          <w:sz w:val="18"/>
          <w:szCs w:val="18"/>
          <w:color w:val="auto"/>
        </w:rPr>
      </w:pPr>
    </w:p>
    <w:p>
      <w:pPr>
        <w:ind w:left="900" w:right="140" w:hanging="325"/>
        <w:spacing w:after="0" w:line="26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2017; and</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executive compensation as described in this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7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Holders of our common stock as of the close of business on April 7, 2017, the record date, may vote at the Annual Meeting. As of the record date, we had 37,029,267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2" w:right="299" w:bottom="1440" w:gutter="0" w:footer="0" w:header="0"/>
        </w:sectPr>
      </w:pPr>
    </w:p>
    <w:bookmarkStart w:id="3" w:name="page4"/>
    <w:bookmarkEnd w:id="3"/>
    <w:p>
      <w:pPr>
        <w:jc w:val="both"/>
        <w:ind w:right="260" w:firstLine="456"/>
        <w:spacing w:after="0" w:line="252"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Stockholders</w:t>
      </w:r>
      <w:r>
        <w:rPr>
          <w:rFonts w:ascii="Arial" w:cs="Arial" w:eastAsia="Arial" w:hAnsi="Arial"/>
          <w:sz w:val="18"/>
          <w:szCs w:val="18"/>
          <w:color w:val="auto"/>
        </w:rPr>
        <w:t>. If your shares are registered directly in your name with our transfer agent, you are considered the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18"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four ways to vote:</w:t>
      </w:r>
    </w:p>
    <w:p>
      <w:pPr>
        <w:spacing w:after="0" w:line="77" w:lineRule="exact"/>
        <w:rPr>
          <w:sz w:val="20"/>
          <w:szCs w:val="20"/>
          <w:color w:val="auto"/>
        </w:rPr>
      </w:pPr>
    </w:p>
    <w:p>
      <w:pPr>
        <w:ind w:left="900" w:right="80" w:hanging="325"/>
        <w:spacing w:after="0" w:line="26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on June 4, 2017 (have your proxy card in hand when you visit the website);</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toll-free telephone at 1-800-690-6903, until 11:59 p.m. on June 4, 2017 (have your proxy card in hand when you call);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7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79"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79" w:lineRule="exact"/>
        <w:rPr>
          <w:sz w:val="20"/>
          <w:szCs w:val="20"/>
          <w:color w:val="auto"/>
        </w:rPr>
      </w:pPr>
    </w:p>
    <w:p>
      <w:pPr>
        <w:ind w:right="160" w:firstLine="456"/>
        <w:spacing w:after="0" w:line="269"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4" w:name="page5"/>
    <w:bookmarkEnd w:id="4"/>
    <w:p>
      <w:pPr>
        <w:ind w:right="20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primarily via the Internet. On or about April 24, 2017, we expect to mail to our stockholders a Notice of Internet Availability of Proxy Materials (the “Notice”) that contains instructions on how to access our proxy materials on the Internet, how to vote at the meeting, and how to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7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79" w:lineRule="exact"/>
        <w:rPr>
          <w:sz w:val="20"/>
          <w:szCs w:val="20"/>
          <w:color w:val="auto"/>
        </w:rPr>
      </w:pPr>
    </w:p>
    <w:p>
      <w:pPr>
        <w:ind w:left="900" w:right="40" w:hanging="325"/>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42" w:lineRule="exact"/>
        <w:rPr>
          <w:rFonts w:ascii="Arial" w:cs="Arial" w:eastAsia="Arial" w:hAnsi="Arial"/>
          <w:sz w:val="18"/>
          <w:szCs w:val="18"/>
          <w:color w:val="auto"/>
        </w:rPr>
      </w:pPr>
    </w:p>
    <w:p>
      <w:pPr>
        <w:ind w:left="900" w:right="140" w:hanging="325"/>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by proxy at the meeting and entitled to vote thereon to be approved. You may vote “for,” “against” or “abstain” on this proposal. Abstentions represent shares present and entitled to vote and thus, will have the same effect as votes “against” this proposal.</w:t>
      </w:r>
    </w:p>
    <w:p>
      <w:pPr>
        <w:spacing w:after="0" w:line="42" w:lineRule="exact"/>
        <w:rPr>
          <w:rFonts w:ascii="Arial" w:cs="Arial" w:eastAsia="Arial" w:hAnsi="Arial"/>
          <w:sz w:val="18"/>
          <w:szCs w:val="18"/>
          <w:color w:val="auto"/>
        </w:rPr>
      </w:pPr>
    </w:p>
    <w:p>
      <w:pPr>
        <w:ind w:left="900" w:hanging="325"/>
        <w:spacing w:after="0" w:line="24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executive compensation as described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must receive the affirmative vote of a majority of the shares present in person or by proxy at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79" w:lineRule="exact"/>
        <w:rPr>
          <w:sz w:val="20"/>
          <w:szCs w:val="20"/>
          <w:color w:val="auto"/>
        </w:rPr>
      </w:pPr>
    </w:p>
    <w:p>
      <w:pPr>
        <w:jc w:val="both"/>
        <w:ind w:right="220" w:firstLine="456"/>
        <w:spacing w:after="0" w:line="252"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may my brokerage firm or other intermediary vote my shares if I fail to provide timely directions?</w:t>
      </w:r>
    </w:p>
    <w:p>
      <w:pPr>
        <w:spacing w:after="0" w:line="79" w:lineRule="exact"/>
        <w:rPr>
          <w:sz w:val="20"/>
          <w:szCs w:val="20"/>
          <w:color w:val="auto"/>
        </w:rPr>
      </w:pPr>
    </w:p>
    <w:p>
      <w:pPr>
        <w:jc w:val="both"/>
        <w:ind w:right="120" w:firstLine="456"/>
        <w:spacing w:after="0" w:line="246"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or the proposal to approve executive compensation, absent direction from you.</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79" w:lineRule="exact"/>
        <w:rPr>
          <w:sz w:val="20"/>
          <w:szCs w:val="20"/>
          <w:color w:val="auto"/>
        </w:rPr>
      </w:pPr>
    </w:p>
    <w:p>
      <w:pPr>
        <w:ind w:right="140" w:firstLine="456"/>
        <w:spacing w:after="0" w:line="252"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79"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03" w:lineRule="exact"/>
        <w:rPr>
          <w:sz w:val="20"/>
          <w:szCs w:val="20"/>
          <w:color w:val="auto"/>
        </w:rPr>
      </w:pPr>
    </w:p>
    <w:p>
      <w:pPr>
        <w:ind w:right="800"/>
        <w:spacing w:after="0" w:line="28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4"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Qualys,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jc w:val="center"/>
        <w:ind w:right="-59"/>
        <w:spacing w:after="0" w:line="234" w:lineRule="auto"/>
        <w:rPr>
          <w:sz w:val="20"/>
          <w:szCs w:val="20"/>
          <w:color w:val="auto"/>
        </w:rPr>
      </w:pPr>
      <w:r>
        <w:rPr>
          <w:rFonts w:ascii="Arial" w:cs="Arial" w:eastAsia="Arial" w:hAnsi="Arial"/>
          <w:sz w:val="18"/>
          <w:szCs w:val="18"/>
          <w:color w:val="auto"/>
        </w:rPr>
        <w:t>1600 Bridge Parkway</w:t>
      </w:r>
    </w:p>
    <w:p>
      <w:pPr>
        <w:jc w:val="center"/>
        <w:ind w:right="-59"/>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(650) 801-6100</w:t>
      </w:r>
    </w:p>
    <w:p>
      <w:pPr>
        <w:spacing w:after="0" w:line="136" w:lineRule="exact"/>
        <w:rPr>
          <w:sz w:val="20"/>
          <w:szCs w:val="20"/>
          <w:color w:val="auto"/>
        </w:rPr>
      </w:pPr>
    </w:p>
    <w:p>
      <w:pPr>
        <w:ind w:right="160" w:firstLine="456"/>
        <w:spacing w:after="0" w:line="269"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182"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75" w:lineRule="exact"/>
        <w:rPr>
          <w:sz w:val="20"/>
          <w:szCs w:val="20"/>
          <w:color w:val="auto"/>
        </w:rPr>
      </w:pPr>
    </w:p>
    <w:p>
      <w:pPr>
        <w:ind w:right="720" w:firstLine="456"/>
        <w:spacing w:after="0" w:line="269"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67" w:right="299" w:bottom="1440" w:gutter="0" w:footer="0" w:header="0"/>
        </w:sectPr>
      </w:pPr>
    </w:p>
    <w:bookmarkStart w:id="6" w:name="page7"/>
    <w:bookmarkEnd w:id="6"/>
    <w:p>
      <w:pPr>
        <w:ind w:right="10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Secretary in a timely manner. For a stockholder proposal to be considered for inclusion in our proxy statement for our 2018 annual meeting of stockholders, our Corporate Secretary must receive the written proposal at our principal executive offices not later than December 25, 2017. In addition, stockholder proposals must comply with the requirements of Rule 14a-8 regarding the inclusion of stockholder proposals in company-sponsored proxy materials. Proposals should be addressed to: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Qualys, Inc.</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Corporate Secretary</w:t>
      </w:r>
    </w:p>
    <w:p>
      <w:pPr>
        <w:jc w:val="center"/>
        <w:ind w:right="-79"/>
        <w:spacing w:after="0" w:line="234" w:lineRule="auto"/>
        <w:rPr>
          <w:sz w:val="20"/>
          <w:szCs w:val="20"/>
          <w:color w:val="auto"/>
        </w:rPr>
      </w:pPr>
      <w:r>
        <w:rPr>
          <w:rFonts w:ascii="Arial" w:cs="Arial" w:eastAsia="Arial" w:hAnsi="Arial"/>
          <w:sz w:val="18"/>
          <w:szCs w:val="18"/>
          <w:color w:val="auto"/>
        </w:rPr>
        <w:t>1600 Bridge Parkway</w:t>
      </w:r>
    </w:p>
    <w:p>
      <w:pPr>
        <w:jc w:val="center"/>
        <w:ind w:right="-79"/>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(650) 801-6100</w:t>
      </w:r>
    </w:p>
    <w:p>
      <w:pPr>
        <w:spacing w:after="0" w:line="136"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2018 annual meeting of stockholders, our Corporate Secretary must receive the written notice at our principal executive offices:</w:t>
      </w:r>
    </w:p>
    <w:p>
      <w:pPr>
        <w:spacing w:after="0" w:line="5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8, 2018;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the close of business on March 10, 2018.</w:t>
      </w:r>
    </w:p>
    <w:p>
      <w:pPr>
        <w:spacing w:after="0" w:line="158"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In the event that we hold our 2018 annual meeting of stockholders more than 30 days before or more than 60 days after the one-year anniversary date of the 2017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4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58" w:lineRule="exact"/>
        <w:rPr>
          <w:sz w:val="20"/>
          <w:szCs w:val="20"/>
          <w:color w:val="auto"/>
        </w:rPr>
      </w:pPr>
    </w:p>
    <w:p>
      <w:pPr>
        <w:ind w:right="140" w:firstLine="456"/>
        <w:spacing w:after="0" w:line="269"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75"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124" w:lineRule="exact"/>
        <w:rPr>
          <w:sz w:val="20"/>
          <w:szCs w:val="20"/>
          <w:color w:val="auto"/>
        </w:rPr>
      </w:pPr>
    </w:p>
    <w:p>
      <w:pPr>
        <w:ind w:right="160" w:firstLine="456"/>
        <w:spacing w:after="0" w:line="252"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69" w:right="319" w:bottom="1440" w:gutter="0" w:footer="0" w:header="0"/>
        </w:sectPr>
      </w:pPr>
    </w:p>
    <w:bookmarkStart w:id="7" w:name="page8"/>
    <w:bookmarkEnd w:id="7"/>
    <w:p>
      <w:pPr>
        <w:ind w:right="220"/>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75" w:lineRule="exact"/>
        <w:rPr>
          <w:sz w:val="20"/>
          <w:szCs w:val="20"/>
          <w:color w:val="auto"/>
        </w:rPr>
      </w:pPr>
    </w:p>
    <w:p>
      <w:pPr>
        <w:jc w:val="both"/>
        <w:ind w:firstLine="456"/>
        <w:spacing w:after="0" w:line="252" w:lineRule="auto"/>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69"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36"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12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84" w:lineRule="exact"/>
        <w:rPr>
          <w:sz w:val="20"/>
          <w:szCs w:val="20"/>
          <w:color w:val="auto"/>
        </w:rPr>
      </w:pPr>
    </w:p>
    <w:p>
      <w:pPr>
        <w:ind w:right="160" w:firstLine="456"/>
        <w:spacing w:after="0" w:line="269"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Current</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Director</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Age</w:t>
            </w:r>
          </w:p>
        </w:tc>
        <w:tc>
          <w:tcPr>
            <w:tcW w:w="1640" w:type="dxa"/>
            <w:vAlign w:val="bottom"/>
          </w:tcPr>
          <w:p>
            <w:pPr>
              <w:spacing w:after="0"/>
              <w:rPr>
                <w:sz w:val="12"/>
                <w:szCs w:val="12"/>
                <w:color w:val="auto"/>
              </w:rPr>
            </w:pPr>
          </w:p>
        </w:tc>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800" w:type="dxa"/>
            <w:vAlign w:val="bottom"/>
            <w:gridSpan w:val="2"/>
            <w:vMerge w:val="continue"/>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Term</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 Which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800" w:type="dxa"/>
            <w:vAlign w:val="bottom"/>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Since</w:t>
            </w:r>
          </w:p>
        </w:tc>
        <w:tc>
          <w:tcPr>
            <w:tcW w:w="76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w w:val="90"/>
              </w:rPr>
              <w:t>Expires</w:t>
            </w:r>
          </w:p>
        </w:tc>
        <w:tc>
          <w:tcPr>
            <w:tcW w:w="7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auto"/>
                <w:w w:val="96"/>
              </w:rPr>
              <w:t>Nominated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Nominees</w:t>
            </w:r>
          </w:p>
        </w:tc>
        <w:tc>
          <w:tcPr>
            <w:tcW w:w="3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3"/>
          </w:tcPr>
          <w:p>
            <w:pPr>
              <w:spacing w:after="0" w:line="202" w:lineRule="exact"/>
              <w:rPr>
                <w:sz w:val="20"/>
                <w:szCs w:val="20"/>
                <w:color w:val="auto"/>
              </w:rPr>
            </w:pPr>
            <w:r>
              <w:rPr>
                <w:rFonts w:ascii="Arial" w:cs="Arial" w:eastAsia="Arial" w:hAnsi="Arial"/>
                <w:sz w:val="18"/>
                <w:szCs w:val="18"/>
                <w:color w:val="auto"/>
              </w:rPr>
              <w:t>Donald R. Dixon (1)</w:t>
            </w:r>
          </w:p>
        </w:tc>
        <w:tc>
          <w:tcPr>
            <w:tcW w:w="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II</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w:t>
            </w:r>
          </w:p>
        </w:tc>
        <w:tc>
          <w:tcPr>
            <w:tcW w:w="39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2000</w:t>
            </w: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2017</w:t>
            </w:r>
          </w:p>
        </w:tc>
        <w:tc>
          <w:tcPr>
            <w:tcW w:w="760" w:type="dxa"/>
            <w:vAlign w:val="bottom"/>
            <w:gridSpan w:val="2"/>
          </w:tcPr>
          <w:p>
            <w:pPr>
              <w:jc w:val="center"/>
              <w:ind w:left="180"/>
              <w:spacing w:after="0" w:line="202" w:lineRule="exact"/>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Peter Pace (2) (3)</w:t>
            </w:r>
          </w:p>
        </w:tc>
        <w:tc>
          <w:tcPr>
            <w:tcW w:w="6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2009</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2017</w:t>
            </w:r>
          </w:p>
        </w:tc>
        <w:tc>
          <w:tcPr>
            <w:tcW w:w="760" w:type="dxa"/>
            <w:vAlign w:val="bottom"/>
            <w:gridSpan w:val="2"/>
            <w:shd w:val="clear" w:color="auto" w:fill="CCEEFF"/>
          </w:tcPr>
          <w:p>
            <w:pPr>
              <w:jc w:val="center"/>
              <w:ind w:left="180"/>
              <w:spacing w:after="0" w:line="202" w:lineRule="exact"/>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91"/>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Continuing Directors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740" w:type="dxa"/>
            <w:vAlign w:val="bottom"/>
            <w:tcBorders>
              <w:top w:val="single" w:sz="8" w:color="auto"/>
            </w:tcBorders>
            <w:gridSpan w:val="2"/>
            <w:shd w:val="clear" w:color="auto" w:fill="CCEEFF"/>
          </w:tcPr>
          <w:p>
            <w:pPr>
              <w:spacing w:after="0" w:line="184" w:lineRule="exact"/>
              <w:rPr>
                <w:sz w:val="20"/>
                <w:szCs w:val="20"/>
                <w:color w:val="auto"/>
              </w:rPr>
            </w:pPr>
            <w:r>
              <w:rPr>
                <w:rFonts w:ascii="Arial" w:cs="Arial" w:eastAsia="Arial" w:hAnsi="Arial"/>
                <w:sz w:val="18"/>
                <w:szCs w:val="18"/>
                <w:color w:val="auto"/>
              </w:rPr>
              <w:t>Philippe F. Courtot</w:t>
            </w:r>
          </w:p>
        </w:tc>
        <w:tc>
          <w:tcPr>
            <w:tcW w:w="2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160"/>
              <w:spacing w:after="0" w:line="184" w:lineRule="exact"/>
              <w:rPr>
                <w:sz w:val="20"/>
                <w:szCs w:val="20"/>
                <w:color w:val="auto"/>
              </w:rPr>
            </w:pPr>
            <w:r>
              <w:rPr>
                <w:rFonts w:ascii="Arial" w:cs="Arial" w:eastAsia="Arial" w:hAnsi="Arial"/>
                <w:sz w:val="18"/>
                <w:szCs w:val="18"/>
                <w:color w:val="auto"/>
              </w:rPr>
              <w:t>III</w:t>
            </w:r>
          </w:p>
        </w:tc>
        <w:tc>
          <w:tcPr>
            <w:tcW w:w="400" w:type="dxa"/>
            <w:vAlign w:val="bottom"/>
            <w:gridSpan w:val="2"/>
            <w:shd w:val="clear" w:color="auto" w:fill="CCEEFF"/>
          </w:tcPr>
          <w:p>
            <w:pPr>
              <w:jc w:val="right"/>
              <w:ind w:right="140"/>
              <w:spacing w:after="0" w:line="184" w:lineRule="exact"/>
              <w:rPr>
                <w:sz w:val="20"/>
                <w:szCs w:val="20"/>
                <w:color w:val="auto"/>
              </w:rPr>
            </w:pPr>
            <w:r>
              <w:rPr>
                <w:rFonts w:ascii="Arial" w:cs="Arial" w:eastAsia="Arial" w:hAnsi="Arial"/>
                <w:sz w:val="18"/>
                <w:szCs w:val="18"/>
                <w:color w:val="auto"/>
              </w:rPr>
              <w:t>72</w:t>
            </w:r>
          </w:p>
        </w:tc>
        <w:tc>
          <w:tcPr>
            <w:tcW w:w="39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8"/>
                <w:szCs w:val="18"/>
                <w:color w:val="auto"/>
              </w:rPr>
              <w:t>Chairman, President and Chief Executive</w:t>
            </w:r>
          </w:p>
        </w:tc>
        <w:tc>
          <w:tcPr>
            <w:tcW w:w="800" w:type="dxa"/>
            <w:vAlign w:val="bottom"/>
            <w:gridSpan w:val="2"/>
            <w:shd w:val="clear" w:color="auto" w:fill="CCEEFF"/>
          </w:tcPr>
          <w:p>
            <w:pPr>
              <w:jc w:val="right"/>
              <w:ind w:right="280"/>
              <w:spacing w:after="0" w:line="184" w:lineRule="exact"/>
              <w:rPr>
                <w:sz w:val="20"/>
                <w:szCs w:val="20"/>
                <w:color w:val="auto"/>
              </w:rPr>
            </w:pPr>
            <w:r>
              <w:rPr>
                <w:rFonts w:ascii="Arial" w:cs="Arial" w:eastAsia="Arial" w:hAnsi="Arial"/>
                <w:sz w:val="18"/>
                <w:szCs w:val="18"/>
                <w:color w:val="auto"/>
              </w:rPr>
              <w:t>2000</w:t>
            </w:r>
          </w:p>
        </w:tc>
        <w:tc>
          <w:tcPr>
            <w:tcW w:w="760" w:type="dxa"/>
            <w:vAlign w:val="bottom"/>
            <w:gridSpan w:val="2"/>
            <w:shd w:val="clear" w:color="auto" w:fill="CCEEFF"/>
          </w:tcPr>
          <w:p>
            <w:pPr>
              <w:jc w:val="right"/>
              <w:ind w:right="260"/>
              <w:spacing w:after="0" w:line="184" w:lineRule="exact"/>
              <w:rPr>
                <w:sz w:val="20"/>
                <w:szCs w:val="20"/>
                <w:color w:val="auto"/>
              </w:rPr>
            </w:pPr>
            <w:r>
              <w:rPr>
                <w:rFonts w:ascii="Arial" w:cs="Arial" w:eastAsia="Arial" w:hAnsi="Arial"/>
                <w:sz w:val="18"/>
                <w:szCs w:val="18"/>
                <w:color w:val="auto"/>
              </w:rPr>
              <w:t>2018</w:t>
            </w:r>
          </w:p>
        </w:tc>
        <w:tc>
          <w:tcPr>
            <w:tcW w:w="760" w:type="dxa"/>
            <w:vAlign w:val="bottom"/>
            <w:gridSpan w:val="2"/>
            <w:shd w:val="clear" w:color="auto" w:fill="CCEEFF"/>
          </w:tcPr>
          <w:p>
            <w:pPr>
              <w:jc w:val="center"/>
              <w:ind w:left="200"/>
              <w:spacing w:after="0" w:line="184"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Officer</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tcPr>
          <w:p>
            <w:pPr>
              <w:spacing w:after="0" w:line="202" w:lineRule="exact"/>
              <w:rPr>
                <w:sz w:val="20"/>
                <w:szCs w:val="20"/>
                <w:color w:val="auto"/>
              </w:rPr>
            </w:pPr>
            <w:r>
              <w:rPr>
                <w:rFonts w:ascii="Arial" w:cs="Arial" w:eastAsia="Arial" w:hAnsi="Arial"/>
                <w:sz w:val="18"/>
                <w:szCs w:val="18"/>
                <w:color w:val="auto"/>
              </w:rPr>
              <w:t>Jeffrey P. Hank (2)</w:t>
            </w:r>
          </w:p>
        </w:tc>
        <w:tc>
          <w:tcPr>
            <w:tcW w:w="6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III</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39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2010</w:t>
            </w: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2018</w:t>
            </w:r>
          </w:p>
        </w:tc>
        <w:tc>
          <w:tcPr>
            <w:tcW w:w="760" w:type="dxa"/>
            <w:vAlign w:val="bottom"/>
            <w:gridSpan w:val="2"/>
          </w:tcPr>
          <w:p>
            <w:pPr>
              <w:jc w:val="center"/>
              <w:ind w:left="200"/>
              <w:spacing w:after="0" w:line="202"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Sandra E. Bergeron (1) (2)</w:t>
            </w:r>
          </w:p>
        </w:tc>
        <w:tc>
          <w:tcPr>
            <w:tcW w:w="6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2019</w:t>
            </w:r>
          </w:p>
        </w:tc>
        <w:tc>
          <w:tcPr>
            <w:tcW w:w="760" w:type="dxa"/>
            <w:vAlign w:val="bottom"/>
            <w:gridSpan w:val="2"/>
            <w:shd w:val="clear" w:color="auto" w:fill="CCEEFF"/>
          </w:tcPr>
          <w:p>
            <w:pPr>
              <w:jc w:val="center"/>
              <w:ind w:left="200"/>
              <w:spacing w:after="0" w:line="202"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tcPr>
          <w:p>
            <w:pPr>
              <w:spacing w:after="0" w:line="202" w:lineRule="exact"/>
              <w:rPr>
                <w:sz w:val="20"/>
                <w:szCs w:val="20"/>
                <w:color w:val="auto"/>
              </w:rPr>
            </w:pPr>
            <w:r>
              <w:rPr>
                <w:rFonts w:ascii="Arial" w:cs="Arial" w:eastAsia="Arial" w:hAnsi="Arial"/>
                <w:sz w:val="18"/>
                <w:szCs w:val="18"/>
                <w:color w:val="auto"/>
              </w:rPr>
              <w:t>Todd P. Headley (2)</w:t>
            </w:r>
          </w:p>
        </w:tc>
        <w:tc>
          <w:tcPr>
            <w:tcW w:w="6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w:t>
            </w:r>
          </w:p>
        </w:tc>
        <w:tc>
          <w:tcPr>
            <w:tcW w:w="39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2016</w:t>
            </w: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2019</w:t>
            </w:r>
          </w:p>
        </w:tc>
        <w:tc>
          <w:tcPr>
            <w:tcW w:w="760" w:type="dxa"/>
            <w:vAlign w:val="bottom"/>
            <w:gridSpan w:val="2"/>
          </w:tcPr>
          <w:p>
            <w:pPr>
              <w:jc w:val="center"/>
              <w:ind w:left="200"/>
              <w:spacing w:after="0" w:line="202"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Kristi M. Rogers (3)</w:t>
            </w:r>
          </w:p>
        </w:tc>
        <w:tc>
          <w:tcPr>
            <w:tcW w:w="6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w:t>
            </w: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39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8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2013</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2019</w:t>
            </w:r>
          </w:p>
        </w:tc>
        <w:tc>
          <w:tcPr>
            <w:tcW w:w="760" w:type="dxa"/>
            <w:vAlign w:val="bottom"/>
            <w:gridSpan w:val="2"/>
            <w:shd w:val="clear" w:color="auto" w:fill="CCEEFF"/>
          </w:tcPr>
          <w:p>
            <w:pPr>
              <w:jc w:val="center"/>
              <w:ind w:left="200"/>
              <w:spacing w:after="0" w:line="202"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7"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79"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i w:val="1"/>
          <w:iCs w:val="1"/>
          <w:color w:val="auto"/>
        </w:rPr>
        <w:t xml:space="preserve">Donald R. Dixon </w:t>
      </w:r>
      <w:r>
        <w:rPr>
          <w:rFonts w:ascii="Arial" w:cs="Arial" w:eastAsia="Arial" w:hAnsi="Arial"/>
          <w:sz w:val="18"/>
          <w:szCs w:val="18"/>
          <w:color w:val="auto"/>
        </w:rPr>
        <w:t>has served as a director of our company since 2000. Since 1993, Mr. Dixon has been a co-founder and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Trident Capital, a venture capital fund, and since 2015, Mr. Dixon has been a co-founder and managing director of Trident Capital Cybersecurity, a venture capital fund focused on cybersecurity. From 2008 to 2014, Mr. Dixon served on the board of directors of XRS Corporation, and since 2014 Mr. Dixon has served on the board of directors of Top Image Systems, Ltd. Mr. Dixon also currently serves on the boards of directors of several private companies. Mr. Dixon holds a Bachelor of Science degree from Princeton University and a Master of Business Administration degree from the Stanford Graduate School of Business.</w:t>
      </w:r>
    </w:p>
    <w:p>
      <w:pPr>
        <w:spacing w:after="0" w:line="130" w:lineRule="exact"/>
        <w:rPr>
          <w:sz w:val="20"/>
          <w:szCs w:val="20"/>
          <w:color w:val="auto"/>
        </w:rPr>
      </w:pPr>
    </w:p>
    <w:p>
      <w:pPr>
        <w:ind w:right="720" w:firstLine="456"/>
        <w:spacing w:after="0" w:line="269" w:lineRule="auto"/>
        <w:rPr>
          <w:sz w:val="20"/>
          <w:szCs w:val="20"/>
          <w:color w:val="auto"/>
        </w:rPr>
      </w:pPr>
      <w:r>
        <w:rPr>
          <w:rFonts w:ascii="Arial" w:cs="Arial" w:eastAsia="Arial" w:hAnsi="Arial"/>
          <w:sz w:val="18"/>
          <w:szCs w:val="18"/>
          <w:color w:val="auto"/>
        </w:rPr>
        <w:t>We believe that Mr. Dixon possesses specific attributes that qualify him to serve as a member of our board of directors, including his experience as a director of technology companies and his background in the venture capital industry.</w:t>
      </w:r>
    </w:p>
    <w:p>
      <w:pPr>
        <w:spacing w:after="0" w:line="103" w:lineRule="exact"/>
        <w:rPr>
          <w:sz w:val="20"/>
          <w:szCs w:val="20"/>
          <w:color w:val="auto"/>
        </w:rPr>
      </w:pPr>
    </w:p>
    <w:p>
      <w:pPr>
        <w:ind w:right="120" w:firstLine="456"/>
        <w:spacing w:after="0" w:line="269" w:lineRule="auto"/>
        <w:rPr>
          <w:sz w:val="20"/>
          <w:szCs w:val="20"/>
          <w:color w:val="auto"/>
        </w:rPr>
      </w:pPr>
      <w:r>
        <w:rPr>
          <w:rFonts w:ascii="Arial" w:cs="Arial" w:eastAsia="Arial" w:hAnsi="Arial"/>
          <w:sz w:val="18"/>
          <w:szCs w:val="18"/>
          <w:i w:val="1"/>
          <w:iCs w:val="1"/>
          <w:color w:val="auto"/>
        </w:rPr>
        <w:t xml:space="preserve">General Peter Pace </w:t>
      </w:r>
      <w:r>
        <w:rPr>
          <w:rFonts w:ascii="Arial" w:cs="Arial" w:eastAsia="Arial" w:hAnsi="Arial"/>
          <w:sz w:val="18"/>
          <w:szCs w:val="18"/>
          <w:color w:val="auto"/>
        </w:rPr>
        <w:t>has served as a director of our company since May 2009. From June 1967 until October 2007, Gen. Pace served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Marine Corps, including as Chairman of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7" w:right="239" w:bottom="1440" w:gutter="0" w:footer="0" w:header="0"/>
        </w:sectPr>
      </w:pPr>
    </w:p>
    <w:bookmarkStart w:id="9" w:name="page10"/>
    <w:bookmarkEnd w:id="9"/>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Chiefs of Staff. Since October 2007, Gen. Pace has been a principal at Pace Enterprises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From December 2012 until its acquisition by Oracle in June 2016, Gen. Pace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30" w:lineRule="exact"/>
        <w:rPr>
          <w:sz w:val="20"/>
          <w:szCs w:val="20"/>
          <w:color w:val="auto"/>
        </w:rPr>
      </w:pPr>
    </w:p>
    <w:p>
      <w:pPr>
        <w:ind w:right="580" w:firstLine="456"/>
        <w:spacing w:after="0" w:line="269"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leadership experience.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NOMINEES NAMED ABOVE.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69"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79" w:lineRule="exact"/>
        <w:rPr>
          <w:sz w:val="20"/>
          <w:szCs w:val="20"/>
          <w:color w:val="auto"/>
        </w:rPr>
      </w:pPr>
    </w:p>
    <w:p>
      <w:pPr>
        <w:ind w:right="80" w:firstLine="456"/>
        <w:spacing w:after="0" w:line="278" w:lineRule="auto"/>
        <w:rPr>
          <w:sz w:val="20"/>
          <w:szCs w:val="20"/>
          <w:color w:val="auto"/>
        </w:rPr>
      </w:pPr>
      <w:r>
        <w:rPr>
          <w:rFonts w:ascii="Arial" w:cs="Arial" w:eastAsia="Arial" w:hAnsi="Arial"/>
          <w:sz w:val="16"/>
          <w:szCs w:val="16"/>
          <w:i w:val="1"/>
          <w:iCs w:val="1"/>
          <w:color w:val="auto"/>
        </w:rPr>
        <w:t xml:space="preserve">Philippe F. Courtot </w:t>
      </w:r>
      <w:r>
        <w:rPr>
          <w:rFonts w:ascii="Arial" w:cs="Arial" w:eastAsia="Arial" w:hAnsi="Arial"/>
          <w:sz w:val="16"/>
          <w:szCs w:val="16"/>
          <w:color w:val="auto"/>
        </w:rPr>
        <w:t>has served as our Chairman and Chief Executive Officer since March 2001, and has been a director since January 2000.</w:t>
      </w:r>
      <w:r>
        <w:rPr>
          <w:rFonts w:ascii="Arial" w:cs="Arial" w:eastAsia="Arial" w:hAnsi="Arial"/>
          <w:sz w:val="16"/>
          <w:szCs w:val="16"/>
          <w:i w:val="1"/>
          <w:iCs w:val="1"/>
          <w:color w:val="auto"/>
        </w:rPr>
        <w:t xml:space="preserve"> </w:t>
      </w:r>
      <w:r>
        <w:rPr>
          <w:rFonts w:ascii="Arial" w:cs="Arial" w:eastAsia="Arial" w:hAnsi="Arial"/>
          <w:sz w:val="16"/>
          <w:szCs w:val="16"/>
          <w:color w:val="auto"/>
        </w:rPr>
        <w:t>He also served as our President from March 2011 to November 2013, and from May 2014 to present. From April 1999 to February 2000,</w:t>
      </w:r>
    </w:p>
    <w:p>
      <w:pPr>
        <w:spacing w:after="0" w:line="1"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Mr. Courtot served as Chairman and Chief Executive Officer of Signio Inc., a secure payments solution provider, until its acquisition by VeriSign, Inc. Mr. Courtot holds a Master of Science degree from the University of Paris.</w:t>
      </w:r>
    </w:p>
    <w:p>
      <w:pPr>
        <w:spacing w:after="0" w:line="124" w:lineRule="exact"/>
        <w:rPr>
          <w:sz w:val="20"/>
          <w:szCs w:val="20"/>
          <w:color w:val="auto"/>
        </w:rPr>
      </w:pPr>
    </w:p>
    <w:p>
      <w:pPr>
        <w:ind w:right="260" w:firstLine="456"/>
        <w:spacing w:after="0" w:line="252"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18"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27" w:lineRule="exact"/>
        <w:rPr>
          <w:sz w:val="20"/>
          <w:szCs w:val="20"/>
          <w:color w:val="auto"/>
        </w:rPr>
      </w:pPr>
    </w:p>
    <w:p>
      <w:pPr>
        <w:ind w:right="740" w:firstLine="456"/>
        <w:spacing w:after="0" w:line="269"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03" w:lineRule="exact"/>
        <w:rPr>
          <w:sz w:val="20"/>
          <w:szCs w:val="20"/>
          <w:color w:val="auto"/>
        </w:rPr>
      </w:pPr>
    </w:p>
    <w:p>
      <w:pPr>
        <w:ind w:right="20" w:firstLine="456"/>
        <w:spacing w:after="0" w:line="278" w:lineRule="auto"/>
        <w:rPr>
          <w:sz w:val="20"/>
          <w:szCs w:val="20"/>
          <w:color w:val="auto"/>
        </w:rPr>
      </w:pPr>
      <w:r>
        <w:rPr>
          <w:rFonts w:ascii="Arial" w:cs="Arial" w:eastAsia="Arial" w:hAnsi="Arial"/>
          <w:sz w:val="16"/>
          <w:szCs w:val="16"/>
          <w:i w:val="1"/>
          <w:iCs w:val="1"/>
          <w:color w:val="auto"/>
        </w:rPr>
        <w:t xml:space="preserve">Sandra E. Bergeron </w:t>
      </w:r>
      <w:r>
        <w:rPr>
          <w:rFonts w:ascii="Arial" w:cs="Arial" w:eastAsia="Arial" w:hAnsi="Arial"/>
          <w:sz w:val="16"/>
          <w:szCs w:val="16"/>
          <w:color w:val="auto"/>
        </w:rPr>
        <w:t>has served as a director of our company since June 2006. From 2004 until 2012, Ms. Bergeron was a venture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Trident Capital, Inc., a venture capital firm. Ms. Bergeron currently serves on the board of directors of Sophos Plc, LLC and F5 Networks.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Ms. Bergeron previously served on the board of directors of ArcSight, Inc. until it was acquired by Hewlett-Packard Company in September 2010,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129" w:lineRule="exact"/>
        <w:rPr>
          <w:sz w:val="20"/>
          <w:szCs w:val="20"/>
          <w:color w:val="auto"/>
        </w:rPr>
      </w:pPr>
    </w:p>
    <w:p>
      <w:pPr>
        <w:ind w:right="400" w:firstLine="456"/>
        <w:spacing w:after="0" w:line="269"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03" w:lineRule="exact"/>
        <w:rPr>
          <w:sz w:val="20"/>
          <w:szCs w:val="20"/>
          <w:color w:val="auto"/>
        </w:rPr>
      </w:pPr>
    </w:p>
    <w:p>
      <w:pPr>
        <w:ind w:right="200" w:firstLine="456"/>
        <w:spacing w:after="0" w:line="241" w:lineRule="auto"/>
        <w:rPr>
          <w:sz w:val="20"/>
          <w:szCs w:val="20"/>
          <w:color w:val="auto"/>
        </w:rPr>
      </w:pPr>
      <w:r>
        <w:rPr>
          <w:rFonts w:ascii="Arial" w:cs="Arial" w:eastAsia="Arial" w:hAnsi="Arial"/>
          <w:sz w:val="18"/>
          <w:szCs w:val="18"/>
          <w:i w:val="1"/>
          <w:iCs w:val="1"/>
          <w:color w:val="auto"/>
        </w:rPr>
        <w:t xml:space="preserve">Todd P. Headley </w:t>
      </w:r>
      <w:r>
        <w:rPr>
          <w:rFonts w:ascii="Arial" w:cs="Arial" w:eastAsia="Arial" w:hAnsi="Arial"/>
          <w:sz w:val="18"/>
          <w:szCs w:val="18"/>
          <w:color w:val="auto"/>
        </w:rPr>
        <w:t>has served as a director of our company since February 2016. From 2003 until 2013, Mr. Headley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Sourcefire, Inc., until it was acquired by Cisco Systems, Inc. Prior to Sourcefire, Mr. Headley held key financial management positions in four venture-backed technology start-ups: Riverbed Technologies, Roadshow, BioNetrix and POMS. Mr. Headley currently serves as an advisor and board member to three privately held security companies. Mr. Headley began his career as a public accountant with Arthur Andersen LLP in Washington, D.C. Mr. Headley holds a Bachelor of Science degree in Accounting from Virginia Polytechnic Institute &amp; State University (Virginia Tech).</w:t>
      </w:r>
    </w:p>
    <w:p>
      <w:pPr>
        <w:spacing w:after="0" w:line="130" w:lineRule="exact"/>
        <w:rPr>
          <w:sz w:val="20"/>
          <w:szCs w:val="20"/>
          <w:color w:val="auto"/>
        </w:rPr>
      </w:pPr>
    </w:p>
    <w:p>
      <w:pPr>
        <w:ind w:right="500" w:firstLine="456"/>
        <w:spacing w:after="0" w:line="269" w:lineRule="auto"/>
        <w:rPr>
          <w:sz w:val="20"/>
          <w:szCs w:val="20"/>
          <w:color w:val="auto"/>
        </w:rPr>
      </w:pPr>
      <w:r>
        <w:rPr>
          <w:rFonts w:ascii="Arial" w:cs="Arial" w:eastAsia="Arial" w:hAnsi="Arial"/>
          <w:sz w:val="18"/>
          <w:szCs w:val="18"/>
          <w:color w:val="auto"/>
        </w:rPr>
        <w:t>We believe that Mr. Headley possesses specific attributes that qualify him to serve as a member of our board of directors, including his experience as an executive at technology companies and his background in the technology industry.</w:t>
      </w:r>
    </w:p>
    <w:p>
      <w:pPr>
        <w:spacing w:after="0" w:line="103" w:lineRule="exact"/>
        <w:rPr>
          <w:sz w:val="20"/>
          <w:szCs w:val="20"/>
          <w:color w:val="auto"/>
        </w:rPr>
      </w:pPr>
    </w:p>
    <w:p>
      <w:pPr>
        <w:ind w:right="200" w:firstLine="456"/>
        <w:spacing w:after="0" w:line="269" w:lineRule="auto"/>
        <w:rPr>
          <w:sz w:val="20"/>
          <w:szCs w:val="20"/>
          <w:color w:val="auto"/>
        </w:rPr>
      </w:pPr>
      <w:r>
        <w:rPr>
          <w:rFonts w:ascii="Arial" w:cs="Arial" w:eastAsia="Arial" w:hAnsi="Arial"/>
          <w:sz w:val="18"/>
          <w:szCs w:val="18"/>
          <w:i w:val="1"/>
          <w:iCs w:val="1"/>
          <w:color w:val="auto"/>
        </w:rPr>
        <w:t xml:space="preserve">Kristi M. Rogers </w:t>
      </w:r>
      <w:r>
        <w:rPr>
          <w:rFonts w:ascii="Arial" w:cs="Arial" w:eastAsia="Arial" w:hAnsi="Arial"/>
          <w:sz w:val="18"/>
          <w:szCs w:val="18"/>
          <w:color w:val="auto"/>
        </w:rPr>
        <w:t>has served as a director of our company since August 2013. Ms. Rogers is currently co-founder and Managing Partner for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to Principal. Ms. Rogers was a co-owner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7" w:right="259" w:bottom="1440" w:gutter="0" w:footer="0" w:header="0"/>
        </w:sectPr>
      </w:pPr>
    </w:p>
    <w:bookmarkStart w:id="11" w:name="page12"/>
    <w:bookmarkEnd w:id="11"/>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the board of Aspen Healthcare Services (now Aspen Medical International). Ms. Rogers ended the relationship and resigned from the Board in December 2016. From March 2014 to June 2015, Ms. Rogers served as Managing Director and Chief Executive Officer of Aspen Healthcare Services, LLC. From 2012 to 2014, Ms. Rogers served on the board of directors of Aspen Medical USA. Ms. Rogers served as a Managing Director of Government Affairs and Public Policy of Manatt, Phelps &amp; Phillips LLP from February 2013 until February 2014. From August 2006 to January 2013, Ms. Rogers served in various positions, including Executive Vice President, President, Chief Executive Officer and Vice Chairman of the Board, at Aegis Defense Services LLC, a provider of security and support services to the U.S. government. Ms. Rogers has also served on the board of directors of several private companies. Ms. Rogers holds a Bachelor of Science degree in Political Science from Michigan State University.</w:t>
      </w:r>
    </w:p>
    <w:p>
      <w:pPr>
        <w:spacing w:after="0" w:line="134" w:lineRule="exact"/>
        <w:rPr>
          <w:sz w:val="20"/>
          <w:szCs w:val="20"/>
          <w:color w:val="auto"/>
        </w:rPr>
      </w:pPr>
    </w:p>
    <w:p>
      <w:pPr>
        <w:ind w:right="560" w:firstLine="456"/>
        <w:spacing w:after="0" w:line="269"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executive experience and her expertise in the public service sector.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79"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Our board of directors has reviewed the independence of each director. Based on information provided by each director concerning his or her background, employment and affiliations, our board of directors has determined that each of Ms. Bergeron, Mr. Dixon, Mr. Hank, Mr. Headley, Gen. Pace and Ms. Rogers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104"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With respect to Mr. Dixon, our board of directors specifically considered that Mr. Dixon is the father of Peter Dixon, the Chairman and Founder of Second Front Systems, Inc., and the terms and value of the Representative Agreement we have with Second Front Systems, Inc. Our board of directors has concluded that our relationship with Second Front Systems, Inc. is not a material relationship that would impede the exercise of independent judgment by Mr. Dixon.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79" w:lineRule="exact"/>
        <w:rPr>
          <w:sz w:val="20"/>
          <w:szCs w:val="20"/>
          <w:color w:val="auto"/>
        </w:rPr>
      </w:pPr>
    </w:p>
    <w:p>
      <w:pPr>
        <w:ind w:right="160" w:firstLine="456"/>
        <w:spacing w:after="0" w:line="243" w:lineRule="auto"/>
        <w:rPr>
          <w:sz w:val="20"/>
          <w:szCs w:val="20"/>
          <w:color w:val="auto"/>
        </w:rPr>
      </w:pPr>
      <w:r>
        <w:rPr>
          <w:rFonts w:ascii="Arial" w:cs="Arial" w:eastAsia="Arial" w:hAnsi="Arial"/>
          <w:sz w:val="18"/>
          <w:szCs w:val="18"/>
          <w:color w:val="auto"/>
        </w:rPr>
        <w:t>Mr. Courtot currently serves as both Chairman of our board of directors and President and Chief Executive Officer. Our board of directors believes that the current board leadership structure, coupled with a strong emphasis on board independence, provide effective independent oversight of 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w:t>
      </w:r>
    </w:p>
    <w:p>
      <w:pPr>
        <w:spacing w:after="0" w:line="127"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color w:val="auto"/>
        </w:rPr>
        <w:t>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Lead Independent Director</w:t>
      </w:r>
    </w:p>
    <w:p>
      <w:pPr>
        <w:spacing w:after="0" w:line="79" w:lineRule="exact"/>
        <w:rPr>
          <w:sz w:val="20"/>
          <w:szCs w:val="20"/>
          <w:color w:val="auto"/>
        </w:rPr>
      </w:pPr>
    </w:p>
    <w:p>
      <w:pPr>
        <w:jc w:val="both"/>
        <w:ind w:right="180" w:firstLine="456"/>
        <w:spacing w:after="0" w:line="252" w:lineRule="auto"/>
        <w:rPr>
          <w:sz w:val="20"/>
          <w:szCs w:val="20"/>
          <w:color w:val="auto"/>
        </w:rPr>
      </w:pPr>
      <w:r>
        <w:rPr>
          <w:rFonts w:ascii="Arial" w:cs="Arial" w:eastAsia="Arial" w:hAnsi="Arial"/>
          <w:sz w:val="18"/>
          <w:szCs w:val="18"/>
          <w:color w:val="auto"/>
        </w:rPr>
        <w:t>Our board of directors has appointed Mr. Dixon to serve as our lead independent director. As lead independent director, Mr. Dixon presides over periodic meetings of our independent directors, serves as a liaison between our Chairman and the independent directors and performs such additional duties as our board of directors may otherwise determine and delegate.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79"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During the year ended December 31, 2016, our board of directors held 11 meetings (including regularly scheduled and special meetings), our audit committee held eight meetings, our compensation committee held five meetings, and our nominating and governance committee held two meetings. Each director attended at least 75% of the total number of meetings of the board of directors and the committees of which he or she was a member during 2016.</w:t>
      </w:r>
    </w:p>
    <w:p>
      <w:pPr>
        <w:spacing w:after="0" w:line="124" w:lineRule="exact"/>
        <w:rPr>
          <w:sz w:val="20"/>
          <w:szCs w:val="20"/>
          <w:color w:val="auto"/>
        </w:rPr>
      </w:pPr>
    </w:p>
    <w:p>
      <w:pPr>
        <w:ind w:right="120" w:firstLine="456"/>
        <w:spacing w:after="0" w:line="269"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w:t>
      </w:r>
    </w:p>
    <w:p>
      <w:pPr>
        <w:spacing w:after="0" w:line="103" w:lineRule="exact"/>
        <w:rPr>
          <w:sz w:val="20"/>
          <w:szCs w:val="20"/>
          <w:color w:val="auto"/>
        </w:rPr>
      </w:pPr>
    </w:p>
    <w:p>
      <w:pPr>
        <w:jc w:val="both"/>
        <w:ind w:right="80" w:firstLine="456"/>
        <w:spacing w:after="0" w:line="252"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has the composition and responsibilities described below. Members serve on these committees until their resignation or until otherwise determined by our board of directors.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75"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Our audit committee consists of Ms. Bergeron, Mr. Hank, Mr. Headley and Gen. Pace, with Mr. Hank serving as Chairman. The composition of our audit committee meets the requirements for independence under current NASDAQ Stock Market listing standards and SEC rules and regulations. Each member of our audit committee meets the financial literacy requirements of the NASDAQ Stock Market listing standards. In addition, our board of directors has determined that Mr. Hank and Mr. Headley are audit committee financial experts within the meaning of the rules and regulations of the SEC. Among other responsibilities, our audit committee:</w:t>
      </w:r>
    </w:p>
    <w:p>
      <w:pPr>
        <w:spacing w:after="0" w:line="4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76" w:lineRule="exact"/>
        <w:rPr>
          <w:rFonts w:ascii="Arial" w:cs="Arial" w:eastAsia="Arial" w:hAnsi="Arial"/>
          <w:sz w:val="18"/>
          <w:szCs w:val="18"/>
          <w:color w:val="auto"/>
        </w:rPr>
      </w:pPr>
    </w:p>
    <w:p>
      <w:pPr>
        <w:ind w:left="900" w:right="20" w:hanging="325"/>
        <w:spacing w:after="0" w:line="26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accountants, our interim and year-end operating results;</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76" w:lineRule="exact"/>
        <w:rPr>
          <w:rFonts w:ascii="Arial" w:cs="Arial" w:eastAsia="Arial" w:hAnsi="Arial"/>
          <w:sz w:val="18"/>
          <w:szCs w:val="18"/>
          <w:color w:val="auto"/>
        </w:rPr>
      </w:pPr>
    </w:p>
    <w:p>
      <w:pPr>
        <w:ind w:left="900" w:right="160" w:hanging="325"/>
        <w:spacing w:after="0" w:line="26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22" w:lineRule="exact"/>
        <w:rPr>
          <w:rFonts w:ascii="Arial" w:cs="Arial" w:eastAsia="Arial" w:hAnsi="Arial"/>
          <w:sz w:val="18"/>
          <w:szCs w:val="18"/>
          <w:color w:val="auto"/>
        </w:rPr>
      </w:pPr>
    </w:p>
    <w:p>
      <w:pPr>
        <w:ind w:left="900" w:right="160" w:hanging="325"/>
        <w:spacing w:after="0" w:line="26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7" w:right="239" w:bottom="1440" w:gutter="0" w:footer="0" w:header="0"/>
        </w:sectPr>
      </w:pPr>
    </w:p>
    <w:bookmarkStart w:id="13" w:name="page14"/>
    <w:bookmarkEnd w:id="13"/>
    <w:p>
      <w:pPr>
        <w:ind w:right="20" w:firstLine="456"/>
        <w:spacing w:after="0" w:line="33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75" w:lineRule="exact"/>
        <w:rPr>
          <w:sz w:val="20"/>
          <w:szCs w:val="20"/>
          <w:color w:val="auto"/>
        </w:rPr>
      </w:pPr>
    </w:p>
    <w:p>
      <w:pPr>
        <w:ind w:right="140" w:firstLine="456"/>
        <w:spacing w:after="0" w:line="241" w:lineRule="auto"/>
        <w:rPr>
          <w:sz w:val="20"/>
          <w:szCs w:val="20"/>
          <w:color w:val="auto"/>
        </w:rPr>
      </w:pPr>
      <w:r>
        <w:rPr>
          <w:rFonts w:ascii="Arial" w:cs="Arial" w:eastAsia="Arial" w:hAnsi="Arial"/>
          <w:sz w:val="18"/>
          <w:szCs w:val="18"/>
          <w:color w:val="auto"/>
        </w:rPr>
        <w:t>Our compensation committee consists of Ms. Bergeron and Mr. Dixon, with Mr. Dixon serving as Chairman. The composition of our compensation committee meets the requirements for independence under current NASDAQ Stock Market listing standards and SEC rules and regulations. Each member of the compensation committee is also a non-employee director, as defined pursuant to Rule 16b-3 promulgated under the Exchange Act, and an outside director, as defined pursuant to Section 162(m) of the Internal Revenue Code of 1986, as amended, or the Code. The purpose of our compensation committee is to discharge the responsibilities of our board of directors relating to compensation of our executive officers. Among other responsibilities, our compensation committee:</w:t>
      </w:r>
    </w:p>
    <w:p>
      <w:pPr>
        <w:spacing w:after="0" w:line="49" w:lineRule="exact"/>
        <w:rPr>
          <w:sz w:val="20"/>
          <w:szCs w:val="20"/>
          <w:color w:val="auto"/>
        </w:rPr>
      </w:pPr>
    </w:p>
    <w:p>
      <w:pPr>
        <w:ind w:left="900" w:right="100" w:hanging="325"/>
        <w:spacing w:after="0" w:line="26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reviews and approves and makes recommendations to our board of directors regarding incentive compensation and equity plans; and</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15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Our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Nominating and Governance Committee</w:t>
      </w:r>
    </w:p>
    <w:p>
      <w:pPr>
        <w:spacing w:after="0" w:line="75"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Our nominating and governance committee consists of Gen. Pace and Ms. Rogers, with Gen. Pace serving as Chairman. The composition of our nominating and governance committee meets the requirements for independence under current NASDAQ Stock Market listing standards and SEC rules and regulations. Among other responsibilities, our nominating and governance committee:</w:t>
      </w:r>
    </w:p>
    <w:p>
      <w:pPr>
        <w:spacing w:after="0" w:line="37" w:lineRule="exact"/>
        <w:rPr>
          <w:sz w:val="20"/>
          <w:szCs w:val="20"/>
          <w:color w:val="auto"/>
        </w:rPr>
      </w:pPr>
    </w:p>
    <w:p>
      <w:pPr>
        <w:ind w:left="900" w:right="120" w:hanging="325"/>
        <w:spacing w:after="0" w:line="26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76" w:lineRule="exact"/>
        <w:rPr>
          <w:rFonts w:ascii="Arial" w:cs="Arial" w:eastAsia="Arial" w:hAnsi="Arial"/>
          <w:sz w:val="18"/>
          <w:szCs w:val="18"/>
          <w:color w:val="auto"/>
        </w:rPr>
      </w:pPr>
    </w:p>
    <w:p>
      <w:pPr>
        <w:ind w:left="900" w:right="960" w:hanging="325"/>
        <w:spacing w:after="0" w:line="26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corporate governance guidelines and matters.</w:t>
      </w:r>
    </w:p>
    <w:p>
      <w:pPr>
        <w:spacing w:after="0" w:line="158" w:lineRule="exact"/>
        <w:rPr>
          <w:sz w:val="20"/>
          <w:szCs w:val="20"/>
          <w:color w:val="auto"/>
        </w:rPr>
      </w:pPr>
    </w:p>
    <w:p>
      <w:pPr>
        <w:jc w:val="both"/>
        <w:ind w:right="360" w:firstLine="456"/>
        <w:spacing w:after="0" w:line="252" w:lineRule="auto"/>
        <w:rPr>
          <w:sz w:val="20"/>
          <w:szCs w:val="20"/>
          <w:color w:val="auto"/>
        </w:rPr>
      </w:pPr>
      <w:r>
        <w:rPr>
          <w:rFonts w:ascii="Arial" w:cs="Arial" w:eastAsia="Arial" w:hAnsi="Arial"/>
          <w:sz w:val="18"/>
          <w:szCs w:val="18"/>
          <w:color w:val="auto"/>
        </w:rPr>
        <w:t>Our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Considerations in Evaluating Director Nominees</w:t>
      </w:r>
    </w:p>
    <w:p>
      <w:pPr>
        <w:spacing w:after="0" w:line="7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nominating and governance committee uses a variety of methods for identifying and evaluating director nominees. In its evaluation of director candidates, the nominating and governance committee will consider the current size and composition of the board of directors and the needs of the board of directors and the respective committees of the board of directors. Some of the qualifications that the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governance committee may also consider such other factors as it may deem, from time to time, are in our and our stockholders’ best interests. The nominating and governance committee will also seek appropriate input from the Chief Executive Officer from time to time in assessing the needs of the board of directors for relevant background, experience, diversity and skills of its members.</w:t>
      </w:r>
    </w:p>
    <w:p>
      <w:pPr>
        <w:spacing w:after="0" w:line="138"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governance committee considers a broad range of backgrounds and experiences. In making determinations regarding nominations of directors, the nominating and governance committee may take into account the benefits of diverse viewpoints. The nominating and governance committee also considers these and other factors as it oversees the annual board of director and committee evaluations.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7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49" w:lineRule="exact"/>
        <w:rPr>
          <w:sz w:val="20"/>
          <w:szCs w:val="20"/>
          <w:color w:val="auto"/>
        </w:rPr>
      </w:pPr>
    </w:p>
    <w:p>
      <w:pPr>
        <w:ind w:right="240" w:firstLine="456"/>
        <w:spacing w:after="0" w:line="281" w:lineRule="auto"/>
        <w:rPr>
          <w:sz w:val="20"/>
          <w:szCs w:val="20"/>
          <w:color w:val="auto"/>
        </w:rPr>
      </w:pPr>
      <w:r>
        <w:rPr>
          <w:rFonts w:ascii="Arial" w:cs="Arial" w:eastAsia="Arial" w:hAnsi="Arial"/>
          <w:sz w:val="16"/>
          <w:szCs w:val="16"/>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the Qualys, Inc., Attention: Corporate Secretary, 1600 Bridge Parkway, Redwood City, California 94065. Notice must be received by us no earlier than February 8, 2018, and no later than March 10, 2018. The notice must state the information required by Section 2.4(ii)(b) of our bylaws and otherwise must comply with applicable federal and state law.</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 with the Board of Directors</w:t>
      </w:r>
    </w:p>
    <w:p>
      <w:pPr>
        <w:spacing w:after="0" w:line="79"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1600 Bridge Parkway, Redwood City, California 94065. All such stockholder communications will be forwarded to the appropriate member or members of the board of directors, or if none is specified, to the Chairman of the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79"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79"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27" w:lineRule="exact"/>
        <w:rPr>
          <w:sz w:val="20"/>
          <w:szCs w:val="20"/>
          <w:color w:val="auto"/>
        </w:rPr>
      </w:pPr>
    </w:p>
    <w:p>
      <w:pPr>
        <w:ind w:right="160" w:firstLine="456"/>
        <w:spacing w:after="0" w:line="252" w:lineRule="auto"/>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118"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and legal and regulatory compliance. The audit committee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The compensation committee assesses risks created by the incentives inherent in our compensation policies.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Non-Employee Director Compensation</w:t>
      </w:r>
    </w:p>
    <w:p>
      <w:pPr>
        <w:spacing w:after="0" w:line="79"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The following table provides information regarding compensation paid by us to our non-employee directors during 2016. Directors who are also our employees receive no additional compensation for their service as a director. During 2016,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2016 Director Compensation Table</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Fees Earned</w:t>
            </w:r>
          </w:p>
        </w:tc>
        <w:tc>
          <w:tcPr>
            <w:tcW w:w="740" w:type="dxa"/>
            <w:vAlign w:val="bottom"/>
          </w:tcPr>
          <w:p>
            <w:pPr>
              <w:spacing w:after="0"/>
              <w:rPr>
                <w:sz w:val="14"/>
                <w:szCs w:val="14"/>
                <w:color w:val="auto"/>
              </w:rPr>
            </w:pPr>
          </w:p>
        </w:tc>
        <w:tc>
          <w:tcPr>
            <w:tcW w:w="176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4"/>
              </w:rPr>
              <w:t>Stock Awards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080" w:type="dxa"/>
            <w:vAlign w:val="bottom"/>
            <w:vMerge w:val="restart"/>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Paid in</w:t>
            </w:r>
          </w:p>
        </w:tc>
        <w:tc>
          <w:tcPr>
            <w:tcW w:w="7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8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380" w:type="dxa"/>
            <w:vAlign w:val="bottom"/>
            <w:tcBorders>
              <w:bottom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9"/>
              </w:rPr>
              <w:t>Cash</w:t>
            </w:r>
          </w:p>
        </w:tc>
        <w:tc>
          <w:tcPr>
            <w:tcW w:w="1620" w:type="dxa"/>
            <w:vAlign w:val="bottom"/>
            <w:gridSpan w:val="2"/>
          </w:tcPr>
          <w:p>
            <w:pPr>
              <w:jc w:val="right"/>
              <w:ind w:right="202"/>
              <w:spacing w:after="0" w:line="154" w:lineRule="exact"/>
              <w:rPr>
                <w:sz w:val="20"/>
                <w:szCs w:val="20"/>
                <w:color w:val="auto"/>
              </w:rPr>
            </w:pPr>
            <w:r>
              <w:rPr>
                <w:rFonts w:ascii="Arial" w:cs="Arial" w:eastAsia="Arial" w:hAnsi="Arial"/>
                <w:sz w:val="14"/>
                <w:szCs w:val="14"/>
                <w:b w:val="1"/>
                <w:bCs w:val="1"/>
                <w:color w:val="auto"/>
              </w:rPr>
              <w:t>(1)(2)</w:t>
            </w:r>
          </w:p>
        </w:tc>
        <w:tc>
          <w:tcPr>
            <w:tcW w:w="8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Sandra E. Bergeron</w:t>
            </w:r>
          </w:p>
        </w:tc>
        <w:tc>
          <w:tcPr>
            <w:tcW w:w="8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42,500</w:t>
            </w:r>
          </w:p>
        </w:tc>
        <w:tc>
          <w:tcPr>
            <w:tcW w:w="740" w:type="dxa"/>
            <w:vAlign w:val="bottom"/>
            <w:vMerge w:val="continue"/>
            <w:shd w:val="clear" w:color="auto" w:fill="CCEEFF"/>
          </w:tcPr>
          <w:p>
            <w:pPr>
              <w:spacing w:after="0"/>
              <w:rPr>
                <w:sz w:val="16"/>
                <w:szCs w:val="16"/>
                <w:color w:val="auto"/>
              </w:rPr>
            </w:pPr>
          </w:p>
        </w:tc>
        <w:tc>
          <w:tcPr>
            <w:tcW w:w="176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  198,400(3)</w:t>
            </w: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$240,900</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55,000</w:t>
            </w:r>
          </w:p>
        </w:tc>
        <w:tc>
          <w:tcPr>
            <w:tcW w:w="2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198,400(3)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253,400</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w:t>
            </w:r>
          </w:p>
        </w:tc>
        <w:tc>
          <w:tcPr>
            <w:tcW w:w="25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198,400(3)</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243,400</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Todd P. Headley</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34,016</w:t>
            </w:r>
          </w:p>
        </w:tc>
        <w:tc>
          <w:tcPr>
            <w:tcW w:w="2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355,954(4)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389,970</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Peter Pace</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40,500</w:t>
            </w:r>
          </w:p>
        </w:tc>
        <w:tc>
          <w:tcPr>
            <w:tcW w:w="25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198,400(3)</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238,900</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Kristi M. Rogers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33,000</w:t>
            </w:r>
          </w:p>
        </w:tc>
        <w:tc>
          <w:tcPr>
            <w:tcW w:w="2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198,400(3)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231,400</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Howard A. Schmidt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36,000</w:t>
            </w:r>
          </w:p>
        </w:tc>
        <w:tc>
          <w:tcPr>
            <w:tcW w:w="25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198,400(3)</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hanging="452"/>
        <w:spacing w:after="0" w:line="23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dollar amounts in this column represent the grant date fair value of restricted stock unit awards granted in 2016. These amounts have been calculated in accordance with Financial Accounting Standards Board, or FASB, Accounting Standards Codification, or ASC, Topic 718.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2016 filed with the SEC on February 24, 2017.</w:t>
      </w:r>
    </w:p>
    <w:p>
      <w:pPr>
        <w:ind w:left="460" w:right="1000" w:hanging="452"/>
        <w:spacing w:after="0" w:line="24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2016, the aggregate number of shares underlying the stock awards and options awards held by each of our non-employee directors was: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74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7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120" w:type="dxa"/>
            <w:vAlign w:val="bottom"/>
            <w:gridSpan w:val="2"/>
          </w:tcPr>
          <w:p>
            <w:pPr>
              <w:jc w:val="center"/>
              <w:ind w:left="2315"/>
              <w:spacing w:after="0" w:line="149" w:lineRule="exact"/>
              <w:rPr>
                <w:sz w:val="20"/>
                <w:szCs w:val="20"/>
                <w:color w:val="auto"/>
              </w:rPr>
            </w:pPr>
            <w:r>
              <w:rPr>
                <w:rFonts w:ascii="Arial" w:cs="Arial" w:eastAsia="Arial" w:hAnsi="Arial"/>
                <w:sz w:val="14"/>
                <w:szCs w:val="14"/>
                <w:b w:val="1"/>
                <w:bCs w:val="1"/>
                <w:color w:val="auto"/>
                <w:w w:val="98"/>
              </w:rPr>
              <w:t>Underlying</w:t>
            </w:r>
          </w:p>
        </w:tc>
        <w:tc>
          <w:tcPr>
            <w:tcW w:w="7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Unvested</w:t>
            </w:r>
          </w:p>
        </w:tc>
        <w:tc>
          <w:tcPr>
            <w:tcW w:w="16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7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tcPr>
          <w:p>
            <w:pPr>
              <w:spacing w:after="0"/>
              <w:rPr>
                <w:sz w:val="15"/>
                <w:szCs w:val="15"/>
                <w:color w:val="auto"/>
              </w:rPr>
            </w:pPr>
          </w:p>
        </w:tc>
        <w:tc>
          <w:tcPr>
            <w:tcW w:w="8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24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6,173</w:t>
            </w:r>
          </w:p>
        </w:tc>
        <w:tc>
          <w:tcPr>
            <w:tcW w:w="7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6,173</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6,173</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Todd P. Headley</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14,142</w:t>
            </w:r>
          </w:p>
        </w:tc>
        <w:tc>
          <w:tcPr>
            <w:tcW w:w="740" w:type="dxa"/>
            <w:vAlign w:val="bottom"/>
          </w:tcPr>
          <w:p>
            <w:pPr>
              <w:spacing w:after="0"/>
              <w:rPr>
                <w:sz w:val="17"/>
                <w:szCs w:val="17"/>
                <w:color w:val="auto"/>
              </w:rPr>
            </w:pPr>
          </w:p>
        </w:tc>
        <w:tc>
          <w:tcPr>
            <w:tcW w:w="8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Peter Pace</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6,173</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Kristi M. Rogers</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6,173</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Howard A. Schmidt</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6,173</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46,937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460" w:right="260" w:hanging="452"/>
        <w:spacing w:after="0" w:line="24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June 6, 2016, each of Ms. Bergeron, Mr. Dixon, Mr. Hank, Gen. Pace, Ms. Rogers and Mr. Schmidt was granted 6,173 restricted stock units, which vest on the earlier of (i) June 6, 2017 or (ii) the day before our 2017 annual meeting of stockholders, subject to the applicable director’s continued service to us.</w:t>
      </w:r>
    </w:p>
    <w:p>
      <w:pPr>
        <w:spacing w:after="0" w:line="1" w:lineRule="exact"/>
        <w:rPr>
          <w:rFonts w:ascii="Arial" w:cs="Arial" w:eastAsia="Arial" w:hAnsi="Arial"/>
          <w:sz w:val="18"/>
          <w:szCs w:val="18"/>
          <w:color w:val="auto"/>
        </w:rPr>
      </w:pPr>
    </w:p>
    <w:p>
      <w:pPr>
        <w:ind w:left="460" w:right="280" w:hanging="452"/>
        <w:spacing w:after="0" w:line="24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4, 2016, Mr. Headley was granted 14,142 restricted stock units, which vest in three equal annual installments on each of the first three anniversaries of March 1, 2016, subject to Mr. Headley’s continued service to 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67" w:right="279" w:bottom="1440" w:gutter="0" w:footer="0" w:header="0"/>
        </w:sectPr>
      </w:pPr>
    </w:p>
    <w:bookmarkStart w:id="17" w:name="page18"/>
    <w:bookmarkEnd w:id="1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Non-Employee Director Compensation Program</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2016, our non-employee director compensation program consisted of equity and cash, as described below.</w:t>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joining the board, each newly elected non-employee director will be granted an award of restricted stock units with a “value”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$420,000 (the “Initial Award”), with vesting to occur in 3 equal annual installments on each of the first 3 anniversaries of the first day of the month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following the month that the director joins the board, subject to continued service as a director through each vesting date.</w:t>
      </w:r>
    </w:p>
    <w:p>
      <w:pPr>
        <w:spacing w:after="0" w:line="136" w:lineRule="exact"/>
        <w:rPr>
          <w:sz w:val="20"/>
          <w:szCs w:val="20"/>
          <w:color w:val="auto"/>
        </w:rPr>
      </w:pPr>
    </w:p>
    <w:p>
      <w:pPr>
        <w:jc w:val="both"/>
        <w:ind w:right="280" w:firstLine="456"/>
        <w:spacing w:after="0" w:line="252" w:lineRule="auto"/>
        <w:rPr>
          <w:sz w:val="20"/>
          <w:szCs w:val="20"/>
          <w:color w:val="auto"/>
        </w:rPr>
      </w:pPr>
      <w:r>
        <w:rPr>
          <w:rFonts w:ascii="Arial" w:cs="Arial" w:eastAsia="Arial" w:hAnsi="Arial"/>
          <w:sz w:val="18"/>
          <w:szCs w:val="18"/>
          <w:color w:val="auto"/>
        </w:rPr>
        <w:t>On the date of each annual meeting of our stockholders, each non-employee director who has served on the board for at least six months prior to such date will be granted an award of restricted stock units with a “value” of $165,000 (the “Annual Award”), with vesting to occur on the earlier of the first anniversary of its grant date or the day before the next annual meeting of stockholders.</w:t>
      </w:r>
    </w:p>
    <w:p>
      <w:pPr>
        <w:spacing w:after="0" w:line="118" w:lineRule="exact"/>
        <w:rPr>
          <w:sz w:val="20"/>
          <w:szCs w:val="20"/>
          <w:color w:val="auto"/>
        </w:rPr>
      </w:pPr>
    </w:p>
    <w:p>
      <w:pPr>
        <w:ind w:right="480" w:firstLine="456"/>
        <w:spacing w:after="0" w:line="269" w:lineRule="auto"/>
        <w:rPr>
          <w:sz w:val="20"/>
          <w:szCs w:val="20"/>
          <w:color w:val="auto"/>
        </w:rPr>
      </w:pPr>
      <w:r>
        <w:rPr>
          <w:rFonts w:ascii="Arial" w:cs="Arial" w:eastAsia="Arial" w:hAnsi="Arial"/>
          <w:sz w:val="18"/>
          <w:szCs w:val="18"/>
          <w:color w:val="auto"/>
        </w:rPr>
        <w:t>For the purposes of the compensation program for our non-employees directors, a share subject to a restricted stock unit will be valued based on the average of the closing trading prices for the 30 days ending one week before the applicable grant date.</w:t>
      </w:r>
    </w:p>
    <w:p>
      <w:pPr>
        <w:spacing w:after="0" w:line="10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(as defined in our 2012 Equity Incentive Plan).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Compensation</w:t>
      </w:r>
    </w:p>
    <w:p>
      <w:pPr>
        <w:spacing w:after="0" w:line="75" w:lineRule="exact"/>
        <w:rPr>
          <w:sz w:val="20"/>
          <w:szCs w:val="20"/>
          <w:color w:val="auto"/>
        </w:rPr>
      </w:pPr>
    </w:p>
    <w:p>
      <w:pPr>
        <w:ind w:firstLine="456"/>
        <w:spacing w:after="0" w:line="269" w:lineRule="auto"/>
        <w:rPr>
          <w:sz w:val="20"/>
          <w:szCs w:val="20"/>
          <w:color w:val="auto"/>
        </w:rPr>
      </w:pPr>
      <w:r>
        <w:rPr>
          <w:rFonts w:ascii="Arial" w:cs="Arial" w:eastAsia="Arial" w:hAnsi="Arial"/>
          <w:sz w:val="18"/>
          <w:szCs w:val="18"/>
          <w:color w:val="auto"/>
        </w:rPr>
        <w:t>Each year, each non-employee director will receive a cash retainer of $30,000 for serving on the board of directors (the “Annual Retainer”). In addition to the Annual Retainer, the lead independent director will be entitled to an additional cash retainer of $15,000.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chairpersons and members of the board’s three standing committees will be entitled to the following cash retainers each year:</w:t>
      </w:r>
    </w:p>
    <w:p>
      <w:pPr>
        <w:spacing w:after="0" w:line="1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3600" w:type="dxa"/>
            <w:vAlign w:val="bottom"/>
            <w:vMerge w:val="restart"/>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8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74"/>
        </w:trPr>
        <w:tc>
          <w:tcPr>
            <w:tcW w:w="120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800" w:type="dxa"/>
            <w:vAlign w:val="bottom"/>
          </w:tcPr>
          <w:p>
            <w:pPr>
              <w:jc w:val="right"/>
              <w:ind w:right="42"/>
              <w:spacing w:after="0" w:line="154" w:lineRule="exact"/>
              <w:rPr>
                <w:sz w:val="20"/>
                <w:szCs w:val="20"/>
                <w:color w:val="auto"/>
              </w:rPr>
            </w:pPr>
            <w:r>
              <w:rPr>
                <w:rFonts w:ascii="Arial" w:cs="Arial" w:eastAsia="Arial" w:hAnsi="Arial"/>
                <w:sz w:val="14"/>
                <w:szCs w:val="14"/>
                <w:b w:val="1"/>
                <w:bCs w:val="1"/>
                <w:color w:val="auto"/>
              </w:rPr>
              <w:t>Retainer*</w:t>
            </w:r>
          </w:p>
        </w:tc>
        <w:tc>
          <w:tcPr>
            <w:tcW w:w="800" w:type="dxa"/>
            <w:vAlign w:val="bottom"/>
          </w:tcPr>
          <w:p>
            <w:pPr>
              <w:spacing w:after="0"/>
              <w:rPr>
                <w:sz w:val="15"/>
                <w:szCs w:val="15"/>
                <w:color w:val="auto"/>
              </w:rPr>
            </w:pPr>
          </w:p>
        </w:tc>
        <w:tc>
          <w:tcPr>
            <w:tcW w:w="62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190"/>
        </w:trPr>
        <w:tc>
          <w:tcPr>
            <w:tcW w:w="4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Committee</w:t>
            </w:r>
          </w:p>
        </w:tc>
        <w:tc>
          <w:tcPr>
            <w:tcW w:w="16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15,000</w:t>
            </w:r>
          </w:p>
        </w:tc>
        <w:tc>
          <w:tcPr>
            <w:tcW w:w="8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$7,500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director who serves as chairperson of a committee shall be entitled to a member retainer for the same committee.</w:t>
      </w:r>
    </w:p>
    <w:p>
      <w:pPr>
        <w:spacing w:after="0" w:line="158" w:lineRule="exact"/>
        <w:rPr>
          <w:sz w:val="20"/>
          <w:szCs w:val="20"/>
          <w:color w:val="auto"/>
        </w:rPr>
      </w:pPr>
    </w:p>
    <w:p>
      <w:pPr>
        <w:ind w:right="240" w:firstLine="456"/>
        <w:spacing w:after="0" w:line="252" w:lineRule="auto"/>
        <w:rPr>
          <w:sz w:val="20"/>
          <w:szCs w:val="20"/>
          <w:color w:val="auto"/>
        </w:rPr>
      </w:pPr>
      <w:r>
        <w:rPr>
          <w:rFonts w:ascii="Arial" w:cs="Arial" w:eastAsia="Arial" w:hAnsi="Arial"/>
          <w:sz w:val="18"/>
          <w:szCs w:val="18"/>
          <w:color w:val="auto"/>
        </w:rPr>
        <w:t>All retainers in cash will be paid in four equal installments on a quarterly basis at the end of the applicable quarter, provided that the individual served as a non-employee director in the applicable capacity during the full quarter, with the amount pro-rated for any director who did not serve in the applicable capacity the full quarter (on either the board of directors and/or the relevant board committee).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6"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2017. During the year ended December 31, 2016, Grant Thornton served as our independent registered public accounting firm.</w:t>
      </w:r>
    </w:p>
    <w:p>
      <w:pPr>
        <w:spacing w:after="0" w:line="118"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2017.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2015 and 2016.</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9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 (1)</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978,568</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1,124,640</w:t>
            </w:r>
          </w:p>
        </w:tc>
        <w:tc>
          <w:tcPr>
            <w:tcW w:w="80" w:type="dxa"/>
            <w:vAlign w:val="bottom"/>
            <w:shd w:val="clear" w:color="auto" w:fill="CCEEFF"/>
          </w:tcPr>
          <w:p>
            <w:pPr>
              <w:spacing w:after="0"/>
              <w:rPr>
                <w:sz w:val="17"/>
                <w:szCs w:val="17"/>
                <w:color w:val="auto"/>
              </w:rPr>
            </w:pPr>
          </w:p>
        </w:tc>
      </w:tr>
      <w:tr>
        <w:trPr>
          <w:trHeight w:val="210"/>
        </w:trPr>
        <w:tc>
          <w:tcPr>
            <w:tcW w:w="390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51,157</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91,438</w:t>
            </w:r>
          </w:p>
        </w:tc>
        <w:tc>
          <w:tcPr>
            <w:tcW w:w="80" w:type="dxa"/>
            <w:vAlign w:val="bottom"/>
          </w:tcPr>
          <w:p>
            <w:pPr>
              <w:spacing w:after="0"/>
              <w:rPr>
                <w:sz w:val="18"/>
                <w:szCs w:val="18"/>
                <w:color w:val="auto"/>
              </w:rPr>
            </w:pPr>
          </w:p>
        </w:tc>
      </w:tr>
      <w:tr>
        <w:trPr>
          <w:trHeight w:val="203"/>
        </w:trPr>
        <w:tc>
          <w:tcPr>
            <w:tcW w:w="39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1,029,725</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1,216,078</w:t>
            </w:r>
          </w:p>
        </w:tc>
        <w:tc>
          <w:tcPr>
            <w:tcW w:w="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right="140" w:hanging="452"/>
        <w:spacing w:after="0" w:line="24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1" w:lineRule="exact"/>
        <w:rPr>
          <w:rFonts w:ascii="Arial" w:cs="Arial" w:eastAsia="Arial" w:hAnsi="Arial"/>
          <w:sz w:val="18"/>
          <w:szCs w:val="18"/>
          <w:color w:val="auto"/>
        </w:rPr>
      </w:pPr>
    </w:p>
    <w:p>
      <w:pPr>
        <w:jc w:val="both"/>
        <w:ind w:left="460" w:right="400" w:hanging="452"/>
        <w:spacing w:after="0" w:line="23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(SOC1), which provides assurance to our customers that we have adequate controls and safeguards over the processing of their data.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8"/>
          <w:szCs w:val="18"/>
          <w:color w:val="auto"/>
        </w:rPr>
        <w:t>In 2016, there were no other professional services provided by Grant Thornton that would have required the audit committee to consider their compatibility with maintaining the independence of Grant Thornton.</w:t>
      </w:r>
    </w:p>
    <w:p>
      <w:pPr>
        <w:spacing w:after="0" w:line="182"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4" w:lineRule="exact"/>
        <w:rPr>
          <w:sz w:val="20"/>
          <w:szCs w:val="20"/>
          <w:color w:val="auto"/>
        </w:rPr>
      </w:pPr>
    </w:p>
    <w:p>
      <w:pPr>
        <w:ind w:right="240" w:firstLine="456"/>
        <w:spacing w:after="0" w:line="269"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7" w:right="239" w:bottom="1440" w:gutter="0" w:footer="0" w:header="0"/>
        </w:sectPr>
      </w:pPr>
    </w:p>
    <w:bookmarkStart w:id="19" w:name="page20"/>
    <w:bookmarkEnd w:id="19"/>
    <w:p>
      <w:pPr>
        <w:ind w:right="18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oversight of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18"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37" w:lineRule="exact"/>
        <w:rPr>
          <w:sz w:val="20"/>
          <w:szCs w:val="20"/>
          <w:color w:val="auto"/>
        </w:rPr>
      </w:pPr>
    </w:p>
    <w:p>
      <w:pPr>
        <w:ind w:left="900" w:right="640" w:hanging="325"/>
        <w:spacing w:after="0" w:line="252"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the review of financial statements included in our quarterly reports, as well as work that is normally provided by the independent registered public accounting firm in connection with statutory and regulatory filings.</w:t>
      </w:r>
    </w:p>
    <w:p>
      <w:pPr>
        <w:spacing w:after="0" w:line="36" w:lineRule="exact"/>
        <w:rPr>
          <w:rFonts w:ascii="Arial" w:cs="Arial" w:eastAsia="Arial" w:hAnsi="Arial"/>
          <w:sz w:val="18"/>
          <w:szCs w:val="18"/>
          <w:color w:val="auto"/>
        </w:rPr>
      </w:pPr>
    </w:p>
    <w:p>
      <w:pPr>
        <w:ind w:left="900" w:hanging="325"/>
        <w:spacing w:after="0" w:line="26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covered above under “audit services.”</w:t>
      </w:r>
    </w:p>
    <w:p>
      <w:pPr>
        <w:spacing w:after="0" w:line="22" w:lineRule="exact"/>
        <w:rPr>
          <w:rFonts w:ascii="Arial" w:cs="Arial" w:eastAsia="Arial" w:hAnsi="Arial"/>
          <w:sz w:val="18"/>
          <w:szCs w:val="18"/>
          <w:color w:val="auto"/>
        </w:rPr>
      </w:pPr>
    </w:p>
    <w:p>
      <w:pPr>
        <w:ind w:left="900" w:right="220" w:hanging="325"/>
        <w:spacing w:after="0" w:line="26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22"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58"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28" w:lineRule="exact"/>
        <w:rPr>
          <w:sz w:val="20"/>
          <w:szCs w:val="20"/>
          <w:color w:val="auto"/>
        </w:rPr>
      </w:pPr>
    </w:p>
    <w:p>
      <w:pPr>
        <w:jc w:val="center"/>
        <w:ind w:left="260" w:right="120"/>
        <w:spacing w:after="0" w:line="444" w:lineRule="auto"/>
        <w:rPr>
          <w:sz w:val="20"/>
          <w:szCs w:val="20"/>
          <w:color w:val="auto"/>
        </w:rPr>
      </w:pPr>
      <w:r>
        <w:rPr>
          <w:rFonts w:ascii="Arial" w:cs="Arial" w:eastAsia="Arial" w:hAnsi="Arial"/>
          <w:sz w:val="18"/>
          <w:szCs w:val="18"/>
          <w:b w:val="1"/>
          <w:bCs w:val="1"/>
          <w:color w:val="auto"/>
        </w:rPr>
        <w:t xml:space="preserve">THE BOARD OF DIRECTORS RECOMMENDS A VOTE “FOR” THE RATIFICATION OF THE APPOINTMENT OF GRANT THORNTON LLP. </w:t>
      </w:r>
      <w:r>
        <w:rPr>
          <w:rFonts w:ascii="Arial" w:cs="Arial" w:eastAsia="Arial" w:hAnsi="Arial"/>
          <w:sz w:val="18"/>
          <w:szCs w:val="18"/>
          <w:color w:val="auto"/>
        </w:rPr>
        <w:t>18</w:t>
      </w:r>
    </w:p>
    <w:p>
      <w:pPr>
        <w:sectPr>
          <w:pgSz w:w="11900" w:h="16838" w:orient="portrait"/>
          <w:cols w:equalWidth="0" w:num="1">
            <w:col w:w="11400"/>
          </w:cols>
          <w:pgMar w:left="240" w:top="269" w:right="25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136"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30"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Say-on-Pay vote is advisory, and therefore is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31"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color w:val="auto"/>
        </w:rPr>
        <w:t>We believe that the information provided in the “Executive Compensation” section of this proxy statement, and in particular the information discussed in “Executive Compensation—Compensation Discussion and Analysis—Philosophy and Objectives” beginning on page 23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27" w:lineRule="exact"/>
        <w:rPr>
          <w:sz w:val="20"/>
          <w:szCs w:val="20"/>
          <w:color w:val="auto"/>
        </w:rPr>
      </w:pPr>
    </w:p>
    <w:p>
      <w:pPr>
        <w:ind w:right="200" w:firstLine="456"/>
        <w:spacing w:after="0" w:line="252" w:lineRule="auto"/>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2016 Annual Meeting pursuant to the compensation disclosure rules of the SEC, including the compensation discussion and analysis, compensation tables and narrative discussion, and other related disclosure.”</w:t>
      </w:r>
    </w:p>
    <w:p>
      <w:pPr>
        <w:spacing w:after="0" w:line="116" w:lineRule="exact"/>
        <w:rPr>
          <w:sz w:val="20"/>
          <w:szCs w:val="20"/>
          <w:color w:val="auto"/>
        </w:rPr>
      </w:pPr>
    </w:p>
    <w:p>
      <w:pPr>
        <w:jc w:val="center"/>
        <w:ind w:left="300" w:right="420"/>
        <w:spacing w:after="0" w:line="281"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67" w:right="29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60"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our website at http://investor.qualys.com.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spacing w:after="0" w:line="18" w:lineRule="exact"/>
        <w:rPr>
          <w:sz w:val="20"/>
          <w:szCs w:val="20"/>
          <w:color w:val="auto"/>
        </w:rPr>
      </w:pPr>
    </w:p>
    <w:p>
      <w:pPr>
        <w:ind w:right="120" w:firstLine="8"/>
        <w:spacing w:after="0" w:line="277" w:lineRule="auto"/>
        <w:tabs>
          <w:tab w:leader="none" w:pos="2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19" w:lineRule="exact"/>
        <w:rPr>
          <w:rFonts w:ascii="Arial" w:cs="Arial" w:eastAsia="Arial" w:hAnsi="Arial"/>
          <w:sz w:val="16"/>
          <w:szCs w:val="16"/>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76" w:lineRule="exact"/>
        <w:rPr>
          <w:rFonts w:ascii="Arial" w:cs="Arial" w:eastAsia="Arial" w:hAnsi="Arial"/>
          <w:sz w:val="18"/>
          <w:szCs w:val="18"/>
          <w:color w:val="auto"/>
        </w:rPr>
      </w:pPr>
    </w:p>
    <w:p>
      <w:pPr>
        <w:ind w:left="900" w:right="20" w:hanging="325"/>
        <w:spacing w:after="0" w:line="26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 No. 1301, Communications with Audit Committees, as adopted by the Public Company Accounting Oversight Board; and</w:t>
      </w:r>
    </w:p>
    <w:p>
      <w:pPr>
        <w:spacing w:after="0" w:line="22" w:lineRule="exact"/>
        <w:rPr>
          <w:rFonts w:ascii="Arial" w:cs="Arial" w:eastAsia="Arial" w:hAnsi="Arial"/>
          <w:sz w:val="18"/>
          <w:szCs w:val="18"/>
          <w:color w:val="auto"/>
        </w:rPr>
      </w:pPr>
    </w:p>
    <w:p>
      <w:pPr>
        <w:ind w:left="900" w:right="680" w:hanging="325"/>
        <w:spacing w:after="0" w:line="252"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118" w:lineRule="exact"/>
        <w:rPr>
          <w:sz w:val="20"/>
          <w:szCs w:val="20"/>
          <w:color w:val="auto"/>
        </w:rPr>
      </w:pPr>
    </w:p>
    <w:p>
      <w:pPr>
        <w:ind w:right="220" w:firstLine="456"/>
        <w:spacing w:after="0" w:line="252" w:lineRule="auto"/>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2016 for filing with the Securities and Exchange Commission.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P. Hank (Chair)</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Sandra E. Bergeron</w:t>
      </w:r>
    </w:p>
    <w:p>
      <w:pPr>
        <w:ind w:left="460"/>
        <w:spacing w:after="0" w:line="234" w:lineRule="auto"/>
        <w:rPr>
          <w:sz w:val="20"/>
          <w:szCs w:val="20"/>
          <w:color w:val="auto"/>
        </w:rPr>
      </w:pPr>
      <w:r>
        <w:rPr>
          <w:rFonts w:ascii="Arial" w:cs="Arial" w:eastAsia="Arial" w:hAnsi="Arial"/>
          <w:sz w:val="18"/>
          <w:szCs w:val="18"/>
          <w:color w:val="auto"/>
        </w:rPr>
        <w:t>Todd P. Headley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Peter Pace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67"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OFFICERS</w:t>
      </w:r>
    </w:p>
    <w:p>
      <w:pPr>
        <w:spacing w:after="0" w:line="160" w:lineRule="exact"/>
        <w:rPr>
          <w:sz w:val="20"/>
          <w:szCs w:val="20"/>
          <w:color w:val="auto"/>
        </w:rPr>
      </w:pPr>
    </w:p>
    <w:p>
      <w:pPr>
        <w:ind w:right="660" w:firstLine="456"/>
        <w:spacing w:after="0" w:line="269" w:lineRule="auto"/>
        <w:rPr>
          <w:sz w:val="20"/>
          <w:szCs w:val="20"/>
          <w:color w:val="auto"/>
        </w:rPr>
      </w:pPr>
      <w:r>
        <w:rPr>
          <w:rFonts w:ascii="Arial" w:cs="Arial" w:eastAsia="Arial" w:hAnsi="Arial"/>
          <w:sz w:val="18"/>
          <w:szCs w:val="18"/>
          <w:color w:val="auto"/>
        </w:rPr>
        <w:t>The following table identifies certain information about our executive officers as of April 24, 2017. Officers are elected by the board of directors to hold office until their successors are elected and qualified.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tcPr>
          <w:p>
            <w:pPr>
              <w:spacing w:after="0"/>
              <w:rPr>
                <w:sz w:val="16"/>
                <w:szCs w:val="16"/>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Age</w:t>
            </w:r>
          </w:p>
        </w:tc>
        <w:tc>
          <w:tcPr>
            <w:tcW w:w="7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72</w:t>
            </w:r>
          </w:p>
        </w:tc>
        <w:tc>
          <w:tcPr>
            <w:tcW w:w="280" w:type="dxa"/>
            <w:vAlign w:val="bottom"/>
            <w:tcBorders>
              <w:top w:val="single" w:sz="8" w:color="CCEEFF"/>
            </w:tcBorders>
            <w:shd w:val="clear" w:color="auto" w:fill="CCEEFF"/>
          </w:tcPr>
          <w:p>
            <w:pPr>
              <w:spacing w:after="0"/>
              <w:rPr>
                <w:sz w:val="16"/>
                <w:szCs w:val="16"/>
                <w:color w:val="auto"/>
              </w:rPr>
            </w:pPr>
          </w:p>
        </w:tc>
        <w:tc>
          <w:tcPr>
            <w:tcW w:w="7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Commercial Officer</w:t>
            </w: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Product Officer</w:t>
            </w:r>
          </w:p>
        </w:tc>
      </w:tr>
    </w:tbl>
    <w:p>
      <w:pPr>
        <w:spacing w:after="0" w:line="143" w:lineRule="exact"/>
        <w:rPr>
          <w:sz w:val="20"/>
          <w:szCs w:val="20"/>
          <w:color w:val="auto"/>
        </w:rPr>
      </w:pPr>
    </w:p>
    <w:p>
      <w:pPr>
        <w:ind w:right="380" w:firstLine="456"/>
        <w:spacing w:after="0" w:line="269"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is also a director of our company. Please see the section titled “Board of Directors and Corporate Governance” for his</w:t>
      </w:r>
      <w:r>
        <w:rPr>
          <w:rFonts w:ascii="Arial" w:cs="Arial" w:eastAsia="Arial" w:hAnsi="Arial"/>
          <w:sz w:val="18"/>
          <w:szCs w:val="18"/>
          <w:i w:val="1"/>
          <w:iCs w:val="1"/>
          <w:color w:val="auto"/>
        </w:rPr>
        <w:t xml:space="preserve"> </w:t>
      </w:r>
      <w:r>
        <w:rPr>
          <w:rFonts w:ascii="Arial" w:cs="Arial" w:eastAsia="Arial" w:hAnsi="Arial"/>
          <w:sz w:val="18"/>
          <w:szCs w:val="18"/>
          <w:color w:val="auto"/>
        </w:rPr>
        <w:t>biography.</w:t>
      </w:r>
    </w:p>
    <w:p>
      <w:pPr>
        <w:spacing w:after="0" w:line="103"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i w:val="1"/>
          <w:iCs w:val="1"/>
          <w:color w:val="auto"/>
        </w:rPr>
        <w:t xml:space="preserve">Melissa B. Fisher </w:t>
      </w:r>
      <w:r>
        <w:rPr>
          <w:rFonts w:ascii="Arial" w:cs="Arial" w:eastAsia="Arial" w:hAnsi="Arial"/>
          <w:sz w:val="18"/>
          <w:szCs w:val="18"/>
          <w:color w:val="auto"/>
        </w:rPr>
        <w:t>has served as our Chief Financial Officer since April 2016. Ms. Fisher joined us from Zynga Inc., a developer of social</w:t>
      </w:r>
      <w:r>
        <w:rPr>
          <w:rFonts w:ascii="Arial" w:cs="Arial" w:eastAsia="Arial" w:hAnsi="Arial"/>
          <w:sz w:val="18"/>
          <w:szCs w:val="18"/>
          <w:i w:val="1"/>
          <w:iCs w:val="1"/>
          <w:color w:val="auto"/>
        </w:rPr>
        <w:t xml:space="preserve"> </w:t>
      </w:r>
      <w:r>
        <w:rPr>
          <w:rFonts w:ascii="Arial" w:cs="Arial" w:eastAsia="Arial" w:hAnsi="Arial"/>
          <w:sz w:val="18"/>
          <w:szCs w:val="18"/>
          <w:color w:val="auto"/>
        </w:rPr>
        <w:t>games, where she served as the Vice President of Financial Planning and Analysis, Investor Relations and Treasury from April 2015 to April 2016. Ms. Fisher previously served as Vice President of Corporate Development, Investor Relations and Treasury of Digital River, Inc., a global provider of enterprise e-commerce SaaS solutions, from July 2013 to March 2015. From September 2009 to March 2012, Ms. Fisher served as Managing Director at Foros. Ms. Fisher spent the earlier parts of her career at Banc of America Securities and Goldman, Sachs &amp; Co. Ms. Fisher currently serves as a director of Model N, Inc., and previously served as a director of Digital Generation, Inc. and Image Sensing Systems, Inc. Ms. Fisher holds a Bachelor of Arts degree in Government from Harvard University and a Masters of Business Administration degree from the Harvard Graduate School of Business Administration.</w:t>
      </w:r>
    </w:p>
    <w:p>
      <w:pPr>
        <w:spacing w:after="0" w:line="134" w:lineRule="exact"/>
        <w:rPr>
          <w:sz w:val="20"/>
          <w:szCs w:val="20"/>
          <w:color w:val="auto"/>
        </w:rPr>
      </w:pPr>
    </w:p>
    <w:p>
      <w:pPr>
        <w:ind w:firstLine="456"/>
        <w:spacing w:after="0" w:line="278" w:lineRule="auto"/>
        <w:rPr>
          <w:sz w:val="20"/>
          <w:szCs w:val="20"/>
          <w:color w:val="auto"/>
        </w:rPr>
      </w:pPr>
      <w:r>
        <w:rPr>
          <w:rFonts w:ascii="Arial" w:cs="Arial" w:eastAsia="Arial" w:hAnsi="Arial"/>
          <w:sz w:val="16"/>
          <w:szCs w:val="16"/>
          <w:i w:val="1"/>
          <w:iCs w:val="1"/>
          <w:color w:val="auto"/>
        </w:rPr>
        <w:t xml:space="preserve">Amer S. Deeba </w:t>
      </w:r>
      <w:r>
        <w:rPr>
          <w:rFonts w:ascii="Arial" w:cs="Arial" w:eastAsia="Arial" w:hAnsi="Arial"/>
          <w:sz w:val="16"/>
          <w:szCs w:val="16"/>
          <w:color w:val="auto"/>
        </w:rPr>
        <w:t>has served as our Chief Commercial Officer since May 2016, and served as our Vice President of Corporate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Strategic Alliances from August 2014 to May 2016, and as our Chief Marketing Officer from January 2007 to August 2014. Mr. Deeba joined us in 2001 and has held various other positions with us since that time, including Vice President, Product Marketing and Vice President, Strategic Alliances. From April 1999 until February 2000, Mr. Deeba served as Director of Product Management at Signio until its acquisition by VeriSign, and from February 2000 until June 2001 he held various positions at VeriSign, including General Manager of the Payment Division. Mr. Deeba holds a Bachelor of Engineering degree from the American University of Beirut and a Master of Science degree from Santa Clara University.</w:t>
      </w:r>
    </w:p>
    <w:p>
      <w:pPr>
        <w:spacing w:after="0" w:line="99" w:lineRule="exact"/>
        <w:rPr>
          <w:sz w:val="20"/>
          <w:szCs w:val="20"/>
          <w:color w:val="auto"/>
        </w:rPr>
      </w:pPr>
    </w:p>
    <w:p>
      <w:pPr>
        <w:ind w:right="160" w:firstLine="456"/>
        <w:spacing w:after="0" w:line="241"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Sumedh S. Thakar </w:t>
      </w:r>
      <w:r>
        <w:rPr>
          <w:rFonts w:ascii="Arial" w:cs="Arial" w:eastAsia="Arial" w:hAnsi="Arial"/>
          <w:sz w:val="16"/>
          <w:szCs w:val="16"/>
          <w:color w:val="auto"/>
        </w:rPr>
        <w:t>has served as our Chief Product Officer since June 2014. Before that, beginning in December 2010, Mr. Thakar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Vice President, Engineering. Mr. Thakar joined us in February 2003 and has held various positions with us since that time, including Principal Engineer, Engineering Manager and Director of Engineering. Mr. Thakar holds a Bachelor of Science degree from the University of Pune, India.</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Compensation Discussion and Analysis provides an overview of the material components of our executive compensation program for:</w:t>
      </w:r>
    </w:p>
    <w:p>
      <w:pPr>
        <w:spacing w:after="0" w:line="10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Philippe F. Courtot, our Chairman, President and Chief Executive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Melissa B. Fisher, our Chief Financial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Amer S. Deeba, our Chief Commercial Officer;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Bruce K. Posey, our Vice President, General Counsel and Corporate Secretary;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Sumedh S. Thakar, our Chief Product Officer;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Donald C. McCauley, our former Chief Financial Officer.</w:t>
      </w:r>
    </w:p>
    <w:p>
      <w:pPr>
        <w:spacing w:after="0" w:line="158" w:lineRule="exact"/>
        <w:rPr>
          <w:sz w:val="20"/>
          <w:szCs w:val="20"/>
          <w:color w:val="auto"/>
        </w:rPr>
      </w:pPr>
    </w:p>
    <w:p>
      <w:pPr>
        <w:ind w:right="420" w:firstLine="456"/>
        <w:spacing w:after="0" w:line="269" w:lineRule="auto"/>
        <w:rPr>
          <w:sz w:val="20"/>
          <w:szCs w:val="20"/>
          <w:color w:val="auto"/>
        </w:rPr>
      </w:pPr>
      <w:r>
        <w:rPr>
          <w:rFonts w:ascii="Arial" w:cs="Arial" w:eastAsia="Arial" w:hAnsi="Arial"/>
          <w:sz w:val="18"/>
          <w:szCs w:val="18"/>
          <w:color w:val="auto"/>
        </w:rPr>
        <w:t>These executive officers are collectively referred to in this Compensation Discussion and Analysis and the accompanying compensation tables as the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Highlights</w:t>
      </w:r>
    </w:p>
    <w:p>
      <w:pPr>
        <w:spacing w:after="0" w:line="75"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w:t>
      </w:r>
    </w:p>
    <w:p>
      <w:pPr>
        <w:spacing w:after="0" w:line="127"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130" w:lineRule="exact"/>
        <w:rPr>
          <w:sz w:val="20"/>
          <w:szCs w:val="20"/>
          <w:color w:val="auto"/>
        </w:rPr>
      </w:pPr>
    </w:p>
    <w:p>
      <w:pPr>
        <w:jc w:val="both"/>
        <w:ind w:right="460" w:firstLine="456"/>
        <w:spacing w:after="0" w:line="252"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cloud-based security and compliance solutions. In 2016, we continued our outstanding financial performance, including achieving the following significant financial results:</w:t>
      </w:r>
    </w:p>
    <w:p>
      <w:pPr>
        <w:spacing w:after="0" w:line="3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was $197.9 million, as compared to $164.3 million in 2015;</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was $19.2 million, as compared to $15.9 million in 2015;</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Adjusted EBITDA was $68.0 million, as compared to $56.7 million in 2015;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Non-GAAP free cash flows were $44.9 million, as compared to $45.8 million in 2015.</w:t>
      </w:r>
    </w:p>
    <w:p>
      <w:pPr>
        <w:spacing w:after="0" w:line="158" w:lineRule="exact"/>
        <w:rPr>
          <w:sz w:val="20"/>
          <w:szCs w:val="20"/>
          <w:color w:val="auto"/>
        </w:rPr>
      </w:pPr>
    </w:p>
    <w:p>
      <w:pPr>
        <w:ind w:right="180" w:firstLine="456"/>
        <w:spacing w:after="0" w:line="252" w:lineRule="auto"/>
        <w:rPr>
          <w:sz w:val="20"/>
          <w:szCs w:val="20"/>
          <w:color w:val="auto"/>
        </w:rPr>
      </w:pPr>
      <w:r>
        <w:rPr>
          <w:rFonts w:ascii="Arial" w:cs="Arial" w:eastAsia="Arial" w:hAnsi="Arial"/>
          <w:sz w:val="18"/>
          <w:szCs w:val="18"/>
          <w:color w:val="auto"/>
        </w:rPr>
        <w:t>Adjusted EBITDA and free cash flows are non-GAAP financial measures and the reconciliations of net income to Adjusted EBITDA and net cash provided by operating activities to free cash flow are set forth in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in our Annual Report on Form 10-K filed with the SEC on February 24, 2017.</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7" w:right="23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Governance Practices</w:t>
      </w:r>
    </w:p>
    <w:p>
      <w:pPr>
        <w:spacing w:after="0" w:line="75" w:lineRule="exact"/>
        <w:rPr>
          <w:sz w:val="20"/>
          <w:szCs w:val="20"/>
          <w:color w:val="auto"/>
        </w:rPr>
      </w:pPr>
    </w:p>
    <w:p>
      <w:pPr>
        <w:ind w:right="720" w:firstLine="456"/>
        <w:spacing w:after="0" w:line="269" w:lineRule="auto"/>
        <w:rPr>
          <w:sz w:val="20"/>
          <w:szCs w:val="20"/>
          <w:color w:val="auto"/>
        </w:rPr>
      </w:pPr>
      <w:r>
        <w:rPr>
          <w:rFonts w:ascii="Arial" w:cs="Arial" w:eastAsia="Arial" w:hAnsi="Arial"/>
          <w:sz w:val="18"/>
          <w:szCs w:val="18"/>
          <w:color w:val="auto"/>
        </w:rPr>
        <w:t>We maintain good corporate governance standards in our executive compensation policies and practices. The following policies and practices were either adopted or in effect during our fiscal year ended December 31, 2016:</w:t>
      </w:r>
    </w:p>
    <w:p>
      <w:pPr>
        <w:spacing w:after="0" w:line="2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compensation committee is made up solely of independent directors and makes all executive compensation decisions.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potential change in control payments and benefits are reasonable in amount.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do not offer golden parachute tax gross-ups to any of our named executive officers.</w:t>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of Most Recent Stockholder Advisory Vote on Executive Compensation</w:t>
      </w:r>
    </w:p>
    <w:p>
      <w:pPr>
        <w:spacing w:after="0" w:line="7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compensation committee considers the results of the annual stockholder advisory vote on the compensation of our Named Executive Officers and stockholder feedback on our executive compensation program as part of its annual executive compensation review. At our 2016 annual meeting of stockholders, over 99% of the votes cast approved the compensation program for our named executive officers as described in our 2016 annual proxy statement. Based on this strong stockholder support, the compensation committee determined not to make any significant changes to our existing executive compensation program and policies, except that we introduced restricted stock units into our equity mix in 2016 (as described below); however, this new element was not related to the feedback on the stockholder advisory vote. The compensation committee will continue to consider the results of the annual advisory vote on executive compensation and stockholder feedback as data points in designing our executive compensation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w:t>
      </w:r>
    </w:p>
    <w:p>
      <w:pPr>
        <w:spacing w:after="0" w:line="79" w:lineRule="exact"/>
        <w:rPr>
          <w:sz w:val="20"/>
          <w:szCs w:val="20"/>
          <w:color w:val="auto"/>
        </w:rPr>
      </w:pPr>
    </w:p>
    <w:p>
      <w:pPr>
        <w:ind w:right="720" w:firstLine="456"/>
        <w:spacing w:after="0" w:line="298" w:lineRule="auto"/>
        <w:rPr>
          <w:sz w:val="20"/>
          <w:szCs w:val="20"/>
          <w:color w:val="auto"/>
        </w:rPr>
      </w:pPr>
      <w:r>
        <w:rPr>
          <w:rFonts w:ascii="Arial" w:cs="Arial" w:eastAsia="Arial" w:hAnsi="Arial"/>
          <w:sz w:val="16"/>
          <w:szCs w:val="16"/>
          <w:color w:val="auto"/>
        </w:rPr>
        <w:t>Our compensation philosophy is to provide programs that attract and retain the best available personnel for positions of substantial responsibility, provide incentives for such persons to perform to the best of their abilities, and to promote the success of our business. The following table identifies the main elements of our executive compensation program and the reason we chose to provide each:</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Element of Compensation</w:t>
            </w:r>
          </w:p>
        </w:tc>
        <w:tc>
          <w:tcPr>
            <w:tcW w:w="158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Basis for Providing Element</w:t>
            </w:r>
          </w:p>
        </w:tc>
      </w:tr>
      <w:tr>
        <w:trPr>
          <w:trHeight w:val="171"/>
        </w:trPr>
        <w:tc>
          <w:tcPr>
            <w:tcW w:w="178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color w:val="auto"/>
              </w:rPr>
              <w:t>Base Salary</w:t>
            </w: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36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color w:val="auto"/>
              </w:rPr>
              <w:t>To provide compensation to our named executive officers for</w:t>
            </w:r>
          </w:p>
        </w:tc>
      </w:tr>
      <w:tr>
        <w:trPr>
          <w:trHeight w:val="237"/>
        </w:trPr>
        <w:tc>
          <w:tcPr>
            <w:tcW w:w="1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services based on their experience and past performance</w:t>
            </w:r>
          </w:p>
        </w:tc>
      </w:tr>
      <w:tr>
        <w:trPr>
          <w:trHeight w:val="276"/>
        </w:trPr>
        <w:tc>
          <w:tcPr>
            <w:tcW w:w="4480" w:type="dxa"/>
            <w:vAlign w:val="bottom"/>
            <w:gridSpan w:val="2"/>
          </w:tcPr>
          <w:p>
            <w:pPr>
              <w:spacing w:after="0"/>
              <w:rPr>
                <w:sz w:val="20"/>
                <w:szCs w:val="20"/>
                <w:color w:val="auto"/>
              </w:rPr>
            </w:pPr>
            <w:r>
              <w:rPr>
                <w:rFonts w:ascii="Arial" w:cs="Arial" w:eastAsia="Arial" w:hAnsi="Arial"/>
                <w:sz w:val="18"/>
                <w:szCs w:val="18"/>
                <w:color w:val="auto"/>
              </w:rPr>
              <w:t>Non-Equity Incentive Plan Compensation</w:t>
            </w:r>
          </w:p>
        </w:tc>
        <w:tc>
          <w:tcPr>
            <w:tcW w:w="15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To motivate and reward our named executive officers for focusing on</w:t>
            </w:r>
          </w:p>
        </w:tc>
      </w:tr>
      <w:tr>
        <w:trPr>
          <w:trHeight w:val="203"/>
        </w:trPr>
        <w:tc>
          <w:tcPr>
            <w:tcW w:w="17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individual and company objectives that drive increased stockholder</w:t>
            </w:r>
          </w:p>
        </w:tc>
      </w:tr>
      <w:tr>
        <w:trPr>
          <w:trHeight w:val="237"/>
        </w:trPr>
        <w:tc>
          <w:tcPr>
            <w:tcW w:w="1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value</w:t>
            </w:r>
          </w:p>
        </w:tc>
      </w:tr>
      <w:tr>
        <w:trPr>
          <w:trHeight w:val="276"/>
        </w:trPr>
        <w:tc>
          <w:tcPr>
            <w:tcW w:w="448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15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 align our named executive officers’ interests with the long-term</w:t>
            </w:r>
          </w:p>
        </w:tc>
      </w:tr>
      <w:tr>
        <w:trPr>
          <w:trHeight w:val="203"/>
        </w:trPr>
        <w:tc>
          <w:tcPr>
            <w:tcW w:w="17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interests of our stockholders and to promote the retention of our</w:t>
            </w:r>
          </w:p>
        </w:tc>
      </w:tr>
      <w:tr>
        <w:trPr>
          <w:trHeight w:val="237"/>
        </w:trPr>
        <w:tc>
          <w:tcPr>
            <w:tcW w:w="1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named executive officers</w:t>
            </w:r>
          </w:p>
        </w:tc>
      </w:tr>
      <w:tr>
        <w:trPr>
          <w:trHeight w:val="276"/>
        </w:trPr>
        <w:tc>
          <w:tcPr>
            <w:tcW w:w="4480" w:type="dxa"/>
            <w:vAlign w:val="bottom"/>
            <w:gridSpan w:val="2"/>
          </w:tcPr>
          <w:p>
            <w:pPr>
              <w:spacing w:after="0"/>
              <w:rPr>
                <w:sz w:val="20"/>
                <w:szCs w:val="20"/>
                <w:color w:val="auto"/>
              </w:rPr>
            </w:pPr>
            <w:r>
              <w:rPr>
                <w:rFonts w:ascii="Arial" w:cs="Arial" w:eastAsia="Arial" w:hAnsi="Arial"/>
                <w:sz w:val="18"/>
                <w:szCs w:val="18"/>
                <w:color w:val="auto"/>
              </w:rPr>
              <w:t>Welfare and Other Employee Benefits</w:t>
            </w:r>
          </w:p>
        </w:tc>
        <w:tc>
          <w:tcPr>
            <w:tcW w:w="15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 provide for the safety and wellness of our named executive</w:t>
            </w:r>
          </w:p>
        </w:tc>
      </w:tr>
      <w:tr>
        <w:trPr>
          <w:trHeight w:val="237"/>
        </w:trPr>
        <w:tc>
          <w:tcPr>
            <w:tcW w:w="1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officers</w:t>
            </w:r>
          </w:p>
        </w:tc>
      </w:tr>
      <w:tr>
        <w:trPr>
          <w:trHeight w:val="311"/>
        </w:trPr>
        <w:tc>
          <w:tcPr>
            <w:tcW w:w="4480" w:type="dxa"/>
            <w:vAlign w:val="bottom"/>
            <w:gridSpan w:val="2"/>
          </w:tcPr>
          <w:p>
            <w:pPr>
              <w:spacing w:after="0"/>
              <w:rPr>
                <w:sz w:val="20"/>
                <w:szCs w:val="20"/>
                <w:color w:val="auto"/>
              </w:rPr>
            </w:pPr>
            <w:r>
              <w:rPr>
                <w:rFonts w:ascii="Arial" w:cs="Arial" w:eastAsia="Arial" w:hAnsi="Arial"/>
                <w:sz w:val="18"/>
                <w:szCs w:val="18"/>
                <w:color w:val="auto"/>
              </w:rPr>
              <w:t>Change in Control and Severance Benefits</w:t>
            </w:r>
          </w:p>
        </w:tc>
        <w:tc>
          <w:tcPr>
            <w:tcW w:w="15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 promote the retention of our named executive officers</w:t>
            </w:r>
          </w:p>
        </w:tc>
      </w:tr>
      <w:tr>
        <w:trPr>
          <w:trHeight w:val="351"/>
        </w:trPr>
        <w:tc>
          <w:tcPr>
            <w:tcW w:w="1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Compensation-Setting Process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the Compensation Committee</w:t>
      </w:r>
    </w:p>
    <w:p>
      <w:pPr>
        <w:spacing w:after="0" w:line="75"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compensation committee operates under a written charter adopted by the compensation committee and approved by our board of directors. The charter is available on our website. Each member of the compensation committee qualifies as (i) an “independent director” under the NASDAQ Stock Market requirements, (ii) a “non-employee director” under Rule 16b-3 of the Exchange Act of 1934, as amended, and (iii) an “outside director” under Section 162(m) of the Internal Revenue Code of 1986, as amended, or the Code.</w:t>
      </w:r>
    </w:p>
    <w:p>
      <w:pPr>
        <w:spacing w:after="0" w:line="124" w:lineRule="exact"/>
        <w:rPr>
          <w:sz w:val="20"/>
          <w:szCs w:val="20"/>
          <w:color w:val="auto"/>
        </w:rPr>
      </w:pPr>
    </w:p>
    <w:p>
      <w:pPr>
        <w:ind w:right="220" w:firstLine="456"/>
        <w:spacing w:after="0" w:line="252" w:lineRule="auto"/>
        <w:rPr>
          <w:sz w:val="20"/>
          <w:szCs w:val="20"/>
          <w:color w:val="auto"/>
        </w:rPr>
      </w:pPr>
      <w:r>
        <w:rPr>
          <w:rFonts w:ascii="Arial" w:cs="Arial" w:eastAsia="Arial" w:hAnsi="Arial"/>
          <w:sz w:val="18"/>
          <w:szCs w:val="18"/>
          <w:color w:val="auto"/>
        </w:rPr>
        <w:t>The compensation committee oversees our overall compensation philosophy, compensation plans, and benefits programs. The compensation committee is responsible for reviewing, approving, and administering our annual and long-term incentive compensation plans and our employee benefit plans and for administering our equity incentive plans.</w:t>
      </w:r>
    </w:p>
    <w:p>
      <w:pPr>
        <w:spacing w:after="0" w:line="118"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To this end, the compensation committee establishes the performance objectives and certifies the performance achievement under our annual and long-term incentive compensation plans, and the compensation committee approves the grant of equity awards under our equity incentive plans. The compensation committee also reviews on a periodic basis the operations of our executive compensation programs to determine whether they are properly coordinated and achieving their intended purposes, which includes annually reviewing and approving our named executive officers’ base salaries. If the compensation committee determines that any executive compensation program that yields payments and benefits that are not reasonably related to executive and corporate performance, the compensation committee may take steps to modify such program.</w:t>
      </w:r>
    </w:p>
    <w:p>
      <w:pPr>
        <w:spacing w:after="0" w:line="131" w:lineRule="exact"/>
        <w:rPr>
          <w:sz w:val="20"/>
          <w:szCs w:val="20"/>
          <w:color w:val="auto"/>
        </w:rPr>
      </w:pPr>
    </w:p>
    <w:p>
      <w:pPr>
        <w:ind w:right="320" w:firstLine="456"/>
        <w:spacing w:after="0" w:line="252" w:lineRule="auto"/>
        <w:rPr>
          <w:sz w:val="20"/>
          <w:szCs w:val="20"/>
          <w:color w:val="auto"/>
        </w:rPr>
      </w:pPr>
      <w:r>
        <w:rPr>
          <w:rFonts w:ascii="Arial" w:cs="Arial" w:eastAsia="Arial" w:hAnsi="Arial"/>
          <w:sz w:val="18"/>
          <w:szCs w:val="18"/>
          <w:color w:val="auto"/>
        </w:rPr>
        <w:t>The compensation committee has the authority to engage independent outside consultants and obtain input from our management team, other employees, and external advisers. In 2016, the compensation committee engaged Compensia, Inc., or Compensia, a third party compensation consultant, to assist us with respect to the compensation of our executives, including our named executive officers.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Compensation Consultant</w:t>
      </w:r>
    </w:p>
    <w:p>
      <w:pPr>
        <w:spacing w:after="0" w:line="7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Compensia provided data on the compensation provided to executives in our compensation peer group and the market in general. The compensation peer group is selected on the basis of relevant industry, size and complexity of the business. This data was considered by the compensation committee in setting executive compensation in 2016. This process involved Compensia analyzing, reviewing and making recommendations to the compensation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incentives) we provide to our named executive officers against that provided by our compensation peer group to similarly situated executives. In 2016, Compensia did not provide any services to us or receive any payments from us, except in its capacity as a consultant to the compensation committee. Based on the consideration of the various factors as set forth in the rules of the SEC and the NASDAQ Stock Market, the compensation committee believes that its relationship with Compensia and the work of Compensia on behalf of the compensation committee has not raised any conflict of interest.</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Management</w:t>
      </w:r>
    </w:p>
    <w:p>
      <w:pPr>
        <w:spacing w:after="0" w:line="75" w:lineRule="exact"/>
        <w:rPr>
          <w:sz w:val="20"/>
          <w:szCs w:val="20"/>
          <w:color w:val="auto"/>
        </w:rPr>
      </w:pPr>
    </w:p>
    <w:p>
      <w:pPr>
        <w:ind w:right="840" w:firstLine="456"/>
        <w:spacing w:after="0" w:line="269" w:lineRule="auto"/>
        <w:rPr>
          <w:sz w:val="20"/>
          <w:szCs w:val="20"/>
          <w:color w:val="auto"/>
        </w:rPr>
      </w:pPr>
      <w:r>
        <w:rPr>
          <w:rFonts w:ascii="Arial" w:cs="Arial" w:eastAsia="Arial" w:hAnsi="Arial"/>
          <w:sz w:val="18"/>
          <w:szCs w:val="18"/>
          <w:color w:val="auto"/>
        </w:rPr>
        <w:t>During 2016, Mr. McCauley (prior to his resignation on March 1, 2016), Mr. Posey, Ms. Fisher (following the commencement of her employment on April 28, 2016), and Rima Tuoma-Bruno, our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67" w:right="259" w:bottom="1440" w:gutter="0" w:footer="0" w:header="0"/>
        </w:sectPr>
      </w:pPr>
    </w:p>
    <w:bookmarkStart w:id="26" w:name="page27"/>
    <w:bookmarkEnd w:id="26"/>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Human Resources Officer, typically attended the compensation committee’s meetings, and the compensation committee may invite to its meetings any other person that it deems appropriate. No named executive officer attends an executive session at which his or her compensation is considered.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Companies</w:t>
      </w:r>
    </w:p>
    <w:p>
      <w:pPr>
        <w:spacing w:after="0" w:line="79" w:lineRule="exact"/>
        <w:rPr>
          <w:sz w:val="20"/>
          <w:szCs w:val="20"/>
          <w:color w:val="auto"/>
        </w:rPr>
      </w:pPr>
    </w:p>
    <w:p>
      <w:pPr>
        <w:ind w:right="200" w:firstLine="456"/>
        <w:spacing w:after="0" w:line="281" w:lineRule="auto"/>
        <w:rPr>
          <w:sz w:val="20"/>
          <w:szCs w:val="20"/>
          <w:color w:val="auto"/>
        </w:rPr>
      </w:pPr>
      <w:r>
        <w:rPr>
          <w:rFonts w:ascii="Arial" w:cs="Arial" w:eastAsia="Arial" w:hAnsi="Arial"/>
          <w:sz w:val="16"/>
          <w:szCs w:val="16"/>
          <w:color w:val="auto"/>
        </w:rPr>
        <w:t>With the assistance of Compensia, the compensation committee approved a list of public company peer companies for the compensation committee to use in conducting a competitive market analysis of executive officer compensation. Our compensation peer group consisted of publicly traded companies in the software, internet software &amp; services, or technology hardware &amp; equipment industries that generally had revenues between $125 million and $2.0 billion, experienced strong year-over-year growth in revenues, and had a market capitalization between $500 million and $13.6 billion. The following is a list of the public companies that we reviewed as our “compensation peer group”: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Peer Group</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Barracuda Networks, Inc.</w:t>
            </w:r>
          </w:p>
        </w:tc>
        <w:tc>
          <w:tcPr>
            <w:tcW w:w="4020" w:type="dxa"/>
            <w:vAlign w:val="bottom"/>
            <w:tcBorders>
              <w:top w:val="single" w:sz="8" w:color="auto"/>
            </w:tcBorders>
          </w:tcPr>
          <w:p>
            <w:pPr>
              <w:ind w:left="1400"/>
              <w:spacing w:after="0" w:line="177" w:lineRule="exact"/>
              <w:rPr>
                <w:sz w:val="20"/>
                <w:szCs w:val="20"/>
                <w:color w:val="auto"/>
              </w:rPr>
            </w:pPr>
            <w:r>
              <w:rPr>
                <w:rFonts w:ascii="Arial" w:cs="Arial" w:eastAsia="Arial" w:hAnsi="Arial"/>
                <w:sz w:val="18"/>
                <w:szCs w:val="18"/>
                <w:color w:val="auto"/>
              </w:rPr>
              <w:t>FireEye Inc.</w:t>
            </w:r>
          </w:p>
        </w:tc>
        <w:tc>
          <w:tcPr>
            <w:tcW w:w="4020" w:type="dxa"/>
            <w:vAlign w:val="bottom"/>
            <w:tcBorders>
              <w:top w:val="single" w:sz="8" w:color="auto"/>
            </w:tcBorders>
          </w:tcPr>
          <w:p>
            <w:pPr>
              <w:ind w:left="1540"/>
              <w:spacing w:after="0" w:line="177" w:lineRule="exact"/>
              <w:rPr>
                <w:sz w:val="20"/>
                <w:szCs w:val="20"/>
                <w:color w:val="auto"/>
              </w:rPr>
            </w:pPr>
            <w:r>
              <w:rPr>
                <w:rFonts w:ascii="Arial" w:cs="Arial" w:eastAsia="Arial" w:hAnsi="Arial"/>
                <w:sz w:val="18"/>
                <w:szCs w:val="18"/>
                <w:color w:val="auto"/>
              </w:rPr>
              <w:t>Nimble Storage,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Benefitfocus, Inc.</w:t>
            </w:r>
          </w:p>
        </w:tc>
        <w:tc>
          <w:tcPr>
            <w:tcW w:w="4020" w:type="dxa"/>
            <w:vAlign w:val="bottom"/>
          </w:tcPr>
          <w:p>
            <w:pPr>
              <w:ind w:left="1400"/>
              <w:spacing w:after="0" w:line="202" w:lineRule="exact"/>
              <w:rPr>
                <w:sz w:val="20"/>
                <w:szCs w:val="20"/>
                <w:color w:val="auto"/>
              </w:rPr>
            </w:pPr>
            <w:r>
              <w:rPr>
                <w:rFonts w:ascii="Arial" w:cs="Arial" w:eastAsia="Arial" w:hAnsi="Arial"/>
                <w:sz w:val="18"/>
                <w:szCs w:val="18"/>
                <w:color w:val="auto"/>
              </w:rPr>
              <w:t>Gigamon Inc.</w:t>
            </w:r>
          </w:p>
        </w:tc>
        <w:tc>
          <w:tcPr>
            <w:tcW w:w="4020" w:type="dxa"/>
            <w:vAlign w:val="bottom"/>
          </w:tcPr>
          <w:p>
            <w:pPr>
              <w:ind w:left="1540"/>
              <w:spacing w:after="0" w:line="202" w:lineRule="exact"/>
              <w:rPr>
                <w:sz w:val="20"/>
                <w:szCs w:val="20"/>
                <w:color w:val="auto"/>
              </w:rPr>
            </w:pPr>
            <w:r>
              <w:rPr>
                <w:rFonts w:ascii="Arial" w:cs="Arial" w:eastAsia="Arial" w:hAnsi="Arial"/>
                <w:sz w:val="18"/>
                <w:szCs w:val="18"/>
                <w:color w:val="auto"/>
              </w:rPr>
              <w:t>Palo Alto Networks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Callidus Software Inc.</w:t>
            </w:r>
          </w:p>
        </w:tc>
        <w:tc>
          <w:tcPr>
            <w:tcW w:w="4020" w:type="dxa"/>
            <w:vAlign w:val="bottom"/>
          </w:tcPr>
          <w:p>
            <w:pPr>
              <w:ind w:left="1400"/>
              <w:spacing w:after="0" w:line="202" w:lineRule="exact"/>
              <w:rPr>
                <w:sz w:val="20"/>
                <w:szCs w:val="20"/>
                <w:color w:val="auto"/>
              </w:rPr>
            </w:pPr>
            <w:r>
              <w:rPr>
                <w:rFonts w:ascii="Arial" w:cs="Arial" w:eastAsia="Arial" w:hAnsi="Arial"/>
                <w:sz w:val="18"/>
                <w:szCs w:val="18"/>
                <w:color w:val="auto"/>
              </w:rPr>
              <w:t>Imperva Inc.</w:t>
            </w:r>
          </w:p>
        </w:tc>
        <w:tc>
          <w:tcPr>
            <w:tcW w:w="4020" w:type="dxa"/>
            <w:vAlign w:val="bottom"/>
          </w:tcPr>
          <w:p>
            <w:pPr>
              <w:ind w:left="1540"/>
              <w:spacing w:after="0" w:line="202" w:lineRule="exact"/>
              <w:rPr>
                <w:sz w:val="20"/>
                <w:szCs w:val="20"/>
                <w:color w:val="auto"/>
              </w:rPr>
            </w:pPr>
            <w:r>
              <w:rPr>
                <w:rFonts w:ascii="Arial" w:cs="Arial" w:eastAsia="Arial" w:hAnsi="Arial"/>
                <w:sz w:val="18"/>
                <w:szCs w:val="18"/>
                <w:color w:val="auto"/>
              </w:rPr>
              <w:t>Proofpoint,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Cvent, Inc.</w:t>
            </w:r>
          </w:p>
        </w:tc>
        <w:tc>
          <w:tcPr>
            <w:tcW w:w="4020" w:type="dxa"/>
            <w:vAlign w:val="bottom"/>
          </w:tcPr>
          <w:p>
            <w:pPr>
              <w:ind w:left="1400"/>
              <w:spacing w:after="0" w:line="202" w:lineRule="exact"/>
              <w:rPr>
                <w:sz w:val="20"/>
                <w:szCs w:val="20"/>
                <w:color w:val="auto"/>
              </w:rPr>
            </w:pPr>
            <w:r>
              <w:rPr>
                <w:rFonts w:ascii="Arial" w:cs="Arial" w:eastAsia="Arial" w:hAnsi="Arial"/>
                <w:sz w:val="18"/>
                <w:szCs w:val="18"/>
                <w:color w:val="auto"/>
              </w:rPr>
              <w:t>Infoblox Inc.</w:t>
            </w:r>
          </w:p>
        </w:tc>
        <w:tc>
          <w:tcPr>
            <w:tcW w:w="4020" w:type="dxa"/>
            <w:vAlign w:val="bottom"/>
          </w:tcPr>
          <w:p>
            <w:pPr>
              <w:ind w:left="1540"/>
              <w:spacing w:after="0" w:line="202" w:lineRule="exact"/>
              <w:rPr>
                <w:sz w:val="20"/>
                <w:szCs w:val="20"/>
                <w:color w:val="auto"/>
              </w:rPr>
            </w:pPr>
            <w:r>
              <w:rPr>
                <w:rFonts w:ascii="Arial" w:cs="Arial" w:eastAsia="Arial" w:hAnsi="Arial"/>
                <w:sz w:val="18"/>
                <w:szCs w:val="18"/>
                <w:color w:val="auto"/>
              </w:rPr>
              <w:t>Rapid7, Inc.</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Demandware, Inc.</w:t>
            </w:r>
          </w:p>
        </w:tc>
        <w:tc>
          <w:tcPr>
            <w:tcW w:w="4020" w:type="dxa"/>
            <w:vAlign w:val="bottom"/>
          </w:tcPr>
          <w:p>
            <w:pPr>
              <w:ind w:left="1400"/>
              <w:spacing w:after="0" w:line="202" w:lineRule="exact"/>
              <w:rPr>
                <w:sz w:val="20"/>
                <w:szCs w:val="20"/>
                <w:color w:val="auto"/>
              </w:rPr>
            </w:pPr>
            <w:r>
              <w:rPr>
                <w:rFonts w:ascii="Arial" w:cs="Arial" w:eastAsia="Arial" w:hAnsi="Arial"/>
                <w:sz w:val="18"/>
                <w:szCs w:val="18"/>
                <w:color w:val="auto"/>
              </w:rPr>
              <w:t>LogMeIn, Inc.</w:t>
            </w:r>
          </w:p>
        </w:tc>
        <w:tc>
          <w:tcPr>
            <w:tcW w:w="4020" w:type="dxa"/>
            <w:vAlign w:val="bottom"/>
          </w:tcPr>
          <w:p>
            <w:pPr>
              <w:ind w:left="1540"/>
              <w:spacing w:after="0" w:line="202" w:lineRule="exact"/>
              <w:rPr>
                <w:sz w:val="20"/>
                <w:szCs w:val="20"/>
                <w:color w:val="auto"/>
              </w:rPr>
            </w:pPr>
            <w:r>
              <w:rPr>
                <w:rFonts w:ascii="Arial" w:cs="Arial" w:eastAsia="Arial" w:hAnsi="Arial"/>
                <w:sz w:val="18"/>
                <w:szCs w:val="18"/>
                <w:color w:val="auto"/>
              </w:rPr>
              <w:t>SPS Commerce, Inc.</w:t>
            </w: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Ellie Mae, Inc.</w:t>
            </w:r>
          </w:p>
        </w:tc>
        <w:tc>
          <w:tcPr>
            <w:tcW w:w="4020" w:type="dxa"/>
            <w:vAlign w:val="bottom"/>
          </w:tcPr>
          <w:p>
            <w:pPr>
              <w:ind w:left="1400"/>
              <w:spacing w:after="0"/>
              <w:rPr>
                <w:sz w:val="20"/>
                <w:szCs w:val="20"/>
                <w:color w:val="auto"/>
              </w:rPr>
            </w:pPr>
            <w:r>
              <w:rPr>
                <w:rFonts w:ascii="Arial" w:cs="Arial" w:eastAsia="Arial" w:hAnsi="Arial"/>
                <w:sz w:val="18"/>
                <w:szCs w:val="18"/>
                <w:color w:val="auto"/>
              </w:rPr>
              <w:t>Marketo, Inc.</w:t>
            </w:r>
          </w:p>
        </w:tc>
        <w:tc>
          <w:tcPr>
            <w:tcW w:w="4020" w:type="dxa"/>
            <w:vAlign w:val="bottom"/>
          </w:tcPr>
          <w:p>
            <w:pPr>
              <w:ind w:left="1540"/>
              <w:spacing w:after="0"/>
              <w:rPr>
                <w:sz w:val="20"/>
                <w:szCs w:val="20"/>
                <w:color w:val="auto"/>
              </w:rPr>
            </w:pPr>
            <w:r>
              <w:rPr>
                <w:rFonts w:ascii="Arial" w:cs="Arial" w:eastAsia="Arial" w:hAnsi="Arial"/>
                <w:sz w:val="18"/>
                <w:szCs w:val="18"/>
                <w:color w:val="auto"/>
              </w:rPr>
              <w:t>Varonis Systems, Inc.</w:t>
            </w:r>
          </w:p>
        </w:tc>
      </w:tr>
    </w:tbl>
    <w:p>
      <w:pPr>
        <w:spacing w:after="0" w:line="128" w:lineRule="exact"/>
        <w:rPr>
          <w:sz w:val="20"/>
          <w:szCs w:val="20"/>
          <w:color w:val="auto"/>
        </w:rPr>
      </w:pPr>
    </w:p>
    <w:p>
      <w:pPr>
        <w:ind w:right="120" w:firstLine="456"/>
        <w:spacing w:after="0" w:line="241" w:lineRule="auto"/>
        <w:rPr>
          <w:sz w:val="20"/>
          <w:szCs w:val="20"/>
          <w:color w:val="auto"/>
        </w:rPr>
      </w:pPr>
      <w:r>
        <w:rPr>
          <w:rFonts w:ascii="Arial" w:cs="Arial" w:eastAsia="Arial" w:hAnsi="Arial"/>
          <w:sz w:val="18"/>
          <w:szCs w:val="18"/>
          <w:color w:val="auto"/>
        </w:rPr>
        <w:t>The compensation committee believed it was appropriate to include these companies in our compensation peer group because the companies were similar in size, operated within the same or similar industries as us and compete with us for executives. The medians for our compensation peer group were revenue of $236 million and market capitalization of $939 million. Our revenue was $197.9 million in 2016 and our market capitalization was approximately $1.1 billion as of December 31, 2016. In determining our compensation peer group for 2016, we added FireEye, Inc., Palo Alto Networks, Inc., Rapid7, Inc., and Varonis Systems, Inc. to our compensation peer group from 2015, and we removed VASCO Data Security International, Inc. and Veeva Systems Inc. from our compensation peer group from 2015.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Peer Data</w:t>
      </w:r>
    </w:p>
    <w:p>
      <w:pPr>
        <w:spacing w:after="0" w:line="75"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We used the compensation peer group and market data provided by Compensia to obtain a general understanding of compensation practices within our compensation peer group and the market in general. In setting the various elements of compensation for the named executive officers, the compensation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79" w:lineRule="exact"/>
        <w:rPr>
          <w:sz w:val="20"/>
          <w:szCs w:val="20"/>
          <w:color w:val="auto"/>
        </w:rPr>
      </w:pPr>
    </w:p>
    <w:p>
      <w:pPr>
        <w:ind w:right="360" w:firstLine="456"/>
        <w:spacing w:after="0" w:line="269"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2016.</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75" w:lineRule="exact"/>
        <w:rPr>
          <w:sz w:val="20"/>
          <w:szCs w:val="20"/>
          <w:color w:val="auto"/>
        </w:rPr>
      </w:pPr>
    </w:p>
    <w:p>
      <w:pPr>
        <w:ind w:right="200" w:firstLine="456"/>
        <w:spacing w:after="0" w:line="269"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9" w:right="239" w:bottom="1440" w:gutter="0" w:footer="0" w:header="0"/>
        </w:sectPr>
      </w:pPr>
    </w:p>
    <w:bookmarkStart w:id="27" w:name="page28"/>
    <w:bookmarkEnd w:id="27"/>
    <w:p>
      <w:pPr>
        <w:ind w:right="20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and to ensure that we remain competitive in attracting and retaining executive talent. A named executive officer’s base salary at hire is determined through arm’s length negotiation. We typically review and consider adjustments to our named executive officers’ base salaries on an annual basis. When doing so, the compensation committee takes into account factors such as the named executive officer’s experience, skills, knowledge, responsibilities, and performance and the prevailing market conditions.</w:t>
      </w:r>
    </w:p>
    <w:p>
      <w:pPr>
        <w:spacing w:after="0" w:line="124"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In April 2016, the compensation committee reviewed our executive compensation program, including base salary for our named executive officers. Based on its review of the peer group compensation data provided by Compensia and other relevant factors, the compensation committee determined that we were providing target compensation below current market conditions and approved increases to the base salaries of our named executive officers. Ms. Fisher’s base salary was not adjusted because she was a recent hire. Each named executive officer’s base salary is listed in the table below.</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Base Salary</w:t>
            </w:r>
          </w:p>
        </w:tc>
        <w:tc>
          <w:tcPr>
            <w:tcW w:w="16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5"/>
              </w:rPr>
              <w:t>Base Salary</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78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at Start of</w:t>
            </w:r>
          </w:p>
        </w:tc>
        <w:tc>
          <w:tcPr>
            <w:tcW w:w="12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Effective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00" w:type="dxa"/>
            <w:vAlign w:val="bottom"/>
            <w:tcBorders>
              <w:bottom w:val="single" w:sz="8" w:color="auto"/>
            </w:tcBorders>
            <w:vMerge w:val="continue"/>
          </w:tcPr>
          <w:p>
            <w:pPr>
              <w:spacing w:after="0"/>
              <w:rPr>
                <w:sz w:val="13"/>
                <w:szCs w:val="13"/>
                <w:color w:val="auto"/>
              </w:rPr>
            </w:pPr>
          </w:p>
        </w:tc>
        <w:tc>
          <w:tcPr>
            <w:tcW w:w="4780" w:type="dxa"/>
            <w:vAlign w:val="bottom"/>
          </w:tcPr>
          <w:p>
            <w:pPr>
              <w:spacing w:after="0"/>
              <w:rPr>
                <w:sz w:val="13"/>
                <w:szCs w:val="13"/>
                <w:color w:val="auto"/>
              </w:rPr>
            </w:pPr>
          </w:p>
        </w:tc>
        <w:tc>
          <w:tcPr>
            <w:tcW w:w="1480" w:type="dxa"/>
            <w:vAlign w:val="bottom"/>
            <w:gridSpan w:val="2"/>
          </w:tcPr>
          <w:p>
            <w:pPr>
              <w:jc w:val="center"/>
              <w:ind w:right="720"/>
              <w:spacing w:after="0" w:line="154" w:lineRule="exact"/>
              <w:rPr>
                <w:sz w:val="20"/>
                <w:szCs w:val="20"/>
                <w:color w:val="auto"/>
              </w:rPr>
            </w:pPr>
            <w:r>
              <w:rPr>
                <w:rFonts w:ascii="Arial" w:cs="Arial" w:eastAsia="Arial" w:hAnsi="Arial"/>
                <w:sz w:val="14"/>
                <w:szCs w:val="14"/>
                <w:b w:val="1"/>
                <w:bCs w:val="1"/>
                <w:color w:val="auto"/>
                <w:w w:val="96"/>
              </w:rPr>
              <w:t>Fiscal 2016</w:t>
            </w:r>
          </w:p>
        </w:tc>
        <w:tc>
          <w:tcPr>
            <w:tcW w:w="160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April 28, 2016</w:t>
            </w:r>
          </w:p>
        </w:tc>
        <w:tc>
          <w:tcPr>
            <w:tcW w:w="940" w:type="dxa"/>
            <w:vAlign w:val="bottom"/>
            <w:gridSpan w:val="2"/>
          </w:tcPr>
          <w:p>
            <w:pPr>
              <w:jc w:val="right"/>
              <w:ind w:right="300"/>
              <w:spacing w:after="0" w:line="154"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47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478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$ 350,000</w:t>
            </w: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375,000</w:t>
            </w:r>
          </w:p>
        </w:tc>
        <w:tc>
          <w:tcPr>
            <w:tcW w:w="720" w:type="dxa"/>
            <w:vAlign w:val="bottom"/>
            <w:vMerge w:val="continue"/>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780" w:type="dxa"/>
            <w:vAlign w:val="bottom"/>
          </w:tcPr>
          <w:p>
            <w:pPr>
              <w:spacing w:after="0"/>
              <w:rPr>
                <w:sz w:val="17"/>
                <w:szCs w:val="17"/>
                <w:color w:val="auto"/>
              </w:rPr>
            </w:pPr>
          </w:p>
        </w:tc>
        <w:tc>
          <w:tcPr>
            <w:tcW w:w="14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325,000</w:t>
            </w:r>
          </w:p>
        </w:tc>
        <w:tc>
          <w:tcPr>
            <w:tcW w:w="72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5540" w:type="dxa"/>
            <w:vAlign w:val="bottom"/>
            <w:gridSpan w:val="2"/>
            <w:shd w:val="clear" w:color="auto" w:fill="CCEEFF"/>
          </w:tcPr>
          <w:p>
            <w:pPr>
              <w:jc w:val="center"/>
              <w:ind w:left="4692"/>
              <w:spacing w:after="0" w:line="202" w:lineRule="exact"/>
              <w:rPr>
                <w:sz w:val="20"/>
                <w:szCs w:val="20"/>
                <w:color w:val="auto"/>
              </w:rPr>
            </w:pPr>
            <w:r>
              <w:rPr>
                <w:rFonts w:ascii="Arial" w:cs="Arial" w:eastAsia="Arial" w:hAnsi="Arial"/>
                <w:sz w:val="18"/>
                <w:szCs w:val="18"/>
                <w:color w:val="auto"/>
                <w:w w:val="94"/>
              </w:rPr>
              <w:t>$ 250,000</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7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540" w:type="dxa"/>
            <w:vAlign w:val="bottom"/>
            <w:gridSpan w:val="2"/>
          </w:tcPr>
          <w:p>
            <w:pPr>
              <w:jc w:val="center"/>
              <w:ind w:left="4692"/>
              <w:spacing w:after="0" w:line="202" w:lineRule="exact"/>
              <w:rPr>
                <w:sz w:val="20"/>
                <w:szCs w:val="20"/>
                <w:color w:val="auto"/>
              </w:rPr>
            </w:pPr>
            <w:r>
              <w:rPr>
                <w:rFonts w:ascii="Arial" w:cs="Arial" w:eastAsia="Arial" w:hAnsi="Arial"/>
                <w:sz w:val="18"/>
                <w:szCs w:val="18"/>
                <w:color w:val="auto"/>
                <w:w w:val="94"/>
              </w:rPr>
              <w:t>$ 250,000</w:t>
            </w:r>
          </w:p>
        </w:tc>
        <w:tc>
          <w:tcPr>
            <w:tcW w:w="7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275,000</w:t>
            </w:r>
          </w:p>
        </w:tc>
        <w:tc>
          <w:tcPr>
            <w:tcW w:w="7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540" w:type="dxa"/>
            <w:vAlign w:val="bottom"/>
            <w:gridSpan w:val="2"/>
            <w:shd w:val="clear" w:color="auto" w:fill="CCEEFF"/>
          </w:tcPr>
          <w:p>
            <w:pPr>
              <w:jc w:val="center"/>
              <w:ind w:left="4692"/>
              <w:spacing w:after="0" w:line="202" w:lineRule="exact"/>
              <w:rPr>
                <w:sz w:val="20"/>
                <w:szCs w:val="20"/>
                <w:color w:val="auto"/>
              </w:rPr>
            </w:pPr>
            <w:r>
              <w:rPr>
                <w:rFonts w:ascii="Arial" w:cs="Arial" w:eastAsia="Arial" w:hAnsi="Arial"/>
                <w:sz w:val="18"/>
                <w:szCs w:val="18"/>
                <w:color w:val="auto"/>
                <w:w w:val="94"/>
              </w:rPr>
              <w:t>$ 275,000</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325,000</w:t>
            </w:r>
          </w:p>
        </w:tc>
        <w:tc>
          <w:tcPr>
            <w:tcW w:w="7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Donald C. McCauley</w:t>
            </w:r>
          </w:p>
        </w:tc>
        <w:tc>
          <w:tcPr>
            <w:tcW w:w="5540" w:type="dxa"/>
            <w:vAlign w:val="bottom"/>
            <w:gridSpan w:val="2"/>
          </w:tcPr>
          <w:p>
            <w:pPr>
              <w:jc w:val="center"/>
              <w:ind w:left="4692"/>
              <w:spacing w:after="0"/>
              <w:rPr>
                <w:sz w:val="20"/>
                <w:szCs w:val="20"/>
                <w:color w:val="auto"/>
              </w:rPr>
            </w:pPr>
            <w:r>
              <w:rPr>
                <w:rFonts w:ascii="Arial" w:cs="Arial" w:eastAsia="Arial" w:hAnsi="Arial"/>
                <w:sz w:val="18"/>
                <w:szCs w:val="18"/>
                <w:color w:val="auto"/>
                <w:w w:val="94"/>
              </w:rPr>
              <w:t>$ 350,000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920" w:firstLine="456"/>
        <w:spacing w:after="0" w:line="269" w:lineRule="auto"/>
        <w:rPr>
          <w:sz w:val="20"/>
          <w:szCs w:val="20"/>
          <w:color w:val="auto"/>
        </w:rPr>
      </w:pPr>
      <w:r>
        <w:rPr>
          <w:rFonts w:ascii="Arial" w:cs="Arial" w:eastAsia="Arial" w:hAnsi="Arial"/>
          <w:sz w:val="18"/>
          <w:szCs w:val="18"/>
          <w:color w:val="auto"/>
        </w:rPr>
        <w:t>The total base salaries paid to our named executive officers during fiscal year 2016 are set forth in the section entitled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Non-Equity Incentive Plan Compensation</w:t>
      </w:r>
    </w:p>
    <w:p>
      <w:pPr>
        <w:spacing w:after="0" w:line="75"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To motivate and reward our named executive officers for our achievement of our annual financial and operational objectives and our long-term strategic and growth goals, we provide cash incentive compensation to our named executive officers based on the achievement of corporate performance objectives. The objectives may change from year to year as our company grows and market conditions evolve and different priorities are established, but we select challenging goals that are achievable only by strong performance.</w:t>
      </w:r>
    </w:p>
    <w:p>
      <w:pPr>
        <w:spacing w:after="0" w:line="124"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Our named executive officers participated in our 2016 Corporate Bonus Plan, which provides them with an opportunity to receive formula-based incentive amounts on a quarterly basis. The compensation committee decided this was the most appropriate measure of time to determine achievement of short-term goals. Our named executive officers’ target bonus opportunities under the 2016 Corporate Bonus Plan are determined as percentages of their base salaries as of the last day of the applicable quarter. For our first fiscal quarter of 2016, these percentages remained unchanged from 2015, and the sole metric for bonuses continued to be based on the growth in our bookings for the applicable quarter over the same quarter of the prior year. For purposes of the bookings growth metric, bookings are calculated as the sum of subscribed revenues for all new, renewal and upsell subscriptions contracted by customers and channel partners in each quarter. The subscribed revenues are based on the amount of subscription contracted if the term is one year or less, and are capped at one year’s worth of subscribed revenues if the subscription term exceeds one year. The bookings growth metric is an internal metric and is a non-GAAP financial measure. The compensation committee selected this metric as the corporate performance measure that best supported our annual operating plan and enhanced long-term value creation.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69" w:right="279" w:bottom="1440" w:gutter="0" w:footer="0" w:header="0"/>
        </w:sectPr>
      </w:pPr>
    </w:p>
    <w:bookmarkStart w:id="28" w:name="page29"/>
    <w:bookmarkEnd w:id="28"/>
    <w:p>
      <w:pPr>
        <w:ind w:right="40" w:firstLine="45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April 2016, the compensation committee approved increases to the target bonus opportunities of our named executive officers and a shift from a single metric for bonuses to a combination of three metrics, with such changes effective beginning with our second fiscal quarter of 2016. Accordingly, for our second, third, and fourth fiscal quarters of 2016, the 2016 Corporate Bonus Plan also included growth in revenue from the same quarter in 2015 and non-GAAP earnings per diluted share, with all three components weighted equally. The new metrics were added to align the 2016 Corporate Bonus Plan for our executives (including our named executive officers) with the changes to the 2016 Corporate Bonus Plan for non-executives that the compensation committee adopted for our first fiscal quarter of 2016. The compensation committee determined that compensation should be driven by achievement of multiple objectives that enhance long-term value creation.</w:t>
      </w:r>
    </w:p>
    <w:p>
      <w:pPr>
        <w:spacing w:after="0" w:line="131"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For purposes of the revenue growth metric, revenue is determined in accordance with GAAP and set forth in our quarterly and annual financial statements. For purposes of the non-GAAP earnings per diluted share metric, such earnings are calculated as GAAP net income less stock-based compensation expense and non-recurring charges under the 2016 Corporate Bonus Plan, divided by weighted average shares (diluted) for the applicable quarter.</w:t>
      </w:r>
    </w:p>
    <w:p>
      <w:pPr>
        <w:spacing w:after="0" w:line="124"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In July 2016, the compensation committee approved a change to the formula for calculating the payout percentage under the bookings growth component, effective for our third and fourth fiscal quarters of 2016. This change, based on Ms. Fisher’s first full quarter as CFO, was made to better align all three metrics.</w:t>
      </w:r>
    </w:p>
    <w:p>
      <w:pPr>
        <w:spacing w:after="0" w:line="118" w:lineRule="exact"/>
        <w:rPr>
          <w:sz w:val="20"/>
          <w:szCs w:val="20"/>
          <w:color w:val="auto"/>
        </w:rPr>
      </w:pPr>
    </w:p>
    <w:p>
      <w:pPr>
        <w:ind w:right="80" w:firstLine="456"/>
        <w:spacing w:after="0" w:line="269" w:lineRule="auto"/>
        <w:rPr>
          <w:sz w:val="20"/>
          <w:szCs w:val="20"/>
          <w:color w:val="auto"/>
        </w:rPr>
      </w:pPr>
      <w:r>
        <w:rPr>
          <w:rFonts w:ascii="Arial" w:cs="Arial" w:eastAsia="Arial" w:hAnsi="Arial"/>
          <w:sz w:val="18"/>
          <w:szCs w:val="18"/>
          <w:color w:val="auto"/>
        </w:rPr>
        <w:t>Each named executive officer’s target bonus opportunity (as a percentage of his or her base salary earned in the applicable quarter) is listed in the table below.</w:t>
      </w:r>
    </w:p>
    <w:p>
      <w:pPr>
        <w:spacing w:after="0" w:line="1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Target</w:t>
            </w:r>
          </w:p>
        </w:tc>
        <w:tc>
          <w:tcPr>
            <w:tcW w:w="520" w:type="dxa"/>
            <w:vAlign w:val="bottom"/>
          </w:tcPr>
          <w:p>
            <w:pPr>
              <w:spacing w:after="0"/>
              <w:rPr>
                <w:sz w:val="14"/>
                <w:szCs w:val="14"/>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Target Bonus</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86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Bonus</w:t>
            </w:r>
          </w:p>
        </w:tc>
        <w:tc>
          <w:tcPr>
            <w:tcW w:w="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00" w:type="dxa"/>
            <w:vAlign w:val="bottom"/>
            <w:tcBorders>
              <w:bottom w:val="single" w:sz="8" w:color="auto"/>
            </w:tcBorders>
            <w:vMerge w:val="continue"/>
          </w:tcPr>
          <w:p>
            <w:pPr>
              <w:spacing w:after="0"/>
              <w:rPr>
                <w:sz w:val="13"/>
                <w:szCs w:val="13"/>
                <w:color w:val="auto"/>
              </w:rPr>
            </w:pPr>
          </w:p>
        </w:tc>
        <w:tc>
          <w:tcPr>
            <w:tcW w:w="5260" w:type="dxa"/>
            <w:vAlign w:val="bottom"/>
            <w:gridSpan w:val="3"/>
          </w:tcPr>
          <w:p>
            <w:pPr>
              <w:jc w:val="center"/>
              <w:ind w:left="3096"/>
              <w:spacing w:after="0" w:line="154" w:lineRule="exact"/>
              <w:rPr>
                <w:sz w:val="20"/>
                <w:szCs w:val="20"/>
                <w:color w:val="auto"/>
              </w:rPr>
            </w:pPr>
            <w:r>
              <w:rPr>
                <w:rFonts w:ascii="Arial" w:cs="Arial" w:eastAsia="Arial" w:hAnsi="Arial"/>
                <w:sz w:val="14"/>
                <w:szCs w:val="14"/>
                <w:b w:val="1"/>
                <w:bCs w:val="1"/>
                <w:color w:val="auto"/>
                <w:w w:val="94"/>
              </w:rPr>
              <w:t>for Q1 2016</w:t>
            </w:r>
          </w:p>
        </w:tc>
        <w:tc>
          <w:tcPr>
            <w:tcW w:w="1720" w:type="dxa"/>
            <w:vAlign w:val="bottom"/>
            <w:gridSpan w:val="3"/>
          </w:tcPr>
          <w:p>
            <w:pPr>
              <w:jc w:val="right"/>
              <w:ind w:right="240"/>
              <w:spacing w:after="0" w:line="154" w:lineRule="exact"/>
              <w:rPr>
                <w:sz w:val="20"/>
                <w:szCs w:val="20"/>
                <w:color w:val="auto"/>
              </w:rPr>
            </w:pPr>
            <w:r>
              <w:rPr>
                <w:rFonts w:ascii="Arial" w:cs="Arial" w:eastAsia="Arial" w:hAnsi="Arial"/>
                <w:sz w:val="14"/>
                <w:szCs w:val="14"/>
                <w:b w:val="1"/>
                <w:bCs w:val="1"/>
                <w:color w:val="auto"/>
              </w:rPr>
              <w:t>for Q2-Q4 2016</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38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3860" w:type="dxa"/>
            <w:vAlign w:val="bottom"/>
            <w:vMerge w:val="continue"/>
            <w:shd w:val="clear" w:color="auto" w:fill="CCEEFF"/>
          </w:tcPr>
          <w:p>
            <w:pPr>
              <w:spacing w:after="0"/>
              <w:rPr>
                <w:sz w:val="16"/>
                <w:szCs w:val="16"/>
                <w:color w:val="auto"/>
              </w:rPr>
            </w:pPr>
          </w:p>
        </w:tc>
        <w:tc>
          <w:tcPr>
            <w:tcW w:w="140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50%</w:t>
            </w:r>
          </w:p>
        </w:tc>
        <w:tc>
          <w:tcPr>
            <w:tcW w:w="520" w:type="dxa"/>
            <w:vAlign w:val="bottom"/>
            <w:vMerge w:val="continue"/>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3860" w:type="dxa"/>
            <w:vAlign w:val="bottom"/>
          </w:tcPr>
          <w:p>
            <w:pPr>
              <w:spacing w:after="0"/>
              <w:rPr>
                <w:sz w:val="17"/>
                <w:szCs w:val="17"/>
                <w:color w:val="auto"/>
              </w:rPr>
            </w:pPr>
          </w:p>
        </w:tc>
        <w:tc>
          <w:tcPr>
            <w:tcW w:w="140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52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40%</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2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40%</w:t>
            </w:r>
          </w:p>
        </w:tc>
        <w:tc>
          <w:tcPr>
            <w:tcW w:w="17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2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40%</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Donald C. McCauley</w:t>
            </w:r>
          </w:p>
        </w:tc>
        <w:tc>
          <w:tcPr>
            <w:tcW w:w="526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color w:val="auto"/>
        </w:rPr>
        <w:t>Since Ms. Fisher’s employment with us commenced after the start of our second fiscal quarter of 2016, her target incentive amount for that quarter was pro-rated based on the number of days she was employed by us during such quarter. Accordingly, the target incentive amounts for our eligible named executive officers in each quarter of 2016 were as follows: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Corporate Bonus Plan Target Awards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476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Q1</w:t>
            </w:r>
          </w:p>
        </w:tc>
        <w:tc>
          <w:tcPr>
            <w:tcW w:w="20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Q2</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Q4</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7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$43,750</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$93,750</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$93,750</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$93,750</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325,000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760" w:type="dxa"/>
            <w:vAlign w:val="bottom"/>
          </w:tcPr>
          <w:p>
            <w:pPr>
              <w:spacing w:after="0"/>
              <w:rPr>
                <w:sz w:val="17"/>
                <w:szCs w:val="17"/>
                <w:color w:val="auto"/>
              </w:rPr>
            </w:pPr>
          </w:p>
        </w:tc>
        <w:tc>
          <w:tcPr>
            <w:tcW w:w="8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$28,333</w:t>
            </w:r>
          </w:p>
        </w:tc>
        <w:tc>
          <w:tcPr>
            <w:tcW w:w="8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$40,625</w:t>
            </w:r>
          </w:p>
        </w:tc>
        <w:tc>
          <w:tcPr>
            <w:tcW w:w="124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$40,625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109,583</w:t>
            </w: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5600" w:type="dxa"/>
            <w:vAlign w:val="bottom"/>
            <w:gridSpan w:val="3"/>
            <w:shd w:val="clear" w:color="auto" w:fill="CCEEFF"/>
          </w:tcPr>
          <w:p>
            <w:pPr>
              <w:jc w:val="center"/>
              <w:ind w:left="4492"/>
              <w:spacing w:after="0" w:line="202" w:lineRule="exact"/>
              <w:rPr>
                <w:sz w:val="20"/>
                <w:szCs w:val="20"/>
                <w:color w:val="auto"/>
              </w:rPr>
            </w:pPr>
            <w:r>
              <w:rPr>
                <w:rFonts w:ascii="Arial" w:cs="Arial" w:eastAsia="Arial" w:hAnsi="Arial"/>
                <w:sz w:val="18"/>
                <w:szCs w:val="18"/>
                <w:color w:val="auto"/>
              </w:rPr>
              <w:t>$25,000</w:t>
            </w:r>
          </w:p>
        </w:tc>
        <w:tc>
          <w:tcPr>
            <w:tcW w:w="124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$37,500</w:t>
            </w:r>
          </w:p>
        </w:tc>
        <w:tc>
          <w:tcPr>
            <w:tcW w:w="8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$37,500</w:t>
            </w:r>
          </w:p>
        </w:tc>
        <w:tc>
          <w:tcPr>
            <w:tcW w:w="124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137,500</w:t>
            </w: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600" w:type="dxa"/>
            <w:vAlign w:val="bottom"/>
            <w:gridSpan w:val="3"/>
          </w:tcPr>
          <w:p>
            <w:pPr>
              <w:jc w:val="center"/>
              <w:ind w:left="4492"/>
              <w:spacing w:after="0" w:line="202" w:lineRule="exact"/>
              <w:rPr>
                <w:sz w:val="20"/>
                <w:szCs w:val="20"/>
                <w:color w:val="auto"/>
              </w:rPr>
            </w:pPr>
            <w:r>
              <w:rPr>
                <w:rFonts w:ascii="Arial" w:cs="Arial" w:eastAsia="Arial" w:hAnsi="Arial"/>
                <w:sz w:val="18"/>
                <w:szCs w:val="18"/>
                <w:color w:val="auto"/>
              </w:rPr>
              <w:t>$25,000</w:t>
            </w:r>
          </w:p>
        </w:tc>
        <w:tc>
          <w:tcPr>
            <w:tcW w:w="124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$34,375</w:t>
            </w:r>
          </w:p>
        </w:tc>
        <w:tc>
          <w:tcPr>
            <w:tcW w:w="8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$34,375</w:t>
            </w:r>
          </w:p>
        </w:tc>
        <w:tc>
          <w:tcPr>
            <w:tcW w:w="124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$34,375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128,125</w:t>
            </w: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600" w:type="dxa"/>
            <w:vAlign w:val="bottom"/>
            <w:gridSpan w:val="3"/>
            <w:shd w:val="clear" w:color="auto" w:fill="CCEEFF"/>
          </w:tcPr>
          <w:p>
            <w:pPr>
              <w:jc w:val="center"/>
              <w:ind w:left="4492"/>
              <w:spacing w:after="0" w:line="202" w:lineRule="exact"/>
              <w:rPr>
                <w:sz w:val="20"/>
                <w:szCs w:val="20"/>
                <w:color w:val="auto"/>
              </w:rPr>
            </w:pPr>
            <w:r>
              <w:rPr>
                <w:rFonts w:ascii="Arial" w:cs="Arial" w:eastAsia="Arial" w:hAnsi="Arial"/>
                <w:sz w:val="18"/>
                <w:szCs w:val="18"/>
                <w:color w:val="auto"/>
              </w:rPr>
              <w:t>$27,500</w:t>
            </w:r>
          </w:p>
        </w:tc>
        <w:tc>
          <w:tcPr>
            <w:tcW w:w="124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$40,625</w:t>
            </w:r>
          </w:p>
        </w:tc>
        <w:tc>
          <w:tcPr>
            <w:tcW w:w="84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$40,625</w:t>
            </w:r>
          </w:p>
        </w:tc>
        <w:tc>
          <w:tcPr>
            <w:tcW w:w="124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$40,625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149,375</w:t>
            </w: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Donald C. McCauley</w:t>
            </w:r>
          </w:p>
        </w:tc>
        <w:tc>
          <w:tcPr>
            <w:tcW w:w="5600" w:type="dxa"/>
            <w:vAlign w:val="bottom"/>
            <w:gridSpan w:val="3"/>
          </w:tcPr>
          <w:p>
            <w:pPr>
              <w:jc w:val="center"/>
              <w:ind w:left="4492"/>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20"/>
                <w:szCs w:val="20"/>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r>
    </w:tbl>
    <w:p>
      <w:pPr>
        <w:spacing w:after="0" w:line="109" w:lineRule="exact"/>
        <w:rPr>
          <w:sz w:val="20"/>
          <w:szCs w:val="20"/>
          <w:color w:val="auto"/>
        </w:rPr>
      </w:pPr>
    </w:p>
    <w:p>
      <w:pPr>
        <w:ind w:right="180" w:firstLine="456"/>
        <w:spacing w:after="0" w:line="269" w:lineRule="auto"/>
        <w:rPr>
          <w:sz w:val="20"/>
          <w:szCs w:val="20"/>
          <w:color w:val="auto"/>
        </w:rPr>
      </w:pPr>
      <w:r>
        <w:rPr>
          <w:rFonts w:ascii="Arial" w:cs="Arial" w:eastAsia="Arial" w:hAnsi="Arial"/>
          <w:sz w:val="18"/>
          <w:szCs w:val="18"/>
          <w:color w:val="auto"/>
        </w:rPr>
        <w:t>A named executive officer’s incentive payment is paid at a percentage of his or her target incentive amount based on the weighted average of the payout percentages for each applicable component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29" w:name="page30"/>
    <w:bookmarkEnd w:id="29"/>
    <w:p>
      <w:pPr>
        <w:ind w:right="360"/>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was solely the bookings growth component for our first fiscal quarter of 2016). To be eligible for a quarterly incentive payment under our 2016 Corporate Bonus Plan, an individual must be employed as of the last day of the quarter.</w:t>
      </w:r>
    </w:p>
    <w:p>
      <w:pPr>
        <w:spacing w:after="0" w:line="103" w:lineRule="exact"/>
        <w:rPr>
          <w:sz w:val="20"/>
          <w:szCs w:val="20"/>
          <w:color w:val="auto"/>
        </w:rPr>
      </w:pPr>
    </w:p>
    <w:p>
      <w:pPr>
        <w:ind w:right="120" w:firstLine="456"/>
        <w:spacing w:after="0" w:line="241" w:lineRule="auto"/>
        <w:rPr>
          <w:sz w:val="20"/>
          <w:szCs w:val="20"/>
          <w:color w:val="auto"/>
        </w:rPr>
      </w:pPr>
      <w:r>
        <w:rPr>
          <w:rFonts w:ascii="Arial" w:cs="Arial" w:eastAsia="Arial" w:hAnsi="Arial"/>
          <w:sz w:val="18"/>
          <w:szCs w:val="18"/>
          <w:color w:val="auto"/>
        </w:rPr>
        <w:t>For our first and second fiscal quarters of 2016, the payout percentage is capped at 100% of the target amount, which is earned if the target is achieved or surpassed. For our third and fourth fiscal quarters of 2016, the payout percentage for the bookings growth component of a named executive officer’s incentive payment is capped at 120% of the target amount, which is earned if 120% of the target bookings growth rate is achieved or surpassed. Because targets were set quarterly, the compensation committee chose to incentivize performance exceeding target. The compensation committee established targets it believed would be challenging, but attainable, through the successful execution of our annual operating plan.</w:t>
      </w:r>
    </w:p>
    <w:p>
      <w:pPr>
        <w:spacing w:after="0" w:line="130" w:lineRule="exact"/>
        <w:rPr>
          <w:sz w:val="20"/>
          <w:szCs w:val="20"/>
          <w:color w:val="auto"/>
        </w:rPr>
      </w:pPr>
    </w:p>
    <w:p>
      <w:pPr>
        <w:ind w:right="500" w:firstLine="456"/>
        <w:spacing w:after="0" w:line="269" w:lineRule="auto"/>
        <w:rPr>
          <w:sz w:val="20"/>
          <w:szCs w:val="20"/>
          <w:color w:val="auto"/>
        </w:rPr>
      </w:pPr>
      <w:r>
        <w:rPr>
          <w:rFonts w:ascii="Arial" w:cs="Arial" w:eastAsia="Arial" w:hAnsi="Arial"/>
          <w:sz w:val="18"/>
          <w:szCs w:val="18"/>
          <w:color w:val="auto"/>
        </w:rPr>
        <w:t>For each of the revenue growth and non-GAAP earnings per diluted share components, the payout percentage is capped at 100%. We thought that achieving the top end of the targets would be sufficiently challenging and incentivizing for top end performance.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Q1</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Q2</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Q3</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Q4</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420" w:type="dxa"/>
            <w:vAlign w:val="bottom"/>
          </w:tcPr>
          <w:p>
            <w:pPr>
              <w:ind w:left="20"/>
              <w:spacing w:after="0" w:line="136" w:lineRule="exact"/>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4"/>
                <w:szCs w:val="14"/>
                <w:b w:val="1"/>
                <w:bCs w:val="1"/>
                <w:color w:val="auto"/>
                <w:w w:val="88"/>
              </w:rPr>
              <w:t>Actual</w:t>
            </w:r>
          </w:p>
        </w:tc>
        <w:tc>
          <w:tcPr>
            <w:tcW w:w="460" w:type="dxa"/>
            <w:vAlign w:val="bottom"/>
          </w:tcPr>
          <w:p>
            <w:pPr>
              <w:spacing w:after="0" w:line="136" w:lineRule="exact"/>
              <w:rPr>
                <w:sz w:val="20"/>
                <w:szCs w:val="20"/>
                <w:color w:val="auto"/>
              </w:rPr>
            </w:pPr>
            <w:r>
              <w:rPr>
                <w:rFonts w:ascii="Arial" w:cs="Arial" w:eastAsia="Arial" w:hAnsi="Arial"/>
                <w:sz w:val="14"/>
                <w:szCs w:val="14"/>
                <w:b w:val="1"/>
                <w:bCs w:val="1"/>
                <w:color w:val="auto"/>
                <w:w w:val="94"/>
              </w:rPr>
              <w:t>Payout</w:t>
            </w:r>
          </w:p>
        </w:tc>
        <w:tc>
          <w:tcPr>
            <w:tcW w:w="220" w:type="dxa"/>
            <w:vAlign w:val="bottom"/>
          </w:tcPr>
          <w:p>
            <w:pPr>
              <w:spacing w:after="0"/>
              <w:rPr>
                <w:sz w:val="11"/>
                <w:szCs w:val="11"/>
                <w:color w:val="auto"/>
              </w:rPr>
            </w:pPr>
          </w:p>
        </w:tc>
        <w:tc>
          <w:tcPr>
            <w:tcW w:w="460" w:type="dxa"/>
            <w:vAlign w:val="bottom"/>
          </w:tcPr>
          <w:p>
            <w:pPr>
              <w:spacing w:after="0" w:line="136" w:lineRule="exact"/>
              <w:rPr>
                <w:sz w:val="20"/>
                <w:szCs w:val="20"/>
                <w:color w:val="auto"/>
              </w:rPr>
            </w:pPr>
            <w:r>
              <w:rPr>
                <w:rFonts w:ascii="Arial" w:cs="Arial" w:eastAsia="Arial" w:hAnsi="Arial"/>
                <w:sz w:val="14"/>
                <w:szCs w:val="14"/>
                <w:b w:val="1"/>
                <w:bCs w:val="1"/>
                <w:color w:val="auto"/>
                <w:w w:val="94"/>
              </w:rPr>
              <w:t>Weight</w:t>
            </w:r>
          </w:p>
        </w:tc>
        <w:tc>
          <w:tcPr>
            <w:tcW w:w="220" w:type="dxa"/>
            <w:vAlign w:val="bottom"/>
          </w:tcPr>
          <w:p>
            <w:pPr>
              <w:spacing w:after="0"/>
              <w:rPr>
                <w:sz w:val="11"/>
                <w:szCs w:val="11"/>
                <w:color w:val="auto"/>
              </w:rPr>
            </w:pPr>
          </w:p>
        </w:tc>
        <w:tc>
          <w:tcPr>
            <w:tcW w:w="620" w:type="dxa"/>
            <w:vAlign w:val="bottom"/>
            <w:gridSpan w:val="2"/>
          </w:tcPr>
          <w:p>
            <w:pPr>
              <w:jc w:val="right"/>
              <w:ind w:right="220"/>
              <w:spacing w:after="0" w:line="136" w:lineRule="exact"/>
              <w:rPr>
                <w:sz w:val="20"/>
                <w:szCs w:val="20"/>
                <w:color w:val="auto"/>
              </w:rPr>
            </w:pPr>
            <w:r>
              <w:rPr>
                <w:rFonts w:ascii="Arial" w:cs="Arial" w:eastAsia="Arial" w:hAnsi="Arial"/>
                <w:sz w:val="14"/>
                <w:szCs w:val="14"/>
                <w:b w:val="1"/>
                <w:bCs w:val="1"/>
                <w:color w:val="auto"/>
                <w:w w:val="88"/>
              </w:rPr>
              <w:t>Target</w:t>
            </w:r>
          </w:p>
        </w:tc>
        <w:tc>
          <w:tcPr>
            <w:tcW w:w="640" w:type="dxa"/>
            <w:vAlign w:val="bottom"/>
            <w:gridSpan w:val="2"/>
          </w:tcPr>
          <w:p>
            <w:pPr>
              <w:jc w:val="right"/>
              <w:ind w:right="220"/>
              <w:spacing w:after="0" w:line="136" w:lineRule="exact"/>
              <w:rPr>
                <w:sz w:val="20"/>
                <w:szCs w:val="20"/>
                <w:color w:val="auto"/>
              </w:rPr>
            </w:pPr>
            <w:r>
              <w:rPr>
                <w:rFonts w:ascii="Arial" w:cs="Arial" w:eastAsia="Arial" w:hAnsi="Arial"/>
                <w:sz w:val="14"/>
                <w:szCs w:val="14"/>
                <w:b w:val="1"/>
                <w:bCs w:val="1"/>
                <w:color w:val="auto"/>
                <w:w w:val="93"/>
              </w:rPr>
              <w:t>Actual</w:t>
            </w:r>
          </w:p>
        </w:tc>
        <w:tc>
          <w:tcPr>
            <w:tcW w:w="440" w:type="dxa"/>
            <w:vAlign w:val="bottom"/>
          </w:tcPr>
          <w:p>
            <w:pPr>
              <w:spacing w:after="0" w:line="136" w:lineRule="exact"/>
              <w:rPr>
                <w:sz w:val="20"/>
                <w:szCs w:val="20"/>
                <w:color w:val="auto"/>
              </w:rPr>
            </w:pPr>
            <w:r>
              <w:rPr>
                <w:rFonts w:ascii="Arial" w:cs="Arial" w:eastAsia="Arial" w:hAnsi="Arial"/>
                <w:sz w:val="14"/>
                <w:szCs w:val="14"/>
                <w:b w:val="1"/>
                <w:bCs w:val="1"/>
                <w:color w:val="auto"/>
                <w:w w:val="89"/>
              </w:rPr>
              <w:t>Payout</w:t>
            </w:r>
          </w:p>
        </w:tc>
        <w:tc>
          <w:tcPr>
            <w:tcW w:w="220" w:type="dxa"/>
            <w:vAlign w:val="bottom"/>
          </w:tcPr>
          <w:p>
            <w:pPr>
              <w:spacing w:after="0"/>
              <w:rPr>
                <w:sz w:val="11"/>
                <w:szCs w:val="11"/>
                <w:color w:val="auto"/>
              </w:rPr>
            </w:pPr>
          </w:p>
        </w:tc>
        <w:tc>
          <w:tcPr>
            <w:tcW w:w="460" w:type="dxa"/>
            <w:vAlign w:val="bottom"/>
          </w:tcPr>
          <w:p>
            <w:pPr>
              <w:ind w:left="20"/>
              <w:spacing w:after="0" w:line="136" w:lineRule="exact"/>
              <w:rPr>
                <w:sz w:val="20"/>
                <w:szCs w:val="20"/>
                <w:color w:val="auto"/>
              </w:rPr>
            </w:pPr>
            <w:r>
              <w:rPr>
                <w:rFonts w:ascii="Arial" w:cs="Arial" w:eastAsia="Arial" w:hAnsi="Arial"/>
                <w:sz w:val="14"/>
                <w:szCs w:val="14"/>
                <w:b w:val="1"/>
                <w:bCs w:val="1"/>
                <w:color w:val="auto"/>
                <w:w w:val="89"/>
              </w:rPr>
              <w:t>Weight</w:t>
            </w:r>
          </w:p>
        </w:tc>
        <w:tc>
          <w:tcPr>
            <w:tcW w:w="220" w:type="dxa"/>
            <w:vAlign w:val="bottom"/>
          </w:tcPr>
          <w:p>
            <w:pPr>
              <w:spacing w:after="0"/>
              <w:rPr>
                <w:sz w:val="11"/>
                <w:szCs w:val="11"/>
                <w:color w:val="auto"/>
              </w:rPr>
            </w:pPr>
          </w:p>
        </w:tc>
        <w:tc>
          <w:tcPr>
            <w:tcW w:w="620" w:type="dxa"/>
            <w:vAlign w:val="bottom"/>
            <w:gridSpan w:val="2"/>
          </w:tcPr>
          <w:p>
            <w:pPr>
              <w:jc w:val="right"/>
              <w:ind w:right="220"/>
              <w:spacing w:after="0" w:line="136" w:lineRule="exact"/>
              <w:rPr>
                <w:sz w:val="20"/>
                <w:szCs w:val="20"/>
                <w:color w:val="auto"/>
              </w:rPr>
            </w:pPr>
            <w:r>
              <w:rPr>
                <w:rFonts w:ascii="Arial" w:cs="Arial" w:eastAsia="Arial" w:hAnsi="Arial"/>
                <w:sz w:val="14"/>
                <w:szCs w:val="14"/>
                <w:b w:val="1"/>
                <w:bCs w:val="1"/>
                <w:color w:val="auto"/>
                <w:w w:val="88"/>
              </w:rPr>
              <w:t>Target</w:t>
            </w:r>
          </w:p>
        </w:tc>
        <w:tc>
          <w:tcPr>
            <w:tcW w:w="640" w:type="dxa"/>
            <w:vAlign w:val="bottom"/>
            <w:gridSpan w:val="2"/>
          </w:tcPr>
          <w:p>
            <w:pPr>
              <w:jc w:val="right"/>
              <w:ind w:right="220"/>
              <w:spacing w:after="0" w:line="136" w:lineRule="exact"/>
              <w:rPr>
                <w:sz w:val="20"/>
                <w:szCs w:val="20"/>
                <w:color w:val="auto"/>
              </w:rPr>
            </w:pPr>
            <w:r>
              <w:rPr>
                <w:rFonts w:ascii="Arial" w:cs="Arial" w:eastAsia="Arial" w:hAnsi="Arial"/>
                <w:sz w:val="14"/>
                <w:szCs w:val="14"/>
                <w:b w:val="1"/>
                <w:bCs w:val="1"/>
                <w:color w:val="auto"/>
                <w:w w:val="93"/>
              </w:rPr>
              <w:t>Actual</w:t>
            </w:r>
          </w:p>
        </w:tc>
        <w:tc>
          <w:tcPr>
            <w:tcW w:w="460" w:type="dxa"/>
            <w:vAlign w:val="bottom"/>
          </w:tcPr>
          <w:p>
            <w:pPr>
              <w:spacing w:after="0" w:line="136" w:lineRule="exact"/>
              <w:rPr>
                <w:sz w:val="20"/>
                <w:szCs w:val="20"/>
                <w:color w:val="auto"/>
              </w:rPr>
            </w:pPr>
            <w:r>
              <w:rPr>
                <w:rFonts w:ascii="Arial" w:cs="Arial" w:eastAsia="Arial" w:hAnsi="Arial"/>
                <w:sz w:val="14"/>
                <w:szCs w:val="14"/>
                <w:b w:val="1"/>
                <w:bCs w:val="1"/>
                <w:color w:val="auto"/>
                <w:w w:val="94"/>
              </w:rPr>
              <w:t>Payout</w:t>
            </w:r>
          </w:p>
        </w:tc>
        <w:tc>
          <w:tcPr>
            <w:tcW w:w="220" w:type="dxa"/>
            <w:vAlign w:val="bottom"/>
          </w:tcPr>
          <w:p>
            <w:pPr>
              <w:spacing w:after="0"/>
              <w:rPr>
                <w:sz w:val="11"/>
                <w:szCs w:val="11"/>
                <w:color w:val="auto"/>
              </w:rPr>
            </w:pPr>
          </w:p>
        </w:tc>
        <w:tc>
          <w:tcPr>
            <w:tcW w:w="460" w:type="dxa"/>
            <w:vAlign w:val="bottom"/>
          </w:tcPr>
          <w:p>
            <w:pPr>
              <w:spacing w:after="0" w:line="136" w:lineRule="exact"/>
              <w:rPr>
                <w:sz w:val="20"/>
                <w:szCs w:val="20"/>
                <w:color w:val="auto"/>
              </w:rPr>
            </w:pPr>
            <w:r>
              <w:rPr>
                <w:rFonts w:ascii="Arial" w:cs="Arial" w:eastAsia="Arial" w:hAnsi="Arial"/>
                <w:sz w:val="14"/>
                <w:szCs w:val="14"/>
                <w:b w:val="1"/>
                <w:bCs w:val="1"/>
                <w:color w:val="auto"/>
                <w:w w:val="94"/>
              </w:rPr>
              <w:t>Weight</w:t>
            </w:r>
          </w:p>
        </w:tc>
        <w:tc>
          <w:tcPr>
            <w:tcW w:w="200" w:type="dxa"/>
            <w:vAlign w:val="bottom"/>
          </w:tcPr>
          <w:p>
            <w:pPr>
              <w:spacing w:after="0"/>
              <w:rPr>
                <w:sz w:val="11"/>
                <w:szCs w:val="11"/>
                <w:color w:val="auto"/>
              </w:rPr>
            </w:pPr>
          </w:p>
        </w:tc>
        <w:tc>
          <w:tcPr>
            <w:tcW w:w="620" w:type="dxa"/>
            <w:vAlign w:val="bottom"/>
            <w:gridSpan w:val="2"/>
          </w:tcPr>
          <w:p>
            <w:pPr>
              <w:jc w:val="right"/>
              <w:ind w:right="200"/>
              <w:spacing w:after="0" w:line="136"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gridSpan w:val="2"/>
          </w:tcPr>
          <w:p>
            <w:pPr>
              <w:jc w:val="right"/>
              <w:ind w:right="220"/>
              <w:spacing w:after="0" w:line="136" w:lineRule="exact"/>
              <w:rPr>
                <w:sz w:val="20"/>
                <w:szCs w:val="20"/>
                <w:color w:val="auto"/>
              </w:rPr>
            </w:pPr>
            <w:r>
              <w:rPr>
                <w:rFonts w:ascii="Arial" w:cs="Arial" w:eastAsia="Arial" w:hAnsi="Arial"/>
                <w:sz w:val="14"/>
                <w:szCs w:val="14"/>
                <w:b w:val="1"/>
                <w:bCs w:val="1"/>
                <w:color w:val="auto"/>
                <w:w w:val="93"/>
              </w:rPr>
              <w:t>Actual</w:t>
            </w:r>
          </w:p>
        </w:tc>
        <w:tc>
          <w:tcPr>
            <w:tcW w:w="460" w:type="dxa"/>
            <w:vAlign w:val="bottom"/>
          </w:tcPr>
          <w:p>
            <w:pPr>
              <w:spacing w:after="0" w:line="136" w:lineRule="exact"/>
              <w:rPr>
                <w:sz w:val="20"/>
                <w:szCs w:val="20"/>
                <w:color w:val="auto"/>
              </w:rPr>
            </w:pPr>
            <w:r>
              <w:rPr>
                <w:rFonts w:ascii="Arial" w:cs="Arial" w:eastAsia="Arial" w:hAnsi="Arial"/>
                <w:sz w:val="14"/>
                <w:szCs w:val="14"/>
                <w:b w:val="1"/>
                <w:bCs w:val="1"/>
                <w:color w:val="auto"/>
                <w:w w:val="94"/>
              </w:rPr>
              <w:t>Payout</w:t>
            </w:r>
          </w:p>
        </w:tc>
        <w:tc>
          <w:tcPr>
            <w:tcW w:w="220" w:type="dxa"/>
            <w:vAlign w:val="bottom"/>
          </w:tcPr>
          <w:p>
            <w:pPr>
              <w:spacing w:after="0"/>
              <w:rPr>
                <w:sz w:val="11"/>
                <w:szCs w:val="11"/>
                <w:color w:val="auto"/>
              </w:rPr>
            </w:pPr>
          </w:p>
        </w:tc>
        <w:tc>
          <w:tcPr>
            <w:tcW w:w="460" w:type="dxa"/>
            <w:vAlign w:val="bottom"/>
          </w:tcPr>
          <w:p>
            <w:pPr>
              <w:spacing w:after="0" w:line="136" w:lineRule="exact"/>
              <w:rPr>
                <w:sz w:val="20"/>
                <w:szCs w:val="20"/>
                <w:color w:val="auto"/>
              </w:rPr>
            </w:pPr>
            <w:r>
              <w:rPr>
                <w:rFonts w:ascii="Arial" w:cs="Arial" w:eastAsia="Arial" w:hAnsi="Arial"/>
                <w:sz w:val="14"/>
                <w:szCs w:val="14"/>
                <w:b w:val="1"/>
                <w:bCs w:val="1"/>
                <w:color w:val="auto"/>
                <w:w w:val="94"/>
              </w:rPr>
              <w:t>Weight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Bookings Growth</w:t>
            </w: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w:t>
            </w: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100%</w:t>
            </w: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33%</w:t>
            </w: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22%</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33%</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17%</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50%</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color w:val="auto"/>
              </w:rPr>
              <w:t>Rev Growth</w:t>
            </w: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N/A</w:t>
            </w:r>
          </w:p>
        </w:tc>
        <w:tc>
          <w:tcPr>
            <w:tcW w:w="5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N/A</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N/A</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EPS</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N/A</w:t>
            </w:r>
          </w:p>
        </w:tc>
        <w:tc>
          <w:tcPr>
            <w:tcW w:w="5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N/A</w:t>
            </w:r>
          </w:p>
        </w:tc>
        <w:tc>
          <w:tcPr>
            <w:tcW w:w="6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N/A</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0.21</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0.19</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0.22</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0.18</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0.23</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Arial" w:cs="Arial" w:eastAsia="Arial" w:hAnsi="Arial"/>
                <w:sz w:val="14"/>
                <w:szCs w:val="14"/>
                <w:color w:val="auto"/>
              </w:rPr>
              <w:t>Weighted Payout</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67%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8" w:lineRule="exact"/>
        <w:rPr>
          <w:sz w:val="20"/>
          <w:szCs w:val="20"/>
          <w:color w:val="auto"/>
        </w:rPr>
      </w:pPr>
    </w:p>
    <w:p>
      <w:pPr>
        <w:ind w:left="460" w:hanging="452"/>
        <w:spacing w:after="0" w:line="287"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actual bookings growth rate, as noted above, this is an internal metric that we do not disclose for several reasons, including our belief that disclosure would result in competitive harm. If the results were disclosed, we believe the information would provide competitors with insights into our operations and sales compensations programs that would be harmful to us. The Compensation Committee believed that our corporate bonus annual incentive structure was appropriate because it was designed to drive sales and profitability.</w:t>
      </w:r>
    </w:p>
    <w:p>
      <w:pPr>
        <w:spacing w:after="0" w:line="92" w:lineRule="exact"/>
        <w:rPr>
          <w:sz w:val="20"/>
          <w:szCs w:val="20"/>
          <w:color w:val="auto"/>
        </w:rPr>
      </w:pPr>
    </w:p>
    <w:p>
      <w:pPr>
        <w:ind w:right="360" w:firstLine="456"/>
        <w:spacing w:after="0" w:line="269" w:lineRule="auto"/>
        <w:rPr>
          <w:sz w:val="20"/>
          <w:szCs w:val="20"/>
          <w:color w:val="auto"/>
        </w:rPr>
      </w:pPr>
      <w:r>
        <w:rPr>
          <w:rFonts w:ascii="Arial" w:cs="Arial" w:eastAsia="Arial" w:hAnsi="Arial"/>
          <w:sz w:val="18"/>
          <w:szCs w:val="18"/>
          <w:color w:val="auto"/>
        </w:rPr>
        <w:t>The actual amounts awarded for 2016 to our named executive officers were as follows, based on the achievement against the applicable metrics discussed above:</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247"/>
        </w:trPr>
        <w:tc>
          <w:tcPr>
            <w:tcW w:w="1700" w:type="dxa"/>
            <w:vAlign w:val="bottom"/>
          </w:tcPr>
          <w:p>
            <w:pPr>
              <w:spacing w:after="0"/>
              <w:rPr>
                <w:sz w:val="21"/>
                <w:szCs w:val="21"/>
                <w:color w:val="auto"/>
              </w:rPr>
            </w:pPr>
          </w:p>
        </w:tc>
        <w:tc>
          <w:tcPr>
            <w:tcW w:w="6180" w:type="dxa"/>
            <w:vAlign w:val="bottom"/>
            <w:gridSpan w:val="2"/>
          </w:tcPr>
          <w:p>
            <w:pPr>
              <w:jc w:val="right"/>
              <w:ind w:right="1323"/>
              <w:spacing w:after="0"/>
              <w:rPr>
                <w:sz w:val="20"/>
                <w:szCs w:val="20"/>
                <w:color w:val="auto"/>
              </w:rPr>
            </w:pPr>
            <w:r>
              <w:rPr>
                <w:rFonts w:ascii="Arial" w:cs="Arial" w:eastAsia="Arial" w:hAnsi="Arial"/>
                <w:sz w:val="18"/>
                <w:szCs w:val="18"/>
                <w:b w:val="1"/>
                <w:bCs w:val="1"/>
                <w:color w:val="auto"/>
              </w:rPr>
              <w:t>2016 Corporate Bonus Plan—Actual Award Amount</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980" w:type="dxa"/>
            <w:vAlign w:val="bottom"/>
            <w:gridSpan w:val="4"/>
          </w:tcPr>
          <w:p>
            <w:pPr>
              <w:jc w:val="center"/>
              <w:ind w:left="5916"/>
              <w:spacing w:after="0"/>
              <w:rPr>
                <w:sz w:val="20"/>
                <w:szCs w:val="20"/>
                <w:color w:val="auto"/>
              </w:rPr>
            </w:pPr>
            <w:r>
              <w:rPr>
                <w:rFonts w:ascii="Arial" w:cs="Arial" w:eastAsia="Arial" w:hAnsi="Arial"/>
                <w:sz w:val="14"/>
                <w:szCs w:val="14"/>
                <w:b w:val="1"/>
                <w:bCs w:val="1"/>
                <w:color w:val="auto"/>
                <w:w w:val="96"/>
              </w:rPr>
              <w:t>Actual Award</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vMerge w:val="continue"/>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60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214,064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6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76,971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6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6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80,729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6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94,896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Donald C. McCauley</w:t>
            </w: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Compensation</w:t>
      </w:r>
    </w:p>
    <w:p>
      <w:pPr>
        <w:spacing w:after="0" w:line="75" w:lineRule="exact"/>
        <w:rPr>
          <w:sz w:val="20"/>
          <w:szCs w:val="20"/>
          <w:color w:val="auto"/>
        </w:rPr>
      </w:pPr>
    </w:p>
    <w:p>
      <w:pPr>
        <w:ind w:right="440" w:firstLine="456"/>
        <w:spacing w:after="0" w:line="269" w:lineRule="auto"/>
        <w:rPr>
          <w:sz w:val="20"/>
          <w:szCs w:val="20"/>
          <w:color w:val="auto"/>
        </w:rPr>
      </w:pPr>
      <w:r>
        <w:rPr>
          <w:rFonts w:ascii="Arial" w:cs="Arial" w:eastAsia="Arial" w:hAnsi="Arial"/>
          <w:sz w:val="18"/>
          <w:szCs w:val="18"/>
          <w:color w:val="auto"/>
        </w:rPr>
        <w:t>We use equity awards to incentivize and reward strong long-term corporate performance and align the interests of our named executive officers with those of our stockholders.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9" w:right="239" w:bottom="1440" w:gutter="0" w:footer="0" w:header="0"/>
        </w:sectPr>
      </w:pPr>
    </w:p>
    <w:bookmarkStart w:id="30" w:name="page31"/>
    <w:bookmarkEnd w:id="30"/>
    <w:p>
      <w:pPr>
        <w:ind w:right="3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8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 also will periodically grant equity awards to our named executive officers to recognize corporate and individual performance, in connection with a promotion, or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and we therefore take into consideration factors such as the named executive officer’s performance, contributions, responsibilities, and experience; the equity held by the named executive officer (including the economic value of his or her unvested equity awards and the ability of this equity to satisfy our retention objectives); a compensation analysis performed by our human resources department and/or Compensia; compensation peer group and market data provided by Compensia; the equity award recommendations of management; and internal equity considerations.</w:t>
      </w:r>
    </w:p>
    <w:p>
      <w:pPr>
        <w:spacing w:after="0" w:line="13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Prior to 2016, stock options were the equity compensation vehicle in our executive compensation program. In 2016, we introduced restricted stock units into our executive compensation program. A shift from stock options to restricted stock units provides an executive with a floor of certain value delivered, as a restricted stock unit would never be out of the money. From a company dilution perspective, restricted stock units minimize dilution as fewer shares are required to deliver an equivalent value as a stock option. However, the compensation committee decided that our executive compensation program for executives would be a 50/50 blend of restricted stock units and stock options, recognizing that a stock option continues to incentivize an executive to create additional stockholder value as a stock option only delivers value to an executive if our stock price increases. Thus, the compensation committee determined that our senior executives, including our named executive officers, should continue to have stock options as part of the equity compensation program.</w:t>
      </w:r>
    </w:p>
    <w:p>
      <w:pPr>
        <w:spacing w:after="0" w:line="134" w:lineRule="exact"/>
        <w:rPr>
          <w:sz w:val="20"/>
          <w:szCs w:val="20"/>
          <w:color w:val="auto"/>
        </w:rPr>
      </w:pPr>
    </w:p>
    <w:p>
      <w:pPr>
        <w:ind w:right="280" w:firstLine="456"/>
        <w:spacing w:after="0" w:line="278" w:lineRule="auto"/>
        <w:rPr>
          <w:sz w:val="20"/>
          <w:szCs w:val="20"/>
          <w:color w:val="auto"/>
        </w:rPr>
      </w:pPr>
      <w:r>
        <w:rPr>
          <w:rFonts w:ascii="Arial" w:cs="Arial" w:eastAsia="Arial" w:hAnsi="Arial"/>
          <w:sz w:val="16"/>
          <w:szCs w:val="16"/>
          <w:color w:val="auto"/>
        </w:rPr>
        <w:t>In April 2016, with respect to refresh awards, the compensation committee reviewed relevant compensation peer group and market data provided by Compensia and recommended that our board of directors grant (i) stock options to Messrs. Courtot, Deeba, Posey, and Thakar and</w:t>
      </w:r>
    </w:p>
    <w:p>
      <w:pPr>
        <w:spacing w:after="0" w:line="1" w:lineRule="exact"/>
        <w:rPr>
          <w:sz w:val="20"/>
          <w:szCs w:val="20"/>
          <w:color w:val="auto"/>
        </w:rPr>
      </w:pPr>
    </w:p>
    <w:p>
      <w:pPr>
        <w:ind w:firstLine="8"/>
        <w:spacing w:after="0" w:line="245" w:lineRule="auto"/>
        <w:tabs>
          <w:tab w:leader="none" w:pos="2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restricted stock unit awards to Messrs. Deeba, Posey, and Thakar. Also, in April 2016, the Board approved initial new hire stock options and restricted stock awards to Ms. Fisher. The grants to Ms. Fisher were based on arm’s-length negotiation with Ms. Fisher. Mr. Courtot’s award was solely in the form of stock options because the compensation committee and our board of directors determined that given the chief executive officer’s unique ability to drive stockholder value, he should be incentivized through stock options solely and not restricted stock units. Each of the options would be scheduled to vest as to 1/48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option on each monthly anniversary of the option’s vesting commencement date subject to the applicable named executive officer’s continued service with us, except that Ms. Fisher’s options had a one-year vesting cliff commensurate with our new hires, and the vesting of these options would accelerate upon the occurrence of certain specified events, as described in the section entitled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 contained in this proxy statement. Each of the restricted stock unit awards would be scheduled to vest quarterly in equal installments over a four-year period after the award’s vesting commencement date subject to the applicable named executive officer’s continued service with us, except that Ms. Fisher’s restricted stock unit awards had a one-year vesting cliff commensurate with our new hires, and the vesting of these awards would accelerate upon the occurrence of certain specified events, as described in the section entitled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 contained in this proxy statement. In April 2016, our board of directors approved these equity award grants, with each option having an exercise price of $25.56 per share.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31" w:name="page32"/>
    <w:bookmarkEnd w:id="31"/>
    <w:p>
      <w:pPr>
        <w:ind w:right="200" w:firstLine="456"/>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of our common stock covered by each of these equity awards and the intended value at the time of grant is listed in the table below.</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4"/>
              </w:rPr>
              <w:t>Intended Value of</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Restricted</w:t>
            </w:r>
          </w:p>
        </w:tc>
        <w:tc>
          <w:tcPr>
            <w:tcW w:w="76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Intended Value of</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760" w:type="dxa"/>
            <w:vAlign w:val="bottom"/>
          </w:tcPr>
          <w:p>
            <w:pPr>
              <w:spacing w:after="0"/>
              <w:rPr>
                <w:sz w:val="12"/>
                <w:szCs w:val="12"/>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Restricted Stock</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vMerge w:val="continue"/>
          </w:tcPr>
          <w:p>
            <w:pPr>
              <w:spacing w:after="0"/>
              <w:rPr>
                <w:sz w:val="15"/>
                <w:szCs w:val="15"/>
                <w:color w:val="auto"/>
              </w:rPr>
            </w:pPr>
          </w:p>
        </w:tc>
        <w:tc>
          <w:tcPr>
            <w:tcW w:w="27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900" w:type="dxa"/>
            <w:vAlign w:val="bottom"/>
            <w:gridSpan w:val="2"/>
          </w:tcPr>
          <w:p>
            <w:pPr>
              <w:jc w:val="right"/>
              <w:ind w:right="1080"/>
              <w:spacing w:after="0" w:line="154" w:lineRule="exact"/>
              <w:rPr>
                <w:sz w:val="20"/>
                <w:szCs w:val="20"/>
                <w:color w:val="auto"/>
              </w:rPr>
            </w:pPr>
            <w:r>
              <w:rPr>
                <w:rFonts w:ascii="Arial" w:cs="Arial" w:eastAsia="Arial" w:hAnsi="Arial"/>
                <w:sz w:val="14"/>
                <w:szCs w:val="14"/>
                <w:b w:val="1"/>
                <w:bCs w:val="1"/>
                <w:color w:val="auto"/>
              </w:rPr>
              <w:t>Options</w:t>
            </w: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3"/>
              </w:rPr>
              <w:t>Stock Units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7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7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5,500,000</w:t>
            </w:r>
          </w:p>
        </w:tc>
        <w:tc>
          <w:tcPr>
            <w:tcW w:w="7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8"/>
              <w:spacing w:after="0" w:line="18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6"/>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67,911</w:t>
            </w:r>
          </w:p>
        </w:tc>
        <w:tc>
          <w:tcPr>
            <w:tcW w:w="2660" w:type="dxa"/>
            <w:vAlign w:val="bottom"/>
            <w:gridSpan w:val="3"/>
          </w:tcPr>
          <w:p>
            <w:pPr>
              <w:jc w:val="right"/>
              <w:ind w:right="760"/>
              <w:spacing w:after="0" w:line="202" w:lineRule="exact"/>
              <w:rPr>
                <w:sz w:val="20"/>
                <w:szCs w:val="20"/>
                <w:color w:val="auto"/>
              </w:rPr>
            </w:pPr>
            <w:r>
              <w:rPr>
                <w:rFonts w:ascii="Arial" w:cs="Arial" w:eastAsia="Arial" w:hAnsi="Arial"/>
                <w:sz w:val="18"/>
                <w:szCs w:val="18"/>
                <w:color w:val="auto"/>
              </w:rPr>
              <w:t>800,000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31,707</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45,300</w:t>
            </w:r>
          </w:p>
        </w:tc>
        <w:tc>
          <w:tcPr>
            <w:tcW w:w="2660" w:type="dxa"/>
            <w:vAlign w:val="bottom"/>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500,000</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19,817</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36,300</w:t>
            </w:r>
          </w:p>
        </w:tc>
        <w:tc>
          <w:tcPr>
            <w:tcW w:w="2660" w:type="dxa"/>
            <w:vAlign w:val="bottom"/>
            <w:gridSpan w:val="3"/>
          </w:tcPr>
          <w:p>
            <w:pPr>
              <w:jc w:val="right"/>
              <w:ind w:right="760"/>
              <w:spacing w:after="0" w:line="202" w:lineRule="exact"/>
              <w:rPr>
                <w:sz w:val="20"/>
                <w:szCs w:val="20"/>
                <w:color w:val="auto"/>
              </w:rPr>
            </w:pPr>
            <w:r>
              <w:rPr>
                <w:rFonts w:ascii="Arial" w:cs="Arial" w:eastAsia="Arial" w:hAnsi="Arial"/>
                <w:sz w:val="18"/>
                <w:szCs w:val="18"/>
                <w:color w:val="auto"/>
              </w:rPr>
              <w:t>400,000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15,854</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136,000</w:t>
            </w:r>
          </w:p>
        </w:tc>
        <w:tc>
          <w:tcPr>
            <w:tcW w:w="1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1,500,000</w:t>
            </w: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59,450</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Intended value was translated into a number of shares by: (i) with respect to restricted stock units, dividing the dollar amount by the average of the closing trading prices of our common stock for the 30 days ending one week before the date of grant; and (ii) with respect to stock options, dividing the dollar amount by the Black-Scholes value of a single option approximated by using the assumptions we use for financial accounting purposes in the most recently completed fiscal quarter, but assuming the stock price and exercise price are the same 30-trading day average used for the restricted stock unit calculation.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Welfare and Other Employee Benefits</w:t>
      </w:r>
    </w:p>
    <w:p>
      <w:pPr>
        <w:spacing w:after="0" w:line="75"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We maintain a tax-qualified retirement plan that provides eligible employees with an opportunity to save for retirement on a tax advantaged basis. All participants’ interests in their deferrals are 100% vested when contributed. In May 2016, we commenced matching 50%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Sections 401(a) and 501(a) of the Code. As a tax-qualified retirement plan, contributions to the 401(k) plan and earnings on those contributions are not taxable to the employees until distributed from the 401(k) plan, and all contributions are deductible by us when made.</w:t>
      </w:r>
    </w:p>
    <w:p>
      <w:pPr>
        <w:spacing w:after="0" w:line="131"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75"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Currently, 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to make our named executive officers more efficient and effective, and for recruitment, motivation, or retention purposes. All future practices with respect to perquisites or other personal benefits will be approved and subject to periodic review by our compensation committee.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75" w:lineRule="exact"/>
        <w:rPr>
          <w:sz w:val="20"/>
          <w:szCs w:val="20"/>
          <w:color w:val="auto"/>
        </w:rPr>
      </w:pPr>
    </w:p>
    <w:p>
      <w:pPr>
        <w:ind w:right="960" w:firstLine="456"/>
        <w:spacing w:after="0" w:line="269" w:lineRule="auto"/>
        <w:rPr>
          <w:sz w:val="20"/>
          <w:szCs w:val="20"/>
          <w:color w:val="auto"/>
        </w:rPr>
      </w:pPr>
      <w:r>
        <w:rPr>
          <w:rFonts w:ascii="Arial" w:cs="Arial" w:eastAsia="Arial" w:hAnsi="Arial"/>
          <w:sz w:val="18"/>
          <w:szCs w:val="18"/>
          <w:color w:val="auto"/>
        </w:rPr>
        <w:t>Ms. Fisher’s offer letter agreement provides for certain protections in the event of termination of her employment under specified circumstances. In addition, certain equity awards granted to our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69" w:right="299" w:bottom="1440" w:gutter="0" w:footer="0" w:header="0"/>
        </w:sectPr>
      </w:pPr>
    </w:p>
    <w:bookmarkStart w:id="32" w:name="page33"/>
    <w:bookmarkEnd w:id="32"/>
    <w:p>
      <w:pPr>
        <w:ind w:right="20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executive officers provide for acceleration of vesting upon termination of their employment under specified circumstances or upon certain transactions that involve a change in control. We believe that these agreements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127" w:lineRule="exact"/>
        <w:rPr>
          <w:sz w:val="20"/>
          <w:szCs w:val="20"/>
          <w:color w:val="auto"/>
        </w:rPr>
      </w:pPr>
    </w:p>
    <w:p>
      <w:pPr>
        <w:ind w:right="640" w:firstLine="456"/>
        <w:spacing w:after="0" w:line="269"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79" w:lineRule="exact"/>
        <w:rPr>
          <w:sz w:val="20"/>
          <w:szCs w:val="20"/>
          <w:color w:val="auto"/>
        </w:rPr>
      </w:pPr>
    </w:p>
    <w:p>
      <w:pPr>
        <w:ind w:right="160" w:firstLine="456"/>
        <w:spacing w:after="0" w:line="243" w:lineRule="auto"/>
        <w:rPr>
          <w:sz w:val="20"/>
          <w:szCs w:val="20"/>
          <w:color w:val="auto"/>
        </w:rPr>
      </w:pPr>
      <w:r>
        <w:rPr>
          <w:rFonts w:ascii="Arial" w:cs="Arial" w:eastAsia="Arial" w:hAnsi="Arial"/>
          <w:sz w:val="18"/>
          <w:szCs w:val="18"/>
          <w:color w:val="auto"/>
        </w:rPr>
        <w:t>We have implemented an insider trading policy that prohibits our named executive officers from trading in derivative securities (including hedging) with respect to our common stock, pledging company securities as collateral, or holding company securities in a margin account. We have not implemented policies that set minimum stock ownership requirements for our named executive officers or allow us to recover from them any cash or equity-based incentive compensation where the payment of such compensation was predicated upon the achievement of financial results that were subsequently the subject of a financial restatement.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75"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most highly-compensated executive officers in any taxable year to $1 million per person. Generally, we may deduct compensation paid in excess of this limit only if it is “performance-based compensation” within the meaning of the Code. In this regard, the compensation income realized upon the exercise of stock options granted under a stockholder-approved stock option plan is generally deductible if the options are granted by a committee consisting of non-employee directors and certain other conditions are satisfied.</w:t>
      </w:r>
    </w:p>
    <w:p>
      <w:pPr>
        <w:spacing w:after="0" w:line="127"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While our compensation committee is mindful of the benefit of being able to fully deduct the compensation paid to our executives, our compensation committee believes that we should retain the flexibility to compensate our executive officers in a manner that can best promote our business objectives. Therefore, our compensation committee has not adopted a policy that requires that all compensation be deductible, and our compensation committee intends to continue to compensate our executives in a manner consistent with the best interests of our company and our stockholders, even if such compensation is not fully deductible.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“Parachute Payments” and Deferred Compensation</w:t>
      </w:r>
    </w:p>
    <w:p>
      <w:pPr>
        <w:spacing w:after="0" w:line="75"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Under Sections 280G and 4999 of the Code, certain service providers may be subject to an excise tax if they receive payments or benefits in connection with a change in control that exceeds certain prescribed limits, and we, or a successor, may forfeit a deduction on the amounts subject to this excise tax. Section 409A of the Code imposes significant additional taxes on a service provider in the event the service provider receives “deferred compensation” that does not meet the requirements of Section 409A of the Code.</w:t>
      </w:r>
    </w:p>
    <w:p>
      <w:pPr>
        <w:spacing w:after="0" w:line="124" w:lineRule="exact"/>
        <w:rPr>
          <w:sz w:val="20"/>
          <w:szCs w:val="20"/>
          <w:color w:val="auto"/>
        </w:rPr>
      </w:pPr>
    </w:p>
    <w:p>
      <w:pPr>
        <w:ind w:right="60" w:firstLine="456"/>
        <w:spacing w:after="0" w:line="269" w:lineRule="auto"/>
        <w:rPr>
          <w:sz w:val="20"/>
          <w:szCs w:val="20"/>
          <w:color w:val="auto"/>
        </w:rPr>
      </w:pPr>
      <w:r>
        <w:rPr>
          <w:rFonts w:ascii="Arial" w:cs="Arial" w:eastAsia="Arial" w:hAnsi="Arial"/>
          <w:sz w:val="18"/>
          <w:szCs w:val="18"/>
          <w:color w:val="auto"/>
        </w:rPr>
        <w:t>In 2016, we did not provide any of our named executive officers with a “gross-up” or other reimbursement payment for any excise tax liability that he or she might owe as a result of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69" w:right="259" w:bottom="1440" w:gutter="0" w:footer="0" w:header="0"/>
        </w:sectPr>
      </w:pPr>
    </w:p>
    <w:bookmarkStart w:id="33" w:name="page34"/>
    <w:bookmarkEnd w:id="33"/>
    <w:p>
      <w:pPr>
        <w:ind w:right="20"/>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application of Sections 280G or for any additional tax that he or she might owe as a result of the application of Sections 409A. We have not agreed and are not otherwise obligated to provide any named executive officer with such a “gross-up” or other reimbursement.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Considerations</w:t>
      </w:r>
    </w:p>
    <w:p>
      <w:pPr>
        <w:spacing w:after="0" w:line="75" w:lineRule="exact"/>
        <w:rPr>
          <w:sz w:val="20"/>
          <w:szCs w:val="20"/>
          <w:color w:val="auto"/>
        </w:rPr>
      </w:pPr>
    </w:p>
    <w:p>
      <w:pPr>
        <w:ind w:right="100" w:firstLine="456"/>
        <w:spacing w:after="0" w:line="241" w:lineRule="auto"/>
        <w:rPr>
          <w:sz w:val="20"/>
          <w:szCs w:val="20"/>
          <w:color w:val="auto"/>
        </w:rPr>
      </w:pPr>
      <w:r>
        <w:rPr>
          <w:rFonts w:ascii="Arial" w:cs="Arial" w:eastAsia="Arial" w:hAnsi="Arial"/>
          <w:sz w:val="18"/>
          <w:szCs w:val="18"/>
          <w:color w:val="auto"/>
        </w:rPr>
        <w:t>Authoritative accounting guidance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This authoritative accounting guidance also requires us to recognize the compensation cost of share-based payment awards in our income statements over the period that the named executive officer or director is required to provide services to us in exchange for the vesting of the equity award.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 Considerations</w:t>
      </w:r>
    </w:p>
    <w:p>
      <w:pPr>
        <w:spacing w:after="0" w:line="75"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The compensation committee assesses risks created by the incentives inherent in our compensation policies. We have designed our executive compensation program so that our named executive officers focus on both short-term and long-term financial and operational performance. In addition, the compensation committee has engaged Compensia to independently review our executive compensation program, and the compensation committee conducts an annual review of our executive compensation program to ensure that it continues to reward our named executive officers for creating short-term and long-term stockholder value without encouraging our named executive officers to take excessive risks. Based on the results of these reviews, we do not believe that our executive compensation program creates risks that are reasonably likely to have a material adverse effect on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81" w:lineRule="exact"/>
        <w:rPr>
          <w:sz w:val="20"/>
          <w:szCs w:val="20"/>
          <w:color w:val="auto"/>
        </w:rPr>
      </w:pPr>
    </w:p>
    <w:p>
      <w:pPr>
        <w:ind w:right="100" w:firstLine="456"/>
        <w:spacing w:after="0" w:line="251"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18"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the Company’s Annual Report on Form 10-K for the year ended December 31, 2016, filed with the SEC on February 24, 2017.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R. Dixon (Chair)</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Sandra E. Bergeron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9" w:lineRule="exact"/>
        <w:rPr>
          <w:sz w:val="20"/>
          <w:szCs w:val="20"/>
          <w:color w:val="auto"/>
        </w:rPr>
      </w:pPr>
    </w:p>
    <w:p>
      <w:pPr>
        <w:ind w:right="420" w:firstLine="456"/>
        <w:spacing w:after="0" w:line="287" w:lineRule="auto"/>
        <w:rPr>
          <w:sz w:val="20"/>
          <w:szCs w:val="20"/>
          <w:color w:val="auto"/>
        </w:rPr>
      </w:pPr>
      <w:r>
        <w:rPr>
          <w:rFonts w:ascii="Arial" w:cs="Arial" w:eastAsia="Arial" w:hAnsi="Arial"/>
          <w:sz w:val="16"/>
          <w:szCs w:val="16"/>
          <w:color w:val="auto"/>
        </w:rPr>
        <w:t>Neither Donald R. Dixon nor Sandra E. Bergeron, who are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69"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of our named executive officers for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5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Year</w:t>
            </w:r>
          </w:p>
        </w:tc>
        <w:tc>
          <w:tcPr>
            <w:tcW w:w="7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94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80" w:type="dxa"/>
            <w:vAlign w:val="bottom"/>
            <w:gridSpan w:val="2"/>
          </w:tcPr>
          <w:p>
            <w:pPr>
              <w:jc w:val="center"/>
              <w:ind w:left="74"/>
              <w:spacing w:after="0" w:line="154" w:lineRule="exact"/>
              <w:rPr>
                <w:sz w:val="20"/>
                <w:szCs w:val="20"/>
                <w:color w:val="auto"/>
              </w:rPr>
            </w:pPr>
            <w:r>
              <w:rPr>
                <w:rFonts w:ascii="Arial" w:cs="Arial" w:eastAsia="Arial" w:hAnsi="Arial"/>
                <w:sz w:val="14"/>
                <w:szCs w:val="14"/>
                <w:b w:val="1"/>
                <w:bCs w:val="1"/>
                <w:color w:val="auto"/>
                <w:w w:val="93"/>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6"/>
              <w:spacing w:after="0" w:line="154" w:lineRule="exact"/>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ind w:left="160"/>
              <w:spacing w:after="0" w:line="154" w:lineRule="exact"/>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2016</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$366,859</w:t>
            </w: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$5,269,550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214,064</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20"/>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$5,850,473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Chairman, President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111,563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461,563</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and Chief Executive Officer</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5,299,887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5,816,137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40" w:type="dxa"/>
            <w:vAlign w:val="bottom"/>
            <w:gridSpan w:val="2"/>
          </w:tcPr>
          <w:p>
            <w:pPr>
              <w:spacing w:after="0" w:line="184" w:lineRule="exact"/>
              <w:rPr>
                <w:sz w:val="20"/>
                <w:szCs w:val="20"/>
                <w:color w:val="auto"/>
              </w:rPr>
            </w:pPr>
            <w:r>
              <w:rPr>
                <w:rFonts w:ascii="Arial" w:cs="Arial" w:eastAsia="Arial" w:hAnsi="Arial"/>
                <w:sz w:val="18"/>
                <w:szCs w:val="18"/>
                <w:color w:val="auto"/>
              </w:rPr>
              <w:t>Melissa B. Fisher (4)</w:t>
            </w: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2016</w:t>
            </w: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rPr>
              <w:t>219,167</w:t>
            </w:r>
          </w:p>
        </w:tc>
        <w:tc>
          <w:tcPr>
            <w:tcW w:w="10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715,721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810,431</w:t>
            </w:r>
          </w:p>
        </w:tc>
        <w:tc>
          <w:tcPr>
            <w:tcW w:w="112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76,971</w:t>
            </w:r>
          </w:p>
        </w:tc>
        <w:tc>
          <w:tcPr>
            <w:tcW w:w="140" w:type="dxa"/>
            <w:vAlign w:val="bottom"/>
          </w:tcPr>
          <w:p>
            <w:pPr>
              <w:spacing w:after="0"/>
              <w:rPr>
                <w:sz w:val="15"/>
                <w:szCs w:val="15"/>
                <w:color w:val="auto"/>
              </w:rPr>
            </w:pPr>
          </w:p>
        </w:tc>
        <w:tc>
          <w:tcPr>
            <w:tcW w:w="980" w:type="dxa"/>
            <w:vAlign w:val="bottom"/>
            <w:gridSpan w:val="2"/>
          </w:tcPr>
          <w:p>
            <w:pPr>
              <w:ind w:left="520"/>
              <w:spacing w:after="0" w:line="184"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4" w:lineRule="exact"/>
              <w:rPr>
                <w:sz w:val="20"/>
                <w:szCs w:val="20"/>
                <w:color w:val="auto"/>
              </w:rPr>
            </w:pPr>
            <w:r>
              <w:rPr>
                <w:rFonts w:ascii="Arial" w:cs="Arial" w:eastAsia="Arial" w:hAnsi="Arial"/>
                <w:sz w:val="18"/>
                <w:szCs w:val="18"/>
                <w:color w:val="auto"/>
              </w:rPr>
              <w:t>1,822,290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283,718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477,421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506,523</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87,500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1,360,332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Chief Commercial Officer</w:t>
            </w:r>
          </w:p>
        </w:tc>
        <w:tc>
          <w:tcPr>
            <w:tcW w:w="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63,750</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313,750</w:t>
            </w:r>
          </w:p>
        </w:tc>
        <w:tc>
          <w:tcPr>
            <w:tcW w:w="0" w:type="dxa"/>
            <w:vAlign w:val="bottom"/>
          </w:tcPr>
          <w:p>
            <w:pPr>
              <w:spacing w:after="0"/>
              <w:rPr>
                <w:sz w:val="1"/>
                <w:szCs w:val="1"/>
                <w:color w:val="auto"/>
              </w:rPr>
            </w:pPr>
          </w:p>
        </w:tc>
      </w:tr>
      <w:tr>
        <w:trPr>
          <w:trHeight w:val="184"/>
        </w:trPr>
        <w:tc>
          <w:tcPr>
            <w:tcW w:w="4440" w:type="dxa"/>
            <w:vAlign w:val="bottom"/>
            <w:gridSpan w:val="2"/>
          </w:tcPr>
          <w:p>
            <w:pPr>
              <w:spacing w:after="0" w:line="184" w:lineRule="exact"/>
              <w:rPr>
                <w:sz w:val="20"/>
                <w:szCs w:val="20"/>
                <w:color w:val="auto"/>
              </w:rPr>
            </w:pPr>
            <w:r>
              <w:rPr>
                <w:rFonts w:ascii="Arial" w:cs="Arial" w:eastAsia="Arial" w:hAnsi="Arial"/>
                <w:sz w:val="18"/>
                <w:szCs w:val="18"/>
                <w:color w:val="auto"/>
              </w:rPr>
              <w:t>Bruce K. Posey</w:t>
            </w:r>
          </w:p>
        </w:tc>
        <w:tc>
          <w:tcPr>
            <w:tcW w:w="740" w:type="dxa"/>
            <w:vAlign w:val="bottom"/>
            <w:gridSpan w:val="3"/>
          </w:tcPr>
          <w:p>
            <w:pPr>
              <w:jc w:val="right"/>
              <w:ind w:right="180"/>
              <w:spacing w:after="0" w:line="184" w:lineRule="exact"/>
              <w:rPr>
                <w:sz w:val="20"/>
                <w:szCs w:val="20"/>
                <w:color w:val="auto"/>
              </w:rPr>
            </w:pPr>
            <w:r>
              <w:rPr>
                <w:rFonts w:ascii="Arial" w:cs="Arial" w:eastAsia="Arial" w:hAnsi="Arial"/>
                <w:sz w:val="18"/>
                <w:szCs w:val="18"/>
                <w:color w:val="auto"/>
              </w:rPr>
              <w:t>2016</w:t>
            </w: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rPr>
              <w:t>266,859</w:t>
            </w:r>
          </w:p>
        </w:tc>
        <w:tc>
          <w:tcPr>
            <w:tcW w:w="10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382,569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405,228</w:t>
            </w:r>
          </w:p>
        </w:tc>
        <w:tc>
          <w:tcPr>
            <w:tcW w:w="112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80,729</w:t>
            </w:r>
          </w:p>
        </w:tc>
        <w:tc>
          <w:tcPr>
            <w:tcW w:w="1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8"/>
                <w:szCs w:val="18"/>
                <w:color w:val="auto"/>
              </w:rPr>
              <w:t>2,038</w:t>
            </w:r>
          </w:p>
        </w:tc>
        <w:tc>
          <w:tcPr>
            <w:tcW w:w="180" w:type="dxa"/>
            <w:vAlign w:val="bottom"/>
          </w:tcPr>
          <w:p>
            <w:pPr>
              <w:spacing w:after="0"/>
              <w:rPr>
                <w:sz w:val="15"/>
                <w:szCs w:val="15"/>
                <w:color w:val="auto"/>
              </w:rPr>
            </w:pPr>
          </w:p>
        </w:tc>
        <w:tc>
          <w:tcPr>
            <w:tcW w:w="880" w:type="dxa"/>
            <w:vAlign w:val="bottom"/>
          </w:tcPr>
          <w:p>
            <w:pPr>
              <w:jc w:val="right"/>
              <w:spacing w:after="0" w:line="184" w:lineRule="exact"/>
              <w:rPr>
                <w:sz w:val="20"/>
                <w:szCs w:val="20"/>
                <w:color w:val="auto"/>
              </w:rPr>
            </w:pPr>
            <w:r>
              <w:rPr>
                <w:rFonts w:ascii="Arial" w:cs="Arial" w:eastAsia="Arial" w:hAnsi="Arial"/>
                <w:sz w:val="18"/>
                <w:szCs w:val="18"/>
                <w:color w:val="auto"/>
              </w:rPr>
              <w:t>1,137,423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Vice President, General</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2015</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825,925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63,750</w:t>
            </w:r>
          </w:p>
        </w:tc>
        <w:tc>
          <w:tcPr>
            <w:tcW w:w="14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1,139,675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4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Counsel and Corporate</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Secretary</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308,718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1,433,318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7"/>
              </w:rPr>
              <w:t>1,519,542</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94,896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3,361,418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Chief Product Officer</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260,417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825,925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66,875</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1,153,217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11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1,976,110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95,000</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2,321,110</w:t>
            </w:r>
          </w:p>
        </w:tc>
        <w:tc>
          <w:tcPr>
            <w:tcW w:w="0" w:type="dxa"/>
            <w:vAlign w:val="bottom"/>
          </w:tcPr>
          <w:p>
            <w:pPr>
              <w:spacing w:after="0"/>
              <w:rPr>
                <w:sz w:val="1"/>
                <w:szCs w:val="1"/>
                <w:color w:val="auto"/>
              </w:rPr>
            </w:pPr>
          </w:p>
        </w:tc>
      </w:tr>
      <w:tr>
        <w:trPr>
          <w:trHeight w:val="184"/>
        </w:trPr>
        <w:tc>
          <w:tcPr>
            <w:tcW w:w="4440" w:type="dxa"/>
            <w:vAlign w:val="bottom"/>
            <w:gridSpan w:val="2"/>
          </w:tcPr>
          <w:p>
            <w:pPr>
              <w:spacing w:after="0" w:line="184" w:lineRule="exact"/>
              <w:rPr>
                <w:sz w:val="20"/>
                <w:szCs w:val="20"/>
                <w:color w:val="auto"/>
              </w:rPr>
            </w:pPr>
            <w:r>
              <w:rPr>
                <w:rFonts w:ascii="Arial" w:cs="Arial" w:eastAsia="Arial" w:hAnsi="Arial"/>
                <w:sz w:val="18"/>
                <w:szCs w:val="18"/>
                <w:color w:val="auto"/>
              </w:rPr>
              <w:t>Donald C. McCauley (5)</w:t>
            </w: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2016</w:t>
            </w: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rPr>
              <w:t>100,064</w:t>
            </w:r>
          </w:p>
        </w:tc>
        <w:tc>
          <w:tcPr>
            <w:tcW w:w="180" w:type="dxa"/>
            <w:vAlign w:val="bottom"/>
          </w:tcPr>
          <w:p>
            <w:pPr>
              <w:spacing w:after="0"/>
              <w:rPr>
                <w:sz w:val="15"/>
                <w:szCs w:val="15"/>
                <w:color w:val="auto"/>
              </w:rPr>
            </w:pPr>
          </w:p>
        </w:tc>
        <w:tc>
          <w:tcPr>
            <w:tcW w:w="980" w:type="dxa"/>
            <w:vAlign w:val="bottom"/>
            <w:gridSpan w:val="2"/>
          </w:tcPr>
          <w:p>
            <w:pPr>
              <w:ind w:left="620"/>
              <w:spacing w:after="0" w:line="184"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80"/>
              <w:spacing w:after="0" w:line="184"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660"/>
              <w:spacing w:after="0" w:line="184"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tcPr>
          <w:p>
            <w:pPr>
              <w:ind w:left="520"/>
              <w:spacing w:after="0" w:line="184"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100,064</w:t>
            </w:r>
          </w:p>
        </w:tc>
        <w:tc>
          <w:tcPr>
            <w:tcW w:w="0" w:type="dxa"/>
            <w:vAlign w:val="bottom"/>
          </w:tcPr>
          <w:p>
            <w:pPr>
              <w:spacing w:after="0"/>
              <w:rPr>
                <w:sz w:val="1"/>
                <w:szCs w:val="1"/>
                <w:color w:val="auto"/>
              </w:rPr>
            </w:pPr>
          </w:p>
        </w:tc>
      </w:tr>
      <w:tr>
        <w:trPr>
          <w:trHeight w:val="203"/>
        </w:trPr>
        <w:tc>
          <w:tcPr>
            <w:tcW w:w="44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Former Chief Financial Officer</w:t>
            </w:r>
          </w:p>
        </w:tc>
        <w:tc>
          <w:tcPr>
            <w:tcW w:w="7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2015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320,833</w:t>
            </w:r>
          </w:p>
        </w:tc>
        <w:tc>
          <w:tcPr>
            <w:tcW w:w="180" w:type="dxa"/>
            <w:vAlign w:val="bottom"/>
          </w:tcPr>
          <w:p>
            <w:pPr>
              <w:spacing w:after="0"/>
              <w:rPr>
                <w:sz w:val="17"/>
                <w:szCs w:val="17"/>
                <w:color w:val="auto"/>
              </w:rPr>
            </w:pPr>
          </w:p>
        </w:tc>
        <w:tc>
          <w:tcPr>
            <w:tcW w:w="9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2,236,800</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82,750</w:t>
            </w:r>
          </w:p>
        </w:tc>
        <w:tc>
          <w:tcPr>
            <w:tcW w:w="140" w:type="dxa"/>
            <w:vAlign w:val="bottom"/>
          </w:tcPr>
          <w:p>
            <w:pPr>
              <w:spacing w:after="0"/>
              <w:rPr>
                <w:sz w:val="17"/>
                <w:szCs w:val="17"/>
                <w:color w:val="auto"/>
              </w:rPr>
            </w:pPr>
          </w:p>
        </w:tc>
        <w:tc>
          <w:tcPr>
            <w:tcW w:w="9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2,640,383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2014</w:t>
            </w: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2,173,095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114,000</w:t>
            </w:r>
          </w:p>
        </w:tc>
        <w:tc>
          <w:tcPr>
            <w:tcW w:w="140" w:type="dxa"/>
            <w:vAlign w:val="bottom"/>
          </w:tcPr>
          <w:p>
            <w:pPr>
              <w:spacing w:after="0"/>
              <w:rPr>
                <w:sz w:val="20"/>
                <w:szCs w:val="20"/>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2,587,095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460" w:right="40" w:hanging="452"/>
        <w:spacing w:after="0" w:line="23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unit awards and option awards are shown at their aggregate grant date fair value in accordance with FASB, ASC Topic 718. The fair value of each option grant is estimated based on the fair market value on the date of grant using the Black-Scholes-Merton option pricing model.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2016, filed with the SEC on February 24, 2017.</w:t>
      </w:r>
    </w:p>
    <w:p>
      <w:pPr>
        <w:ind w:left="460" w:hanging="452"/>
        <w:spacing w:after="0" w:line="23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Non-equity incentive plan payments for 2016 were paid under our 2016 Corporate Bonus Plan as described in the narrative above.</w:t>
      </w:r>
    </w:p>
    <w:p>
      <w:pPr>
        <w:ind w:left="460" w:hanging="452"/>
        <w:spacing w:after="0" w:line="23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401(k) matching contributions by Qualys.</w:t>
      </w:r>
    </w:p>
    <w:p>
      <w:pPr>
        <w:ind w:left="460" w:hanging="452"/>
        <w:spacing w:after="0" w:line="23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Fisher joined Qualys on April 28, 2016.</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McCauley left Qualys on March 1, 2016.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2016 Fiscal Year Grants of Plan-Based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Estimated Future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Payouts Under Non-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Equity Incentive Plan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Equity Grants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180"/>
              <w:spacing w:after="0" w:line="123" w:lineRule="exact"/>
              <w:rPr>
                <w:sz w:val="20"/>
                <w:szCs w:val="20"/>
                <w:color w:val="auto"/>
              </w:rPr>
            </w:pPr>
            <w:r>
              <w:rPr>
                <w:rFonts w:ascii="Arial" w:cs="Arial" w:eastAsia="Arial" w:hAnsi="Arial"/>
                <w:sz w:val="14"/>
                <w:szCs w:val="14"/>
                <w:b w:val="1"/>
                <w:bCs w:val="1"/>
                <w:color w:val="auto"/>
                <w:w w:val="98"/>
              </w:rPr>
              <w:t>All Other</w:t>
            </w:r>
          </w:p>
        </w:tc>
        <w:tc>
          <w:tcPr>
            <w:tcW w:w="900" w:type="dxa"/>
            <w:vAlign w:val="bottom"/>
            <w:gridSpan w:val="2"/>
          </w:tcPr>
          <w:p>
            <w:pPr>
              <w:jc w:val="right"/>
              <w:ind w:right="260"/>
              <w:spacing w:after="0" w:line="123" w:lineRule="exact"/>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Exercise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option</w:t>
            </w: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awards: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or base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fair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price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 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Shares of</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securities</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Name</w:t>
            </w: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Stock or</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underlying</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awards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Date</w:t>
            </w:r>
          </w:p>
        </w:tc>
        <w:tc>
          <w:tcPr>
            <w:tcW w:w="1040" w:type="dxa"/>
            <w:vAlign w:val="bottom"/>
            <w:gridSpan w:val="2"/>
          </w:tcPr>
          <w:p>
            <w:pPr>
              <w:jc w:val="center"/>
              <w:ind w:left="14"/>
              <w:spacing w:after="0" w:line="154" w:lineRule="exact"/>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77"/>
              <w:spacing w:after="0" w:line="154"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35"/>
              <w:spacing w:after="0" w:line="154"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80" w:type="dxa"/>
            <w:vAlign w:val="bottom"/>
            <w:gridSpan w:val="2"/>
          </w:tcPr>
          <w:p>
            <w:pPr>
              <w:ind w:left="180"/>
              <w:spacing w:after="0" w:line="154" w:lineRule="exact"/>
              <w:rPr>
                <w:sz w:val="20"/>
                <w:szCs w:val="20"/>
                <w:color w:val="auto"/>
              </w:rPr>
            </w:pPr>
            <w:r>
              <w:rPr>
                <w:rFonts w:ascii="Arial" w:cs="Arial" w:eastAsia="Arial" w:hAnsi="Arial"/>
                <w:sz w:val="14"/>
                <w:szCs w:val="14"/>
                <w:b w:val="1"/>
                <w:bCs w:val="1"/>
                <w:color w:val="auto"/>
              </w:rPr>
              <w:t>Units</w:t>
            </w:r>
          </w:p>
        </w:tc>
        <w:tc>
          <w:tcPr>
            <w:tcW w:w="900" w:type="dxa"/>
            <w:vAlign w:val="bottom"/>
            <w:gridSpan w:val="2"/>
          </w:tcPr>
          <w:p>
            <w:pPr>
              <w:jc w:val="center"/>
              <w:ind w:right="160"/>
              <w:spacing w:after="0" w:line="154" w:lineRule="exact"/>
              <w:rPr>
                <w:sz w:val="20"/>
                <w:szCs w:val="20"/>
                <w:color w:val="auto"/>
              </w:rPr>
            </w:pPr>
            <w:r>
              <w:rPr>
                <w:rFonts w:ascii="Arial" w:cs="Arial" w:eastAsia="Arial" w:hAnsi="Arial"/>
                <w:sz w:val="14"/>
                <w:szCs w:val="14"/>
                <w:b w:val="1"/>
                <w:bCs w:val="1"/>
                <w:color w:val="auto"/>
                <w:w w:val="98"/>
              </w:rPr>
              <w:t>options</w:t>
            </w:r>
          </w:p>
        </w:tc>
        <w:tc>
          <w:tcPr>
            <w:tcW w:w="72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/Share)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8"/>
              <w:spacing w:after="0" w:line="154"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1/1/2016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Bonus Plan</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34,375</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325,000</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18"/>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8"/>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rPr>
              <w:t>$ 25.56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5,269,550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60" w:type="dxa"/>
            <w:vAlign w:val="bottom"/>
            <w:gridSpan w:val="2"/>
          </w:tcPr>
          <w:p>
            <w:pPr>
              <w:spacing w:after="0" w:line="184" w:lineRule="exact"/>
              <w:rPr>
                <w:sz w:val="20"/>
                <w:szCs w:val="20"/>
                <w:color w:val="auto"/>
              </w:rPr>
            </w:pPr>
            <w:r>
              <w:rPr>
                <w:rFonts w:ascii="Arial" w:cs="Arial" w:eastAsia="Arial" w:hAnsi="Arial"/>
                <w:sz w:val="18"/>
                <w:szCs w:val="18"/>
                <w:color w:val="auto"/>
              </w:rPr>
              <w:t>Melissa B. Fisher</w:t>
            </w:r>
          </w:p>
        </w:tc>
        <w:tc>
          <w:tcPr>
            <w:tcW w:w="1060" w:type="dxa"/>
            <w:vAlign w:val="bottom"/>
            <w:gridSpan w:val="3"/>
          </w:tcPr>
          <w:p>
            <w:pPr>
              <w:jc w:val="right"/>
              <w:ind w:right="80"/>
              <w:spacing w:after="0" w:line="184" w:lineRule="exact"/>
              <w:rPr>
                <w:sz w:val="20"/>
                <w:szCs w:val="20"/>
                <w:color w:val="auto"/>
              </w:rPr>
            </w:pPr>
            <w:r>
              <w:rPr>
                <w:rFonts w:ascii="Arial" w:cs="Arial" w:eastAsia="Arial" w:hAnsi="Arial"/>
                <w:sz w:val="18"/>
                <w:szCs w:val="18"/>
                <w:color w:val="auto"/>
              </w:rPr>
              <w:t>1/1/2016</w:t>
            </w:r>
          </w:p>
        </w:tc>
        <w:tc>
          <w:tcPr>
            <w:tcW w:w="116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Bonus Plan</w:t>
            </w:r>
          </w:p>
        </w:tc>
        <w:tc>
          <w:tcPr>
            <w:tcW w:w="120" w:type="dxa"/>
            <w:vAlign w:val="bottom"/>
          </w:tcPr>
          <w:p>
            <w:pPr>
              <w:spacing w:after="0" w:line="184"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184" w:lineRule="exact"/>
              <w:rPr>
                <w:sz w:val="20"/>
                <w:szCs w:val="20"/>
                <w:color w:val="auto"/>
              </w:rPr>
            </w:pPr>
            <w:r>
              <w:rPr>
                <w:rFonts w:ascii="Arial" w:cs="Arial" w:eastAsia="Arial" w:hAnsi="Arial"/>
                <w:sz w:val="18"/>
                <w:szCs w:val="18"/>
                <w:color w:val="auto"/>
              </w:rPr>
              <w:t>9,132</w:t>
            </w:r>
          </w:p>
        </w:tc>
        <w:tc>
          <w:tcPr>
            <w:tcW w:w="160" w:type="dxa"/>
            <w:vAlign w:val="bottom"/>
          </w:tcPr>
          <w:p>
            <w:pPr>
              <w:spacing w:after="0"/>
              <w:rPr>
                <w:sz w:val="15"/>
                <w:szCs w:val="15"/>
                <w:color w:val="auto"/>
              </w:rPr>
            </w:pPr>
          </w:p>
        </w:tc>
        <w:tc>
          <w:tcPr>
            <w:tcW w:w="140" w:type="dxa"/>
            <w:vAlign w:val="bottom"/>
          </w:tcPr>
          <w:p>
            <w:pPr>
              <w:jc w:val="right"/>
              <w:spacing w:after="0" w:line="184"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4" w:lineRule="exact"/>
              <w:rPr>
                <w:sz w:val="20"/>
                <w:szCs w:val="20"/>
                <w:color w:val="auto"/>
              </w:rPr>
            </w:pPr>
            <w:r>
              <w:rPr>
                <w:rFonts w:ascii="Arial" w:cs="Arial" w:eastAsia="Arial" w:hAnsi="Arial"/>
                <w:sz w:val="18"/>
                <w:szCs w:val="18"/>
                <w:color w:val="auto"/>
                <w:w w:val="98"/>
              </w:rPr>
              <w:t>109,583</w:t>
            </w:r>
          </w:p>
        </w:tc>
        <w:tc>
          <w:tcPr>
            <w:tcW w:w="160" w:type="dxa"/>
            <w:vAlign w:val="bottom"/>
          </w:tcPr>
          <w:p>
            <w:pPr>
              <w:spacing w:after="0"/>
              <w:rPr>
                <w:sz w:val="15"/>
                <w:szCs w:val="15"/>
                <w:color w:val="auto"/>
              </w:rPr>
            </w:pPr>
          </w:p>
        </w:tc>
        <w:tc>
          <w:tcPr>
            <w:tcW w:w="880" w:type="dxa"/>
            <w:vAlign w:val="bottom"/>
            <w:gridSpan w:val="2"/>
          </w:tcPr>
          <w:p>
            <w:pPr>
              <w:jc w:val="right"/>
              <w:ind w:right="260"/>
              <w:spacing w:after="0" w:line="184"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31,707</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810,431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4/28/2016</w:t>
            </w: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2012 Plan</w:t>
            </w: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67,911</w:t>
            </w:r>
          </w:p>
        </w:tc>
        <w:tc>
          <w:tcPr>
            <w:tcW w:w="160" w:type="dxa"/>
            <w:vAlign w:val="bottom"/>
          </w:tcPr>
          <w:p>
            <w:pPr>
              <w:spacing w:after="0"/>
              <w:rPr>
                <w:sz w:val="19"/>
                <w:szCs w:val="19"/>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rPr>
              <w:t>$ 25.56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10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Bonus Plan</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15,625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137,500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19,817</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506,523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45,300</w:t>
            </w:r>
          </w:p>
        </w:tc>
        <w:tc>
          <w:tcPr>
            <w:tcW w:w="72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rPr>
              <w:t>$ 25.56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477,421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60" w:type="dxa"/>
            <w:vAlign w:val="bottom"/>
            <w:gridSpan w:val="2"/>
          </w:tcPr>
          <w:p>
            <w:pPr>
              <w:spacing w:after="0" w:line="184" w:lineRule="exact"/>
              <w:rPr>
                <w:sz w:val="20"/>
                <w:szCs w:val="20"/>
                <w:color w:val="auto"/>
              </w:rPr>
            </w:pPr>
            <w:r>
              <w:rPr>
                <w:rFonts w:ascii="Arial" w:cs="Arial" w:eastAsia="Arial" w:hAnsi="Arial"/>
                <w:sz w:val="18"/>
                <w:szCs w:val="18"/>
                <w:color w:val="auto"/>
              </w:rPr>
              <w:t>Bruce K. Posey</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line="184" w:lineRule="exact"/>
              <w:rPr>
                <w:sz w:val="20"/>
                <w:szCs w:val="20"/>
                <w:color w:val="auto"/>
              </w:rPr>
            </w:pPr>
            <w:r>
              <w:rPr>
                <w:rFonts w:ascii="Arial" w:cs="Arial" w:eastAsia="Arial" w:hAnsi="Arial"/>
                <w:sz w:val="18"/>
                <w:szCs w:val="18"/>
                <w:color w:val="auto"/>
              </w:rPr>
              <w:t>1/1/2016</w:t>
            </w:r>
          </w:p>
        </w:tc>
        <w:tc>
          <w:tcPr>
            <w:tcW w:w="116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Bonus Plan</w:t>
            </w:r>
          </w:p>
        </w:tc>
        <w:tc>
          <w:tcPr>
            <w:tcW w:w="120" w:type="dxa"/>
            <w:vAlign w:val="bottom"/>
          </w:tcPr>
          <w:p>
            <w:pPr>
              <w:spacing w:after="0" w:line="184"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60"/>
              <w:spacing w:after="0" w:line="184" w:lineRule="exact"/>
              <w:rPr>
                <w:sz w:val="20"/>
                <w:szCs w:val="20"/>
                <w:color w:val="auto"/>
              </w:rPr>
            </w:pPr>
            <w:r>
              <w:rPr>
                <w:rFonts w:ascii="Arial" w:cs="Arial" w:eastAsia="Arial" w:hAnsi="Arial"/>
                <w:sz w:val="18"/>
                <w:szCs w:val="18"/>
                <w:color w:val="auto"/>
                <w:w w:val="98"/>
              </w:rPr>
              <w:t>14,844</w:t>
            </w:r>
          </w:p>
        </w:tc>
        <w:tc>
          <w:tcPr>
            <w:tcW w:w="140" w:type="dxa"/>
            <w:vAlign w:val="bottom"/>
          </w:tcPr>
          <w:p>
            <w:pPr>
              <w:jc w:val="right"/>
              <w:spacing w:after="0" w:line="184"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4" w:lineRule="exact"/>
              <w:rPr>
                <w:sz w:val="20"/>
                <w:szCs w:val="20"/>
                <w:color w:val="auto"/>
              </w:rPr>
            </w:pPr>
            <w:r>
              <w:rPr>
                <w:rFonts w:ascii="Arial" w:cs="Arial" w:eastAsia="Arial" w:hAnsi="Arial"/>
                <w:sz w:val="18"/>
                <w:szCs w:val="18"/>
                <w:color w:val="auto"/>
                <w:w w:val="98"/>
              </w:rPr>
              <w:t>128,125</w:t>
            </w:r>
          </w:p>
        </w:tc>
        <w:tc>
          <w:tcPr>
            <w:tcW w:w="160" w:type="dxa"/>
            <w:vAlign w:val="bottom"/>
          </w:tcPr>
          <w:p>
            <w:pPr>
              <w:spacing w:after="0"/>
              <w:rPr>
                <w:sz w:val="15"/>
                <w:szCs w:val="15"/>
                <w:color w:val="auto"/>
              </w:rPr>
            </w:pPr>
          </w:p>
        </w:tc>
        <w:tc>
          <w:tcPr>
            <w:tcW w:w="880" w:type="dxa"/>
            <w:vAlign w:val="bottom"/>
            <w:gridSpan w:val="2"/>
          </w:tcPr>
          <w:p>
            <w:pPr>
              <w:jc w:val="right"/>
              <w:ind w:right="260"/>
              <w:spacing w:after="0" w:line="184"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15,854</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405,228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4/28/2016</w:t>
            </w: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2012 Plan</w:t>
            </w: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36,300</w:t>
            </w: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rPr>
              <w:t>$ 25.56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382,569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10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Bonus Plan</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17,031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149,375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59,450</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1,519,542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4/28/2016</w:t>
            </w:r>
          </w:p>
        </w:tc>
        <w:tc>
          <w:tcPr>
            <w:tcW w:w="11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2012 Plan</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rPr>
              <w:t>$ 25.56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1,433,318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60" w:type="dxa"/>
            <w:vAlign w:val="bottom"/>
            <w:gridSpan w:val="2"/>
          </w:tcPr>
          <w:p>
            <w:pPr>
              <w:spacing w:after="0"/>
              <w:rPr>
                <w:sz w:val="20"/>
                <w:szCs w:val="20"/>
                <w:color w:val="auto"/>
              </w:rPr>
            </w:pPr>
            <w:r>
              <w:rPr>
                <w:rFonts w:ascii="Arial" w:cs="Arial" w:eastAsia="Arial" w:hAnsi="Arial"/>
                <w:sz w:val="18"/>
                <w:szCs w:val="18"/>
                <w:color w:val="auto"/>
              </w:rPr>
              <w:t>Donald C. McCauley</w:t>
            </w: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1/1/2016</w:t>
            </w: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Bonus Plan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8,750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5" w:lineRule="exact"/>
        <w:rPr>
          <w:sz w:val="20"/>
          <w:szCs w:val="20"/>
          <w:color w:val="auto"/>
        </w:rPr>
      </w:pPr>
    </w:p>
    <w:p>
      <w:pPr>
        <w:ind w:left="460" w:right="200" w:hanging="452"/>
        <w:spacing w:after="0" w:line="24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Awards granted under the “Bonus Plan” represent awards granted under our 2016 Corporate Bonus Plan. Awards granted under the “2012 Plan” represent awards granted under our 2012 Equity Incentive Plan.</w:t>
      </w:r>
    </w:p>
    <w:p>
      <w:pPr>
        <w:spacing w:after="0" w:line="1" w:lineRule="exact"/>
        <w:rPr>
          <w:rFonts w:ascii="Arial" w:cs="Arial" w:eastAsia="Arial" w:hAnsi="Arial"/>
          <w:sz w:val="18"/>
          <w:szCs w:val="18"/>
          <w:color w:val="auto"/>
        </w:rPr>
      </w:pPr>
    </w:p>
    <w:p>
      <w:pPr>
        <w:ind w:left="460" w:right="60" w:hanging="452"/>
        <w:spacing w:after="0" w:line="24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and RSU awards, calculated in accordance with FASB ASC Topic 718. For option awards, that number is calculated by multiplying the Black-Scholes fair value by the number of options granted.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Year-End</w:t>
      </w:r>
    </w:p>
    <w:p>
      <w:pPr>
        <w:spacing w:after="0" w:line="79" w:lineRule="exact"/>
        <w:rPr>
          <w:sz w:val="20"/>
          <w:szCs w:val="20"/>
          <w:color w:val="auto"/>
        </w:rPr>
      </w:pPr>
    </w:p>
    <w:p>
      <w:pPr>
        <w:ind w:right="460" w:firstLine="456"/>
        <w:spacing w:after="0" w:line="269" w:lineRule="auto"/>
        <w:rPr>
          <w:sz w:val="20"/>
          <w:szCs w:val="20"/>
          <w:color w:val="auto"/>
        </w:rPr>
      </w:pPr>
      <w:r>
        <w:rPr>
          <w:rFonts w:ascii="Arial" w:cs="Arial" w:eastAsia="Arial" w:hAnsi="Arial"/>
          <w:sz w:val="18"/>
          <w:szCs w:val="18"/>
          <w:color w:val="auto"/>
        </w:rPr>
        <w:t>The following tables present, for each of our named executive officers, information regarding outstanding stock options and other equity awards held as of December 31, 2016.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w w:val="99"/>
              </w:rPr>
              <w:t>Option Awards(1)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jc w:val="center"/>
              <w:ind w:right="260"/>
              <w:spacing w:after="0" w:line="123" w:lineRule="exact"/>
              <w:rPr>
                <w:sz w:val="20"/>
                <w:szCs w:val="20"/>
                <w:color w:val="auto"/>
              </w:rPr>
            </w:pPr>
            <w:r>
              <w:rPr>
                <w:rFonts w:ascii="Arial" w:cs="Arial" w:eastAsia="Arial" w:hAnsi="Arial"/>
                <w:sz w:val="14"/>
                <w:szCs w:val="14"/>
                <w:b w:val="1"/>
                <w:bCs w:val="1"/>
                <w:color w:val="auto"/>
                <w:w w:val="93"/>
              </w:rPr>
              <w:t>Option</w:t>
            </w:r>
          </w:p>
        </w:tc>
        <w:tc>
          <w:tcPr>
            <w:tcW w:w="420" w:type="dxa"/>
            <w:vAlign w:val="bottom"/>
          </w:tcPr>
          <w:p>
            <w:pPr>
              <w:spacing w:after="0"/>
              <w:rPr>
                <w:sz w:val="10"/>
                <w:szCs w:val="10"/>
                <w:color w:val="auto"/>
              </w:rPr>
            </w:pPr>
          </w:p>
        </w:tc>
        <w:tc>
          <w:tcPr>
            <w:tcW w:w="1420" w:type="dxa"/>
            <w:vAlign w:val="bottom"/>
            <w:gridSpan w:val="2"/>
          </w:tcPr>
          <w:p>
            <w:pPr>
              <w:jc w:val="center"/>
              <w:ind w:right="480"/>
              <w:spacing w:after="0" w:line="123"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Awards—</w:t>
            </w:r>
          </w:p>
        </w:tc>
        <w:tc>
          <w:tcPr>
            <w:tcW w:w="4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Awards—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Securities</w:t>
            </w:r>
          </w:p>
        </w:tc>
        <w:tc>
          <w:tcPr>
            <w:tcW w:w="4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10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Vesting</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4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12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Commencement</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420" w:type="dxa"/>
            <w:vAlign w:val="bottom"/>
          </w:tcPr>
          <w:p>
            <w:pPr>
              <w:spacing w:after="0"/>
              <w:rPr>
                <w:sz w:val="12"/>
                <w:szCs w:val="12"/>
                <w:color w:val="auto"/>
              </w:rPr>
            </w:pP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Options (#)</w:t>
            </w: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Exercise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9"/>
        </w:trPr>
        <w:tc>
          <w:tcPr>
            <w:tcW w:w="1700" w:type="dxa"/>
            <w:vAlign w:val="bottom"/>
            <w:tcBorders>
              <w:bottom w:val="single" w:sz="8" w:color="auto"/>
            </w:tcBorders>
            <w:vMerge w:val="continue"/>
          </w:tcPr>
          <w:p>
            <w:pPr>
              <w:spacing w:after="0"/>
              <w:rPr>
                <w:sz w:val="13"/>
                <w:szCs w:val="13"/>
                <w:color w:val="auto"/>
              </w:rPr>
            </w:pPr>
          </w:p>
        </w:tc>
        <w:tc>
          <w:tcPr>
            <w:tcW w:w="3120" w:type="dxa"/>
            <w:vAlign w:val="bottom"/>
          </w:tcPr>
          <w:p>
            <w:pPr>
              <w:spacing w:after="0"/>
              <w:rPr>
                <w:sz w:val="13"/>
                <w:szCs w:val="13"/>
                <w:color w:val="auto"/>
              </w:rPr>
            </w:pPr>
          </w:p>
        </w:tc>
        <w:tc>
          <w:tcPr>
            <w:tcW w:w="1540" w:type="dxa"/>
            <w:vAlign w:val="bottom"/>
            <w:gridSpan w:val="2"/>
          </w:tcPr>
          <w:p>
            <w:pPr>
              <w:jc w:val="center"/>
              <w:ind w:right="480"/>
              <w:spacing w:after="0" w:line="154" w:lineRule="exact"/>
              <w:rPr>
                <w:sz w:val="20"/>
                <w:szCs w:val="20"/>
                <w:color w:val="auto"/>
              </w:rPr>
            </w:pPr>
            <w:r>
              <w:rPr>
                <w:rFonts w:ascii="Arial" w:cs="Arial" w:eastAsia="Arial" w:hAnsi="Arial"/>
                <w:sz w:val="14"/>
                <w:szCs w:val="14"/>
                <w:b w:val="1"/>
                <w:bCs w:val="1"/>
                <w:color w:val="auto"/>
                <w:w w:val="98"/>
              </w:rPr>
              <w:t>Date</w:t>
            </w:r>
          </w:p>
        </w:tc>
        <w:tc>
          <w:tcPr>
            <w:tcW w:w="112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w w:val="95"/>
              </w:rPr>
              <w:t>Exercisable</w:t>
            </w:r>
          </w:p>
        </w:tc>
        <w:tc>
          <w:tcPr>
            <w:tcW w:w="420" w:type="dxa"/>
            <w:vAlign w:val="bottom"/>
          </w:tcPr>
          <w:p>
            <w:pPr>
              <w:spacing w:after="0"/>
              <w:rPr>
                <w:sz w:val="13"/>
                <w:szCs w:val="13"/>
                <w:color w:val="auto"/>
              </w:rPr>
            </w:pPr>
          </w:p>
        </w:tc>
        <w:tc>
          <w:tcPr>
            <w:tcW w:w="1420" w:type="dxa"/>
            <w:vAlign w:val="bottom"/>
            <w:gridSpan w:val="2"/>
          </w:tcPr>
          <w:p>
            <w:pPr>
              <w:jc w:val="center"/>
              <w:ind w:right="500"/>
              <w:spacing w:after="0" w:line="154" w:lineRule="exact"/>
              <w:rPr>
                <w:sz w:val="20"/>
                <w:szCs w:val="20"/>
                <w:color w:val="auto"/>
              </w:rPr>
            </w:pPr>
            <w:r>
              <w:rPr>
                <w:rFonts w:ascii="Arial" w:cs="Arial" w:eastAsia="Arial" w:hAnsi="Arial"/>
                <w:sz w:val="14"/>
                <w:szCs w:val="14"/>
                <w:b w:val="1"/>
                <w:bCs w:val="1"/>
                <w:color w:val="auto"/>
                <w:w w:val="96"/>
              </w:rPr>
              <w:t>Unexercisable</w:t>
            </w:r>
          </w:p>
        </w:tc>
        <w:tc>
          <w:tcPr>
            <w:tcW w:w="120" w:type="dxa"/>
            <w:vAlign w:val="bottom"/>
          </w:tcPr>
          <w:p>
            <w:pPr>
              <w:spacing w:after="0"/>
              <w:rPr>
                <w:sz w:val="13"/>
                <w:szCs w:val="13"/>
                <w:color w:val="auto"/>
              </w:rPr>
            </w:pPr>
          </w:p>
        </w:tc>
        <w:tc>
          <w:tcPr>
            <w:tcW w:w="980" w:type="dxa"/>
            <w:vAlign w:val="bottom"/>
            <w:gridSpan w:val="2"/>
          </w:tcPr>
          <w:p>
            <w:pPr>
              <w:jc w:val="center"/>
              <w:ind w:right="620"/>
              <w:spacing w:after="0" w:line="154"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line="191" w:lineRule="exact"/>
              <w:rPr>
                <w:sz w:val="20"/>
                <w:szCs w:val="20"/>
                <w:color w:val="auto"/>
              </w:rPr>
            </w:pPr>
            <w:r>
              <w:rPr>
                <w:rFonts w:ascii="Arial" w:cs="Arial" w:eastAsia="Arial" w:hAnsi="Arial"/>
                <w:sz w:val="18"/>
                <w:szCs w:val="18"/>
                <w:color w:val="auto"/>
              </w:rPr>
              <w:t>Philippe F. Courtot</w:t>
            </w:r>
          </w:p>
        </w:tc>
        <w:tc>
          <w:tcPr>
            <w:tcW w:w="31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shd w:val="clear" w:color="auto" w:fill="CCEEFF"/>
          </w:tcPr>
          <w:p>
            <w:pPr>
              <w:spacing w:after="0"/>
              <w:rPr>
                <w:sz w:val="14"/>
                <w:szCs w:val="14"/>
                <w:color w:val="auto"/>
              </w:rPr>
            </w:pPr>
          </w:p>
        </w:tc>
        <w:tc>
          <w:tcPr>
            <w:tcW w:w="3120" w:type="dxa"/>
            <w:vAlign w:val="bottom"/>
            <w:vMerge w:val="continue"/>
            <w:shd w:val="clear" w:color="auto" w:fill="CCEEFF"/>
          </w:tcPr>
          <w:p>
            <w:pPr>
              <w:spacing w:after="0"/>
              <w:rPr>
                <w:sz w:val="14"/>
                <w:szCs w:val="14"/>
                <w:color w:val="auto"/>
              </w:rPr>
            </w:pPr>
          </w:p>
        </w:tc>
        <w:tc>
          <w:tcPr>
            <w:tcW w:w="1060" w:type="dxa"/>
            <w:vAlign w:val="bottom"/>
            <w:shd w:val="clear" w:color="auto" w:fill="CCEEFF"/>
          </w:tcPr>
          <w:p>
            <w:pPr>
              <w:jc w:val="right"/>
              <w:spacing w:after="0" w:line="171" w:lineRule="exact"/>
              <w:rPr>
                <w:sz w:val="20"/>
                <w:szCs w:val="20"/>
                <w:color w:val="auto"/>
              </w:rPr>
            </w:pPr>
            <w:r>
              <w:rPr>
                <w:rFonts w:ascii="Arial" w:cs="Arial" w:eastAsia="Arial" w:hAnsi="Arial"/>
                <w:sz w:val="18"/>
                <w:szCs w:val="18"/>
                <w:color w:val="auto"/>
              </w:rPr>
              <w:t>4/28/2016</w:t>
            </w:r>
          </w:p>
        </w:tc>
        <w:tc>
          <w:tcPr>
            <w:tcW w:w="480" w:type="dxa"/>
            <w:vAlign w:val="bottom"/>
            <w:vMerge w:val="continue"/>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8"/>
                <w:szCs w:val="18"/>
                <w:color w:val="auto"/>
              </w:rPr>
              <w:t>83,333(2)</w:t>
            </w:r>
          </w:p>
        </w:tc>
        <w:tc>
          <w:tcPr>
            <w:tcW w:w="42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Arial" w:cs="Arial" w:eastAsia="Arial" w:hAnsi="Arial"/>
                <w:sz w:val="18"/>
                <w:szCs w:val="18"/>
                <w:color w:val="auto"/>
              </w:rPr>
              <w:t>416,667</w:t>
            </w: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line="171"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171" w:lineRule="exact"/>
              <w:rPr>
                <w:sz w:val="20"/>
                <w:szCs w:val="20"/>
                <w:color w:val="auto"/>
              </w:rPr>
            </w:pPr>
            <w:r>
              <w:rPr>
                <w:rFonts w:ascii="Arial" w:cs="Arial" w:eastAsia="Arial" w:hAnsi="Arial"/>
                <w:sz w:val="18"/>
                <w:szCs w:val="18"/>
                <w:color w:val="auto"/>
              </w:rPr>
              <w:t>25.56</w:t>
            </w:r>
          </w:p>
        </w:tc>
        <w:tc>
          <w:tcPr>
            <w:tcW w:w="480" w:type="dxa"/>
            <w:vAlign w:val="bottom"/>
            <w:vMerge w:val="continue"/>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jc w:val="right"/>
              <w:spacing w:after="0" w:line="17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1/25/2015</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381,416(3)</w:t>
            </w:r>
          </w:p>
        </w:tc>
        <w:tc>
          <w:tcPr>
            <w:tcW w:w="18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16,584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26.86</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6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1/25/2011</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1,053,235(4)</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3.80</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12/2/2019</w:t>
            </w:r>
          </w:p>
        </w:tc>
        <w:tc>
          <w:tcPr>
            <w:tcW w:w="0" w:type="dxa"/>
            <w:vAlign w:val="bottom"/>
          </w:tcPr>
          <w:p>
            <w:pPr>
              <w:spacing w:after="0"/>
              <w:rPr>
                <w:sz w:val="1"/>
                <w:szCs w:val="1"/>
                <w:color w:val="auto"/>
              </w:rPr>
            </w:pPr>
          </w:p>
        </w:tc>
      </w:tr>
      <w:tr>
        <w:trPr>
          <w:trHeight w:val="235"/>
        </w:trPr>
        <w:tc>
          <w:tcPr>
            <w:tcW w:w="170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1/25/2007</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935,782(4)</w:t>
            </w:r>
          </w:p>
        </w:tc>
        <w:tc>
          <w:tcPr>
            <w:tcW w:w="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1/24/2017</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4/28/2016</w:t>
            </w:r>
          </w:p>
        </w:tc>
        <w:tc>
          <w:tcPr>
            <w:tcW w:w="48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(5)</w:t>
            </w:r>
          </w:p>
        </w:tc>
        <w:tc>
          <w:tcPr>
            <w:tcW w:w="18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67,911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25.56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184"/>
        </w:trPr>
        <w:tc>
          <w:tcPr>
            <w:tcW w:w="170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Amer S. Deeba</w:t>
            </w:r>
          </w:p>
        </w:tc>
        <w:tc>
          <w:tcPr>
            <w:tcW w:w="41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8"/>
                <w:szCs w:val="18"/>
                <w:color w:val="auto"/>
              </w:rPr>
              <w:t>4/28/2016</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8"/>
                <w:szCs w:val="18"/>
                <w:color w:val="auto"/>
              </w:rPr>
              <w:t>7,550(2)</w:t>
            </w:r>
          </w:p>
        </w:tc>
        <w:tc>
          <w:tcPr>
            <w:tcW w:w="1840" w:type="dxa"/>
            <w:vAlign w:val="bottom"/>
            <w:gridSpan w:val="3"/>
            <w:shd w:val="clear" w:color="auto" w:fill="CCEEFF"/>
          </w:tcPr>
          <w:p>
            <w:pPr>
              <w:jc w:val="right"/>
              <w:ind w:right="500"/>
              <w:spacing w:after="0" w:line="184" w:lineRule="exact"/>
              <w:rPr>
                <w:sz w:val="20"/>
                <w:szCs w:val="20"/>
                <w:color w:val="auto"/>
              </w:rPr>
            </w:pPr>
            <w:r>
              <w:rPr>
                <w:rFonts w:ascii="Arial" w:cs="Arial" w:eastAsia="Arial" w:hAnsi="Arial"/>
                <w:sz w:val="18"/>
                <w:szCs w:val="18"/>
                <w:color w:val="auto"/>
              </w:rPr>
              <w:t>37,750</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8"/>
                <w:szCs w:val="18"/>
                <w:color w:val="auto"/>
              </w:rPr>
              <w:t>25.56</w:t>
            </w:r>
          </w:p>
        </w:tc>
        <w:tc>
          <w:tcPr>
            <w:tcW w:w="1000" w:type="dxa"/>
            <w:vAlign w:val="bottom"/>
            <w:tcBorders>
              <w:right w:val="single" w:sz="8" w:color="CCEEFF"/>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50,000(3)</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30.58</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11/6/2014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40,000(3)</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26.86</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11/5/2012</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40,000(3)</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8.40</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11/5/2022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11/5/2010</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50,000(4)</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4.10</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11/4/2020</w:t>
            </w:r>
          </w:p>
        </w:tc>
        <w:tc>
          <w:tcPr>
            <w:tcW w:w="0" w:type="dxa"/>
            <w:vAlign w:val="bottom"/>
          </w:tcPr>
          <w:p>
            <w:pPr>
              <w:spacing w:after="0"/>
              <w:rPr>
                <w:sz w:val="1"/>
                <w:szCs w:val="1"/>
                <w:color w:val="auto"/>
              </w:rPr>
            </w:pPr>
          </w:p>
        </w:tc>
      </w:tr>
      <w:tr>
        <w:trPr>
          <w:trHeight w:val="235"/>
        </w:trPr>
        <w:tc>
          <w:tcPr>
            <w:tcW w:w="170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6/30/2010</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55,000(4)</w:t>
            </w:r>
          </w:p>
        </w:tc>
        <w:tc>
          <w:tcPr>
            <w:tcW w:w="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7/29/2019</w:t>
            </w:r>
          </w:p>
        </w:tc>
        <w:tc>
          <w:tcPr>
            <w:tcW w:w="0" w:type="dxa"/>
            <w:vAlign w:val="bottom"/>
          </w:tcPr>
          <w:p>
            <w:pPr>
              <w:spacing w:after="0"/>
              <w:rPr>
                <w:sz w:val="1"/>
                <w:szCs w:val="1"/>
                <w:color w:val="auto"/>
              </w:rPr>
            </w:pPr>
          </w:p>
        </w:tc>
      </w:tr>
      <w:tr>
        <w:trPr>
          <w:trHeight w:val="184"/>
        </w:trPr>
        <w:tc>
          <w:tcPr>
            <w:tcW w:w="1700" w:type="dxa"/>
            <w:vAlign w:val="bottom"/>
          </w:tcPr>
          <w:p>
            <w:pPr>
              <w:spacing w:after="0" w:line="184" w:lineRule="exact"/>
              <w:rPr>
                <w:sz w:val="20"/>
                <w:szCs w:val="20"/>
                <w:color w:val="auto"/>
              </w:rPr>
            </w:pPr>
            <w:r>
              <w:rPr>
                <w:rFonts w:ascii="Arial" w:cs="Arial" w:eastAsia="Arial" w:hAnsi="Arial"/>
                <w:sz w:val="18"/>
                <w:szCs w:val="18"/>
                <w:color w:val="auto"/>
              </w:rPr>
              <w:t>Bruce K. Posey</w:t>
            </w:r>
          </w:p>
        </w:tc>
        <w:tc>
          <w:tcPr>
            <w:tcW w:w="41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4/28/2016</w:t>
            </w:r>
          </w:p>
        </w:tc>
        <w:tc>
          <w:tcPr>
            <w:tcW w:w="480" w:type="dxa"/>
            <w:vAlign w:val="bottom"/>
          </w:tcPr>
          <w:p>
            <w:pPr>
              <w:spacing w:after="0"/>
              <w:rPr>
                <w:sz w:val="15"/>
                <w:szCs w:val="15"/>
                <w:color w:val="auto"/>
              </w:rPr>
            </w:pPr>
          </w:p>
        </w:tc>
        <w:tc>
          <w:tcPr>
            <w:tcW w:w="112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6,050(2)</w:t>
            </w:r>
          </w:p>
        </w:tc>
        <w:tc>
          <w:tcPr>
            <w:tcW w:w="1840" w:type="dxa"/>
            <w:vAlign w:val="bottom"/>
            <w:gridSpan w:val="3"/>
          </w:tcPr>
          <w:p>
            <w:pPr>
              <w:jc w:val="right"/>
              <w:ind w:right="500"/>
              <w:spacing w:after="0" w:line="184" w:lineRule="exact"/>
              <w:rPr>
                <w:sz w:val="20"/>
                <w:szCs w:val="20"/>
                <w:color w:val="auto"/>
              </w:rPr>
            </w:pPr>
            <w:r>
              <w:rPr>
                <w:rFonts w:ascii="Arial" w:cs="Arial" w:eastAsia="Arial" w:hAnsi="Arial"/>
                <w:sz w:val="18"/>
                <w:szCs w:val="18"/>
                <w:color w:val="auto"/>
              </w:rPr>
              <w:t>30,250</w:t>
            </w:r>
          </w:p>
        </w:tc>
        <w:tc>
          <w:tcPr>
            <w:tcW w:w="120" w:type="dxa"/>
            <w:vAlign w:val="bottom"/>
          </w:tcPr>
          <w:p>
            <w:pPr>
              <w:spacing w:after="0" w:line="184"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line="184" w:lineRule="exact"/>
              <w:rPr>
                <w:sz w:val="20"/>
                <w:szCs w:val="20"/>
                <w:color w:val="auto"/>
              </w:rPr>
            </w:pPr>
            <w:r>
              <w:rPr>
                <w:rFonts w:ascii="Arial" w:cs="Arial" w:eastAsia="Arial" w:hAnsi="Arial"/>
                <w:sz w:val="18"/>
                <w:szCs w:val="18"/>
                <w:color w:val="auto"/>
              </w:rPr>
              <w:t>25.56</w:t>
            </w:r>
          </w:p>
        </w:tc>
        <w:tc>
          <w:tcPr>
            <w:tcW w:w="1000" w:type="dxa"/>
            <w:vAlign w:val="bottom"/>
          </w:tcPr>
          <w:p>
            <w:pPr>
              <w:jc w:val="right"/>
              <w:spacing w:after="0" w:line="184"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5/21/2016</w:t>
            </w:r>
          </w:p>
        </w:tc>
        <w:tc>
          <w:tcPr>
            <w:tcW w:w="48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14,583(3)</w:t>
            </w:r>
          </w:p>
        </w:tc>
        <w:tc>
          <w:tcPr>
            <w:tcW w:w="18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35,417</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37.28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5/21/2012</w:t>
            </w:r>
          </w:p>
        </w:tc>
        <w:tc>
          <w:tcPr>
            <w:tcW w:w="4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108,093(5)</w:t>
            </w:r>
          </w:p>
        </w:tc>
        <w:tc>
          <w:tcPr>
            <w:tcW w:w="42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8.90</w:t>
            </w:r>
          </w:p>
        </w:tc>
        <w:tc>
          <w:tcPr>
            <w:tcW w:w="1000" w:type="dxa"/>
            <w:vAlign w:val="bottom"/>
          </w:tcPr>
          <w:p>
            <w:pPr>
              <w:jc w:val="right"/>
              <w:spacing w:after="0"/>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r>
        <w:trPr>
          <w:trHeight w:val="184"/>
        </w:trPr>
        <w:tc>
          <w:tcPr>
            <w:tcW w:w="170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rPr>
              <w:t>Sumedh S. Thakar</w:t>
            </w:r>
          </w:p>
        </w:tc>
        <w:tc>
          <w:tcPr>
            <w:tcW w:w="41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8"/>
                <w:szCs w:val="18"/>
                <w:color w:val="auto"/>
              </w:rPr>
              <w:t>4/28/2016</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8"/>
                <w:szCs w:val="18"/>
                <w:color w:val="auto"/>
              </w:rPr>
              <w:t>22,666(2)</w:t>
            </w:r>
          </w:p>
        </w:tc>
        <w:tc>
          <w:tcPr>
            <w:tcW w:w="1840" w:type="dxa"/>
            <w:vAlign w:val="bottom"/>
            <w:gridSpan w:val="3"/>
            <w:shd w:val="clear" w:color="auto" w:fill="CCEEFF"/>
          </w:tcPr>
          <w:p>
            <w:pPr>
              <w:jc w:val="right"/>
              <w:ind w:right="500"/>
              <w:spacing w:after="0" w:line="184" w:lineRule="exact"/>
              <w:rPr>
                <w:sz w:val="20"/>
                <w:szCs w:val="20"/>
                <w:color w:val="auto"/>
              </w:rPr>
            </w:pPr>
            <w:r>
              <w:rPr>
                <w:rFonts w:ascii="Arial" w:cs="Arial" w:eastAsia="Arial" w:hAnsi="Arial"/>
                <w:sz w:val="18"/>
                <w:szCs w:val="18"/>
                <w:color w:val="auto"/>
              </w:rPr>
              <w:t>113,334</w:t>
            </w:r>
          </w:p>
        </w:tc>
        <w:tc>
          <w:tcPr>
            <w:tcW w:w="12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184" w:lineRule="exact"/>
              <w:rPr>
                <w:sz w:val="20"/>
                <w:szCs w:val="20"/>
                <w:color w:val="auto"/>
              </w:rPr>
            </w:pPr>
            <w:r>
              <w:rPr>
                <w:rFonts w:ascii="Arial" w:cs="Arial" w:eastAsia="Arial" w:hAnsi="Arial"/>
                <w:sz w:val="18"/>
                <w:szCs w:val="18"/>
                <w:color w:val="auto"/>
              </w:rPr>
              <w:t>25.56</w:t>
            </w:r>
          </w:p>
        </w:tc>
        <w:tc>
          <w:tcPr>
            <w:tcW w:w="1000" w:type="dxa"/>
            <w:vAlign w:val="bottom"/>
            <w:tcBorders>
              <w:right w:val="single" w:sz="8" w:color="CCEEFF"/>
            </w:tcBorders>
            <w:shd w:val="clear" w:color="auto" w:fill="CCEEFF"/>
          </w:tcPr>
          <w:p>
            <w:pPr>
              <w:jc w:val="right"/>
              <w:spacing w:after="0" w:line="184"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6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7/30/15</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35,416(3)</w:t>
            </w:r>
          </w:p>
        </w:tc>
        <w:tc>
          <w:tcPr>
            <w:tcW w:w="18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14,584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37.28</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10/30/2014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75,000(3)</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30.58</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6/1/2014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41,666(6)</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8,334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23.51</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7/31/2024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5/2/2014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50,000(3)</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19.26</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10/31/2013</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75,000(6)</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20.80</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10/30/2023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2/7/2013</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75,000(6)</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12.68</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4/30/2012</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38,300(4)</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8.40</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4/29/2022</w:t>
            </w:r>
          </w:p>
        </w:tc>
        <w:tc>
          <w:tcPr>
            <w:tcW w:w="0" w:type="dxa"/>
            <w:vAlign w:val="bottom"/>
          </w:tcPr>
          <w:p>
            <w:pPr>
              <w:spacing w:after="0"/>
              <w:rPr>
                <w:sz w:val="1"/>
                <w:szCs w:val="1"/>
                <w:color w:val="auto"/>
              </w:rPr>
            </w:pPr>
          </w:p>
        </w:tc>
      </w:tr>
      <w:tr>
        <w:trPr>
          <w:trHeight w:val="235"/>
        </w:trPr>
        <w:tc>
          <w:tcPr>
            <w:tcW w:w="1700" w:type="dxa"/>
            <w:vAlign w:val="bottom"/>
            <w:shd w:val="clear" w:color="auto" w:fill="CCEEFF"/>
          </w:tcPr>
          <w:p>
            <w:pPr>
              <w:spacing w:after="0"/>
              <w:rPr>
                <w:sz w:val="20"/>
                <w:szCs w:val="20"/>
                <w:color w:val="auto"/>
              </w:rPr>
            </w:pPr>
          </w:p>
        </w:tc>
        <w:tc>
          <w:tcPr>
            <w:tcW w:w="4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11/4/2011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3,489(4)</w:t>
            </w:r>
          </w:p>
        </w:tc>
        <w:tc>
          <w:tcPr>
            <w:tcW w:w="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noted in these footnotes, all stock options referenced in this table were granted under the 2012 Plan.</w:t>
      </w:r>
    </w:p>
    <w:p>
      <w:pPr>
        <w:spacing w:after="0" w:line="17" w:lineRule="exact"/>
        <w:rPr>
          <w:rFonts w:ascii="Arial" w:cs="Arial" w:eastAsia="Arial" w:hAnsi="Arial"/>
          <w:sz w:val="18"/>
          <w:szCs w:val="18"/>
          <w:color w:val="auto"/>
        </w:rPr>
      </w:pPr>
    </w:p>
    <w:p>
      <w:pPr>
        <w:ind w:left="460" w:right="1040" w:hanging="452"/>
        <w:spacing w:after="0" w:line="21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w:t>
      </w:r>
    </w:p>
    <w:p>
      <w:pPr>
        <w:ind w:left="460" w:right="1040" w:hanging="452"/>
        <w:spacing w:after="0" w:line="21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w:t>
      </w:r>
    </w:p>
    <w:p>
      <w:pPr>
        <w:ind w:left="460" w:hanging="452"/>
        <w:spacing w:after="0" w:line="23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these options was awarded under the 2000 Plan and was fully vested as of December 31, 2016.</w:t>
      </w:r>
    </w:p>
    <w:p>
      <w:pPr>
        <w:ind w:left="460" w:right="480" w:hanging="452"/>
        <w:spacing w:after="0" w:line="19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on the one-year anniversary of the vesting commencement date, and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thereafter.</w:t>
      </w:r>
    </w:p>
    <w:p>
      <w:pPr>
        <w:ind w:left="460" w:right="1020" w:hanging="452"/>
        <w:spacing w:after="0" w:line="21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one-month anniversary of the vesting commencement date.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Stock Awards</w:t>
            </w:r>
          </w:p>
        </w:tc>
        <w:tc>
          <w:tcPr>
            <w:tcW w:w="2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740" w:type="dxa"/>
            <w:vAlign w:val="bottom"/>
          </w:tcPr>
          <w:p>
            <w:pPr>
              <w:spacing w:after="0"/>
              <w:rPr>
                <w:sz w:val="10"/>
                <w:szCs w:val="10"/>
                <w:color w:val="auto"/>
              </w:rPr>
            </w:pPr>
          </w:p>
        </w:tc>
        <w:tc>
          <w:tcPr>
            <w:tcW w:w="2300" w:type="dxa"/>
            <w:vAlign w:val="bottom"/>
            <w:gridSpan w:val="2"/>
          </w:tcPr>
          <w:p>
            <w:pPr>
              <w:jc w:val="right"/>
              <w:ind w:right="420"/>
              <w:spacing w:after="0" w:line="123" w:lineRule="exact"/>
              <w:rPr>
                <w:sz w:val="20"/>
                <w:szCs w:val="20"/>
                <w:color w:val="auto"/>
              </w:rPr>
            </w:pPr>
            <w:r>
              <w:rPr>
                <w:rFonts w:ascii="Arial" w:cs="Arial" w:eastAsia="Arial" w:hAnsi="Arial"/>
                <w:sz w:val="14"/>
                <w:szCs w:val="14"/>
                <w:b w:val="1"/>
                <w:bCs w:val="1"/>
                <w:color w:val="auto"/>
                <w:w w:val="95"/>
              </w:rPr>
              <w:t>Number of Shares or Units of</w:t>
            </w:r>
          </w:p>
        </w:tc>
        <w:tc>
          <w:tcPr>
            <w:tcW w:w="1420" w:type="dxa"/>
            <w:vAlign w:val="bottom"/>
          </w:tcPr>
          <w:p>
            <w:pPr>
              <w:spacing w:after="0"/>
              <w:rPr>
                <w:sz w:val="10"/>
                <w:szCs w:val="10"/>
                <w:color w:val="auto"/>
              </w:rPr>
            </w:pPr>
          </w:p>
        </w:tc>
        <w:tc>
          <w:tcPr>
            <w:tcW w:w="2260" w:type="dxa"/>
            <w:vAlign w:val="bottom"/>
            <w:gridSpan w:val="2"/>
          </w:tcPr>
          <w:p>
            <w:pPr>
              <w:spacing w:after="0" w:line="123" w:lineRule="exact"/>
              <w:rPr>
                <w:sz w:val="20"/>
                <w:szCs w:val="20"/>
                <w:color w:val="auto"/>
              </w:rPr>
            </w:pPr>
            <w:r>
              <w:rPr>
                <w:rFonts w:ascii="Arial" w:cs="Arial" w:eastAsia="Arial" w:hAnsi="Arial"/>
                <w:sz w:val="14"/>
                <w:szCs w:val="14"/>
                <w:b w:val="1"/>
                <w:bCs w:val="1"/>
                <w:color w:val="auto"/>
                <w:w w:val="97"/>
              </w:rPr>
              <w:t>Market Value of Shares or Units of</w:t>
            </w:r>
          </w:p>
        </w:tc>
        <w:tc>
          <w:tcPr>
            <w:tcW w:w="0" w:type="dxa"/>
            <w:vAlign w:val="bottom"/>
          </w:tcPr>
          <w:p>
            <w:pPr>
              <w:spacing w:after="0"/>
              <w:rPr>
                <w:sz w:val="1"/>
                <w:szCs w:val="1"/>
                <w:color w:val="auto"/>
              </w:rPr>
            </w:pPr>
          </w:p>
        </w:tc>
      </w:tr>
      <w:tr>
        <w:trPr>
          <w:trHeight w:val="159"/>
        </w:trPr>
        <w:tc>
          <w:tcPr>
            <w:tcW w:w="1700" w:type="dxa"/>
            <w:vAlign w:val="bottom"/>
            <w:tcBorders>
              <w:bottom w:val="single" w:sz="8" w:color="auto"/>
            </w:tcBorders>
            <w:vMerge w:val="continue"/>
          </w:tcPr>
          <w:p>
            <w:pPr>
              <w:spacing w:after="0"/>
              <w:rPr>
                <w:sz w:val="13"/>
                <w:szCs w:val="13"/>
                <w:color w:val="auto"/>
              </w:rPr>
            </w:pPr>
          </w:p>
        </w:tc>
        <w:tc>
          <w:tcPr>
            <w:tcW w:w="3740" w:type="dxa"/>
            <w:vAlign w:val="bottom"/>
          </w:tcPr>
          <w:p>
            <w:pPr>
              <w:spacing w:after="0"/>
              <w:rPr>
                <w:sz w:val="13"/>
                <w:szCs w:val="13"/>
                <w:color w:val="auto"/>
              </w:rPr>
            </w:pPr>
          </w:p>
        </w:tc>
        <w:tc>
          <w:tcPr>
            <w:tcW w:w="2300" w:type="dxa"/>
            <w:vAlign w:val="bottom"/>
            <w:gridSpan w:val="2"/>
          </w:tcPr>
          <w:p>
            <w:pPr>
              <w:jc w:val="right"/>
              <w:ind w:right="480"/>
              <w:spacing w:after="0" w:line="154" w:lineRule="exact"/>
              <w:rPr>
                <w:sz w:val="20"/>
                <w:szCs w:val="20"/>
                <w:color w:val="auto"/>
              </w:rPr>
            </w:pPr>
            <w:r>
              <w:rPr>
                <w:rFonts w:ascii="Arial" w:cs="Arial" w:eastAsia="Arial" w:hAnsi="Arial"/>
                <w:sz w:val="14"/>
                <w:szCs w:val="14"/>
                <w:b w:val="1"/>
                <w:bCs w:val="1"/>
                <w:color w:val="auto"/>
                <w:w w:val="96"/>
              </w:rPr>
              <w:t>Stock That Have Not Vested</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jc w:val="right"/>
              <w:ind w:right="96"/>
              <w:spacing w:after="0" w:line="154" w:lineRule="exact"/>
              <w:rPr>
                <w:sz w:val="20"/>
                <w:szCs w:val="20"/>
                <w:color w:val="auto"/>
              </w:rPr>
            </w:pPr>
            <w:r>
              <w:rPr>
                <w:rFonts w:ascii="Arial" w:cs="Arial" w:eastAsia="Arial" w:hAnsi="Arial"/>
                <w:sz w:val="14"/>
                <w:szCs w:val="14"/>
                <w:b w:val="1"/>
                <w:bCs w:val="1"/>
                <w:color w:val="auto"/>
                <w:w w:val="95"/>
              </w:rPr>
              <w:t>Stock That Have Not Vested(3)</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Melissa B. Fisher</w:t>
            </w:r>
          </w:p>
        </w:tc>
        <w:tc>
          <w:tcPr>
            <w:tcW w:w="3740" w:type="dxa"/>
            <w:vAlign w:val="bottom"/>
            <w:vMerge w:val="restart"/>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3740" w:type="dxa"/>
            <w:vAlign w:val="bottom"/>
            <w:vMerge w:val="continue"/>
            <w:shd w:val="clear" w:color="auto" w:fill="CCEEFF"/>
          </w:tcPr>
          <w:p>
            <w:pPr>
              <w:spacing w:after="0"/>
              <w:rPr>
                <w:sz w:val="16"/>
                <w:szCs w:val="16"/>
                <w:color w:val="auto"/>
              </w:rPr>
            </w:pPr>
          </w:p>
        </w:tc>
        <w:tc>
          <w:tcPr>
            <w:tcW w:w="23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31,707(1)</w:t>
            </w:r>
          </w:p>
        </w:tc>
        <w:tc>
          <w:tcPr>
            <w:tcW w:w="1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21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1,003,527</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Amer S. Deeba</w:t>
            </w:r>
          </w:p>
        </w:tc>
        <w:tc>
          <w:tcPr>
            <w:tcW w:w="60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17,340(2)</w:t>
            </w:r>
          </w:p>
        </w:tc>
        <w:tc>
          <w:tcPr>
            <w:tcW w:w="1540" w:type="dxa"/>
            <w:vAlign w:val="bottom"/>
            <w:gridSpan w:val="2"/>
          </w:tcPr>
          <w:p>
            <w:pPr>
              <w:ind w:left="1420"/>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548,811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60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13,873(2)</w:t>
            </w:r>
          </w:p>
        </w:tc>
        <w:tc>
          <w:tcPr>
            <w:tcW w:w="154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color w:val="auto"/>
                <w:w w:val="99"/>
              </w:rPr>
              <w:t>$</w:t>
            </w:r>
          </w:p>
        </w:tc>
        <w:tc>
          <w:tcPr>
            <w:tcW w:w="21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439,080</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6040" w:type="dxa"/>
            <w:vAlign w:val="bottom"/>
            <w:gridSpan w:val="3"/>
          </w:tcPr>
          <w:p>
            <w:pPr>
              <w:jc w:val="right"/>
              <w:ind w:right="220"/>
              <w:spacing w:after="0"/>
              <w:rPr>
                <w:sz w:val="20"/>
                <w:szCs w:val="20"/>
                <w:color w:val="auto"/>
              </w:rPr>
            </w:pPr>
            <w:r>
              <w:rPr>
                <w:rFonts w:ascii="Arial" w:cs="Arial" w:eastAsia="Arial" w:hAnsi="Arial"/>
                <w:sz w:val="18"/>
                <w:szCs w:val="18"/>
                <w:color w:val="auto"/>
              </w:rPr>
              <w:t>52,019(2)</w:t>
            </w:r>
          </w:p>
        </w:tc>
        <w:tc>
          <w:tcPr>
            <w:tcW w:w="1540" w:type="dxa"/>
            <w:vAlign w:val="bottom"/>
            <w:gridSpan w:val="2"/>
          </w:tcPr>
          <w:p>
            <w:pPr>
              <w:ind w:left="142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1,646,401</w:t>
            </w:r>
          </w:p>
        </w:tc>
        <w:tc>
          <w:tcPr>
            <w:tcW w:w="0" w:type="dxa"/>
            <w:vAlign w:val="bottom"/>
          </w:tcPr>
          <w:p>
            <w:pPr>
              <w:spacing w:after="0"/>
              <w:rPr>
                <w:sz w:val="1"/>
                <w:szCs w:val="1"/>
                <w:color w:val="auto"/>
              </w:rPr>
            </w:pPr>
          </w:p>
        </w:tc>
      </w:tr>
      <w:tr>
        <w:trPr>
          <w:trHeight w:val="332"/>
        </w:trPr>
        <w:tc>
          <w:tcPr>
            <w:tcW w:w="1700" w:type="dxa"/>
            <w:vAlign w:val="bottom"/>
          </w:tcPr>
          <w:p>
            <w:pPr>
              <w:spacing w:after="0"/>
              <w:rPr>
                <w:sz w:val="24"/>
                <w:szCs w:val="24"/>
                <w:color w:val="auto"/>
              </w:rPr>
            </w:pPr>
          </w:p>
        </w:tc>
        <w:tc>
          <w:tcPr>
            <w:tcW w:w="5620" w:type="dxa"/>
            <w:vAlign w:val="bottom"/>
            <w:gridSpan w:val="2"/>
          </w:tcPr>
          <w:p>
            <w:pPr>
              <w:jc w:val="right"/>
              <w:ind w:right="1426"/>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37" w:name="page38"/>
    <w:bookmarkEnd w:id="37"/>
    <w:p>
      <w:pPr>
        <w:ind w:left="460" w:right="300" w:hanging="452"/>
        <w:spacing w:after="0" w:line="24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t>RSUs were awarded under the 2012 Plan. Twenty-five percent (25%) of the RSUs will vest on May 1, 2017 and the remaining RSUs shall vest quarterly thereafter.</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were awarded under the 2012 Plan. The RSUs will vest quarterly in equal installments over four years after May 1, 2016.</w:t>
      </w:r>
    </w:p>
    <w:p>
      <w:pPr>
        <w:ind w:left="460" w:right="200" w:hanging="452"/>
        <w:spacing w:after="0" w:line="30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Market value of shares or units of stock that have not vested is computed by multiplying (i) $31.65, the closing price on the NASDAQ Stock Market of our common stock on December 30, 2016, the last business day of fiscal 2016, by (ii) the number of shares or units of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2016</w:t>
      </w:r>
    </w:p>
    <w:p>
      <w:pPr>
        <w:spacing w:after="0" w:line="79" w:lineRule="exact"/>
        <w:rPr>
          <w:sz w:val="20"/>
          <w:szCs w:val="20"/>
          <w:color w:val="auto"/>
        </w:rPr>
      </w:pPr>
    </w:p>
    <w:p>
      <w:pPr>
        <w:ind w:right="680" w:firstLine="456"/>
        <w:spacing w:after="0" w:line="269" w:lineRule="auto"/>
        <w:rPr>
          <w:sz w:val="20"/>
          <w:szCs w:val="20"/>
          <w:color w:val="auto"/>
        </w:rPr>
      </w:pPr>
      <w:r>
        <w:rPr>
          <w:rFonts w:ascii="Arial" w:cs="Arial" w:eastAsia="Arial" w:hAnsi="Arial"/>
          <w:sz w:val="18"/>
          <w:szCs w:val="18"/>
          <w:color w:val="auto"/>
        </w:rPr>
        <w:t>The following table sets forth the number of shares of common stock acquired during 2016 by our named executive officers upon the exercise of stock options and the vesting of restricted stock unit awards and the value realized upon such exercise or vesting.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6"/>
              </w:rPr>
              <w:t>Option Awards</w:t>
            </w:r>
          </w:p>
        </w:tc>
        <w:tc>
          <w:tcPr>
            <w:tcW w:w="6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7"/>
              </w:rPr>
              <w:t>Stock Awards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400" w:type="dxa"/>
            <w:vAlign w:val="bottom"/>
            <w:gridSpan w:val="2"/>
          </w:tcPr>
          <w:p>
            <w:pPr>
              <w:jc w:val="center"/>
              <w:ind w:right="600"/>
              <w:spacing w:after="0" w:line="123"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Value</w:t>
            </w:r>
          </w:p>
        </w:tc>
        <w:tc>
          <w:tcPr>
            <w:tcW w:w="1400" w:type="dxa"/>
            <w:vAlign w:val="bottom"/>
            <w:gridSpan w:val="2"/>
          </w:tcPr>
          <w:p>
            <w:pPr>
              <w:jc w:val="center"/>
              <w:ind w:right="600"/>
              <w:spacing w:after="0" w:line="123"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820" w:type="dxa"/>
            <w:vAlign w:val="bottom"/>
            <w:vMerge w:val="restart"/>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52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Realized on</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Acquired on</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40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6"/>
              </w:rPr>
              <w:t>Exercise (#)</w:t>
            </w:r>
          </w:p>
        </w:tc>
        <w:tc>
          <w:tcPr>
            <w:tcW w:w="152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 xml:space="preserve">Exercise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140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4"/>
              </w:rPr>
              <w:t>Vesting (#)</w:t>
            </w:r>
          </w:p>
        </w:tc>
        <w:tc>
          <w:tcPr>
            <w:tcW w:w="90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w w:val="99"/>
              </w:rPr>
              <w:t xml:space="preserve">Vesting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190"/>
        </w:trPr>
        <w:tc>
          <w:tcPr>
            <w:tcW w:w="6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8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5,542</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170,306</w:t>
            </w:r>
          </w:p>
        </w:tc>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6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39,034</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60,260</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45,843</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64,500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70,720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68,400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54,720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990</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31,215</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991</w:t>
            </w:r>
          </w:p>
        </w:tc>
        <w:tc>
          <w:tcPr>
            <w:tcW w:w="6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36,667</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40,800</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3,715</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117,134</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10,200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269,688</w:t>
            </w:r>
          </w:p>
        </w:tc>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3,716</w:t>
            </w:r>
          </w:p>
        </w:tc>
        <w:tc>
          <w:tcPr>
            <w:tcW w:w="6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137,492</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47,152</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52,320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47,680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43,360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150,000</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$ 2,691,000</w:t>
            </w: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62,425</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22,727</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371,359</w:t>
            </w:r>
          </w:p>
        </w:tc>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6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64,975</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592,750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127,273</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$ 2,671,460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46,620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23,000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552,690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16,838</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415,057</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329,250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327,000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329,250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334,250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331,250</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345,500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1,768</w:t>
            </w:r>
          </w:p>
        </w:tc>
        <w:tc>
          <w:tcPr>
            <w:tcW w:w="60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1,078</w:t>
            </w:r>
          </w:p>
        </w:tc>
        <w:tc>
          <w:tcPr>
            <w:tcW w:w="600" w:type="dxa"/>
            <w:vAlign w:val="bottom"/>
          </w:tcPr>
          <w:p>
            <w:pPr>
              <w:spacing w:after="0"/>
              <w:rPr>
                <w:sz w:val="17"/>
                <w:szCs w:val="17"/>
                <w:color w:val="auto"/>
              </w:rPr>
            </w:pPr>
          </w:p>
        </w:tc>
        <w:tc>
          <w:tcPr>
            <w:tcW w:w="14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C. McCauley</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30,500</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0" w:type="dxa"/>
            <w:vAlign w:val="bottom"/>
            <w:gridSpan w:val="2"/>
          </w:tcPr>
          <w:p>
            <w:pPr>
              <w:spacing w:after="0"/>
              <w:rPr>
                <w:sz w:val="20"/>
                <w:szCs w:val="20"/>
                <w:color w:val="auto"/>
              </w:rPr>
            </w:pPr>
            <w:r>
              <w:rPr>
                <w:rFonts w:ascii="Arial" w:cs="Arial" w:eastAsia="Arial" w:hAnsi="Arial"/>
                <w:sz w:val="18"/>
                <w:szCs w:val="18"/>
                <w:color w:val="auto"/>
              </w:rPr>
              <w:t>Donald C. McCauley</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48,232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41,480</w:t>
            </w:r>
          </w:p>
        </w:tc>
        <w:tc>
          <w:tcPr>
            <w:tcW w:w="60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2" w:lineRule="exact"/>
        <w:rPr>
          <w:sz w:val="20"/>
          <w:szCs w:val="20"/>
          <w:color w:val="auto"/>
        </w:rPr>
      </w:pPr>
    </w:p>
    <w:p>
      <w:pPr>
        <w:ind w:left="460" w:right="80" w:hanging="452"/>
        <w:spacing w:after="0" w:line="24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realized upon exercise is the difference between the fair value of our common stock on the day of exercise and the exercise price, multiplied by the number of shares acquired on exercise.</w:t>
      </w:r>
    </w:p>
    <w:p>
      <w:pPr>
        <w:spacing w:after="0" w:line="1" w:lineRule="exact"/>
        <w:rPr>
          <w:rFonts w:ascii="Arial" w:cs="Arial" w:eastAsia="Arial" w:hAnsi="Arial"/>
          <w:sz w:val="18"/>
          <w:szCs w:val="18"/>
          <w:color w:val="auto"/>
        </w:rPr>
      </w:pPr>
    </w:p>
    <w:p>
      <w:pPr>
        <w:ind w:left="460" w:right="160" w:hanging="452"/>
        <w:spacing w:after="0" w:line="24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realized upon vesting is the fair value of our common stock on the day of vesting, multiplied by the number of shares acquired on vesting.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1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Pension Benefits &amp; Nonqualified Deferred Compensation</w:t>
      </w:r>
    </w:p>
    <w:p>
      <w:pPr>
        <w:spacing w:after="0" w:line="79" w:lineRule="exact"/>
        <w:rPr>
          <w:sz w:val="20"/>
          <w:szCs w:val="20"/>
          <w:color w:val="auto"/>
        </w:rPr>
      </w:pPr>
    </w:p>
    <w:p>
      <w:pPr>
        <w:ind w:right="160" w:firstLine="456"/>
        <w:spacing w:after="0" w:line="269"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fiscal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Philippe F. Courtot</w:t>
      </w:r>
    </w:p>
    <w:p>
      <w:pPr>
        <w:spacing w:after="0" w:line="75" w:lineRule="exact"/>
        <w:rPr>
          <w:sz w:val="20"/>
          <w:szCs w:val="20"/>
          <w:color w:val="auto"/>
        </w:rPr>
      </w:pPr>
    </w:p>
    <w:p>
      <w:pPr>
        <w:ind w:right="120" w:firstLine="456"/>
        <w:spacing w:after="0" w:line="227" w:lineRule="auto"/>
        <w:rPr>
          <w:sz w:val="20"/>
          <w:szCs w:val="20"/>
          <w:color w:val="auto"/>
        </w:rPr>
      </w:pPr>
      <w:r>
        <w:rPr>
          <w:rFonts w:ascii="Arial" w:cs="Arial" w:eastAsia="Arial" w:hAnsi="Arial"/>
          <w:sz w:val="18"/>
          <w:szCs w:val="18"/>
          <w:color w:val="auto"/>
        </w:rPr>
        <w:t>Mr. Courtot was granted stock options on (i) February 6, 2014, covering 398,000 shares, with a vesting commencement date of January 25, 2015, and an exercise price per share of $26.86, and (ii) April 28, 2016, covering 500,000 shares, with a vesting commencement date of April 28, 2016, and an exercise price per share of $25.56. These options were each granted pursuant to our 2012 Plan and an individual stock option agreement thereunder. These options are scheduled to vest, subject to Mr. Courtot’s continued service,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for grant (i) and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for grant (ii). These options each provide that following a “change of control” (as defined in the respective stock option grant notice), Mr. Courtot receives 100% vesting acceleration of the option, subject to Mr. Courtot’s continued service through such transaction.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Melissa B. Fisher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Ms. Fisher’s offer letter agreement dated April 15, 2016, if, within 12 months following a “change in control” (as defined in the</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2012 Plan), Ms. Fisher’s employment is terminated by Qualys other than for “cause” (as defined in her related option agreement and her restricted stock unit agreement), death, or disability or she resigns for “good reason” (as defined in her related option agreement and her restricted stock unit agreement), then, in each case, 100% of the then-unvested shares subject to her option to purchase 67,911 shares of the company’s common stock and her award of 31,707 restricted stock units shall accelerate. In addition, if Ms. Fisher’s employment is terminated by Qualys without cause, she will be entitled to severance equal to six (6) months of her base salary and COBRA continuation coverage, subject to her entering into a severance agreement with and a general release of claims in favor of Qualys.</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 S. Deeba</w:t>
      </w:r>
    </w:p>
    <w:p>
      <w:pPr>
        <w:spacing w:after="0" w:line="75" w:lineRule="exact"/>
        <w:rPr>
          <w:sz w:val="20"/>
          <w:szCs w:val="20"/>
          <w:color w:val="auto"/>
        </w:rPr>
      </w:pPr>
    </w:p>
    <w:p>
      <w:pPr>
        <w:ind w:firstLine="456"/>
        <w:spacing w:after="0" w:line="233" w:lineRule="auto"/>
        <w:rPr>
          <w:sz w:val="20"/>
          <w:szCs w:val="20"/>
          <w:color w:val="auto"/>
        </w:rPr>
      </w:pPr>
      <w:r>
        <w:rPr>
          <w:rFonts w:ascii="Arial" w:cs="Arial" w:eastAsia="Arial" w:hAnsi="Arial"/>
          <w:sz w:val="18"/>
          <w:szCs w:val="18"/>
          <w:color w:val="auto"/>
        </w:rPr>
        <w:t>Mr. Deeba was granted a stock option on April 28, 2016 covering 45,300 shares, with a vesting commencement date of April 28, 2016 and an exercise price per share of $25.56. This option was granted pursuant to our 2012 Plan and an individual stock option agreement thereunder. The option is scheduled to vest, subject to Mr. Deeba’s continued service,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 If, within 12 months following a “change in control” (as defined in the 2012 Plan), Mr. Deeba’s employment is terminated without “cause” (as defined in his stock option grant notice) or Mr. Deeba resigns for “good reason” (as defined in his stock option grant notice), then, in each case, subject to the execution of a release of claims, he receives vesting acceleration of 50% of the then-unvested shares subject to the option.</w:t>
      </w:r>
    </w:p>
    <w:p>
      <w:pPr>
        <w:spacing w:after="0" w:line="129"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color w:val="auto"/>
        </w:rPr>
        <w:t>On April 28, 2016, Mr. Deeba was granted an award of 19,817 restricted stock units pursuant to our 2012 Plan and an individual restricted stock unit agreement thereunder. The award is scheduled to vest quarterly in equal installments over four years after May 1, 2016, subject to Mr. Deeba’s continued service. If, within 12 months following a “change in control” (as defined in the 2012 Plan), Mr. Deeba’s employment is terminated without “cause” (as defined in his restricted stock unit agreement) or Mr. Deeba resigns for “good reason” (as defined in his restricted stock unit agreement), then, in each case, subject to the execution of a release of claims, he receives vesting acceleration of 50% of the then-unvested portion of the award.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67" w:right="259" w:bottom="1440" w:gutter="0" w:footer="0" w:header="0"/>
        </w:sectPr>
      </w:pPr>
    </w:p>
    <w:bookmarkStart w:id="39" w:name="page40"/>
    <w:bookmarkEnd w:id="3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Bruce K. Posey</w:t>
      </w:r>
    </w:p>
    <w:p>
      <w:pPr>
        <w:spacing w:after="0" w:line="75" w:lineRule="exact"/>
        <w:rPr>
          <w:sz w:val="20"/>
          <w:szCs w:val="20"/>
          <w:color w:val="auto"/>
        </w:rPr>
      </w:pPr>
    </w:p>
    <w:p>
      <w:pPr>
        <w:ind w:right="120" w:firstLine="456"/>
        <w:spacing w:after="0" w:line="234" w:lineRule="auto"/>
        <w:rPr>
          <w:sz w:val="20"/>
          <w:szCs w:val="20"/>
          <w:color w:val="auto"/>
        </w:rPr>
      </w:pPr>
      <w:r>
        <w:rPr>
          <w:rFonts w:ascii="Arial" w:cs="Arial" w:eastAsia="Arial" w:hAnsi="Arial"/>
          <w:sz w:val="17"/>
          <w:szCs w:val="17"/>
          <w:color w:val="auto"/>
        </w:rPr>
        <w:t>Mr. Posey was granted stock options on (i) July 30, 2015, covering 50,000 shares with a vesting commencement date of May 21, 2016, and an exercise price per share of $37.28 and (ii) April 28, 2016, covering 36,300 shares with a vesting commencement date of April 28, 2016, and an exercise price per share of $25.56. These options were each granted pursuant to our 2012 Plan and an individual stock option agreement thereunder. These options are scheduled to vest, subject to Mr. Posey’s continued service, as to 1/24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respective vesting commencement date for grant (i) and as to 1/48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respective vesting commencement date for grant (ii). These options provide that upon a “change in control” (as defined in the 2012 Plan),</w:t>
      </w:r>
    </w:p>
    <w:p>
      <w:pPr>
        <w:spacing w:after="0" w:line="4"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Mr. Posey will receive 75% vesting acceleration of the then-unvested shares subject to the options, subject to his continued service through such transaction.</w:t>
      </w:r>
    </w:p>
    <w:p>
      <w:pPr>
        <w:spacing w:after="0" w:line="124"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On April 28, 2016, Mr. Posey was granted an award of 15,854 restricted stock units pursuant to our 2012 Plan and an individual restricted stock unit agreement thereunder. The award is scheduled to vest quarterly in equal installments over four years after May 1, 2016, subject to Mr. Posey’s continued service. Upon a “change in control” (as defined in the 2012 Plan), Mr. Posey will receive 75% vesting acceleration of the then-unvested portion of the award, subject to his continued service through such transaction.</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Sumedh S. Thakar</w:t>
      </w:r>
    </w:p>
    <w:p>
      <w:pPr>
        <w:spacing w:after="0" w:line="75" w:lineRule="exact"/>
        <w:rPr>
          <w:sz w:val="20"/>
          <w:szCs w:val="20"/>
          <w:color w:val="auto"/>
        </w:rPr>
      </w:pPr>
    </w:p>
    <w:p>
      <w:pPr>
        <w:ind w:firstLine="456"/>
        <w:spacing w:after="0" w:line="224" w:lineRule="auto"/>
        <w:rPr>
          <w:sz w:val="20"/>
          <w:szCs w:val="20"/>
          <w:color w:val="auto"/>
        </w:rPr>
      </w:pPr>
      <w:r>
        <w:rPr>
          <w:rFonts w:ascii="Arial" w:cs="Arial" w:eastAsia="Arial" w:hAnsi="Arial"/>
          <w:sz w:val="18"/>
          <w:szCs w:val="18"/>
          <w:color w:val="auto"/>
        </w:rPr>
        <w:t>Mr. Thakar was granted stock options on (i) August 1, 2014 covering 50,000 shares with a vesting commencement date of June 1, 2014 and an exercise price per share of $23.51, (ii) July 30, 2015 covering 50,000 shares with a vesting commencement date of July 30, 2015 and an exercise price per share of $37.28, and (iii) April 28, 2016, covering 136,000 shares with a vesting commencement date of April 28, 2016, and an exercise price per share of $25.56. These options were each granted pursuant to our 2012 Plan and an individual stock option agreement thereunder. These options are scheduled to vest, subject to Mr. Thakar’s continued service,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for grant (i),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for grant (ii), and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for grant (iii). These options provide that if, within 12 months following a “change in control” (as defined in the 2012 Plan), Mr. Thakar’s employment is terminated without “cause” (as defined in his stock option grant notice) or Mr. Thakar resigns for “good reason” (as defined in his stock option grant notice), then, in each case, subject to the execution of a release of claims, he receives vesting acceleration of 50% of the then-unvested shares subject to the applicable option.</w:t>
      </w:r>
    </w:p>
    <w:p>
      <w:pPr>
        <w:spacing w:after="0" w:line="137"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color w:val="auto"/>
        </w:rPr>
        <w:t>On April 28, 2016, Mr. Thakar was granted an award of 59,450 restricted stock units pursuant to our 2012 Plan and an individual restricted stock unit agreement thereunder. The award is scheduled to vest quarterly in equal installments over four years after May 1, 2016, subject to Mr. Thakar’s continued service. If, within 12 months following a “change in control” (as defined in the 2012 Plan), Mr. Thakar’s employment is terminated without “cause” (as defined in his restricted stock unit agreement) or Mr. Thakar resigns for “good reason” (as defined in his restricted stock unit agreement), then, in each case, subject to the execution of a release of claims, he receives vesting acceleration of 50% of the then-unvested portion of the award.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79"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30, 2016 (the last business day of fiscal 2016) and based on the $31.65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1" w:right="239" w:bottom="1440" w:gutter="0" w:footer="0" w:header="0"/>
        </w:sectPr>
      </w:pPr>
    </w:p>
    <w:bookmarkStart w:id="40" w:name="page41"/>
    <w:bookmarkEnd w:id="40"/>
    <w:p>
      <w:pP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30, 2016, the price per share of our common stock on the date of the triggering event may be higher or lower than $31.65, or the assumptions relied upon in the estimate of potential payments and benefits below may not reflect the actual circumstances of the triggering event. Accordingly, there is no guarantee that a triggering event would produce the same or similar results as those estimated below. Mr. McCauley is not included in the following table because he resigned from the Company effective March 1, 2016 and did not receive any severance payments or other benefits in connection with the termination of his employment.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ind w:left="640"/>
              <w:spacing w:after="0"/>
              <w:rPr>
                <w:sz w:val="20"/>
                <w:szCs w:val="20"/>
                <w:color w:val="auto"/>
              </w:rPr>
            </w:pPr>
            <w:r>
              <w:rPr>
                <w:rFonts w:ascii="Arial" w:cs="Arial" w:eastAsia="Arial" w:hAnsi="Arial"/>
                <w:sz w:val="14"/>
                <w:szCs w:val="14"/>
                <w:b w:val="1"/>
                <w:bCs w:val="1"/>
                <w:color w:val="auto"/>
              </w:rPr>
              <w:t>Upon a Qualifying</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Termination of Employment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9"/>
              <w:spacing w:after="0" w:line="123" w:lineRule="exact"/>
              <w:rPr>
                <w:sz w:val="20"/>
                <w:szCs w:val="20"/>
                <w:color w:val="auto"/>
              </w:rPr>
            </w:pPr>
            <w:r>
              <w:rPr>
                <w:rFonts w:ascii="Arial" w:cs="Arial" w:eastAsia="Arial" w:hAnsi="Arial"/>
                <w:sz w:val="14"/>
                <w:szCs w:val="14"/>
                <w:b w:val="1"/>
                <w:bCs w:val="1"/>
                <w:color w:val="auto"/>
                <w:w w:val="95"/>
              </w:rPr>
              <w:t>Not in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In Connection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Upon Change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Connection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With a Change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With a Change</w:t>
            </w: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80" w:type="dxa"/>
            <w:vAlign w:val="bottom"/>
          </w:tcPr>
          <w:p>
            <w:pPr>
              <w:spacing w:after="0"/>
              <w:rPr>
                <w:sz w:val="12"/>
                <w:szCs w:val="12"/>
                <w:color w:val="auto"/>
              </w:rPr>
            </w:pPr>
          </w:p>
        </w:tc>
        <w:tc>
          <w:tcPr>
            <w:tcW w:w="26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Type of Benefit</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of Control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of Control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of Control</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26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5"/>
              <w:spacing w:after="0" w:line="154" w:lineRule="exact"/>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7"/>
              <w:spacing w:after="0" w:line="154" w:lineRule="exact"/>
              <w:rPr>
                <w:sz w:val="20"/>
                <w:szCs w:val="20"/>
                <w:color w:val="auto"/>
              </w:rPr>
            </w:pPr>
            <w:r>
              <w:rPr>
                <w:rFonts w:ascii="Arial" w:cs="Arial" w:eastAsia="Arial" w:hAnsi="Arial"/>
                <w:sz w:val="14"/>
                <w:szCs w:val="14"/>
                <w:b w:val="1"/>
                <w:bCs w:val="1"/>
                <w:color w:val="auto"/>
                <w:w w:val="99"/>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28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Vesting Acceleration</w:t>
            </w: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2,616,939</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Total Termination Benefits:</w:t>
            </w:r>
          </w:p>
        </w:tc>
        <w:tc>
          <w:tcPr>
            <w:tcW w:w="4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2,616,939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Melissa B. Fisher</w:t>
            </w:r>
          </w:p>
        </w:tc>
        <w:tc>
          <w:tcPr>
            <w:tcW w:w="22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1,417,105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Base Salary Severance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162,500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162,500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COBRA Coverage</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Total Termination Benefits: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167,156</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Amer S. Deeba</w:t>
            </w:r>
          </w:p>
        </w:tc>
        <w:tc>
          <w:tcPr>
            <w:tcW w:w="22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389,354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Total Termination Benefits: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Bruce K. Posey</w:t>
            </w:r>
          </w:p>
        </w:tc>
        <w:tc>
          <w:tcPr>
            <w:tcW w:w="22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467,477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Total Termination Benefits: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467,477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Sumedh S. Thakar</w:t>
            </w:r>
          </w:p>
        </w:tc>
        <w:tc>
          <w:tcPr>
            <w:tcW w:w="22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Vesting Acceleration</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1,168,303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Total Termination Benefits: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460" w:right="80" w:hanging="452"/>
        <w:spacing w:after="0" w:line="27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listed represent the vesting acceleration benefits described above in the section entitled “</w:t>
      </w:r>
      <w:r>
        <w:rPr>
          <w:rFonts w:ascii="Arial" w:cs="Arial" w:eastAsia="Arial" w:hAnsi="Arial"/>
          <w:sz w:val="16"/>
          <w:szCs w:val="16"/>
          <w:i w:val="1"/>
          <w:iCs w:val="1"/>
          <w:color w:val="auto"/>
        </w:rPr>
        <w:t>Potential Payments upon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or Change in Control</w:t>
      </w:r>
      <w:r>
        <w:rPr>
          <w:rFonts w:ascii="Arial" w:cs="Arial" w:eastAsia="Arial" w:hAnsi="Arial"/>
          <w:sz w:val="16"/>
          <w:szCs w:val="16"/>
          <w:color w:val="auto"/>
        </w:rPr>
        <w:t>” as of December 30, 2016. For restricted stock units, the value of such vesting acceleration is computed by multiplying</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the number of restricted stock units that are being accelerated by (ii) the closing sales price of our common stock on December 30, 2016</w:t>
      </w:r>
    </w:p>
    <w:p>
      <w:pPr>
        <w:spacing w:after="0" w:line="19" w:lineRule="exact"/>
        <w:rPr>
          <w:sz w:val="20"/>
          <w:szCs w:val="20"/>
          <w:color w:val="auto"/>
        </w:rPr>
      </w:pPr>
    </w:p>
    <w:p>
      <w:pPr>
        <w:jc w:val="both"/>
        <w:ind w:left="460"/>
        <w:spacing w:after="0" w:line="239" w:lineRule="auto"/>
        <w:rPr>
          <w:sz w:val="20"/>
          <w:szCs w:val="20"/>
          <w:color w:val="auto"/>
        </w:rPr>
      </w:pPr>
      <w:r>
        <w:rPr>
          <w:rFonts w:ascii="Arial" w:cs="Arial" w:eastAsia="Arial" w:hAnsi="Arial"/>
          <w:sz w:val="18"/>
          <w:szCs w:val="18"/>
          <w:color w:val="auto"/>
        </w:rPr>
        <w:t>($31.65). For options, the value of such vesting acceleration is computed by multiplying (i) the number of shares subject to the option that are being accelerated by (ii) the difference between the closing sales price of our common stock on December 30, 2016 ($31.65) and the option’s exercise price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9" w:right="239" w:bottom="1440" w:gutter="0" w:footer="0" w:header="0"/>
        </w:sectPr>
      </w:pPr>
    </w:p>
    <w:bookmarkStart w:id="41" w:name="page42"/>
    <w:bookmarkEnd w:id="41"/>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7, 2017 for:</w:t>
      </w:r>
    </w:p>
    <w:p>
      <w:pPr>
        <w:spacing w:after="0" w:line="7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158"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24"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Applicable percentage ownership is based on 37,029,267 shares of common stock outstanding at April 7, 2017.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7, 2017. However, we did not deem such shares outstanding for the purpose of computing the percentage ownership of any other person.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1600 Bridge Parkway, Redwood City, California 94065.</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Shares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240" w:type="dxa"/>
            <w:vAlign w:val="bottom"/>
            <w:vMerge w:val="restart"/>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0" w:type="dxa"/>
            <w:vAlign w:val="bottom"/>
          </w:tcPr>
          <w:p>
            <w:pPr>
              <w:spacing w:after="0"/>
              <w:rPr>
                <w:sz w:val="1"/>
                <w:szCs w:val="1"/>
                <w:color w:val="auto"/>
              </w:rPr>
            </w:pPr>
          </w:p>
        </w:tc>
      </w:tr>
      <w:tr>
        <w:trPr>
          <w:trHeight w:val="174"/>
        </w:trPr>
        <w:tc>
          <w:tcPr>
            <w:tcW w:w="178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1580" w:type="dxa"/>
            <w:vAlign w:val="bottom"/>
            <w:gridSpan w:val="2"/>
          </w:tcPr>
          <w:p>
            <w:pPr>
              <w:jc w:val="center"/>
              <w:ind w:right="760"/>
              <w:spacing w:after="0" w:line="154" w:lineRule="exact"/>
              <w:rPr>
                <w:sz w:val="20"/>
                <w:szCs w:val="20"/>
                <w:color w:val="auto"/>
              </w:rPr>
            </w:pPr>
            <w:r>
              <w:rPr>
                <w:rFonts w:ascii="Arial" w:cs="Arial" w:eastAsia="Arial" w:hAnsi="Arial"/>
                <w:sz w:val="14"/>
                <w:szCs w:val="14"/>
                <w:b w:val="1"/>
                <w:bCs w:val="1"/>
                <w:color w:val="auto"/>
                <w:w w:val="98"/>
              </w:rPr>
              <w:t>Owned</w:t>
            </w:r>
          </w:p>
        </w:tc>
        <w:tc>
          <w:tcPr>
            <w:tcW w:w="98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8"/>
              </w:rPr>
              <w:t>Owned</w:t>
            </w:r>
          </w:p>
        </w:tc>
        <w:tc>
          <w:tcPr>
            <w:tcW w:w="0" w:type="dxa"/>
            <w:vAlign w:val="bottom"/>
          </w:tcPr>
          <w:p>
            <w:pPr>
              <w:spacing w:after="0"/>
              <w:rPr>
                <w:sz w:val="1"/>
                <w:szCs w:val="1"/>
                <w:color w:val="auto"/>
              </w:rPr>
            </w:pPr>
          </w:p>
        </w:tc>
      </w:tr>
      <w:tr>
        <w:trPr>
          <w:trHeight w:val="176"/>
        </w:trPr>
        <w:tc>
          <w:tcPr>
            <w:tcW w:w="7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Named Executive Officers:</w:t>
            </w:r>
          </w:p>
        </w:tc>
        <w:tc>
          <w:tcPr>
            <w:tcW w:w="8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Philippe F. Courtot (1)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6,452,885</w:t>
            </w:r>
          </w:p>
        </w:tc>
        <w:tc>
          <w:tcPr>
            <w:tcW w:w="7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Amer S. Deeba (2)</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282,243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Melissa B. Fisher (3)</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26,319</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Bruce K. Posey (4)</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138,066</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Sumedh S. Thakar (5)</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449,554</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C. McCauley (6)</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160,733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Sandra E. Bergeron (7)</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204,673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Donald R. Dixon (8)</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401,921</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Jeffrey P. Hank (9)</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87,173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Todd P. Headley (10)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4,714</w:t>
            </w:r>
          </w:p>
        </w:tc>
        <w:tc>
          <w:tcPr>
            <w:tcW w:w="74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Gen. Peter Pace (11)</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100,673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Kristi M. Rogers (12)</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51,173</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All directors and current executive officers as a group (11 persons) (13)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8,199,394</w:t>
            </w:r>
          </w:p>
        </w:tc>
        <w:tc>
          <w:tcPr>
            <w:tcW w:w="7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BlackRock, Inc. (14)</w:t>
            </w: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3,115,407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8" w:lineRule="exact"/>
        <w:rPr>
          <w:sz w:val="20"/>
          <w:szCs w:val="20"/>
          <w:color w:val="auto"/>
        </w:rPr>
      </w:pPr>
    </w:p>
    <w:p>
      <w:pPr>
        <w:jc w:val="both"/>
        <w:ind w:left="460" w:right="160" w:hanging="452"/>
        <w:spacing w:after="0" w:line="23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5,237,542 shares of common stock held by Mr. Courtot, (ii) 1,115,343 shares of common stock subject to options exercisable within 60 days of April 7, 2017, and (iii) 100,000 shares of common stock held by Freya Anne Eduarte as custodian under the Uniform Gifts to Minors Act for Mr. Courtot’s minor child.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7" w:right="239" w:bottom="1440" w:gutter="0" w:footer="0" w:header="0"/>
        </w:sectPr>
      </w:pPr>
    </w:p>
    <w:bookmarkStart w:id="42" w:name="page43"/>
    <w:bookmarkEnd w:id="42"/>
    <w:p>
      <w:pPr>
        <w:ind w:left="452" w:right="100" w:hanging="452"/>
        <w:spacing w:after="0" w:line="278"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(i) 41,736 shares of common stock held by Mr. Deeba, (ii) 1,239 shares of common stock subject to restricted stock units that vest within 60 days of April 7, 2017, and (iii) 239,268 shares of common stock subject to options exercisable within 60 days of April 7, 2017.</w:t>
      </w:r>
    </w:p>
    <w:p>
      <w:pPr>
        <w:ind w:left="452" w:right="40"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(i) 7,927 shares of common stock subject to restricted stock units that vest within 60 days of April 7, 2017, and (ii) 18,392 shares of common stock subject to options exercisable within 60 days of April 7, 2017.</w:t>
      </w:r>
    </w:p>
    <w:p>
      <w:pPr>
        <w:spacing w:after="0" w:line="1" w:lineRule="exact"/>
        <w:rPr>
          <w:rFonts w:ascii="Arial" w:cs="Arial" w:eastAsia="Arial" w:hAnsi="Arial"/>
          <w:sz w:val="18"/>
          <w:szCs w:val="18"/>
          <w:color w:val="auto"/>
        </w:rPr>
      </w:pPr>
    </w:p>
    <w:p>
      <w:pPr>
        <w:ind w:left="452" w:right="220" w:hanging="452"/>
        <w:spacing w:after="0" w:line="264"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(i) 2,244 shares of common stock held by Mr. Posey, (ii) 991 shares of common stock subject to restricted stock units that vest within 60 days of April 7, 2017, and (iii) 134,831 shares of common stock subject to options exercisable within 60 days of April 7, 2017.</w:t>
      </w:r>
    </w:p>
    <w:p>
      <w:pPr>
        <w:ind w:left="452" w:hanging="452"/>
        <w:spacing w:after="0" w:line="264"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(i) 1,472 shares of common stock held by Mr. Thakar, (ii) 3,716 shares of common stock subject to restricted stock units that vest within 60 days of April 7, 2017, and (iii) 444,366 shares of common stock subject to options exercisable within 60 days of April 7, 2017.</w:t>
      </w:r>
    </w:p>
    <w:p>
      <w:pPr>
        <w:ind w:left="452"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McCauley left Qualys on March 1, 2016. We have provided his ownership information based on the last information known to us.</w:t>
      </w:r>
    </w:p>
    <w:p>
      <w:pPr>
        <w:jc w:val="both"/>
        <w:ind w:left="452" w:hanging="452"/>
        <w:spacing w:after="0" w:line="264"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(i) 22,500 shares of common stock held by Ms. Bergeron, (ii) 90,000 shares of common stock held by the Bergeron Family Trust dtd 11/15/2004, for which Ms. Bergeron serves as trustee, (iii) 50,000 shares of common stock held by DBG Investments Inc., an investment company solely owned by the spouse of Ms. Bergeron, (iv) 6,173 shares of common stock subject to restricted stock units that vest within 60 days of April 7, 2017, and (v) 36,000 shares of common stock subject to options exercisable within 60 days of April 7, 2017.</w:t>
      </w:r>
    </w:p>
    <w:p>
      <w:pPr>
        <w:ind w:left="452" w:right="80"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(i) 193,391 shares of common stock held by Mr. Dixon, (ii) 165,074 shares of common stock held by the Donald &amp; Elizabeth Dixon Family Limited Partnership, for which Mr. Dixon and his spouse serve as general partners, (iii) 1,283 shares of common stock held by the Dixon Family Trust U/A Dated 6/18/88, for which Mr. Dixon serves as trustee, (iv) 6,173 shares of common stock subject to restricted stock units that vest within 60 days of April 7, 2017, and (v) 36,000 shares of common stock subject to options exercisable within 60 days of April 7, 2017.</w:t>
      </w:r>
    </w:p>
    <w:p>
      <w:pPr>
        <w:spacing w:after="0" w:line="3" w:lineRule="exact"/>
        <w:rPr>
          <w:rFonts w:ascii="Arial" w:cs="Arial" w:eastAsia="Arial" w:hAnsi="Arial"/>
          <w:sz w:val="18"/>
          <w:szCs w:val="18"/>
          <w:color w:val="auto"/>
        </w:rPr>
      </w:pPr>
    </w:p>
    <w:p>
      <w:pPr>
        <w:ind w:left="452" w:right="40"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(i) 6,173 shares of common stock subject to restricted stock units that vest within 60 days of April 7, 2017, and (ii) 81,000 shares of common stock subject to options exercisable within 60 days of April 7, 2017.</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4,714 shares of common stock held by Mr. Headley.</w:t>
      </w:r>
    </w:p>
    <w:p>
      <w:pPr>
        <w:ind w:left="452" w:right="200" w:hanging="452"/>
        <w:spacing w:after="0" w:line="264"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(i) 36,000 shares of common stock held by Gen. Pace, (ii) 6,173 shares of common stock subject to restricted stock units that vest within 60 days of April 7, 2017, and (iii) 58,500 shares of common stock subject to options exercisable within 60 days of April 7, 2017.</w:t>
      </w:r>
    </w:p>
    <w:p>
      <w:pPr>
        <w:ind w:left="452" w:right="40"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(i) 6,173 shares of common stock subject to restricted stock units that vest within 60 days of April 7, 2017, and (ii) 45,000 shares of common stock subject to options exercisable within 60 days of April 7, 2017.</w:t>
      </w:r>
    </w:p>
    <w:p>
      <w:pPr>
        <w:spacing w:after="0" w:line="1" w:lineRule="exact"/>
        <w:rPr>
          <w:rFonts w:ascii="Arial" w:cs="Arial" w:eastAsia="Arial" w:hAnsi="Arial"/>
          <w:sz w:val="18"/>
          <w:szCs w:val="18"/>
          <w:color w:val="auto"/>
        </w:rPr>
      </w:pPr>
    </w:p>
    <w:p>
      <w:pPr>
        <w:ind w:left="452" w:right="500" w:hanging="452"/>
        <w:spacing w:after="0" w:line="23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 44,738 shares of common stock subject to restricted stock units that vest within 60 days of April 7, 2017, and (ii) 2,208,700 shares of common stock subject to options exercisable within 60 days of April 7, 2017.</w:t>
      </w:r>
    </w:p>
    <w:p>
      <w:pPr>
        <w:spacing w:after="0" w:line="1" w:lineRule="exact"/>
        <w:rPr>
          <w:rFonts w:ascii="Arial" w:cs="Arial" w:eastAsia="Arial" w:hAnsi="Arial"/>
          <w:sz w:val="18"/>
          <w:szCs w:val="18"/>
          <w:color w:val="auto"/>
        </w:rPr>
      </w:pPr>
    </w:p>
    <w:p>
      <w:pPr>
        <w:ind w:left="452" w:right="40" w:hanging="452"/>
        <w:spacing w:after="0" w:line="24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According to a Schedule 13G filed on January 30, 2017, BlackRock, Inc. BlackRock, Inc. beneficially owns 3,115,407 shares of our common stock. The principal address of BlackRock, Inc. is 55 East 52nd Street, New York, NY 10055.</w:t>
      </w:r>
    </w:p>
    <w:p>
      <w:pPr>
        <w:spacing w:after="0" w:line="1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52"/>
          </w:cols>
          <w:pgMar w:left="248" w:top="269" w:right="2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160" w:lineRule="exact"/>
        <w:rPr>
          <w:sz w:val="20"/>
          <w:szCs w:val="20"/>
          <w:color w:val="auto"/>
        </w:rPr>
      </w:pPr>
    </w:p>
    <w:p>
      <w:pPr>
        <w:ind w:right="440" w:firstLine="456"/>
        <w:spacing w:after="0" w:line="269"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22"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76" w:lineRule="exact"/>
        <w:rPr>
          <w:rFonts w:ascii="Arial" w:cs="Arial" w:eastAsia="Arial" w:hAnsi="Arial"/>
          <w:sz w:val="18"/>
          <w:szCs w:val="18"/>
          <w:color w:val="auto"/>
        </w:rPr>
      </w:pPr>
    </w:p>
    <w:p>
      <w:pPr>
        <w:ind w:left="900" w:right="180" w:hanging="325"/>
        <w:spacing w:after="0" w:line="26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03" w:lineRule="exact"/>
        <w:rPr>
          <w:sz w:val="20"/>
          <w:szCs w:val="20"/>
          <w:color w:val="auto"/>
        </w:rPr>
      </w:pPr>
    </w:p>
    <w:p>
      <w:pPr>
        <w:ind w:firstLine="456"/>
        <w:spacing w:after="0" w:line="269"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79" w:lineRule="exact"/>
        <w:rPr>
          <w:sz w:val="20"/>
          <w:szCs w:val="20"/>
          <w:color w:val="auto"/>
        </w:rPr>
      </w:pPr>
    </w:p>
    <w:p>
      <w:pPr>
        <w:ind w:right="260" w:firstLine="456"/>
        <w:spacing w:after="0" w:line="269" w:lineRule="auto"/>
        <w:rPr>
          <w:sz w:val="20"/>
          <w:szCs w:val="20"/>
          <w:color w:val="auto"/>
        </w:rPr>
      </w:pPr>
      <w:r>
        <w:rPr>
          <w:rFonts w:ascii="Arial" w:cs="Arial" w:eastAsia="Arial" w:hAnsi="Arial"/>
          <w:sz w:val="18"/>
          <w:szCs w:val="18"/>
          <w:color w:val="auto"/>
        </w:rPr>
        <w:t>In addition to the offer letter agreements discussed in the section titled “Executive Compensation—Executive Employment Arrangements,” we have entered into offer letter agreements with the following individuals.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79"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Nicolas Courtot, son of Philippe F. Courtot, our Chairman, President and Chief Executive Officer, was employed by us during fiscal 2016 as a Creative Director. During fiscal 2016, Nicolas Courtot earned total compensation of $194,709, consisting of base salary and bonus compensation. In addition, Nicolas Courtot participated in our employee benefit plans and arrangements which are generally made available to other employees at his level, including employee stock options, health, vacation, Section 401(k) retirement savings plans and insurance plans. The compensation of Nicolas Courtot was established in accordance with our employment and compensation practices applicable to employees with equivalent qualifications, experience and responsibilities. In addition, a member of Philippe F. Courtot’s household is employed by us as a New Media Designer and, in 2016, such member of Mr. Courtot’s household received less than $120,000 in total compensation.</w:t>
      </w:r>
    </w:p>
    <w:p>
      <w:pPr>
        <w:spacing w:after="0" w:line="131" w:lineRule="exact"/>
        <w:rPr>
          <w:sz w:val="20"/>
          <w:szCs w:val="20"/>
          <w:color w:val="auto"/>
        </w:rPr>
      </w:pPr>
    </w:p>
    <w:p>
      <w:pPr>
        <w:ind w:right="20" w:firstLine="456"/>
        <w:spacing w:after="0" w:line="269"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79" w:lineRule="exact"/>
        <w:rPr>
          <w:sz w:val="20"/>
          <w:szCs w:val="20"/>
          <w:color w:val="auto"/>
        </w:rPr>
      </w:pPr>
    </w:p>
    <w:p>
      <w:pPr>
        <w:ind w:right="120" w:firstLine="456"/>
        <w:spacing w:after="0" w:line="269"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03" w:lineRule="exact"/>
        <w:rPr>
          <w:sz w:val="20"/>
          <w:szCs w:val="20"/>
          <w:color w:val="auto"/>
        </w:rPr>
      </w:pPr>
    </w:p>
    <w:p>
      <w:pPr>
        <w:ind w:right="60" w:firstLine="456"/>
        <w:spacing w:after="0" w:line="275" w:lineRule="auto"/>
        <w:rPr>
          <w:sz w:val="20"/>
          <w:szCs w:val="20"/>
          <w:color w:val="auto"/>
        </w:rPr>
      </w:pPr>
      <w:r>
        <w:rPr>
          <w:rFonts w:ascii="Arial" w:cs="Arial" w:eastAsia="Arial" w:hAnsi="Arial"/>
          <w:sz w:val="16"/>
          <w:szCs w:val="16"/>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are/is not permitted to enter into a related party transaction with us without the consent of our audit committee.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7"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79"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18" w:lineRule="exact"/>
        <w:rPr>
          <w:sz w:val="20"/>
          <w:szCs w:val="20"/>
          <w:color w:val="auto"/>
        </w:rPr>
      </w:pPr>
    </w:p>
    <w:p>
      <w:pPr>
        <w:ind w:right="200" w:firstLine="456"/>
        <w:spacing w:after="0" w:line="252"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2016, all Section 16(a) filing requirements were satisfied on a timely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Annual Report and SEC Filings</w:t>
      </w:r>
    </w:p>
    <w:p>
      <w:pPr>
        <w:spacing w:after="0" w:line="79"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Our financial statements for the year ended December 31, 2016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1600 Bridge Parkway, Redwood City, California 94065.</w:t>
      </w:r>
    </w:p>
    <w:p>
      <w:pPr>
        <w:spacing w:after="0" w:line="124" w:lineRule="exact"/>
        <w:rPr>
          <w:sz w:val="20"/>
          <w:szCs w:val="20"/>
          <w:color w:val="auto"/>
        </w:rPr>
      </w:pPr>
    </w:p>
    <w:p>
      <w:pPr>
        <w:ind w:left="5220"/>
        <w:spacing w:after="0"/>
        <w:tabs>
          <w:tab w:leader="none" w:pos="56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58" w:lineRule="exact"/>
        <w:rPr>
          <w:sz w:val="20"/>
          <w:szCs w:val="20"/>
          <w:color w:val="auto"/>
        </w:rPr>
      </w:pPr>
    </w:p>
    <w:p>
      <w:pPr>
        <w:ind w:right="180" w:firstLine="456"/>
        <w:spacing w:after="0" w:line="252"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18" w:lineRule="exact"/>
        <w:rPr>
          <w:sz w:val="20"/>
          <w:szCs w:val="20"/>
          <w:color w:val="auto"/>
        </w:rPr>
      </w:pPr>
    </w:p>
    <w:p>
      <w:pPr>
        <w:jc w:val="both"/>
        <w:ind w:right="180" w:firstLine="456"/>
        <w:spacing w:after="0" w:line="252"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1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Redwood City, California</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24, 2017</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67"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Times New Roman" w:cs="Times New Roman" w:eastAsia="Times New Roman" w:hAnsi="Times New Roman"/>
                <w:sz w:val="14"/>
                <w:szCs w:val="14"/>
                <w:color w:val="FFFFFF"/>
                <w:w w:val="99"/>
              </w:rPr>
              <w:t>QUALYS, INC. 1600 BRIDGE PARKW Y REDWOOD CITY, CA 94065 Investor Address Line 1 Investor Address Line 2 Investor Address Line 3 Investor Address Line 4 Investor Address Line 5 John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Times New Roman" w:cs="Times New Roman" w:eastAsia="Times New Roman" w:hAnsi="Times New Roman"/>
                <w:sz w:val="3"/>
                <w:szCs w:val="3"/>
                <w:color w:val="FFFFFF"/>
              </w:rPr>
              <w:t>Sample 1234 ANYWHERE STREET ANY CITY, ON A1A 1A1 1 OF 2 1 1 VOTE BY INTERNET - www.proxyvote.com Use the Internet to transmit your voting instructions and for electronic delivery of</w:t>
            </w:r>
          </w:p>
        </w:tc>
        <w:tc>
          <w:tcPr>
            <w:tcW w:w="0" w:type="dxa"/>
            <w:vAlign w:val="bottom"/>
          </w:tcPr>
          <w:p>
            <w:pPr>
              <w:spacing w:after="0"/>
              <w:rPr>
                <w:sz w:val="1"/>
                <w:szCs w:val="1"/>
                <w:color w:val="auto"/>
              </w:rPr>
            </w:pPr>
          </w:p>
        </w:tc>
      </w:tr>
      <w:tr>
        <w:trPr>
          <w:trHeight w:val="41"/>
        </w:trPr>
        <w:tc>
          <w:tcPr>
            <w:tcW w:w="958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information up until 11:59 P.M. Eastern Time the day before the cut-off date or meeting date. Have your proxy card in hand when you access the web site and follow the</w:t>
            </w: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3"/>
                <w:szCs w:val="3"/>
                <w:color w:val="FFFFFF"/>
              </w:rPr>
              <w:t>to obtain your records and to</w:t>
            </w:r>
          </w:p>
        </w:tc>
        <w:tc>
          <w:tcPr>
            <w:tcW w:w="0" w:type="dxa"/>
            <w:vAlign w:val="bottom"/>
          </w:tcPr>
          <w:p>
            <w:pPr>
              <w:spacing w:after="0"/>
              <w:rPr>
                <w:sz w:val="1"/>
                <w:szCs w:val="1"/>
                <w:color w:val="auto"/>
              </w:rPr>
            </w:pPr>
          </w:p>
        </w:tc>
      </w:tr>
      <w:tr>
        <w:trPr>
          <w:trHeight w:val="41"/>
        </w:trPr>
        <w:tc>
          <w:tcPr>
            <w:tcW w:w="6600" w:type="dxa"/>
            <w:vAlign w:val="bottom"/>
          </w:tcPr>
          <w:p>
            <w:pPr>
              <w:ind w:left="60"/>
              <w:spacing w:after="0"/>
              <w:rPr>
                <w:sz w:val="20"/>
                <w:szCs w:val="20"/>
                <w:color w:val="auto"/>
              </w:rPr>
            </w:pPr>
            <w:r>
              <w:rPr>
                <w:rFonts w:ascii="Times New Roman" w:cs="Times New Roman" w:eastAsia="Times New Roman" w:hAnsi="Times New Roman"/>
                <w:sz w:val="3"/>
                <w:szCs w:val="3"/>
                <w:color w:val="FFFFFF"/>
              </w:rPr>
              <w:t>reate an electronic voting instruction form. ELECTRONIC DELIVERY OF FUTURE PROXY MATERIALS If you</w:t>
            </w:r>
          </w:p>
        </w:tc>
        <w:tc>
          <w:tcPr>
            <w:tcW w:w="4800" w:type="dxa"/>
            <w:vAlign w:val="bottom"/>
            <w:gridSpan w:val="2"/>
          </w:tcPr>
          <w:p>
            <w:pPr>
              <w:jc w:val="right"/>
              <w:ind w:right="23"/>
              <w:spacing w:after="0"/>
              <w:rPr>
                <w:sz w:val="20"/>
                <w:szCs w:val="20"/>
                <w:color w:val="auto"/>
              </w:rPr>
            </w:pPr>
            <w:r>
              <w:rPr>
                <w:rFonts w:ascii="Times New Roman" w:cs="Times New Roman" w:eastAsia="Times New Roman" w:hAnsi="Times New Roman"/>
                <w:sz w:val="3"/>
                <w:szCs w:val="3"/>
                <w:color w:val="FFFFFF"/>
              </w:rPr>
              <w:t>like to reduce the costs incurred by our companyinstructionsmailing proxy materials, you can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Times New Roman" w:cs="Times New Roman" w:eastAsia="Times New Roman" w:hAnsi="Times New Roman"/>
                <w:sz w:val="3"/>
                <w:szCs w:val="3"/>
                <w:color w:val="FFFFFF"/>
              </w:rPr>
              <w:t>consent to receiving all future proxy statements, proxy cards and annual reports electronically via  -mail or the Internet.wouldTsign up for electronic delivery, please follow the instructions above to vote using the</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20"/>
                <w:szCs w:val="20"/>
                <w:color w:val="auto"/>
              </w:rPr>
            </w:pPr>
            <w:r>
              <w:rPr>
                <w:rFonts w:ascii="Times New Roman" w:cs="Times New Roman" w:eastAsia="Times New Roman" w:hAnsi="Times New Roman"/>
                <w:sz w:val="3"/>
                <w:szCs w:val="3"/>
                <w:color w:val="FFFFFF"/>
              </w:rPr>
              <w:t>Internet and, when prompted, indicate that you agree to receive or access proxy materials electronically in future years.</w:t>
            </w:r>
          </w:p>
        </w:tc>
        <w:tc>
          <w:tcPr>
            <w:tcW w:w="29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Times New Roman" w:cs="Times New Roman" w:eastAsia="Times New Roman" w:hAnsi="Times New Roman"/>
                <w:sz w:val="3"/>
                <w:szCs w:val="3"/>
                <w:color w:val="FFFFFF"/>
              </w:rPr>
              <w:t>VOTE BY PHONE - 1-800-690-6903 Use any touch-tone telephone to transmit your voting instructions up until 11:59 P.M. Eastern Time the day before the cut-off date or meeting date. Have your proxy card in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Times New Roman" w:cs="Times New Roman" w:eastAsia="Times New Roman" w:hAnsi="Times New Roman"/>
                <w:sz w:val="3"/>
                <w:szCs w:val="3"/>
                <w:color w:val="FFFFFF"/>
              </w:rPr>
              <w:t>hand when you call and then follow the instructions. VOTE BY MAIL Mark, sign and date your proxy card and return it in the postage-paid envelope we have provided or return it to Vote Processing, c/o</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20"/>
                <w:szCs w:val="20"/>
                <w:color w:val="auto"/>
              </w:rPr>
            </w:pPr>
            <w:r>
              <w:rPr>
                <w:rFonts w:ascii="Times New Roman" w:cs="Times New Roman" w:eastAsia="Times New Roman" w:hAnsi="Times New Roman"/>
                <w:sz w:val="3"/>
                <w:szCs w:val="3"/>
                <w:color w:val="FFFFFF"/>
              </w:rPr>
              <w:t>Broadridge, 51 Mercedes Way, Edgewood, NY 11717.</w:t>
            </w:r>
          </w:p>
        </w:tc>
        <w:tc>
          <w:tcPr>
            <w:tcW w:w="29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ind w:left="440"/>
              <w:spacing w:after="0"/>
              <w:rPr>
                <w:sz w:val="20"/>
                <w:szCs w:val="20"/>
                <w:color w:val="auto"/>
              </w:rPr>
            </w:pPr>
            <w:r>
              <w:rPr>
                <w:rFonts w:ascii="Times New Roman" w:cs="Times New Roman" w:eastAsia="Times New Roman" w:hAnsi="Times New Roman"/>
                <w:sz w:val="3"/>
                <w:szCs w:val="3"/>
                <w:color w:val="FFFFFF"/>
              </w:rPr>
              <w:t>THE COMPANY NAME INC. - COMMON THE COMPANY NAME INC. - CLASS A THE COMPANY NAME INC. - CLASS B THE COMPANY NAME INC. - CLASS C THE COMPANY</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20"/>
                <w:szCs w:val="20"/>
                <w:color w:val="auto"/>
              </w:rPr>
            </w:pPr>
            <w:r>
              <w:rPr>
                <w:rFonts w:ascii="Times New Roman" w:cs="Times New Roman" w:eastAsia="Times New Roman" w:hAnsi="Times New Roman"/>
                <w:sz w:val="3"/>
                <w:szCs w:val="3"/>
                <w:color w:val="FFFFFF"/>
              </w:rPr>
              <w:t>NAME INC. - CLASS D</w:t>
            </w:r>
          </w:p>
        </w:tc>
        <w:tc>
          <w:tcPr>
            <w:tcW w:w="2980" w:type="dxa"/>
            <w:vAlign w:val="bottom"/>
          </w:tcPr>
          <w:p>
            <w:pPr>
              <w:spacing w:after="0"/>
              <w:rPr>
                <w:sz w:val="3"/>
                <w:szCs w:val="3"/>
                <w:color w:val="auto"/>
              </w:rPr>
            </w:pPr>
          </w:p>
        </w:tc>
        <w:tc>
          <w:tcPr>
            <w:tcW w:w="1820" w:type="dxa"/>
            <w:vAlign w:val="bottom"/>
            <w:vMerge w:val="restart"/>
          </w:tcPr>
          <w:p>
            <w:pPr>
              <w:jc w:val="right"/>
              <w:ind w:right="743"/>
              <w:spacing w:after="0"/>
              <w:rPr>
                <w:sz w:val="20"/>
                <w:szCs w:val="20"/>
                <w:color w:val="auto"/>
              </w:rPr>
            </w:pPr>
            <w:r>
              <w:rPr>
                <w:rFonts w:ascii="Times New Roman" w:cs="Times New Roman" w:eastAsia="Times New Roman" w:hAnsi="Times New Roman"/>
                <w:sz w:val="3"/>
                <w:szCs w:val="3"/>
                <w:color w:val="FFFFFF"/>
              </w:rPr>
              <w:t>.12345</w:t>
            </w:r>
          </w:p>
        </w:tc>
        <w:tc>
          <w:tcPr>
            <w:tcW w:w="0" w:type="dxa"/>
            <w:vAlign w:val="bottom"/>
          </w:tcPr>
          <w:p>
            <w:pPr>
              <w:spacing w:after="0"/>
              <w:rPr>
                <w:sz w:val="1"/>
                <w:szCs w:val="1"/>
                <w:color w:val="auto"/>
              </w:rPr>
            </w:pPr>
          </w:p>
        </w:tc>
      </w:tr>
      <w:tr>
        <w:trPr>
          <w:trHeight w:val="0"/>
        </w:trPr>
        <w:tc>
          <w:tcPr>
            <w:tcW w:w="9580" w:type="dxa"/>
            <w:vAlign w:val="bottom"/>
            <w:gridSpan w:val="2"/>
          </w:tcPr>
          <w:p>
            <w:pPr>
              <w:spacing w:after="0" w:line="80" w:lineRule="exact"/>
              <w:rPr>
                <w:sz w:val="20"/>
                <w:szCs w:val="20"/>
                <w:color w:val="auto"/>
              </w:rPr>
            </w:pPr>
            <w:r>
              <w:rPr>
                <w:rFonts w:ascii="Times New Roman" w:cs="Times New Roman" w:eastAsia="Times New Roman" w:hAnsi="Times New Roman"/>
                <w:sz w:val="9"/>
                <w:szCs w:val="9"/>
                <w:color w:val="FFFFFF"/>
              </w:rPr>
              <w:t>THE COMPANY NAME INC. - CLASS E THE COMPANY NAME INC. - CLASS F THE COMPANY NAME INC. - 401 K CONTROL # 0000000000000000 SHARES</w:t>
            </w:r>
          </w:p>
        </w:tc>
        <w:tc>
          <w:tcPr>
            <w:tcW w:w="1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360"/>
        <w:spacing w:after="0"/>
        <w:rPr>
          <w:sz w:val="20"/>
          <w:szCs w:val="20"/>
          <w:color w:val="auto"/>
        </w:rPr>
      </w:pPr>
      <w:r>
        <w:rPr>
          <w:rFonts w:ascii="Times New Roman" w:cs="Times New Roman" w:eastAsia="Times New Roman" w:hAnsi="Times New Roman"/>
          <w:sz w:val="3"/>
          <w:szCs w:val="3"/>
          <w:color w:val="FFFFFF"/>
        </w:rPr>
        <w:t>123,456,789,012</w:t>
      </w:r>
    </w:p>
    <w:p>
      <w:pPr>
        <w:spacing w:after="0" w:line="211" w:lineRule="auto"/>
        <w:rPr>
          <w:sz w:val="20"/>
          <w:szCs w:val="20"/>
          <w:color w:val="auto"/>
        </w:rPr>
      </w:pPr>
      <w:r>
        <w:rPr>
          <w:rFonts w:ascii="Times New Roman" w:cs="Times New Roman" w:eastAsia="Times New Roman" w:hAnsi="Times New Roman"/>
          <w:sz w:val="2"/>
          <w:szCs w:val="2"/>
          <w:color w:val="FFFFFF"/>
        </w:rPr>
        <w:t xml:space="preserve">123,456,789,012.12345 123,456,789,012.12345 123,456,789,012.12345 123,456,789,012.12345 123,456,789,012.12345 123,456,789,012.12345 123,456,789,012.12345 PAGE </w:t>
      </w:r>
      <w:r>
        <w:rPr>
          <w:rFonts w:ascii="Times New Roman" w:cs="Times New Roman" w:eastAsia="Times New Roman" w:hAnsi="Times New Roman"/>
          <w:sz w:val="4"/>
          <w:szCs w:val="4"/>
          <w:color w:val="FFFFFF"/>
          <w:vertAlign w:val="superscript"/>
        </w:rPr>
        <w:t>RECORDS</w:t>
      </w:r>
      <w:r>
        <w:rPr>
          <w:rFonts w:ascii="Times New Roman" w:cs="Times New Roman" w:eastAsia="Times New Roman" w:hAnsi="Times New Roman"/>
          <w:sz w:val="2"/>
          <w:szCs w:val="2"/>
          <w:color w:val="FFFFFF"/>
        </w:rPr>
        <w:t>OFTVOTE, MARK</w:t>
      </w:r>
    </w:p>
    <w:p>
      <w:pPr>
        <w:ind w:right="280"/>
        <w:spacing w:after="0" w:line="187" w:lineRule="auto"/>
        <w:rPr>
          <w:sz w:val="20"/>
          <w:szCs w:val="20"/>
          <w:color w:val="auto"/>
        </w:rPr>
      </w:pPr>
      <w:r>
        <w:rPr>
          <w:rFonts w:ascii="Times New Roman" w:cs="Times New Roman" w:eastAsia="Times New Roman" w:hAnsi="Times New Roman"/>
          <w:sz w:val="9"/>
          <w:szCs w:val="9"/>
          <w:color w:val="FFFFFF"/>
        </w:rPr>
        <w:t>BLOCKS BELOW IN BLUE OR BLACK INK AS FOLLOWS: THIS PROXY CARD IS VALID ONLY WHEN SIGNED AND DATED. KEEP THIS PORTION FOR YOUR DETACH AND RETURN THIS PORTION ONLY For All Withhold All For All Except</w:t>
      </w:r>
    </w:p>
    <w:p>
      <w:pPr>
        <w:ind w:right="280"/>
        <w:spacing w:after="0" w:line="187" w:lineRule="auto"/>
        <w:rPr>
          <w:sz w:val="20"/>
          <w:szCs w:val="20"/>
          <w:color w:val="auto"/>
        </w:rPr>
      </w:pPr>
      <w:r>
        <w:rPr>
          <w:rFonts w:ascii="Times New Roman" w:cs="Times New Roman" w:eastAsia="Times New Roman" w:hAnsi="Times New Roman"/>
          <w:sz w:val="7"/>
          <w:szCs w:val="7"/>
          <w:color w:val="FFFFFF"/>
        </w:rPr>
        <w:t>The Board of Directors recommends you vote FOR the following: 1. Election of Directors Nominees 01 Donald R. Dixon 02 General Peter Pace To withhold authority to vote for any individual nominee(s), mark “For All Except” and write the number(s) of the nominee(s) on the line below. The Board of Directors recommends you vote FOR proposals 2 and</w:t>
      </w:r>
      <w:r>
        <w:rPr>
          <w:rFonts w:ascii="Times New Roman" w:cs="Times New Roman" w:eastAsia="Times New Roman" w:hAnsi="Times New Roman"/>
          <w:sz w:val="9"/>
          <w:szCs w:val="9"/>
          <w:color w:val="FFFFFF"/>
          <w:vertAlign w:val="superscript"/>
        </w:rPr>
        <w:t>31,</w:t>
      </w:r>
      <w:r>
        <w:rPr>
          <w:rFonts w:ascii="Times New Roman" w:cs="Times New Roman" w:eastAsia="Times New Roman" w:hAnsi="Times New Roman"/>
          <w:sz w:val="7"/>
          <w:szCs w:val="7"/>
          <w:color w:val="FFFFFF"/>
        </w:rPr>
        <w:t>.</w:t>
      </w:r>
    </w:p>
    <w:p>
      <w:pPr>
        <w:ind w:right="40"/>
        <w:spacing w:after="0" w:line="195" w:lineRule="auto"/>
        <w:rPr>
          <w:sz w:val="20"/>
          <w:szCs w:val="20"/>
          <w:color w:val="auto"/>
        </w:rPr>
      </w:pPr>
      <w:r>
        <w:rPr>
          <w:rFonts w:ascii="Times New Roman" w:cs="Times New Roman" w:eastAsia="Times New Roman" w:hAnsi="Times New Roman"/>
          <w:sz w:val="6"/>
          <w:szCs w:val="6"/>
          <w:color w:val="FFFFFF"/>
        </w:rPr>
        <w:t xml:space="preserve">2 To ratify the appointment of Grant Thornton LLP as Qualys, Inc.’s independent registered public accounting firm for its fiscal year ending December 2017. 3 To approve, on an advisory and non-binding basis, executive compensation as described in the proxy statement. NOTE: Such other business as may properly come before the meeting or any adjournment thereof. For Against Abstain 02 0000000000 Please sign exactly as your name(s) appear(s) hereon. When signing as attorney, executor, </w:t>
      </w:r>
      <w:r>
        <w:rPr>
          <w:rFonts w:ascii="Times New Roman" w:cs="Times New Roman" w:eastAsia="Times New Roman" w:hAnsi="Times New Roman"/>
          <w:sz w:val="7"/>
          <w:szCs w:val="7"/>
          <w:color w:val="FFFFFF"/>
          <w:vertAlign w:val="subscript"/>
        </w:rPr>
        <w:t>authorized</w:t>
      </w:r>
      <w:r>
        <w:rPr>
          <w:rFonts w:ascii="Times New Roman" w:cs="Times New Roman" w:eastAsia="Times New Roman" w:hAnsi="Times New Roman"/>
          <w:sz w:val="6"/>
          <w:szCs w:val="6"/>
          <w:color w:val="FFFFFF"/>
        </w:rPr>
        <w:t>dministrator, or other fiduciary, please give full title as such. Joint owners should each sign personally. All holders must sign.</w:t>
      </w:r>
    </w:p>
    <w:p>
      <w:pPr>
        <w:ind w:right="160"/>
        <w:spacing w:after="0"/>
        <w:rPr>
          <w:sz w:val="20"/>
          <w:szCs w:val="20"/>
          <w:color w:val="auto"/>
        </w:rPr>
      </w:pPr>
      <w:r>
        <w:rPr>
          <w:rFonts w:ascii="Times New Roman" w:cs="Times New Roman" w:eastAsia="Times New Roman" w:hAnsi="Times New Roman"/>
          <w:sz w:val="11"/>
          <w:szCs w:val="11"/>
          <w:color w:val="FFFFFF"/>
        </w:rPr>
        <w:t>If a corporation or partnership, please sign in full corporate or partnership name by officer. SHARES CUSIP# JOB# SEQUENCE# Signature [PLEASE SIGN WITHIN BOX] Date Signature (Joint Owners) Date 0000326855_1 R1.0.1.15</w:t>
      </w:r>
    </w:p>
    <w:p>
      <w:pPr>
        <w:sectPr>
          <w:pgSz w:w="11900" w:h="16838" w:orient="portrait"/>
          <w:cols w:equalWidth="0" w:num="1">
            <w:col w:w="11400"/>
          </w:cols>
          <w:pgMar w:left="240" w:top="1440" w:right="2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6"/>
          <w:szCs w:val="6"/>
          <w:color w:val="FFFFFF"/>
        </w:rPr>
        <w:t>Important Notice Regarding the Availability of Proxy Materials for the Annual Meeting: The Form 10-K, Notice &amp; Proxy Statement is/are available at www.proxyvote.com QUALYS, INC. Annual Meeting of Stockholders June 5, 2017 11:00 AM This proxy is solicited by</w:t>
      </w:r>
      <w:r>
        <w:rPr>
          <w:rFonts w:ascii="Times New Roman" w:cs="Times New Roman" w:eastAsia="Times New Roman" w:hAnsi="Times New Roman"/>
          <w:sz w:val="7"/>
          <w:szCs w:val="7"/>
          <w:color w:val="FFFFFF"/>
          <w:vertAlign w:val="superscript"/>
        </w:rPr>
        <w:t>them</w:t>
      </w:r>
      <w:r>
        <w:rPr>
          <w:rFonts w:ascii="Times New Roman" w:cs="Times New Roman" w:eastAsia="Times New Roman" w:hAnsi="Times New Roman"/>
          <w:sz w:val="6"/>
          <w:szCs w:val="6"/>
          <w:color w:val="FFFFFF"/>
        </w:rPr>
        <w:t>Board of Directors The undersigned stockholder hereby appoints Phillipe F. Courtot and Bruce K. Posey, or either of them, as proxies, each</w:t>
      </w:r>
    </w:p>
    <w:p>
      <w:pPr>
        <w:spacing w:after="0" w:line="15" w:lineRule="exact"/>
        <w:rPr>
          <w:sz w:val="20"/>
          <w:szCs w:val="20"/>
          <w:color w:val="auto"/>
        </w:rPr>
      </w:pPr>
    </w:p>
    <w:p>
      <w:pPr>
        <w:spacing w:after="0" w:line="196" w:lineRule="auto"/>
        <w:rPr>
          <w:sz w:val="20"/>
          <w:szCs w:val="20"/>
          <w:color w:val="auto"/>
        </w:rPr>
      </w:pPr>
      <w:r>
        <w:rPr>
          <w:rFonts w:ascii="Times New Roman" w:cs="Times New Roman" w:eastAsia="Times New Roman" w:hAnsi="Times New Roman"/>
          <w:sz w:val="10"/>
          <w:szCs w:val="10"/>
          <w:color w:val="FFFFFF"/>
        </w:rPr>
        <w:t>with the power to appoint his substitute, and hereby authorizes to represent and to vote, as designated on the reverse side of this ballot, all of the shares of Common Stock of QUALYS, INC. that the stockholder is entitled to vote at the Annual Meeting of stockholders to be held at 11:00 AM PDT on June 5, 2017, at Qualys’s corporate headquarters, located at 1600 Bridge Parkway, Redwood City, California 94065, and any adjournment or postponement thereof. This proxy, when properly executed, will be voted in the manner directed herein. If no such direction is made, this proxy will be voted in accordance with the Board of Directors’ recommendations. 0000326855_2 R1.0.1.15 Continued and to be signed on reverse side</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lvl w:ilvl="1">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lowerRoman"/>
      <w:start w:val="2"/>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2"/>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2019-12-06T13:29:42Z</dcterms:created>
  <dcterms:modified xsi:type="dcterms:W3CDTF">2019-12-06T13:29:42Z</dcterms:modified>
</cp:coreProperties>
</file>