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UNITED STATES</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231F20"/>
        </w:rPr>
        <w:t>Washington, D.C. 20549</w:t>
      </w:r>
    </w:p>
    <w:p>
      <w:pPr>
        <w:spacing w:after="0" w:line="3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FORM 10-Q</w:t>
      </w:r>
    </w:p>
    <w:p>
      <w:pPr>
        <w:spacing w:after="0" w:line="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36"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rFonts w:ascii="Arial" w:cs="Arial" w:eastAsia="Arial" w:hAnsi="Arial"/>
          <w:sz w:val="18"/>
          <w:szCs w:val="18"/>
          <w:color w:val="auto"/>
        </w:rPr>
      </w:pPr>
    </w:p>
    <w:p>
      <w:pPr>
        <w:ind w:left="3920"/>
        <w:spacing w:after="0"/>
        <w:rPr>
          <w:rFonts w:ascii="Arial" w:cs="Arial" w:eastAsia="Arial" w:hAnsi="Arial"/>
          <w:sz w:val="18"/>
          <w:szCs w:val="18"/>
          <w:color w:val="auto"/>
        </w:rPr>
      </w:pPr>
      <w:r>
        <w:rPr>
          <w:rFonts w:ascii="Arial" w:cs="Arial" w:eastAsia="Arial" w:hAnsi="Arial"/>
          <w:sz w:val="16"/>
          <w:szCs w:val="16"/>
          <w:b w:val="1"/>
          <w:bCs w:val="1"/>
          <w:color w:val="auto"/>
        </w:rPr>
        <w:t>For the Quarterly Period Ended March 31, 2016</w:t>
      </w:r>
    </w:p>
    <w:p>
      <w:pPr>
        <w:spacing w:after="0" w:line="365" w:lineRule="exact"/>
        <w:rPr>
          <w:sz w:val="24"/>
          <w:szCs w:val="24"/>
          <w:color w:val="auto"/>
        </w:rPr>
      </w:pPr>
    </w:p>
    <w:p>
      <w:pPr>
        <w:ind w:left="540" w:hanging="505"/>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40"/>
          </w:cols>
          <w:pgMar w:left="240" w:top="249" w:right="319" w:bottom="1440" w:gutter="0" w:footer="0" w:header="0"/>
        </w:sectPr>
      </w:pPr>
    </w:p>
    <w:p>
      <w:pPr>
        <w:spacing w:after="0" w:line="216"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560" w:space="440"/>
            <w:col w:w="4340"/>
          </w:cols>
          <w:pgMar w:left="240" w:top="249"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Commission file number 001-35662</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340"/>
          </w:cols>
          <w:pgMar w:left="240" w:top="249" w:right="319" w:bottom="1440" w:gutter="0" w:footer="0" w:header="0"/>
          <w:type w:val="continuous"/>
        </w:sectPr>
      </w:pPr>
    </w:p>
    <w:tbl>
      <w:tblPr>
        <w:tblLayout w:type="fixed"/>
        <w:tblInd w:w="1440" w:type="dxa"/>
        <w:tblCellMar>
          <w:top w:w="0" w:type="dxa"/>
          <w:left w:w="0" w:type="dxa"/>
          <w:bottom w:w="0" w:type="dxa"/>
          <w:right w:w="0" w:type="dxa"/>
        </w:tblCellMar>
      </w:tblPr>
      <w:tr>
        <w:trPr>
          <w:trHeight w:val="442"/>
        </w:trPr>
        <w:tc>
          <w:tcPr>
            <w:tcW w:w="2160" w:type="dxa"/>
            <w:vAlign w:val="bottom"/>
          </w:tcPr>
          <w:p>
            <w:pPr>
              <w:spacing w:after="0"/>
              <w:rPr>
                <w:sz w:val="24"/>
                <w:szCs w:val="24"/>
                <w:color w:val="auto"/>
              </w:rPr>
            </w:pPr>
          </w:p>
        </w:tc>
        <w:tc>
          <w:tcPr>
            <w:tcW w:w="6140" w:type="dxa"/>
            <w:vAlign w:val="bottom"/>
          </w:tcPr>
          <w:p>
            <w:pPr>
              <w:jc w:val="center"/>
              <w:ind w:right="1833"/>
              <w:spacing w:after="0" w:line="441" w:lineRule="exact"/>
              <w:rPr>
                <w:sz w:val="20"/>
                <w:szCs w:val="20"/>
                <w:color w:val="auto"/>
              </w:rPr>
            </w:pPr>
            <w:r>
              <w:rPr>
                <w:rFonts w:ascii="Arial" w:cs="Arial" w:eastAsia="Arial" w:hAnsi="Arial"/>
                <w:sz w:val="40"/>
                <w:szCs w:val="40"/>
                <w:b w:val="1"/>
                <w:bCs w:val="1"/>
                <w:color w:val="231F20"/>
                <w:w w:val="97"/>
              </w:rPr>
              <w:t>QUALYS, INC.</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33"/>
              <w:spacing w:after="0" w:line="149" w:lineRule="exact"/>
              <w:rPr>
                <w:sz w:val="20"/>
                <w:szCs w:val="20"/>
                <w:color w:val="auto"/>
              </w:rPr>
            </w:pPr>
            <w:r>
              <w:rPr>
                <w:rFonts w:ascii="Arial" w:cs="Arial" w:eastAsia="Arial" w:hAnsi="Arial"/>
                <w:sz w:val="14"/>
                <w:szCs w:val="14"/>
                <w:b w:val="1"/>
                <w:bCs w:val="1"/>
                <w:color w:val="231F20"/>
              </w:rPr>
              <w:t>(Exact name of registrant as specified in its charter)</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r>
        <w:trPr>
          <w:trHeight w:val="357"/>
        </w:trPr>
        <w:tc>
          <w:tcPr>
            <w:tcW w:w="2160" w:type="dxa"/>
            <w:vAlign w:val="bottom"/>
          </w:tcPr>
          <w:p>
            <w:pPr>
              <w:jc w:val="center"/>
              <w:ind w:right="48"/>
              <w:spacing w:after="0"/>
              <w:rPr>
                <w:sz w:val="20"/>
                <w:szCs w:val="20"/>
                <w:color w:val="auto"/>
              </w:rPr>
            </w:pPr>
            <w:r>
              <w:rPr>
                <w:rFonts w:ascii="Arial" w:cs="Arial" w:eastAsia="Arial" w:hAnsi="Arial"/>
                <w:sz w:val="14"/>
                <w:szCs w:val="14"/>
                <w:b w:val="1"/>
                <w:bCs w:val="1"/>
                <w:color w:val="auto"/>
              </w:rPr>
              <w:t>Delaware</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(State or other jurisdiction of</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incorporation or organization)</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Identification Number)</w:t>
            </w:r>
          </w:p>
        </w:tc>
      </w:tr>
      <w:tr>
        <w:trPr>
          <w:trHeight w:val="323"/>
        </w:trPr>
        <w:tc>
          <w:tcPr>
            <w:tcW w:w="2160" w:type="dxa"/>
            <w:vAlign w:val="bottom"/>
          </w:tcPr>
          <w:p>
            <w:pPr>
              <w:spacing w:after="0"/>
              <w:rPr>
                <w:sz w:val="24"/>
                <w:szCs w:val="24"/>
                <w:color w:val="auto"/>
              </w:rPr>
            </w:pPr>
          </w:p>
        </w:tc>
        <w:tc>
          <w:tcPr>
            <w:tcW w:w="6140" w:type="dxa"/>
            <w:vAlign w:val="bottom"/>
          </w:tcPr>
          <w:p>
            <w:pPr>
              <w:jc w:val="center"/>
              <w:ind w:right="1813"/>
              <w:spacing w:after="0"/>
              <w:rPr>
                <w:sz w:val="20"/>
                <w:szCs w:val="20"/>
                <w:color w:val="auto"/>
              </w:rPr>
            </w:pPr>
            <w:r>
              <w:rPr>
                <w:rFonts w:ascii="Arial" w:cs="Arial" w:eastAsia="Arial" w:hAnsi="Arial"/>
                <w:sz w:val="14"/>
                <w:szCs w:val="14"/>
                <w:b w:val="1"/>
                <w:bCs w:val="1"/>
                <w:color w:val="auto"/>
              </w:rPr>
              <w:t>1600 Bridge Parkway, Redwood City, California 94065</w:t>
            </w:r>
          </w:p>
        </w:tc>
      </w:tr>
      <w:tr>
        <w:trPr>
          <w:trHeight w:val="190"/>
        </w:trPr>
        <w:tc>
          <w:tcPr>
            <w:tcW w:w="2160" w:type="dxa"/>
            <w:vAlign w:val="bottom"/>
          </w:tcPr>
          <w:p>
            <w:pPr>
              <w:spacing w:after="0"/>
              <w:rPr>
                <w:sz w:val="16"/>
                <w:szCs w:val="16"/>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(Address of principal executive offices, including zip code)</w:t>
            </w:r>
          </w:p>
        </w:tc>
      </w:tr>
      <w:tr>
        <w:trPr>
          <w:trHeight w:val="485"/>
        </w:trPr>
        <w:tc>
          <w:tcPr>
            <w:tcW w:w="2160" w:type="dxa"/>
            <w:vAlign w:val="bottom"/>
          </w:tcPr>
          <w:p>
            <w:pPr>
              <w:spacing w:after="0"/>
              <w:rPr>
                <w:sz w:val="24"/>
                <w:szCs w:val="24"/>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(650) 801-6100</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13"/>
              <w:spacing w:after="0" w:line="149" w:lineRule="exact"/>
              <w:rPr>
                <w:sz w:val="20"/>
                <w:szCs w:val="20"/>
                <w:color w:val="auto"/>
              </w:rPr>
            </w:pPr>
            <w:r>
              <w:rPr>
                <w:rFonts w:ascii="Arial" w:cs="Arial" w:eastAsia="Arial" w:hAnsi="Arial"/>
                <w:sz w:val="14"/>
                <w:szCs w:val="14"/>
                <w:b w:val="1"/>
                <w:bCs w:val="1"/>
                <w:color w:val="auto"/>
              </w:rPr>
              <w:t>(Registrant’s telephone number, including area code)</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bl>
    <w:p>
      <w:pPr>
        <w:spacing w:after="0" w:line="12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6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41" w:lineRule="exact"/>
        <w:rPr>
          <w:sz w:val="24"/>
          <w:szCs w:val="24"/>
          <w:color w:val="auto"/>
        </w:rPr>
      </w:pPr>
    </w:p>
    <w:p>
      <w:pPr>
        <w:ind w:right="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49" w:right="319" w:bottom="1440" w:gutter="0" w:footer="0" w:header="0"/>
          <w:type w:val="continuous"/>
        </w:sectPr>
      </w:pPr>
    </w:p>
    <w:p>
      <w:pPr>
        <w:spacing w:after="0" w:line="236" w:lineRule="exact"/>
        <w:rPr>
          <w:sz w:val="24"/>
          <w:szCs w:val="24"/>
          <w:color w:val="auto"/>
        </w:rPr>
      </w:pPr>
    </w:p>
    <w:p>
      <w:pPr>
        <w:ind w:left="40"/>
        <w:spacing w:after="0"/>
        <w:rPr>
          <w:sz w:val="20"/>
          <w:szCs w:val="20"/>
          <w:color w:val="auto"/>
        </w:rPr>
      </w:pPr>
      <w:r>
        <w:rPr>
          <w:rFonts w:ascii="Arial" w:cs="Arial" w:eastAsia="Arial" w:hAnsi="Arial"/>
          <w:sz w:val="16"/>
          <w:szCs w:val="16"/>
          <w:color w:val="231F20"/>
        </w:rPr>
        <w:t>Large 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Non-accelerated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Smaller reporting company</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7" w:lineRule="exact"/>
        <w:rPr>
          <w:sz w:val="24"/>
          <w:szCs w:val="24"/>
          <w:color w:val="auto"/>
        </w:rPr>
      </w:pPr>
    </w:p>
    <w:p>
      <w:pPr>
        <w:sectPr>
          <w:pgSz w:w="11900" w:h="16838" w:orient="portrait"/>
          <w:cols w:equalWidth="0" w:num="8">
            <w:col w:w="1640" w:space="660"/>
            <w:col w:w="80" w:space="520"/>
            <w:col w:w="1320" w:space="720"/>
            <w:col w:w="80" w:space="480"/>
            <w:col w:w="1500" w:space="640"/>
            <w:col w:w="200" w:space="720"/>
            <w:col w:w="1940" w:space="660"/>
            <w:col w:w="180"/>
          </w:cols>
          <w:pgMar w:left="240" w:top="249" w:right="319" w:bottom="1440" w:gutter="0" w:footer="0" w:header="0"/>
          <w:type w:val="continuous"/>
        </w:sectPr>
      </w:pPr>
    </w:p>
    <w:p>
      <w:pPr>
        <w:jc w:val="center"/>
        <w:ind w:left="1920"/>
        <w:spacing w:after="0"/>
        <w:rPr>
          <w:sz w:val="20"/>
          <w:szCs w:val="20"/>
          <w:color w:val="auto"/>
        </w:rPr>
      </w:pPr>
      <w:r>
        <w:rPr>
          <w:rFonts w:ascii="Arial" w:cs="Arial" w:eastAsia="Arial" w:hAnsi="Arial"/>
          <w:sz w:val="16"/>
          <w:szCs w:val="16"/>
          <w:color w:val="auto"/>
        </w:rPr>
        <w:t>(Do not check if a smaller</w:t>
      </w:r>
    </w:p>
    <w:p>
      <w:pPr>
        <w:spacing w:after="0" w:line="5" w:lineRule="exact"/>
        <w:rPr>
          <w:sz w:val="24"/>
          <w:szCs w:val="24"/>
          <w:color w:val="auto"/>
        </w:rPr>
      </w:pPr>
    </w:p>
    <w:p>
      <w:pPr>
        <w:jc w:val="center"/>
        <w:ind w:left="192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1340"/>
          </w:cols>
          <w:pgMar w:left="240" w:top="249" w:right="319" w:bottom="1440" w:gutter="0" w:footer="0" w:header="0"/>
          <w:type w:val="continuous"/>
        </w:sectPr>
      </w:pPr>
    </w:p>
    <w:p>
      <w:pPr>
        <w:spacing w:after="0" w:line="220" w:lineRule="exact"/>
        <w:rPr>
          <w:sz w:val="24"/>
          <w:szCs w:val="24"/>
          <w:color w:val="auto"/>
        </w:rPr>
      </w:pPr>
    </w:p>
    <w:p>
      <w:pPr>
        <w:spacing w:after="0" w:line="184" w:lineRule="exact"/>
        <w:tabs>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79" w:lineRule="exact"/>
        <w:rPr>
          <w:sz w:val="24"/>
          <w:szCs w:val="24"/>
          <w:color w:val="auto"/>
        </w:rPr>
      </w:pPr>
    </w:p>
    <w:p>
      <w:pPr>
        <w:sectPr>
          <w:pgSz w:w="11900" w:h="16838" w:orient="portrait"/>
          <w:cols w:equalWidth="0" w:num="3">
            <w:col w:w="8780" w:space="160"/>
            <w:col w:w="200" w:space="80"/>
            <w:col w:w="2120"/>
          </w:cols>
          <w:pgMar w:left="240" w:top="249" w:right="31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the Registrant's common stock outstanding as of April 30, 2016 was 34,920,134.</w:t>
      </w:r>
    </w:p>
    <w:p>
      <w:pPr>
        <w:sectPr>
          <w:pgSz w:w="11900" w:h="16838" w:orient="portrait"/>
          <w:cols w:equalWidth="0" w:num="1">
            <w:col w:w="11340"/>
          </w:cols>
          <w:pgMar w:left="240" w:top="249"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43"/>
        </w:trPr>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540" w:type="dxa"/>
            <w:vAlign w:val="bottom"/>
            <w:gridSpan w:val="9"/>
          </w:tcPr>
          <w:p>
            <w:pPr>
              <w:ind w:left="100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9800" w:type="dxa"/>
            <w:vAlign w:val="bottom"/>
            <w:gridSpan w:val="1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8"/>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Consolidated Balance Sheets as of March 31, 2016 and December 31, 2015</w:t>
              </w:r>
            </w:hyperlink>
          </w:p>
        </w:tc>
        <w:tc>
          <w:tcPr>
            <w:tcW w:w="80" w:type="dxa"/>
            <w:vAlign w:val="bottom"/>
          </w:tcPr>
          <w:p>
            <w:pPr>
              <w:spacing w:after="0"/>
              <w:rPr>
                <w:rFonts w:ascii="Arial" w:cs="Arial" w:eastAsia="Arial" w:hAnsi="Arial"/>
                <w:sz w:val="15"/>
                <w:szCs w:val="15"/>
                <w:color w:val="0000EE"/>
                <w:w w:val="71"/>
              </w:rPr>
            </w:pPr>
            <w:hyperlink w:anchor="page3">
              <w:r>
                <w:rPr>
                  <w:rFonts w:ascii="Arial" w:cs="Arial" w:eastAsia="Arial" w:hAnsi="Arial"/>
                  <w:sz w:val="15"/>
                  <w:szCs w:val="15"/>
                  <w:color w:val="0000EE"/>
                  <w:w w:val="71"/>
                </w:rPr>
                <w:t>3</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8"/>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Statements of Operations for the three months ended March 31, 2016 and 2015</w:t>
              </w:r>
            </w:hyperlink>
          </w:p>
        </w:tc>
        <w:tc>
          <w:tcPr>
            <w:tcW w:w="80" w:type="dxa"/>
            <w:vAlign w:val="bottom"/>
          </w:tcPr>
          <w:p>
            <w:pPr>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500" w:type="dxa"/>
            <w:vAlign w:val="bottom"/>
            <w:tcBorders>
              <w:bottom w:val="single" w:sz="8" w:color="0000EE"/>
            </w:tcBorders>
            <w:gridSpan w:val="17"/>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Comprehensive Income for the three months ended March 31, 2016 and 2015</w:t>
              </w:r>
            </w:hyperlink>
          </w:p>
        </w:tc>
        <w:tc>
          <w:tcPr>
            <w:tcW w:w="1300" w:type="dxa"/>
            <w:vAlign w:val="bottom"/>
          </w:tcPr>
          <w:p>
            <w:pPr>
              <w:spacing w:after="0"/>
              <w:rPr>
                <w:sz w:val="21"/>
                <w:szCs w:val="21"/>
                <w:color w:val="auto"/>
              </w:rPr>
            </w:pPr>
          </w:p>
        </w:tc>
        <w:tc>
          <w:tcPr>
            <w:tcW w:w="80" w:type="dxa"/>
            <w:vAlign w:val="bottom"/>
            <w:tcBorders>
              <w:bottom w:val="single" w:sz="8" w:color="0000EE"/>
            </w:tcBorders>
          </w:tcPr>
          <w:p>
            <w:pPr>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7640" w:type="dxa"/>
            <w:vAlign w:val="bottom"/>
            <w:tcBorders>
              <w:bottom w:val="single" w:sz="8" w:color="0000EE"/>
            </w:tcBorders>
            <w:gridSpan w:val="16"/>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Cash Flows for the three months ended March 31, 2016 and 2015</w:t>
              </w:r>
            </w:hyperlink>
          </w:p>
        </w:tc>
        <w:tc>
          <w:tcPr>
            <w:tcW w:w="2160" w:type="dxa"/>
            <w:vAlign w:val="bottom"/>
            <w:gridSpan w:val="2"/>
          </w:tcPr>
          <w:p>
            <w:pPr>
              <w:spacing w:after="0"/>
              <w:rPr>
                <w:sz w:val="21"/>
                <w:szCs w:val="21"/>
                <w:color w:val="auto"/>
              </w:rPr>
            </w:pPr>
          </w:p>
        </w:tc>
        <w:tc>
          <w:tcPr>
            <w:tcW w:w="80" w:type="dxa"/>
            <w:vAlign w:val="bottom"/>
            <w:tcBorders>
              <w:bottom w:val="single" w:sz="8" w:color="0000EE"/>
            </w:tcBorders>
          </w:tcPr>
          <w:p>
            <w:pPr>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8"/>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Notes to Condensed Consolidated Financial Statements</w:t>
              </w:r>
            </w:hyperlink>
          </w:p>
        </w:tc>
        <w:tc>
          <w:tcPr>
            <w:tcW w:w="80" w:type="dxa"/>
            <w:vAlign w:val="bottom"/>
          </w:tcPr>
          <w:p>
            <w:pPr>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8"/>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Management’s Discussion and Analysis of Financial Condition and Results of Operations</w:t>
              </w:r>
            </w:hyperlink>
          </w:p>
        </w:tc>
        <w:tc>
          <w:tcPr>
            <w:tcW w:w="380" w:type="dxa"/>
            <w:vAlign w:val="bottom"/>
            <w:gridSpan w:val="3"/>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21</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240" w:type="dxa"/>
            <w:vAlign w:val="bottom"/>
            <w:tcBorders>
              <w:top w:val="single" w:sz="8" w:color="0000EE"/>
              <w:bottom w:val="single" w:sz="8" w:color="0000FF"/>
            </w:tcBorders>
            <w:gridSpan w:val="11"/>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Quantitative and Qualitative Disclosures About Market Risk</w:t>
              </w:r>
            </w:hyperlink>
          </w:p>
        </w:tc>
        <w:tc>
          <w:tcPr>
            <w:tcW w:w="2120" w:type="dxa"/>
            <w:vAlign w:val="bottom"/>
            <w:tcBorders>
              <w:top w:val="single" w:sz="8" w:color="0000EE"/>
            </w:tcBorders>
            <w:gridSpan w:val="3"/>
          </w:tcPr>
          <w:p>
            <w:pPr>
              <w:spacing w:after="0"/>
              <w:rPr>
                <w:sz w:val="19"/>
                <w:szCs w:val="19"/>
                <w:color w:val="auto"/>
              </w:rPr>
            </w:pPr>
          </w:p>
        </w:tc>
        <w:tc>
          <w:tcPr>
            <w:tcW w:w="3440" w:type="dxa"/>
            <w:vAlign w:val="bottom"/>
            <w:gridSpan w:val="4"/>
          </w:tcPr>
          <w:p>
            <w:pPr>
              <w:spacing w:after="0"/>
              <w:rPr>
                <w:sz w:val="19"/>
                <w:szCs w:val="19"/>
                <w:color w:val="auto"/>
              </w:rPr>
            </w:pPr>
          </w:p>
        </w:tc>
        <w:tc>
          <w:tcPr>
            <w:tcW w:w="180" w:type="dxa"/>
            <w:vAlign w:val="bottom"/>
            <w:tcBorders>
              <w:top w:val="single" w:sz="8" w:color="0000EE"/>
              <w:bottom w:val="single" w:sz="8" w:color="0000FF"/>
            </w:tcBorders>
            <w:gridSpan w:val="2"/>
          </w:tcPr>
          <w:p>
            <w:pPr>
              <w:spacing w:after="0"/>
              <w:rPr>
                <w:rFonts w:ascii="Arial" w:cs="Arial" w:eastAsia="Arial" w:hAnsi="Arial"/>
                <w:sz w:val="16"/>
                <w:szCs w:val="16"/>
                <w:color w:val="0000FF"/>
                <w:w w:val="89"/>
              </w:rPr>
            </w:pPr>
            <w:hyperlink w:anchor="page33">
              <w:r>
                <w:rPr>
                  <w:rFonts w:ascii="Arial" w:cs="Arial" w:eastAsia="Arial" w:hAnsi="Arial"/>
                  <w:sz w:val="16"/>
                  <w:szCs w:val="16"/>
                  <w:color w:val="0000FF"/>
                  <w:w w:val="89"/>
                </w:rPr>
                <w:t>33</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9800" w:type="dxa"/>
            <w:vAlign w:val="bottom"/>
            <w:gridSpan w:val="18"/>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Controls and Procedures</w:t>
              </w:r>
            </w:hyperlink>
          </w:p>
        </w:tc>
        <w:tc>
          <w:tcPr>
            <w:tcW w:w="380" w:type="dxa"/>
            <w:vAlign w:val="bottom"/>
            <w:gridSpan w:val="3"/>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r>
      <w:tr>
        <w:trPr>
          <w:trHeight w:val="258"/>
        </w:trPr>
        <w:tc>
          <w:tcPr>
            <w:tcW w:w="1040" w:type="dxa"/>
            <w:vAlign w:val="bottom"/>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7540" w:type="dxa"/>
            <w:vAlign w:val="bottom"/>
            <w:gridSpan w:val="9"/>
          </w:tcPr>
          <w:p>
            <w:pPr>
              <w:ind w:left="122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35">
              <w:r>
                <w:rPr>
                  <w:rFonts w:ascii="Arial" w:cs="Arial" w:eastAsia="Arial" w:hAnsi="Arial"/>
                  <w:sz w:val="16"/>
                  <w:szCs w:val="16"/>
                  <w:color w:val="0000FF"/>
                  <w:w w:val="99"/>
                </w:rPr>
                <w:t>Legal Proceedings</w:t>
              </w:r>
            </w:hyperlink>
          </w:p>
        </w:tc>
        <w:tc>
          <w:tcPr>
            <w:tcW w:w="8460" w:type="dxa"/>
            <w:vAlign w:val="bottom"/>
            <w:gridSpan w:val="13"/>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35</w:t>
              </w:r>
            </w:hyperlink>
          </w:p>
        </w:tc>
        <w:tc>
          <w:tcPr>
            <w:tcW w:w="200" w:type="dxa"/>
            <w:vAlign w:val="bottom"/>
          </w:tcPr>
          <w:p>
            <w:pPr>
              <w:spacing w:after="0"/>
              <w:rPr>
                <w:sz w:val="18"/>
                <w:szCs w:val="18"/>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tcPr>
          <w:p>
            <w:pPr>
              <w:spacing w:after="0"/>
              <w:rPr>
                <w:rFonts w:ascii="Arial" w:cs="Arial" w:eastAsia="Arial" w:hAnsi="Arial"/>
                <w:sz w:val="16"/>
                <w:szCs w:val="16"/>
                <w:color w:val="0000FF"/>
                <w:w w:val="98"/>
              </w:rPr>
            </w:pPr>
            <w:hyperlink w:anchor="page35">
              <w:r>
                <w:rPr>
                  <w:rFonts w:ascii="Arial" w:cs="Arial" w:eastAsia="Arial" w:hAnsi="Arial"/>
                  <w:sz w:val="16"/>
                  <w:szCs w:val="16"/>
                  <w:color w:val="0000FF"/>
                  <w:w w:val="98"/>
                </w:rPr>
                <w:t>Risk Factors</w:t>
              </w:r>
            </w:hyperlink>
          </w:p>
        </w:tc>
        <w:tc>
          <w:tcPr>
            <w:tcW w:w="8900" w:type="dxa"/>
            <w:vAlign w:val="bottom"/>
            <w:gridSpan w:val="15"/>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35</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8"/>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Unregistered Sales of Equity Securities and Use of Proceeds</w:t>
              </w:r>
            </w:hyperlink>
          </w:p>
        </w:tc>
        <w:tc>
          <w:tcPr>
            <w:tcW w:w="380" w:type="dxa"/>
            <w:vAlign w:val="bottom"/>
            <w:gridSpan w:val="3"/>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56</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FF"/>
            </w:tcBorders>
            <w:gridSpan w:val="12"/>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Defaults upon Senior Securities</w:t>
              </w:r>
            </w:hyperlink>
          </w:p>
        </w:tc>
        <w:tc>
          <w:tcPr>
            <w:tcW w:w="5440" w:type="dxa"/>
            <w:vAlign w:val="bottom"/>
            <w:gridSpan w:val="6"/>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56">
              <w:r>
                <w:rPr>
                  <w:rFonts w:ascii="Arial" w:cs="Arial" w:eastAsia="Arial" w:hAnsi="Arial"/>
                  <w:sz w:val="16"/>
                  <w:szCs w:val="16"/>
                  <w:color w:val="0000FF"/>
                  <w:w w:val="89"/>
                </w:rPr>
                <w:t>56</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1740" w:type="dxa"/>
            <w:vAlign w:val="bottom"/>
            <w:tcBorders>
              <w:top w:val="single" w:sz="8" w:color="0000FF"/>
              <w:bottom w:val="single" w:sz="8" w:color="0000FF"/>
            </w:tcBorders>
            <w:gridSpan w:val="7"/>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Mine Safety Disclosures</w:t>
              </w:r>
            </w:hyperlink>
          </w:p>
        </w:tc>
        <w:tc>
          <w:tcPr>
            <w:tcW w:w="520" w:type="dxa"/>
            <w:vAlign w:val="bottom"/>
            <w:tcBorders>
              <w:top w:val="single" w:sz="8" w:color="0000FF"/>
            </w:tcBorders>
            <w:gridSpan w:val="2"/>
          </w:tcPr>
          <w:p>
            <w:pPr>
              <w:spacing w:after="0"/>
              <w:rPr>
                <w:sz w:val="19"/>
                <w:szCs w:val="19"/>
                <w:color w:val="auto"/>
              </w:rPr>
            </w:pPr>
          </w:p>
        </w:tc>
        <w:tc>
          <w:tcPr>
            <w:tcW w:w="7540" w:type="dxa"/>
            <w:vAlign w:val="bottom"/>
            <w:gridSpan w:val="9"/>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56">
              <w:r>
                <w:rPr>
                  <w:rFonts w:ascii="Arial" w:cs="Arial" w:eastAsia="Arial" w:hAnsi="Arial"/>
                  <w:sz w:val="16"/>
                  <w:szCs w:val="16"/>
                  <w:color w:val="0000FF"/>
                  <w:w w:val="89"/>
                </w:rPr>
                <w:t>56</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5.</w:t>
            </w:r>
          </w:p>
        </w:tc>
        <w:tc>
          <w:tcPr>
            <w:tcW w:w="126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56">
              <w:r>
                <w:rPr>
                  <w:rFonts w:ascii="Arial" w:cs="Arial" w:eastAsia="Arial" w:hAnsi="Arial"/>
                  <w:sz w:val="16"/>
                  <w:szCs w:val="16"/>
                  <w:color w:val="0000FF"/>
                  <w:w w:val="99"/>
                </w:rPr>
                <w:t>Other Information</w:t>
              </w:r>
            </w:hyperlink>
          </w:p>
        </w:tc>
        <w:tc>
          <w:tcPr>
            <w:tcW w:w="8540" w:type="dxa"/>
            <w:vAlign w:val="bottom"/>
            <w:gridSpan w:val="14"/>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56">
              <w:r>
                <w:rPr>
                  <w:rFonts w:ascii="Arial" w:cs="Arial" w:eastAsia="Arial" w:hAnsi="Arial"/>
                  <w:sz w:val="16"/>
                  <w:szCs w:val="16"/>
                  <w:color w:val="0000FF"/>
                  <w:w w:val="89"/>
                </w:rPr>
                <w:t>56</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6.</w:t>
            </w:r>
          </w:p>
        </w:tc>
        <w:tc>
          <w:tcPr>
            <w:tcW w:w="9800" w:type="dxa"/>
            <w:vAlign w:val="bottom"/>
            <w:gridSpan w:val="18"/>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Exhibits</w:t>
              </w:r>
            </w:hyperlink>
          </w:p>
        </w:tc>
        <w:tc>
          <w:tcPr>
            <w:tcW w:w="380" w:type="dxa"/>
            <w:vAlign w:val="bottom"/>
            <w:gridSpan w:val="3"/>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56</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40" w:type="dxa"/>
            <w:vAlign w:val="bottom"/>
            <w:gridSpan w:val="1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8"/>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Signatures</w:t>
              </w:r>
            </w:hyperlink>
          </w:p>
        </w:tc>
        <w:tc>
          <w:tcPr>
            <w:tcW w:w="380" w:type="dxa"/>
            <w:vAlign w:val="bottom"/>
            <w:gridSpan w:val="3"/>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57</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141" w:right="39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7"/>
          <w:szCs w:val="17"/>
          <w:b w:val="1"/>
          <w:bCs w:val="1"/>
          <w:color w:val="231F20"/>
        </w:rPr>
        <w:t>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2016</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r>
      <w:tr>
        <w:trPr>
          <w:trHeight w:val="283"/>
        </w:trPr>
        <w:tc>
          <w:tcPr>
            <w:tcW w:w="8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112,471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91,698</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93,238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87,268</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$800 and $769 as of March 31, 2016 and December 31, 2015, respectively</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42,414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42,325</w:t>
            </w: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7,448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7,945</w:t>
            </w:r>
          </w:p>
        </w:tc>
      </w:tr>
      <w:tr>
        <w:trPr>
          <w:trHeight w:val="25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255,571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229,236</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Long-term investments</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34,614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43,277</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31,786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31,329</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Deferred tax assets, net</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17,165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16,079</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1,360</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317</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1,942</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1,916</w:t>
            </w:r>
          </w:p>
        </w:tc>
      </w:tr>
      <w:tr>
        <w:trPr>
          <w:trHeight w:val="283"/>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342,662</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323,514</w:t>
            </w:r>
          </w:p>
        </w:tc>
      </w:tr>
      <w:tr>
        <w:trPr>
          <w:trHeight w:val="25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4,393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2,368</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Accrued liabilities</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11,513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11,786</w:t>
            </w: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revenues, current</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101,557</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98,025</w:t>
            </w:r>
          </w:p>
        </w:tc>
      </w:tr>
      <w:tr>
        <w:trPr>
          <w:trHeight w:val="250"/>
        </w:trPr>
        <w:tc>
          <w:tcPr>
            <w:tcW w:w="858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117,463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112,179</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revenues, noncurrent</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13,092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14,564</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liabilities</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1,205</w:t>
            </w:r>
          </w:p>
        </w:tc>
      </w:tr>
      <w:tr>
        <w:trPr>
          <w:trHeight w:val="25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132,166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127,948</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Commitments and contingencies (Note 5)</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194"/>
        </w:trPr>
        <w:tc>
          <w:tcPr>
            <w:tcW w:w="8580" w:type="dxa"/>
            <w:vAlign w:val="bottom"/>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March 31, 2016 and</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8"/>
        </w:trPr>
        <w:tc>
          <w:tcPr>
            <w:tcW w:w="8580" w:type="dxa"/>
            <w:vAlign w:val="bottom"/>
          </w:tcPr>
          <w:p>
            <w:pPr>
              <w:ind w:left="280"/>
              <w:spacing w:after="0"/>
              <w:rPr>
                <w:sz w:val="20"/>
                <w:szCs w:val="20"/>
                <w:color w:val="auto"/>
              </w:rPr>
            </w:pPr>
            <w:r>
              <w:rPr>
                <w:rFonts w:ascii="Arial" w:cs="Arial" w:eastAsia="Arial" w:hAnsi="Arial"/>
                <w:sz w:val="14"/>
                <w:szCs w:val="14"/>
                <w:color w:val="auto"/>
              </w:rPr>
              <w:t>December 31, 2015</w:t>
            </w:r>
          </w:p>
        </w:tc>
        <w:tc>
          <w:tcPr>
            <w:tcW w:w="14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 $0.001 par value; 1,000,000,000 shares authorized; 34,882,368 and 34,414,631 shares issued and outstanding</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8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at March 31, 2016 and December 31, 2015, respectively</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233,133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223,228</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income (loss)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Accumulated deficit</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(22,702)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(27,485)</w:t>
            </w:r>
          </w:p>
        </w:tc>
      </w:tr>
      <w:tr>
        <w:trPr>
          <w:trHeight w:val="250"/>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210,496</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195,566</w:t>
            </w:r>
          </w:p>
        </w:tc>
      </w:tr>
      <w:tr>
        <w:trPr>
          <w:trHeight w:val="243"/>
        </w:trPr>
        <w:tc>
          <w:tcPr>
            <w:tcW w:w="858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342,662</w:t>
            </w:r>
          </w:p>
        </w:tc>
        <w:tc>
          <w:tcPr>
            <w:tcW w:w="100" w:type="dxa"/>
            <w:vAlign w:val="bottom"/>
          </w:tcPr>
          <w:p>
            <w:pPr>
              <w:spacing w:after="0"/>
              <w:rPr>
                <w:sz w:val="21"/>
                <w:szCs w:val="21"/>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323,514</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46,248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37,493</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9,416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7,964</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36,832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29,529</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7,834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7,150</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13,933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11,443</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7,468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231F20"/>
            </w:tcBorders>
            <w:shd w:val="clear" w:color="auto" w:fill="CCEEFF"/>
          </w:tcPr>
          <w:p>
            <w:pPr>
              <w:spacing w:after="0"/>
              <w:rPr>
                <w:sz w:val="23"/>
                <w:szCs w:val="23"/>
                <w:color w:val="auto"/>
              </w:rPr>
            </w:pPr>
          </w:p>
        </w:tc>
        <w:tc>
          <w:tcPr>
            <w:tcW w:w="96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6,016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29,235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24,609</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7,597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4,920</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expense, net</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231F20"/>
            </w:tcBorders>
            <w:shd w:val="clear" w:color="auto" w:fill="CCEEFF"/>
          </w:tcPr>
          <w:p>
            <w:pPr>
              <w:spacing w:after="0"/>
              <w:rPr>
                <w:sz w:val="23"/>
                <w:szCs w:val="23"/>
                <w:color w:val="auto"/>
              </w:rPr>
            </w:pPr>
          </w:p>
        </w:tc>
        <w:tc>
          <w:tcPr>
            <w:tcW w:w="9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 net</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7,765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4,843</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2,982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3,002</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5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5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per share:</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34,619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33,775</w:t>
            </w:r>
          </w:p>
        </w:tc>
        <w:tc>
          <w:tcPr>
            <w:tcW w:w="0" w:type="dxa"/>
            <w:vAlign w:val="bottom"/>
          </w:tcPr>
          <w:p>
            <w:pPr>
              <w:spacing w:after="0"/>
              <w:rPr>
                <w:sz w:val="1"/>
                <w:szCs w:val="1"/>
                <w:color w:val="auto"/>
              </w:rPr>
            </w:pPr>
          </w:p>
        </w:tc>
      </w:tr>
      <w:tr>
        <w:trPr>
          <w:trHeight w:val="21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37,838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38,235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34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r>
      <w:tr>
        <w:trPr>
          <w:trHeight w:val="276"/>
        </w:trPr>
        <w:tc>
          <w:tcPr>
            <w:tcW w:w="85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24"/>
                <w:szCs w:val="24"/>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4,783</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3,002</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Available-for-sale investments:</w:t>
            </w: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net unrealized gain (loss) on investments, net of tax</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Less: reclassification adjustment for net realized gain (loss) included in net income</w:t>
            </w:r>
          </w:p>
        </w:tc>
        <w:tc>
          <w:tcPr>
            <w:tcW w:w="8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5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change, net of tax</w:t>
            </w: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r>
      <w:tr>
        <w:trPr>
          <w:trHeight w:val="250"/>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comprehensive income, net</w:t>
            </w:r>
          </w:p>
        </w:tc>
        <w:tc>
          <w:tcPr>
            <w:tcW w:w="880" w:type="dxa"/>
            <w:vAlign w:val="bottom"/>
            <w:tcBorders>
              <w:bottom w:val="single" w:sz="8" w:color="231F20"/>
            </w:tcBorders>
          </w:tcPr>
          <w:p>
            <w:pPr>
              <w:spacing w:after="0"/>
              <w:rPr>
                <w:sz w:val="21"/>
                <w:szCs w:val="21"/>
                <w:color w:val="auto"/>
              </w:rPr>
            </w:pPr>
          </w:p>
        </w:tc>
        <w:tc>
          <w:tcPr>
            <w:tcW w:w="50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241</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231F20"/>
            </w:tcBorders>
          </w:tcPr>
          <w:p>
            <w:pPr>
              <w:spacing w:after="0"/>
              <w:rPr>
                <w:sz w:val="21"/>
                <w:szCs w:val="21"/>
                <w:color w:val="auto"/>
              </w:rPr>
            </w:pPr>
          </w:p>
        </w:tc>
        <w:tc>
          <w:tcPr>
            <w:tcW w:w="5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25</w:t>
            </w: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5,024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3,027</w:t>
            </w: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24"/>
                <w:szCs w:val="24"/>
                <w:color w:val="auto"/>
              </w:rPr>
            </w:pPr>
          </w:p>
        </w:tc>
      </w:tr>
      <w:tr>
        <w:trPr>
          <w:trHeight w:val="263"/>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3,002</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3,182</w:t>
            </w: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Bad debt expense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175</w:t>
            </w: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4,697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3,875</w:t>
            </w: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Amortization of premiums and accretion of discounts on investments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Excess tax benefits from stock-based compensation</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(3,095)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Deferred income taxes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1,362</w:t>
            </w: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(5,914)</w:t>
            </w: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(670)</w:t>
            </w: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payable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(3,609)</w:t>
            </w: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Accrued liabilities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2,822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1,690</w:t>
            </w: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revenues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6,782</w:t>
            </w:r>
          </w:p>
        </w:tc>
      </w:tr>
      <w:tr>
        <w:trPr>
          <w:trHeight w:val="264"/>
        </w:trPr>
        <w:tc>
          <w:tcPr>
            <w:tcW w:w="858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w:t>
            </w:r>
          </w:p>
        </w:tc>
      </w:tr>
      <w:tr>
        <w:trPr>
          <w:trHeight w:val="256"/>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17,138</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10,026</w:t>
            </w:r>
          </w:p>
        </w:tc>
      </w:tr>
      <w:tr>
        <w:trPr>
          <w:trHeight w:val="258"/>
        </w:trPr>
        <w:tc>
          <w:tcPr>
            <w:tcW w:w="858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investments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(49,450)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(31,781)</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Sales and maturities of investments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52,176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25,977</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(4,181)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(6,148)</w:t>
            </w: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Capitalized software development costs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r>
      <w:tr>
        <w:trPr>
          <w:trHeight w:val="256"/>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(1,573)</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(12,051)</w:t>
            </w:r>
          </w:p>
        </w:tc>
      </w:tr>
      <w:tr>
        <w:trPr>
          <w:trHeight w:val="258"/>
        </w:trPr>
        <w:tc>
          <w:tcPr>
            <w:tcW w:w="858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3,448</w:t>
            </w: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Excess tax benefits from stock-based compensation</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3,095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w:t>
            </w:r>
          </w:p>
        </w:tc>
      </w:tr>
      <w:tr>
        <w:trPr>
          <w:trHeight w:val="250"/>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5,208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3,539</w:t>
            </w:r>
          </w:p>
        </w:tc>
      </w:tr>
      <w:tr>
        <w:trPr>
          <w:trHeight w:val="250"/>
        </w:trPr>
        <w:tc>
          <w:tcPr>
            <w:tcW w:w="858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20,773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1,514</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91,698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76,504</w:t>
            </w:r>
          </w:p>
        </w:tc>
      </w:tr>
      <w:tr>
        <w:trPr>
          <w:trHeight w:val="283"/>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112,471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78,018</w:t>
            </w:r>
          </w:p>
        </w:tc>
      </w:tr>
      <w:tr>
        <w:trPr>
          <w:trHeight w:val="264"/>
        </w:trPr>
        <w:tc>
          <w:tcPr>
            <w:tcW w:w="8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Vesting of early exercised common stock options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Qualys, Inc. (the “Company”) was incorporated in the state of Delaware on December 30, 1999. The Company is headquartered in Redwood City, California and has majority-owned subsidiaries throughout the world. The Company is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231F20"/>
        </w:rPr>
        <w:t xml:space="preserve">The accompanying unaudited condensed consolidated financial statements and condensed footnotes have been prepared by the Company in accordance with accounting principles generally accepted in the United States ("U.S. GAAP") for interim financial information as well as the instructions to Form 10-Q and the rules and regulations of the U.S. Securities and Exchange Commission ("SEC"). Certain information and note disclosures normally included in the financial statements prepared in accordance with U.S. GAAP have been condensed or omitted pursuant to such rules and regulations. The condensed consolidated balance sheet as of </w:t>
      </w:r>
      <w:r>
        <w:rPr>
          <w:rFonts w:ascii="Arial" w:cs="Arial" w:eastAsia="Arial" w:hAnsi="Arial"/>
          <w:sz w:val="18"/>
          <w:szCs w:val="18"/>
          <w:color w:val="000000"/>
        </w:rPr>
        <w:t>December 31, 2015</w:t>
      </w:r>
      <w:r>
        <w:rPr>
          <w:rFonts w:ascii="Arial" w:cs="Arial" w:eastAsia="Arial" w:hAnsi="Arial"/>
          <w:sz w:val="18"/>
          <w:szCs w:val="18"/>
          <w:color w:val="231F20"/>
        </w:rPr>
        <w:t xml:space="preserve">,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month periods ended March 31, 2016 are not necessarily indicative of the results of operations expected for the entire year ending December 31, 2016 or for any other future annual or interim period. These condensed consolidated financial statements should be read in conjunction with the consolidated financial statements and related notes included in the Company’s Annual Report on Form 10-K for the year ended </w:t>
      </w:r>
      <w:r>
        <w:rPr>
          <w:rFonts w:ascii="Arial" w:cs="Arial" w:eastAsia="Arial" w:hAnsi="Arial"/>
          <w:sz w:val="18"/>
          <w:szCs w:val="18"/>
          <w:color w:val="000000"/>
        </w:rPr>
        <w:t>December 31, 2015</w:t>
      </w:r>
      <w:r>
        <w:rPr>
          <w:rFonts w:ascii="Arial" w:cs="Arial" w:eastAsia="Arial" w:hAnsi="Arial"/>
          <w:sz w:val="18"/>
          <w:szCs w:val="18"/>
          <w:color w:val="231F20"/>
        </w:rPr>
        <w:t xml:space="preserve"> filed with the SEC on February 26, 2016.</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Principles of Consolidation</w:t>
      </w:r>
    </w:p>
    <w:p>
      <w:pPr>
        <w:spacing w:after="0" w:line="247" w:lineRule="exact"/>
        <w:rPr>
          <w:sz w:val="20"/>
          <w:szCs w:val="20"/>
          <w:color w:val="auto"/>
        </w:rPr>
      </w:pPr>
    </w:p>
    <w:p>
      <w:pPr>
        <w:ind w:right="860" w:firstLine="486"/>
        <w:spacing w:after="0" w:line="262" w:lineRule="auto"/>
        <w:rPr>
          <w:sz w:val="20"/>
          <w:szCs w:val="20"/>
          <w:color w:val="auto"/>
        </w:rPr>
      </w:pPr>
      <w:r>
        <w:rPr>
          <w:rFonts w:ascii="Arial" w:cs="Arial" w:eastAsia="Arial" w:hAnsi="Arial"/>
          <w:sz w:val="18"/>
          <w:szCs w:val="18"/>
          <w:color w:val="231F20"/>
        </w:rPr>
        <w:t>The accompanying condensed consolidated financial statements include the accounts of the Company and its majority-owned subsidiaries. All significant intercompany transactions and balances have been eliminated upon consolidation.</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The preparation of the condensed consolidated financial statements in conformity with U.S. GAAP requires management to make certain estimates and assumptions that affect the reported amounts of assets and liabilities and disclosure of contingent assets and liabilities at the date of the condensed consolidated financial statements and the reported results of operations during the reporting period. The Company’s management regularly assesses these estimates, which primarily affect revenue recognition, the valuation of accounts receivable, goodwill and intangible assets, stock-based compensation and the provision for income taxes. Actual results could differ from those estimates and such differences may be material to the accompanying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41" w:right="27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spacing w:after="0" w:line="20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231F20"/>
        </w:rPr>
        <w:t xml:space="preserve">Credit risk with respect to accounts receivable is dispersed due to the large number of customers. Collateral is not required for accounts receivable. The Company maintains an allowance for potential credit losses based upon the expected collectability of accounts receivable. The Company writes off its receivables once collection efforts are unsuccessful. As of </w:t>
      </w:r>
      <w:r>
        <w:rPr>
          <w:rFonts w:ascii="Arial" w:cs="Arial" w:eastAsia="Arial" w:hAnsi="Arial"/>
          <w:sz w:val="18"/>
          <w:szCs w:val="18"/>
          <w:color w:val="000000"/>
        </w:rPr>
        <w:t>March 31, 2016</w:t>
      </w:r>
      <w:r>
        <w:rPr>
          <w:rFonts w:ascii="Arial" w:cs="Arial" w:eastAsia="Arial" w:hAnsi="Arial"/>
          <w:sz w:val="18"/>
          <w:szCs w:val="18"/>
          <w:color w:val="231F20"/>
        </w:rPr>
        <w:t xml:space="preserve"> and </w:t>
      </w:r>
      <w:r>
        <w:rPr>
          <w:rFonts w:ascii="Arial" w:cs="Arial" w:eastAsia="Arial" w:hAnsi="Arial"/>
          <w:sz w:val="18"/>
          <w:szCs w:val="18"/>
          <w:color w:val="000000"/>
        </w:rPr>
        <w:t>December 31, 2015</w:t>
      </w:r>
      <w:r>
        <w:rPr>
          <w:rFonts w:ascii="Arial" w:cs="Arial" w:eastAsia="Arial" w:hAnsi="Arial"/>
          <w:sz w:val="18"/>
          <w:szCs w:val="18"/>
          <w:color w:val="231F20"/>
        </w:rPr>
        <w:t xml:space="preserve">, </w:t>
      </w:r>
      <w:r>
        <w:rPr>
          <w:rFonts w:ascii="Arial" w:cs="Arial" w:eastAsia="Arial" w:hAnsi="Arial"/>
          <w:sz w:val="18"/>
          <w:szCs w:val="18"/>
          <w:color w:val="000000"/>
        </w:rPr>
        <w:t>no</w:t>
      </w:r>
      <w:r>
        <w:rPr>
          <w:rFonts w:ascii="Arial" w:cs="Arial" w:eastAsia="Arial" w:hAnsi="Arial"/>
          <w:sz w:val="18"/>
          <w:szCs w:val="18"/>
          <w:color w:val="231F20"/>
        </w:rPr>
        <w:t xml:space="preserve"> customer or channel partner accounted for more than 10% of the Company's accounts receivable balance.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Cash Equivalents, Short-Term and Long-Term Investments</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231F20"/>
        </w:rPr>
        <w:t xml:space="preserve">Cash and cash equivalents include cash held in banks, highly liquid money market funds, commercial paper and fixed-income U.S. government agency securities, all with original maturities of three months or less when acquired. </w:t>
      </w:r>
      <w:r>
        <w:rPr>
          <w:rFonts w:ascii="Arial" w:cs="Arial" w:eastAsia="Arial" w:hAnsi="Arial"/>
          <w:sz w:val="18"/>
          <w:szCs w:val="18"/>
          <w:color w:val="000000"/>
        </w:rPr>
        <w:t>The Company’s investments consist of</w:t>
      </w:r>
      <w:r>
        <w:rPr>
          <w:rFonts w:ascii="Arial" w:cs="Arial" w:eastAsia="Arial" w:hAnsi="Arial"/>
          <w:sz w:val="18"/>
          <w:szCs w:val="18"/>
          <w:color w:val="231F20"/>
        </w:rPr>
        <w:t xml:space="preserve"> fixed-income U.S. government agency securities, corporate bonds, asset-backed securities, and commercial paper. Management determines the appropriate classification of the Company's investments at the time of purchase and reevaluates such designation at each balance sheet date. The Company classifies its investments as either short-term or long-term based on each instrument's underlying contractual maturity date.</w:t>
      </w:r>
    </w:p>
    <w:p>
      <w:pPr>
        <w:spacing w:after="0" w:line="206"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231F20"/>
        </w:rPr>
        <w:t xml:space="preserve">Cash equivalents are stated at cost, which approximates fair market value. Short-term and long-term investments are classified as available-for-sale and are carried at fair value. Unrealized gains and losses in fair value are reported in other comprehensive income (loss). When the available-for-sale securities are sold, cost is based on the specific </w:t>
      </w:r>
      <w:r>
        <w:rPr>
          <w:rFonts w:ascii="Arial" w:cs="Arial" w:eastAsia="Arial" w:hAnsi="Arial"/>
          <w:sz w:val="18"/>
          <w:szCs w:val="18"/>
          <w:color w:val="000000"/>
        </w:rPr>
        <w:t>identification method, and the realized gains and losses are</w:t>
      </w:r>
      <w:r>
        <w:rPr>
          <w:rFonts w:ascii="Arial" w:cs="Arial" w:eastAsia="Arial" w:hAnsi="Arial"/>
          <w:sz w:val="18"/>
          <w:szCs w:val="18"/>
          <w:color w:val="231F20"/>
        </w:rPr>
        <w:t xml:space="preserve"> </w:t>
      </w:r>
      <w:r>
        <w:rPr>
          <w:rFonts w:ascii="Arial" w:cs="Arial" w:eastAsia="Arial" w:hAnsi="Arial"/>
          <w:sz w:val="18"/>
          <w:szCs w:val="18"/>
          <w:color w:val="000000"/>
        </w:rPr>
        <w:t>included in other income (expense) in the condensed consolidated statements of operations. Short-term and long-term investments are reviewed quarterly for impairment that is deemed to be other-than-temporary. An investment is considered other-than-temporarily impaired when its fair value is below its amortized cost and (1) there is an intent to sell the security, (2) it is “more likely than not” that the security will be sold before recovery of its amortized cost basis or (3) the present value of expected cash flows from the investment is not expected to recover the entire amortized cost basis. Declines in value that are considered to be other-than-temporary and adjustments to amortized cost for the amortization of premiums and the accretion of discounts are recorded in other income (expense). Interest and dividends are recorded in interest income as earned.</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Software Development Costs</w:t>
      </w:r>
    </w:p>
    <w:p>
      <w:pPr>
        <w:spacing w:after="0" w:line="24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231F20"/>
        </w:rPr>
        <w:t>The Company capitalizes qualifying software costs developed or obtained for internal use. These costs generally include internal costs, such as payroll and benefits of those employees directly associated with the development of the software, and other consulting expenses. Total capitalized development costs are $0.6 million and $0.4 million at March 31, 2016 and December 31, 2015, respectively.</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231F20"/>
        </w:rPr>
        <w:t>In May 2014, the Financial Accounting Standards Board (“FASB”) issued an Accounting Standard Update (“ASU”) amending revenue recognition guidance and requiring more detailed disclosures to enable users of financial statements to understand the nature, amount, timing, and uncertainty of revenue and cash flows arising from contracts with customers. In August 2015, the FASB issued an ASU to defer the effective date of ASU 2014-09 for all entities by one year. Thus, ASU 2014-09 will be effective for fiscal years, and interim periods within those years, beginning after December 15, 2017, but entities will be permitted to early adopt the standard only as of annual reporting periods beginning after December 15, 2016, including interim reporting periods within that reporting period. The new revenue standard may be applied retrospectively to each prior period presented or retrospectively with the cumulative effect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1"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recognized on date of adoption. The Company is currently evaluating the impact this ASU will have on its consolidated financial statements.</w:t>
      </w:r>
    </w:p>
    <w:p>
      <w:pPr>
        <w:spacing w:after="0" w:line="22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 xml:space="preserve">In April 2015, the FASB issued an ASU amending existing guidance which clarifies that software licenses contained in a cloud computing arrangement should be capitalized if the customer has the right to take possession of the software and the ability to run the software outside of the cloud computing arrangement. If a cloud computing arrangement does not include a software license, the customer should account for the arrangement as a service contract under existing guidelines. This guidance is effective for </w:t>
      </w:r>
      <w:r>
        <w:rPr>
          <w:rFonts w:ascii="Arial" w:cs="Arial" w:eastAsia="Arial" w:hAnsi="Arial"/>
          <w:sz w:val="18"/>
          <w:szCs w:val="18"/>
          <w:color w:val="000000"/>
        </w:rPr>
        <w:t>fiscal years, and interim periods within those fiscal</w:t>
      </w:r>
      <w:r>
        <w:rPr>
          <w:rFonts w:ascii="Arial" w:cs="Arial" w:eastAsia="Arial" w:hAnsi="Arial"/>
          <w:sz w:val="18"/>
          <w:szCs w:val="18"/>
          <w:color w:val="231F20"/>
        </w:rPr>
        <w:t xml:space="preserve"> </w:t>
      </w:r>
      <w:r>
        <w:rPr>
          <w:rFonts w:ascii="Arial" w:cs="Arial" w:eastAsia="Arial" w:hAnsi="Arial"/>
          <w:sz w:val="18"/>
          <w:szCs w:val="18"/>
          <w:color w:val="000000"/>
        </w:rPr>
        <w:t xml:space="preserve">years, </w:t>
      </w:r>
      <w:r>
        <w:rPr>
          <w:rFonts w:ascii="Arial" w:cs="Arial" w:eastAsia="Arial" w:hAnsi="Arial"/>
          <w:sz w:val="18"/>
          <w:szCs w:val="18"/>
          <w:color w:val="231F20"/>
        </w:rPr>
        <w:t>beginning after December 15, 2015.</w:t>
      </w:r>
      <w:r>
        <w:rPr>
          <w:rFonts w:ascii="Arial" w:cs="Arial" w:eastAsia="Arial" w:hAnsi="Arial"/>
          <w:sz w:val="18"/>
          <w:szCs w:val="18"/>
          <w:color w:val="000000"/>
        </w:rPr>
        <w:t xml:space="preserve"> A reporting entity may apply the amendments prospectively to all arrangements entered into or materially modified after the effective date or retrospectively. </w:t>
      </w:r>
      <w:r>
        <w:rPr>
          <w:rFonts w:ascii="Arial" w:cs="Arial" w:eastAsia="Arial" w:hAnsi="Arial"/>
          <w:sz w:val="18"/>
          <w:szCs w:val="18"/>
          <w:color w:val="231F20"/>
        </w:rPr>
        <w:t>Early adoption is permitted. The Company adopted this ASU as of January 1,</w:t>
      </w:r>
      <w:r>
        <w:rPr>
          <w:rFonts w:ascii="Arial" w:cs="Arial" w:eastAsia="Arial" w:hAnsi="Arial"/>
          <w:sz w:val="18"/>
          <w:szCs w:val="18"/>
          <w:color w:val="000000"/>
        </w:rPr>
        <w:t xml:space="preserve"> </w:t>
      </w:r>
      <w:r>
        <w:rPr>
          <w:rFonts w:ascii="Arial" w:cs="Arial" w:eastAsia="Arial" w:hAnsi="Arial"/>
          <w:sz w:val="18"/>
          <w:szCs w:val="18"/>
          <w:color w:val="231F20"/>
        </w:rPr>
        <w:t>2016, which had no impact on its consolidated financial statements.</w:t>
      </w:r>
    </w:p>
    <w:p>
      <w:pPr>
        <w:spacing w:after="0" w:line="207"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231F20"/>
        </w:rPr>
        <w:t xml:space="preserve">In January 2016, the FASB issued an ASU that will impact certain aspects of recognition, measurement, presentation and disclosure of financial instruments. This guidance is effective for public business entities in </w:t>
      </w:r>
      <w:r>
        <w:rPr>
          <w:rFonts w:ascii="Arial" w:cs="Arial" w:eastAsia="Arial" w:hAnsi="Arial"/>
          <w:sz w:val="18"/>
          <w:szCs w:val="18"/>
          <w:color w:val="000000"/>
        </w:rPr>
        <w:t>fiscal years, and interim periods within those fiscal years,</w:t>
      </w:r>
      <w:r>
        <w:rPr>
          <w:rFonts w:ascii="Arial" w:cs="Arial" w:eastAsia="Arial" w:hAnsi="Arial"/>
          <w:sz w:val="18"/>
          <w:szCs w:val="18"/>
          <w:color w:val="231F20"/>
        </w:rPr>
        <w:t xml:space="preserve"> beginning after December 15, 2017. The Company is currently evaluating the impact this ASU will have on its consolidated financial statements.</w:t>
      </w:r>
    </w:p>
    <w:p>
      <w:pPr>
        <w:spacing w:after="0" w:line="204"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 xml:space="preserve">In February 2016, the FASB issued an ASU which requires, among other things, lease assets and lease liabilities arising from leases, including operating leases, to be recognized on the balance sheet. In addition, the ASU requires disclosing key information about leasing arrangements. This guidance supersedes existing lease guidance and is effective for public business entities in </w:t>
      </w:r>
      <w:r>
        <w:rPr>
          <w:rFonts w:ascii="Arial" w:cs="Arial" w:eastAsia="Arial" w:hAnsi="Arial"/>
          <w:sz w:val="18"/>
          <w:szCs w:val="18"/>
          <w:color w:val="000000"/>
        </w:rPr>
        <w:t>fiscal years, and interim</w:t>
      </w:r>
      <w:r>
        <w:rPr>
          <w:rFonts w:ascii="Arial" w:cs="Arial" w:eastAsia="Arial" w:hAnsi="Arial"/>
          <w:sz w:val="18"/>
          <w:szCs w:val="18"/>
          <w:color w:val="231F20"/>
        </w:rPr>
        <w:t xml:space="preserve"> </w:t>
      </w:r>
      <w:r>
        <w:rPr>
          <w:rFonts w:ascii="Arial" w:cs="Arial" w:eastAsia="Arial" w:hAnsi="Arial"/>
          <w:sz w:val="18"/>
          <w:szCs w:val="18"/>
          <w:color w:val="000000"/>
        </w:rPr>
        <w:t xml:space="preserve">periods within those fiscal years, </w:t>
      </w:r>
      <w:r>
        <w:rPr>
          <w:rFonts w:ascii="Arial" w:cs="Arial" w:eastAsia="Arial" w:hAnsi="Arial"/>
          <w:sz w:val="18"/>
          <w:szCs w:val="18"/>
          <w:color w:val="231F20"/>
        </w:rPr>
        <w:t>beginning after December 15, 2018. The Company is currently evaluating the impact this ASU will have on its</w:t>
      </w:r>
      <w:r>
        <w:rPr>
          <w:rFonts w:ascii="Arial" w:cs="Arial" w:eastAsia="Arial" w:hAnsi="Arial"/>
          <w:sz w:val="18"/>
          <w:szCs w:val="18"/>
          <w:color w:val="000000"/>
        </w:rPr>
        <w:t xml:space="preserve"> </w:t>
      </w:r>
      <w:r>
        <w:rPr>
          <w:rFonts w:ascii="Arial" w:cs="Arial" w:eastAsia="Arial" w:hAnsi="Arial"/>
          <w:sz w:val="18"/>
          <w:szCs w:val="18"/>
          <w:color w:val="231F20"/>
        </w:rPr>
        <w:t>consolidated financial statements.</w:t>
      </w:r>
    </w:p>
    <w:p>
      <w:pPr>
        <w:spacing w:after="0" w:line="20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 xml:space="preserve">In March 2016, the FASB issued an ASU intended to simplify and improve various aspects related to how employee-share based payment transactions are accounted for and presented in the financial statements. The ASU addresses income tax consequences, classification of awards as either equity or liabilities, classification on the statement of cash flows and forfeiture rate calculations. </w:t>
      </w:r>
      <w:r>
        <w:rPr>
          <w:rFonts w:ascii="Arial" w:cs="Arial" w:eastAsia="Arial" w:hAnsi="Arial"/>
          <w:sz w:val="18"/>
          <w:szCs w:val="18"/>
          <w:color w:val="231F20"/>
        </w:rPr>
        <w:t>This guidance</w:t>
      </w:r>
      <w:r>
        <w:rPr>
          <w:rFonts w:ascii="Arial" w:cs="Arial" w:eastAsia="Arial" w:hAnsi="Arial"/>
          <w:sz w:val="18"/>
          <w:szCs w:val="18"/>
          <w:color w:val="auto"/>
        </w:rPr>
        <w:t xml:space="preserve"> </w:t>
      </w:r>
      <w:r>
        <w:rPr>
          <w:rFonts w:ascii="Arial" w:cs="Arial" w:eastAsia="Arial" w:hAnsi="Arial"/>
          <w:sz w:val="18"/>
          <w:szCs w:val="18"/>
          <w:color w:val="231F20"/>
        </w:rPr>
        <w:t xml:space="preserve">is effective for public business entities in </w:t>
      </w:r>
      <w:r>
        <w:rPr>
          <w:rFonts w:ascii="Arial" w:cs="Arial" w:eastAsia="Arial" w:hAnsi="Arial"/>
          <w:sz w:val="18"/>
          <w:szCs w:val="18"/>
          <w:color w:val="000000"/>
        </w:rPr>
        <w:t>fiscal years, and interim periods within those fiscal years,</w:t>
      </w:r>
      <w:r>
        <w:rPr>
          <w:rFonts w:ascii="Arial" w:cs="Arial" w:eastAsia="Arial" w:hAnsi="Arial"/>
          <w:sz w:val="18"/>
          <w:szCs w:val="18"/>
          <w:color w:val="231F20"/>
        </w:rPr>
        <w:t xml:space="preserve"> beginning after December 15, 2016. Early adoption is permitted. The Company is currently evaluating the impact this ASU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41" w:right="27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35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values due to the relatively short maturity of these balances.</w:t>
      </w:r>
    </w:p>
    <w:p>
      <w:pPr>
        <w:spacing w:after="0" w:line="204" w:lineRule="exact"/>
        <w:rPr>
          <w:sz w:val="20"/>
          <w:szCs w:val="20"/>
          <w:color w:val="auto"/>
        </w:rPr>
      </w:pPr>
    </w:p>
    <w:p>
      <w:pPr>
        <w:jc w:val="both"/>
        <w:ind w:right="60"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investments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40"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160"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 xml:space="preserve">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fixed-income U.S. government agency securities, commercial paper, corporate bonds, asset-backed securities and derivative</w:t>
      </w:r>
      <w:r>
        <w:rPr>
          <w:rFonts w:ascii="Arial" w:cs="Arial" w:eastAsia="Arial" w:hAnsi="Arial"/>
          <w:sz w:val="18"/>
          <w:szCs w:val="18"/>
          <w:color w:val="231F20"/>
        </w:rPr>
        <w:t xml:space="preserve"> </w:t>
      </w:r>
      <w:r>
        <w:rPr>
          <w:rFonts w:ascii="Arial" w:cs="Arial" w:eastAsia="Arial" w:hAnsi="Arial"/>
          <w:sz w:val="18"/>
          <w:szCs w:val="18"/>
          <w:color w:val="000000"/>
        </w:rPr>
        <w:t xml:space="preserve">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w:t>
      </w:r>
      <w:r>
        <w:rPr>
          <w:rFonts w:ascii="Arial" w:cs="Arial" w:eastAsia="Arial" w:hAnsi="Arial"/>
          <w:sz w:val="18"/>
          <w:szCs w:val="18"/>
          <w:color w:val="000000"/>
        </w:rPr>
        <w:t xml:space="preserve"> </w:t>
      </w:r>
      <w:r>
        <w:rPr>
          <w:rFonts w:ascii="Arial" w:cs="Arial" w:eastAsia="Arial" w:hAnsi="Arial"/>
          <w:sz w:val="18"/>
          <w:szCs w:val="18"/>
          <w:color w:val="231F20"/>
        </w:rPr>
        <w:t>valued usi</w:t>
      </w:r>
      <w:r>
        <w:rPr>
          <w:rFonts w:ascii="Arial" w:cs="Arial" w:eastAsia="Arial" w:hAnsi="Arial"/>
          <w:sz w:val="18"/>
          <w:szCs w:val="18"/>
          <w:color w:val="000000"/>
        </w:rPr>
        <w:t>ng observable inputs, such as quotations on forward foreign exchange points and foreign interest rates.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41" w:right="27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and long-term investments consist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March 31, 2016</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6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(in thousands)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69,001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69,001</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31,872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31,872</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11,597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11,598</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112,470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112,471</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6,829</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12,370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12,369</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678</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73,357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73,362</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93,228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93,238</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5,984</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24,016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24,031</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4,592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4,599</w:t>
            </w:r>
          </w:p>
        </w:tc>
      </w:tr>
      <w:tr>
        <w:trPr>
          <w:trHeight w:val="250"/>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34,595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34,614</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240,293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240,323</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December 31, 2015</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auto"/>
              </w:rPr>
              <w:t>(in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61,372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61,372</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3,980</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8,999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9,000</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17,345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17,346</w:t>
            </w:r>
          </w:p>
        </w:tc>
      </w:tr>
      <w:tr>
        <w:trPr>
          <w:trHeight w:val="250"/>
        </w:trPr>
        <w:tc>
          <w:tcPr>
            <w:tcW w:w="4700" w:type="dxa"/>
            <w:vAlign w:val="bottom"/>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91,696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91,698</w:t>
            </w: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10,447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10,448</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12,448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12,435</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64,422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64,385</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87,317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87,268</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6,989</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32,683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32,541</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3,751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3,747</w:t>
            </w:r>
          </w:p>
        </w:tc>
      </w:tr>
      <w:tr>
        <w:trPr>
          <w:trHeight w:val="250"/>
        </w:trPr>
        <w:tc>
          <w:tcPr>
            <w:tcW w:w="4700" w:type="dxa"/>
            <w:vAlign w:val="bottom"/>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43,441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43,277</w:t>
            </w:r>
          </w:p>
        </w:tc>
      </w:tr>
      <w:tr>
        <w:trPr>
          <w:trHeight w:val="24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222,454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222,243</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41"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68"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 excluding cash and money market funds: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March 31, 2016</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18,427</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18,427</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97,393</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97,393</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16,968</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16,968</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2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6,662</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6,662</w:t>
            </w:r>
          </w:p>
        </w:tc>
      </w:tr>
      <w:tr>
        <w:trPr>
          <w:trHeight w:val="24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139,450</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139,450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December 31, 2015</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27,794</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27,794</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105,926</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105,926</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16,182</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16,182</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2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6,989</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6,989</w:t>
            </w:r>
          </w:p>
        </w:tc>
      </w:tr>
      <w:tr>
        <w:trPr>
          <w:trHeight w:val="24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156,891</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156,891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maturity: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center"/>
              <w:ind w:left="979"/>
              <w:spacing w:after="0"/>
              <w:rPr>
                <w:sz w:val="20"/>
                <w:szCs w:val="20"/>
                <w:color w:val="auto"/>
              </w:rPr>
            </w:pPr>
            <w:r>
              <w:rPr>
                <w:rFonts w:ascii="Arial" w:cs="Arial" w:eastAsia="Arial" w:hAnsi="Arial"/>
                <w:sz w:val="16"/>
                <w:szCs w:val="16"/>
                <w:b w:val="1"/>
                <w:bCs w:val="1"/>
                <w:color w:val="auto"/>
              </w:rPr>
              <w:t>March 31, 2016</w:t>
            </w: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8"/>
        </w:trPr>
        <w:tc>
          <w:tcPr>
            <w:tcW w:w="4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Mature within One</w:t>
            </w:r>
          </w:p>
        </w:tc>
        <w:tc>
          <w:tcPr>
            <w:tcW w:w="120" w:type="dxa"/>
            <w:vAlign w:val="bottom"/>
          </w:tcPr>
          <w:p>
            <w:pPr>
              <w:spacing w:after="0"/>
              <w:rPr>
                <w:sz w:val="17"/>
                <w:szCs w:val="17"/>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After One Year through</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8"/>
        </w:trPr>
        <w:tc>
          <w:tcPr>
            <w:tcW w:w="4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7"/>
              </w:rPr>
              <w:t>Year</w:t>
            </w: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7"/>
              </w:rPr>
              <w:t>Two Years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Over Two Years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gridSpan w:val="3"/>
          </w:tcPr>
          <w:p>
            <w:pPr>
              <w:jc w:val="center"/>
              <w:ind w:left="999"/>
              <w:spacing w:after="0"/>
              <w:rPr>
                <w:sz w:val="20"/>
                <w:szCs w:val="20"/>
                <w:color w:val="auto"/>
              </w:rPr>
            </w:pPr>
            <w:r>
              <w:rPr>
                <w:rFonts w:ascii="Arial" w:cs="Arial" w:eastAsia="Arial" w:hAnsi="Arial"/>
                <w:sz w:val="16"/>
                <w:szCs w:val="16"/>
                <w:b w:val="1"/>
                <w:bCs w:val="1"/>
                <w:color w:val="auto"/>
              </w:rPr>
              <w:t>(in thousands)</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18,427</w:t>
            </w:r>
          </w:p>
        </w:tc>
      </w:tr>
      <w:tr>
        <w:trPr>
          <w:trHeight w:val="260"/>
        </w:trPr>
        <w:tc>
          <w:tcPr>
            <w:tcW w:w="402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73,362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24,031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97,393</w:t>
            </w:r>
          </w:p>
        </w:tc>
      </w:tr>
      <w:tr>
        <w:trPr>
          <w:trHeight w:val="28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16,968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16,968</w:t>
            </w:r>
          </w:p>
        </w:tc>
      </w:tr>
      <w:tr>
        <w:trPr>
          <w:trHeight w:val="264"/>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4,791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6,662</w:t>
            </w:r>
          </w:p>
        </w:tc>
      </w:tr>
      <w:tr>
        <w:trPr>
          <w:trHeight w:val="24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109,435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25,224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4,791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139,450</w:t>
            </w: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44"/>
        </w:trPr>
        <w:tc>
          <w:tcPr>
            <w:tcW w:w="4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6"/>
                <w:szCs w:val="16"/>
                <w:b w:val="1"/>
                <w:bCs w:val="1"/>
                <w:color w:val="auto"/>
              </w:rPr>
              <w:t>December 31, 2015</w:t>
            </w: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8"/>
        </w:trPr>
        <w:tc>
          <w:tcPr>
            <w:tcW w:w="4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Mature within One</w:t>
            </w:r>
          </w:p>
        </w:tc>
        <w:tc>
          <w:tcPr>
            <w:tcW w:w="120" w:type="dxa"/>
            <w:vAlign w:val="bottom"/>
          </w:tcPr>
          <w:p>
            <w:pPr>
              <w:spacing w:after="0"/>
              <w:rPr>
                <w:sz w:val="17"/>
                <w:szCs w:val="17"/>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After One Year through</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8"/>
        </w:trPr>
        <w:tc>
          <w:tcPr>
            <w:tcW w:w="4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7"/>
              </w:rPr>
              <w:t>Year</w:t>
            </w: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7"/>
              </w:rPr>
              <w:t>Two Years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Over Two Years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gridSpan w:val="3"/>
          </w:tcPr>
          <w:p>
            <w:pPr>
              <w:jc w:val="center"/>
              <w:ind w:left="999"/>
              <w:spacing w:after="0"/>
              <w:rPr>
                <w:sz w:val="20"/>
                <w:szCs w:val="20"/>
                <w:color w:val="auto"/>
              </w:rPr>
            </w:pPr>
            <w:r>
              <w:rPr>
                <w:rFonts w:ascii="Arial" w:cs="Arial" w:eastAsia="Arial" w:hAnsi="Arial"/>
                <w:sz w:val="16"/>
                <w:szCs w:val="16"/>
                <w:b w:val="1"/>
                <w:bCs w:val="1"/>
                <w:color w:val="auto"/>
              </w:rPr>
              <w:t>(in thousands)</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27,794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27,794</w:t>
            </w:r>
          </w:p>
        </w:tc>
      </w:tr>
      <w:tr>
        <w:trPr>
          <w:trHeight w:val="260"/>
        </w:trPr>
        <w:tc>
          <w:tcPr>
            <w:tcW w:w="402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73,385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32,541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105,926</w:t>
            </w:r>
          </w:p>
        </w:tc>
      </w:tr>
      <w:tr>
        <w:trPr>
          <w:trHeight w:val="28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3,747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16,182</w:t>
            </w:r>
          </w:p>
        </w:tc>
      </w:tr>
      <w:tr>
        <w:trPr>
          <w:trHeight w:val="264"/>
        </w:trPr>
        <w:tc>
          <w:tcPr>
            <w:tcW w:w="402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160" w:type="dxa"/>
            <w:vAlign w:val="bottom"/>
          </w:tcPr>
          <w:p>
            <w:pPr>
              <w:spacing w:after="0"/>
              <w:rPr>
                <w:sz w:val="22"/>
                <w:szCs w:val="22"/>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3,411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3,578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6,989</w:t>
            </w:r>
          </w:p>
        </w:tc>
      </w:tr>
      <w:tr>
        <w:trPr>
          <w:trHeight w:val="240"/>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113,614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39,699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156,891</w:t>
            </w: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41"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88"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or accrued liabilities in the condensed consolidated balance sheets. Gains and losses resulting from currency exchange rate movements on these forward contracts are recognized in other income (expense) in the accompanying condensed consolidated statements of operations in the period in which the exchange rates change and offset the foreign currency gains and losses on the underlying exposure being hedged. The Company does not enter into derivative financial instruments for trading or speculative purposes.</w:t>
      </w:r>
    </w:p>
    <w:p>
      <w:pPr>
        <w:spacing w:after="0" w:line="207"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22222"/>
        </w:rPr>
        <w:t>At March 31, 2016, the Company had two outstanding forward contrac</w:t>
      </w:r>
      <w:r>
        <w:rPr>
          <w:rFonts w:ascii="Arial" w:cs="Arial" w:eastAsia="Arial" w:hAnsi="Arial"/>
          <w:sz w:val="18"/>
          <w:szCs w:val="18"/>
          <w:color w:val="000000"/>
        </w:rPr>
        <w:t>ts with notional amounts of 6.9 million Euros and 4.2 million British</w:t>
      </w:r>
      <w:r>
        <w:rPr>
          <w:rFonts w:ascii="Arial" w:cs="Arial" w:eastAsia="Arial" w:hAnsi="Arial"/>
          <w:sz w:val="18"/>
          <w:szCs w:val="18"/>
          <w:color w:val="222222"/>
        </w:rPr>
        <w:t xml:space="preserve"> </w:t>
      </w:r>
      <w:r>
        <w:rPr>
          <w:rFonts w:ascii="Arial" w:cs="Arial" w:eastAsia="Arial" w:hAnsi="Arial"/>
          <w:sz w:val="18"/>
          <w:szCs w:val="18"/>
          <w:color w:val="000000"/>
        </w:rPr>
        <w:t xml:space="preserve">Pounds, which expired on April 30, 2016. </w:t>
      </w:r>
      <w:r>
        <w:rPr>
          <w:rFonts w:ascii="Arial" w:cs="Arial" w:eastAsia="Arial" w:hAnsi="Arial"/>
          <w:sz w:val="18"/>
          <w:szCs w:val="18"/>
          <w:color w:val="222222"/>
        </w:rPr>
        <w:t>At December 31, 2015, the Company had two outstanding forward contracts with notional amounts of</w:t>
      </w:r>
      <w:r>
        <w:rPr>
          <w:rFonts w:ascii="Arial" w:cs="Arial" w:eastAsia="Arial" w:hAnsi="Arial"/>
          <w:sz w:val="18"/>
          <w:szCs w:val="18"/>
          <w:color w:val="000000"/>
        </w:rPr>
        <w:t xml:space="preserve"> </w:t>
      </w:r>
      <w:r>
        <w:rPr>
          <w:rFonts w:ascii="Arial" w:cs="Arial" w:eastAsia="Arial" w:hAnsi="Arial"/>
          <w:sz w:val="18"/>
          <w:szCs w:val="18"/>
          <w:color w:val="222222"/>
        </w:rPr>
        <w:t xml:space="preserve">6.1 million Euros and 2.6 million British Pounds, which expired on January 31, 2016. These </w:t>
      </w:r>
      <w:r>
        <w:rPr>
          <w:rFonts w:ascii="Arial" w:cs="Arial" w:eastAsia="Arial" w:hAnsi="Arial"/>
          <w:sz w:val="18"/>
          <w:szCs w:val="18"/>
          <w:color w:val="231F20"/>
        </w:rPr>
        <w:t>forward contracts were entered into at the end of</w:t>
      </w:r>
      <w:r>
        <w:rPr>
          <w:rFonts w:ascii="Arial" w:cs="Arial" w:eastAsia="Arial" w:hAnsi="Arial"/>
          <w:sz w:val="18"/>
          <w:szCs w:val="18"/>
          <w:color w:val="222222"/>
        </w:rPr>
        <w:t xml:space="preserve"> </w:t>
      </w:r>
      <w:r>
        <w:rPr>
          <w:rFonts w:ascii="Arial" w:cs="Arial" w:eastAsia="Arial" w:hAnsi="Arial"/>
          <w:sz w:val="18"/>
          <w:szCs w:val="18"/>
          <w:color w:val="231F20"/>
        </w:rPr>
        <w:t xml:space="preserve">each month, and thus the fair value of these contracts was </w:t>
      </w:r>
      <w:r>
        <w:rPr>
          <w:rFonts w:ascii="Arial" w:cs="Arial" w:eastAsia="Arial" w:hAnsi="Arial"/>
          <w:sz w:val="18"/>
          <w:szCs w:val="18"/>
          <w:color w:val="000000"/>
        </w:rPr>
        <w:t>$0</w:t>
      </w:r>
      <w:r>
        <w:rPr>
          <w:rFonts w:ascii="Arial" w:cs="Arial" w:eastAsia="Arial" w:hAnsi="Arial"/>
          <w:sz w:val="18"/>
          <w:szCs w:val="18"/>
          <w:color w:val="231F20"/>
        </w:rPr>
        <w:t xml:space="preserve"> </w:t>
      </w:r>
      <w:r>
        <w:rPr>
          <w:rFonts w:ascii="Arial" w:cs="Arial" w:eastAsia="Arial" w:hAnsi="Arial"/>
          <w:sz w:val="18"/>
          <w:szCs w:val="18"/>
          <w:color w:val="222222"/>
        </w:rPr>
        <w:t>at</w:t>
      </w:r>
      <w:r>
        <w:rPr>
          <w:rFonts w:ascii="Arial" w:cs="Arial" w:eastAsia="Arial" w:hAnsi="Arial"/>
          <w:sz w:val="18"/>
          <w:szCs w:val="18"/>
          <w:color w:val="231F20"/>
        </w:rPr>
        <w:t xml:space="preserve"> </w:t>
      </w:r>
      <w:r>
        <w:rPr>
          <w:rFonts w:ascii="Arial" w:cs="Arial" w:eastAsia="Arial" w:hAnsi="Arial"/>
          <w:sz w:val="18"/>
          <w:szCs w:val="18"/>
          <w:color w:val="000000"/>
        </w:rPr>
        <w:t>March 31, 2016</w:t>
      </w:r>
      <w:r>
        <w:rPr>
          <w:rFonts w:ascii="Arial" w:cs="Arial" w:eastAsia="Arial" w:hAnsi="Arial"/>
          <w:sz w:val="18"/>
          <w:szCs w:val="18"/>
          <w:color w:val="231F20"/>
        </w:rPr>
        <w:t xml:space="preserve"> </w:t>
      </w:r>
      <w:r>
        <w:rPr>
          <w:rFonts w:ascii="Arial" w:cs="Arial" w:eastAsia="Arial" w:hAnsi="Arial"/>
          <w:sz w:val="18"/>
          <w:szCs w:val="18"/>
          <w:color w:val="222222"/>
        </w:rPr>
        <w:t>and</w:t>
      </w:r>
      <w:r>
        <w:rPr>
          <w:rFonts w:ascii="Arial" w:cs="Arial" w:eastAsia="Arial" w:hAnsi="Arial"/>
          <w:sz w:val="18"/>
          <w:szCs w:val="18"/>
          <w:color w:val="231F20"/>
        </w:rPr>
        <w:t xml:space="preserve"> </w:t>
      </w:r>
      <w:r>
        <w:rPr>
          <w:rFonts w:ascii="Arial" w:cs="Arial" w:eastAsia="Arial" w:hAnsi="Arial"/>
          <w:sz w:val="18"/>
          <w:szCs w:val="18"/>
          <w:color w:val="000000"/>
        </w:rPr>
        <w:t>December 31, 2015</w:t>
      </w:r>
      <w:r>
        <w:rPr>
          <w:rFonts w:ascii="Arial" w:cs="Arial" w:eastAsia="Arial" w:hAnsi="Arial"/>
          <w:sz w:val="18"/>
          <w:szCs w:val="18"/>
          <w:color w:val="222222"/>
        </w:rPr>
        <w:t>.</w:t>
      </w:r>
      <w:r>
        <w:rPr>
          <w:rFonts w:ascii="Arial" w:cs="Arial" w:eastAsia="Arial" w:hAnsi="Arial"/>
          <w:sz w:val="18"/>
          <w:szCs w:val="18"/>
          <w:color w:val="231F20"/>
        </w:rPr>
        <w:t xml:space="preserve"> The Company recorded a loss of </w:t>
      </w:r>
      <w:r>
        <w:rPr>
          <w:rFonts w:ascii="Arial" w:cs="Arial" w:eastAsia="Arial" w:hAnsi="Arial"/>
          <w:sz w:val="18"/>
          <w:szCs w:val="18"/>
          <w:color w:val="000000"/>
        </w:rPr>
        <w:t xml:space="preserve">$0.4 million </w:t>
      </w:r>
      <w:r>
        <w:rPr>
          <w:rFonts w:ascii="Arial" w:cs="Arial" w:eastAsia="Arial" w:hAnsi="Arial"/>
          <w:sz w:val="18"/>
          <w:szCs w:val="18"/>
          <w:color w:val="231F20"/>
        </w:rPr>
        <w:t>from these forward contracts, which offset other foreign currency transaction gains of</w:t>
      </w:r>
      <w:r>
        <w:rPr>
          <w:rFonts w:ascii="Arial" w:cs="Arial" w:eastAsia="Arial" w:hAnsi="Arial"/>
          <w:sz w:val="18"/>
          <w:szCs w:val="18"/>
          <w:color w:val="000000"/>
        </w:rPr>
        <w:t xml:space="preserve"> $0.4 million </w:t>
      </w:r>
      <w:r>
        <w:rPr>
          <w:rFonts w:ascii="Arial" w:cs="Arial" w:eastAsia="Arial" w:hAnsi="Arial"/>
          <w:sz w:val="18"/>
          <w:szCs w:val="18"/>
          <w:color w:val="231F20"/>
        </w:rPr>
        <w:t>for the three months ended</w:t>
      </w:r>
      <w:r>
        <w:rPr>
          <w:rFonts w:ascii="Arial" w:cs="Arial" w:eastAsia="Arial" w:hAnsi="Arial"/>
          <w:sz w:val="18"/>
          <w:szCs w:val="18"/>
          <w:color w:val="000000"/>
        </w:rPr>
        <w:t xml:space="preserve"> </w:t>
      </w:r>
      <w:r>
        <w:rPr>
          <w:rFonts w:ascii="Arial" w:cs="Arial" w:eastAsia="Arial" w:hAnsi="Arial"/>
          <w:sz w:val="18"/>
          <w:szCs w:val="18"/>
          <w:color w:val="231F20"/>
        </w:rPr>
        <w:t xml:space="preserve">March 31, 2016. For the three months ended March 31, 2015, the Company recorded a gain of </w:t>
      </w:r>
      <w:r>
        <w:rPr>
          <w:rFonts w:ascii="Arial" w:cs="Arial" w:eastAsia="Arial" w:hAnsi="Arial"/>
          <w:sz w:val="18"/>
          <w:szCs w:val="18"/>
          <w:color w:val="000000"/>
        </w:rPr>
        <w:t>$0.8 million</w:t>
      </w:r>
      <w:r>
        <w:rPr>
          <w:rFonts w:ascii="Arial" w:cs="Arial" w:eastAsia="Arial" w:hAnsi="Arial"/>
          <w:sz w:val="18"/>
          <w:szCs w:val="18"/>
          <w:color w:val="231F20"/>
        </w:rPr>
        <w:t xml:space="preserve"> from these forward contracts, which were more than offset by other foreign currency transaction losses of </w:t>
      </w:r>
      <w:r>
        <w:rPr>
          <w:rFonts w:ascii="Arial" w:cs="Arial" w:eastAsia="Arial" w:hAnsi="Arial"/>
          <w:sz w:val="18"/>
          <w:szCs w:val="18"/>
          <w:color w:val="000000"/>
        </w:rPr>
        <w:t>$0.9 million</w:t>
      </w:r>
      <w:r>
        <w:rPr>
          <w:rFonts w:ascii="Arial" w:cs="Arial" w:eastAsia="Arial" w:hAnsi="Arial"/>
          <w:sz w:val="18"/>
          <w:szCs w:val="18"/>
          <w:color w:val="231F20"/>
        </w:rPr>
        <w:t>. These derivatives did not meet the criteria to be designated as hedges. These instruments were valued using Level 2 inputs.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231F20"/>
        </w:rPr>
        <w:t>Property and Equipment, Net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8"/>
                <w:szCs w:val="18"/>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7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247"/>
        </w:trPr>
        <w:tc>
          <w:tcPr>
            <w:tcW w:w="7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2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50,788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48,192</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3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12,916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12,484</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2,908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2,804</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Scanner appliances</w:t>
            </w:r>
          </w:p>
        </w:tc>
        <w:tc>
          <w:tcPr>
            <w:tcW w:w="3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23,487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22,627</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3,571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3,367</w:t>
            </w:r>
          </w:p>
        </w:tc>
      </w:tr>
      <w:tr>
        <w:trPr>
          <w:trHeight w:val="247"/>
        </w:trPr>
        <w:tc>
          <w:tcPr>
            <w:tcW w:w="790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300" w:type="dxa"/>
            <w:vAlign w:val="bottom"/>
          </w:tcPr>
          <w:p>
            <w:pPr>
              <w:spacing w:after="0"/>
              <w:rPr>
                <w:sz w:val="21"/>
                <w:szCs w:val="21"/>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93,670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89,474</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(61,884)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(58,145)</w:t>
            </w:r>
          </w:p>
        </w:tc>
      </w:tr>
      <w:tr>
        <w:trPr>
          <w:trHeight w:val="240"/>
        </w:trPr>
        <w:tc>
          <w:tcPr>
            <w:tcW w:w="790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31,786</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31,329</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subscriptions by customers have a net carrying value of </w:t>
      </w:r>
      <w:r>
        <w:rPr>
          <w:rFonts w:ascii="Arial" w:cs="Arial" w:eastAsia="Arial" w:hAnsi="Arial"/>
          <w:sz w:val="18"/>
          <w:szCs w:val="18"/>
          <w:color w:val="000000"/>
        </w:rPr>
        <w:t>$ 9.0 million</w:t>
      </w:r>
      <w:r>
        <w:rPr>
          <w:rFonts w:ascii="Arial" w:cs="Arial" w:eastAsia="Arial" w:hAnsi="Arial"/>
          <w:sz w:val="18"/>
          <w:szCs w:val="18"/>
          <w:color w:val="231F20"/>
        </w:rPr>
        <w:t xml:space="preserve"> and </w:t>
      </w:r>
      <w:r>
        <w:rPr>
          <w:rFonts w:ascii="Arial" w:cs="Arial" w:eastAsia="Arial" w:hAnsi="Arial"/>
          <w:sz w:val="18"/>
          <w:szCs w:val="18"/>
          <w:color w:val="000000"/>
        </w:rPr>
        <w:t>$ 8.4 million</w:t>
      </w:r>
      <w:r>
        <w:rPr>
          <w:rFonts w:ascii="Arial" w:cs="Arial" w:eastAsia="Arial" w:hAnsi="Arial"/>
          <w:sz w:val="18"/>
          <w:szCs w:val="18"/>
          <w:color w:val="231F20"/>
        </w:rPr>
        <w:t xml:space="preserve"> at </w:t>
      </w:r>
      <w:r>
        <w:rPr>
          <w:rFonts w:ascii="Arial" w:cs="Arial" w:eastAsia="Arial" w:hAnsi="Arial"/>
          <w:sz w:val="18"/>
          <w:szCs w:val="18"/>
          <w:color w:val="000000"/>
        </w:rPr>
        <w:t>March 31, 2016</w:t>
      </w:r>
      <w:r>
        <w:rPr>
          <w:rFonts w:ascii="Arial" w:cs="Arial" w:eastAsia="Arial" w:hAnsi="Arial"/>
          <w:sz w:val="18"/>
          <w:szCs w:val="18"/>
          <w:color w:val="231F20"/>
        </w:rPr>
        <w:t xml:space="preserve"> and December 31, 2015, respectively, including assets that have not been placed in service of </w:t>
      </w:r>
      <w:r>
        <w:rPr>
          <w:rFonts w:ascii="Arial" w:cs="Arial" w:eastAsia="Arial" w:hAnsi="Arial"/>
          <w:sz w:val="18"/>
          <w:szCs w:val="18"/>
          <w:color w:val="000000"/>
        </w:rPr>
        <w:t>$1.6 million</w:t>
      </w:r>
      <w:r>
        <w:rPr>
          <w:rFonts w:ascii="Arial" w:cs="Arial" w:eastAsia="Arial" w:hAnsi="Arial"/>
          <w:sz w:val="18"/>
          <w:szCs w:val="18"/>
          <w:color w:val="231F20"/>
        </w:rPr>
        <w:t xml:space="preserve"> and </w:t>
      </w:r>
      <w:r>
        <w:rPr>
          <w:rFonts w:ascii="Arial" w:cs="Arial" w:eastAsia="Arial" w:hAnsi="Arial"/>
          <w:sz w:val="18"/>
          <w:szCs w:val="18"/>
          <w:color w:val="000000"/>
        </w:rPr>
        <w:t>$1.4</w:t>
      </w:r>
      <w:r>
        <w:rPr>
          <w:rFonts w:ascii="Arial" w:cs="Arial" w:eastAsia="Arial" w:hAnsi="Arial"/>
          <w:sz w:val="18"/>
          <w:szCs w:val="18"/>
          <w:color w:val="231F20"/>
        </w:rPr>
        <w:t xml:space="preserve"> million, respectively. Other fixed assets not placed in service at </w:t>
      </w:r>
      <w:r>
        <w:rPr>
          <w:rFonts w:ascii="Arial" w:cs="Arial" w:eastAsia="Arial" w:hAnsi="Arial"/>
          <w:sz w:val="18"/>
          <w:szCs w:val="18"/>
          <w:color w:val="000000"/>
        </w:rPr>
        <w:t>March 31, 2016</w:t>
      </w:r>
      <w:r>
        <w:rPr>
          <w:rFonts w:ascii="Arial" w:cs="Arial" w:eastAsia="Arial" w:hAnsi="Arial"/>
          <w:sz w:val="18"/>
          <w:szCs w:val="18"/>
          <w:color w:val="231F20"/>
        </w:rPr>
        <w:t xml:space="preserve"> and December 31, 2015, included in computer equipment and leasehold improvements, are approximately </w:t>
      </w:r>
      <w:r>
        <w:rPr>
          <w:rFonts w:ascii="Arial" w:cs="Arial" w:eastAsia="Arial" w:hAnsi="Arial"/>
          <w:sz w:val="18"/>
          <w:szCs w:val="18"/>
          <w:color w:val="000000"/>
        </w:rPr>
        <w:t>$ 5.4 million</w:t>
      </w:r>
      <w:r>
        <w:rPr>
          <w:rFonts w:ascii="Arial" w:cs="Arial" w:eastAsia="Arial" w:hAnsi="Arial"/>
          <w:sz w:val="18"/>
          <w:szCs w:val="18"/>
          <w:color w:val="231F20"/>
        </w:rPr>
        <w:t xml:space="preserve"> and </w:t>
      </w:r>
      <w:r>
        <w:rPr>
          <w:rFonts w:ascii="Arial" w:cs="Arial" w:eastAsia="Arial" w:hAnsi="Arial"/>
          <w:sz w:val="18"/>
          <w:szCs w:val="18"/>
          <w:color w:val="000000"/>
        </w:rPr>
        <w:t>$4.3 million</w:t>
      </w:r>
      <w:r>
        <w:rPr>
          <w:rFonts w:ascii="Arial" w:cs="Arial" w:eastAsia="Arial" w:hAnsi="Arial"/>
          <w:sz w:val="18"/>
          <w:szCs w:val="18"/>
          <w:color w:val="231F20"/>
        </w:rPr>
        <w:t xml:space="preserve">, respectively. Depreciation and amortization expense relating to property and equipment was $3.7 million and $3.1 million for the </w:t>
      </w:r>
      <w:r>
        <w:rPr>
          <w:rFonts w:ascii="Arial" w:cs="Arial" w:eastAsia="Arial" w:hAnsi="Arial"/>
          <w:sz w:val="18"/>
          <w:szCs w:val="18"/>
          <w:color w:val="000000"/>
        </w:rPr>
        <w:t>three months ended March 31, 2016</w:t>
      </w:r>
      <w:r>
        <w:rPr>
          <w:rFonts w:ascii="Arial" w:cs="Arial" w:eastAsia="Arial" w:hAnsi="Arial"/>
          <w:sz w:val="18"/>
          <w:szCs w:val="18"/>
          <w:color w:val="231F20"/>
        </w:rPr>
        <w:t xml:space="preserve"> and 2015, respectively.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Goodwill and Intangible Assets, Net</w:t>
      </w:r>
    </w:p>
    <w:p>
      <w:pPr>
        <w:spacing w:after="0" w:line="247"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231F20"/>
        </w:rPr>
        <w:t>Intangible assets consist primarily of existing technology and patent license acquired in business combinations. Acquired intangibles are amortized on a straight-line basis over the respective estimated useful lives of the assets.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Book</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Lives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Existing technology</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 years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Patent license</w:t>
            </w:r>
          </w:p>
        </w:tc>
        <w:tc>
          <w:tcPr>
            <w:tcW w:w="116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14 years</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841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intangibles subject to amortization</w:t>
            </w: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Intangible assets not subject to amortization</w:t>
            </w: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CCEEFF"/>
            </w:tcBorders>
            <w:vMerge w:val="restart"/>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CCEEFF"/>
            </w:tcBorders>
            <w:vMerge w:val="restart"/>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line="20" w:lineRule="exact"/>
              <w:rPr>
                <w:sz w:val="1"/>
                <w:szCs w:val="1"/>
                <w:color w:val="auto"/>
              </w:rPr>
            </w:pPr>
          </w:p>
        </w:tc>
      </w:tr>
      <w:tr>
        <w:trPr>
          <w:trHeight w:val="245"/>
        </w:trPr>
        <w:tc>
          <w:tcPr>
            <w:tcW w:w="5160" w:type="dxa"/>
            <w:vAlign w:val="bottom"/>
            <w:tcBorders>
              <w:bottom w:val="single" w:sz="8" w:color="CCEEFF"/>
            </w:tcBorders>
            <w:vMerge w:val="continue"/>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intangible assets, net</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Intangibles amortization expense was $0.1 million for the </w:t>
      </w:r>
      <w:r>
        <w:rPr>
          <w:rFonts w:ascii="Arial" w:cs="Arial" w:eastAsia="Arial" w:hAnsi="Arial"/>
          <w:sz w:val="18"/>
          <w:szCs w:val="18"/>
          <w:color w:val="000000"/>
        </w:rPr>
        <w:t>three months ended March 31, 2016</w:t>
      </w:r>
      <w:r>
        <w:rPr>
          <w:rFonts w:ascii="Arial" w:cs="Arial" w:eastAsia="Arial" w:hAnsi="Arial"/>
          <w:sz w:val="18"/>
          <w:szCs w:val="18"/>
          <w:color w:val="231F20"/>
        </w:rPr>
        <w:t xml:space="preserve"> and </w:t>
      </w:r>
      <w:r>
        <w:rPr>
          <w:rFonts w:ascii="Arial" w:cs="Arial" w:eastAsia="Arial" w:hAnsi="Arial"/>
          <w:sz w:val="18"/>
          <w:szCs w:val="18"/>
          <w:color w:val="000000"/>
        </w:rPr>
        <w:t>2015</w:t>
      </w:r>
      <w:r>
        <w:rPr>
          <w:rFonts w:ascii="Arial" w:cs="Arial" w:eastAsia="Arial" w:hAnsi="Arial"/>
          <w:sz w:val="18"/>
          <w:szCs w:val="18"/>
          <w:color w:val="231F20"/>
        </w:rPr>
        <w: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2016</w:t>
      </w:r>
      <w:r>
        <w:rPr>
          <w:rFonts w:ascii="Arial" w:cs="Arial" w:eastAsia="Arial" w:hAnsi="Arial"/>
          <w:sz w:val="18"/>
          <w:szCs w:val="18"/>
          <w:color w:val="231F20"/>
        </w:rPr>
        <w:t>, the Company expects amortization expense in future periods to be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2016</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2017</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282</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2019</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2021 and thereafter</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w:t>
            </w:r>
          </w:p>
        </w:tc>
      </w:tr>
      <w:tr>
        <w:trPr>
          <w:trHeight w:val="24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1,227</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Goodwill, which is not subject to amortization, totaled $0.3 million as of </w:t>
      </w:r>
      <w:r>
        <w:rPr>
          <w:rFonts w:ascii="Arial" w:cs="Arial" w:eastAsia="Arial" w:hAnsi="Arial"/>
          <w:sz w:val="18"/>
          <w:szCs w:val="18"/>
          <w:color w:val="000000"/>
        </w:rPr>
        <w:t>March 31, 2016</w:t>
      </w:r>
      <w:r>
        <w:rPr>
          <w:rFonts w:ascii="Arial" w:cs="Arial" w:eastAsia="Arial" w:hAnsi="Arial"/>
          <w:sz w:val="18"/>
          <w:szCs w:val="18"/>
          <w:color w:val="231F20"/>
        </w:rPr>
        <w:t xml:space="preserve"> and December 31, 2015.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Commitments and Contingencies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193"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noncancelable operating leases for varying periods through 2022.</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operating leases at </w:t>
      </w:r>
      <w:r>
        <w:rPr>
          <w:rFonts w:ascii="Arial" w:cs="Arial" w:eastAsia="Arial" w:hAnsi="Arial"/>
          <w:sz w:val="18"/>
          <w:szCs w:val="18"/>
          <w:color w:val="000000"/>
        </w:rPr>
        <w:t>March 31, 2016</w:t>
      </w:r>
      <w:r>
        <w:rPr>
          <w:rFonts w:ascii="Arial" w:cs="Arial" w:eastAsia="Arial" w:hAnsi="Arial"/>
          <w:sz w:val="18"/>
          <w:szCs w:val="18"/>
          <w:color w:val="231F20"/>
        </w:rPr>
        <w:t xml:space="preserve">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2016</w:t>
            </w: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3,169</w:t>
            </w:r>
          </w:p>
        </w:tc>
      </w:tr>
      <w:tr>
        <w:trPr>
          <w:trHeight w:val="233"/>
        </w:trPr>
        <w:tc>
          <w:tcPr>
            <w:tcW w:w="9720" w:type="dxa"/>
            <w:vAlign w:val="bottom"/>
          </w:tcPr>
          <w:p>
            <w:pPr>
              <w:ind w:left="40"/>
              <w:spacing w:after="0"/>
              <w:rPr>
                <w:sz w:val="20"/>
                <w:szCs w:val="20"/>
                <w:color w:val="auto"/>
              </w:rPr>
            </w:pPr>
            <w:r>
              <w:rPr>
                <w:rFonts w:ascii="Arial" w:cs="Arial" w:eastAsia="Arial" w:hAnsi="Arial"/>
                <w:sz w:val="16"/>
                <w:szCs w:val="16"/>
                <w:color w:val="auto"/>
              </w:rPr>
              <w:t>2017</w:t>
            </w:r>
          </w:p>
        </w:tc>
        <w:tc>
          <w:tcPr>
            <w:tcW w:w="6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2,782</w:t>
            </w:r>
          </w:p>
        </w:tc>
      </w:tr>
      <w:tr>
        <w:trPr>
          <w:trHeight w:val="25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1,296</w:t>
            </w:r>
          </w:p>
        </w:tc>
      </w:tr>
      <w:tr>
        <w:trPr>
          <w:trHeight w:val="233"/>
        </w:trPr>
        <w:tc>
          <w:tcPr>
            <w:tcW w:w="9720" w:type="dxa"/>
            <w:vAlign w:val="bottom"/>
          </w:tcPr>
          <w:p>
            <w:pPr>
              <w:ind w:left="40"/>
              <w:spacing w:after="0"/>
              <w:rPr>
                <w:sz w:val="20"/>
                <w:szCs w:val="20"/>
                <w:color w:val="auto"/>
              </w:rPr>
            </w:pPr>
            <w:r>
              <w:rPr>
                <w:rFonts w:ascii="Arial" w:cs="Arial" w:eastAsia="Arial" w:hAnsi="Arial"/>
                <w:sz w:val="16"/>
                <w:szCs w:val="16"/>
                <w:color w:val="auto"/>
              </w:rPr>
              <w:t>2019</w:t>
            </w:r>
          </w:p>
        </w:tc>
        <w:tc>
          <w:tcPr>
            <w:tcW w:w="6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873</w:t>
            </w:r>
          </w:p>
        </w:tc>
      </w:tr>
      <w:tr>
        <w:trPr>
          <w:trHeight w:val="25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647</w:t>
            </w:r>
          </w:p>
        </w:tc>
      </w:tr>
      <w:tr>
        <w:trPr>
          <w:trHeight w:val="237"/>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2021 and thereafter</w:t>
            </w:r>
          </w:p>
        </w:tc>
        <w:tc>
          <w:tcPr>
            <w:tcW w:w="6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w:t>
            </w:r>
          </w:p>
        </w:tc>
      </w:tr>
      <w:tr>
        <w:trPr>
          <w:trHeight w:val="24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minimum lease payments</w:t>
            </w:r>
          </w:p>
        </w:tc>
        <w:tc>
          <w:tcPr>
            <w:tcW w:w="6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9,165</w:t>
            </w:r>
          </w:p>
        </w:tc>
      </w:tr>
      <w:tr>
        <w:trPr>
          <w:trHeight w:val="20"/>
        </w:trPr>
        <w:tc>
          <w:tcPr>
            <w:tcW w:w="9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231F20"/>
        </w:rPr>
        <w:t xml:space="preserve">Rent expense was $1.7 million and $1.6 million the </w:t>
      </w:r>
      <w:r>
        <w:rPr>
          <w:rFonts w:ascii="Arial" w:cs="Arial" w:eastAsia="Arial" w:hAnsi="Arial"/>
          <w:sz w:val="18"/>
          <w:szCs w:val="18"/>
          <w:color w:val="000000"/>
        </w:rPr>
        <w:t>three months ended March 31, 2016</w:t>
      </w:r>
      <w:r>
        <w:rPr>
          <w:rFonts w:ascii="Arial" w:cs="Arial" w:eastAsia="Arial" w:hAnsi="Arial"/>
          <w:sz w:val="18"/>
          <w:szCs w:val="18"/>
          <w:color w:val="231F20"/>
        </w:rPr>
        <w:t xml:space="preserve"> and </w:t>
      </w:r>
      <w:r>
        <w:rPr>
          <w:rFonts w:ascii="Arial" w:cs="Arial" w:eastAsia="Arial" w:hAnsi="Arial"/>
          <w:sz w:val="18"/>
          <w:szCs w:val="18"/>
          <w:color w:val="000000"/>
        </w:rPr>
        <w:t>2015</w:t>
      </w:r>
      <w:r>
        <w:rPr>
          <w:rFonts w:ascii="Arial" w:cs="Arial" w:eastAsia="Arial" w:hAnsi="Arial"/>
          <w:sz w:val="18"/>
          <w:szCs w:val="18"/>
          <w:color w:val="231F20"/>
        </w:rPr>
        <w:t xml:space="preserve">, respectively. Although certain of the operating lease agreements provide for escalating rent payments over the terms of the leases, rent expense under these agreements is recognized on a straight-line basis. As of </w:t>
      </w:r>
      <w:r>
        <w:rPr>
          <w:rFonts w:ascii="Arial" w:cs="Arial" w:eastAsia="Arial" w:hAnsi="Arial"/>
          <w:sz w:val="18"/>
          <w:szCs w:val="18"/>
          <w:color w:val="000000"/>
        </w:rPr>
        <w:t>March 31, 2016</w:t>
      </w:r>
      <w:r>
        <w:rPr>
          <w:rFonts w:ascii="Arial" w:cs="Arial" w:eastAsia="Arial" w:hAnsi="Arial"/>
          <w:sz w:val="18"/>
          <w:szCs w:val="18"/>
          <w:color w:val="231F20"/>
        </w:rPr>
        <w:t xml:space="preserve"> and </w:t>
      </w:r>
      <w:r>
        <w:rPr>
          <w:rFonts w:ascii="Arial" w:cs="Arial" w:eastAsia="Arial" w:hAnsi="Arial"/>
          <w:sz w:val="18"/>
          <w:szCs w:val="18"/>
          <w:color w:val="000000"/>
        </w:rPr>
        <w:t>December 31, 2015</w:t>
      </w:r>
      <w:r>
        <w:rPr>
          <w:rFonts w:ascii="Arial" w:cs="Arial" w:eastAsia="Arial" w:hAnsi="Arial"/>
          <w:sz w:val="18"/>
          <w:szCs w:val="18"/>
          <w:color w:val="231F20"/>
        </w:rPr>
        <w:t>, the Company has accrued $0.5 million of deferred rent related to these agreements, which is reflected in accrued liabilities and other noncurrent liabilities in the accompanying condensed consolidated balance sheets.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93"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7"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93" w:lineRule="exact"/>
        <w:rPr>
          <w:sz w:val="20"/>
          <w:szCs w:val="20"/>
          <w:color w:val="auto"/>
        </w:rPr>
      </w:pPr>
    </w:p>
    <w:p>
      <w:pPr>
        <w:ind w:right="420" w:firstLine="486"/>
        <w:spacing w:after="0" w:line="256" w:lineRule="auto"/>
        <w:rPr>
          <w:sz w:val="20"/>
          <w:szCs w:val="20"/>
          <w:color w:val="auto"/>
        </w:rPr>
      </w:pPr>
      <w:r>
        <w:rPr>
          <w:rFonts w:ascii="Arial" w:cs="Arial" w:eastAsia="Arial" w:hAnsi="Arial"/>
          <w:sz w:val="18"/>
          <w:szCs w:val="18"/>
          <w:color w:val="231F20"/>
        </w:rPr>
        <w:t xml:space="preserve">From time to time, the Company may have certain contingent liabilities that arise in the ordinary course of its business activities. The Company accrues a liability for such matters when it is probable a loss has been incurred and such loss can be reasonably estimated. At </w:t>
      </w:r>
      <w:r>
        <w:rPr>
          <w:rFonts w:ascii="Arial" w:cs="Arial" w:eastAsia="Arial" w:hAnsi="Arial"/>
          <w:sz w:val="18"/>
          <w:szCs w:val="18"/>
          <w:color w:val="000000"/>
        </w:rPr>
        <w:t>March 31, 2016</w:t>
      </w:r>
      <w:r>
        <w:rPr>
          <w:rFonts w:ascii="Arial" w:cs="Arial" w:eastAsia="Arial" w:hAnsi="Arial"/>
          <w:sz w:val="18"/>
          <w:szCs w:val="18"/>
          <w:color w:val="231F20"/>
        </w:rPr>
        <w:t>, the Company has not recorded any material liabilities in accordance with accounting for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Stock-based Compensation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Equity Incentive Plans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 xml:space="preserve">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w:t>
      </w:r>
      <w:r>
        <w:rPr>
          <w:rFonts w:ascii="Arial" w:cs="Arial" w:eastAsia="Arial" w:hAnsi="Arial"/>
          <w:sz w:val="18"/>
          <w:szCs w:val="18"/>
          <w:color w:val="000000"/>
        </w:rPr>
        <w:t>8,069,184</w:t>
      </w:r>
      <w:r>
        <w:rPr>
          <w:rFonts w:ascii="Arial" w:cs="Arial" w:eastAsia="Arial" w:hAnsi="Arial"/>
          <w:sz w:val="18"/>
          <w:szCs w:val="18"/>
          <w:color w:val="231F20"/>
        </w:rPr>
        <w:t xml:space="preserve"> shares of common stock. Options may be granted with an exercise price that is at least equal to the fair market value of the Company's stock at the date of grant and are exercisable when vested. As of March 31, 2016, </w:t>
      </w:r>
      <w:r>
        <w:rPr>
          <w:rFonts w:ascii="Arial" w:cs="Arial" w:eastAsia="Arial" w:hAnsi="Arial"/>
          <w:sz w:val="18"/>
          <w:szCs w:val="18"/>
          <w:color w:val="000000"/>
        </w:rPr>
        <w:t>3,075,341</w:t>
      </w:r>
      <w:r>
        <w:rPr>
          <w:rFonts w:ascii="Arial" w:cs="Arial" w:eastAsia="Arial" w:hAnsi="Arial"/>
          <w:sz w:val="18"/>
          <w:szCs w:val="18"/>
          <w:color w:val="231F20"/>
        </w:rPr>
        <w:t xml:space="preserve"> shares were available for grant under the 2012 Plan.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231F20"/>
        </w:rPr>
        <w:t>Under the 2000 Equity Incentive Plan (the "2000 Plan"), the Company was authorized to grant to eligible participants either ISOs or NSOs. The 2000 Plan was terminated in connection with the closing of the initial public offering ("IPO"), and accordingly, no shares are currently available for issuance under the 2000 Plan. The 2000 Plan continues to govern outstanding awards granted thereunder.</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Employee Stock-based Compensation</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Stock-based compensation for employee option awards is included in the condensed consolidated statements of operations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4"/>
        </w:trPr>
        <w:tc>
          <w:tcPr>
            <w:tcW w:w="8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r>
      <w:tr>
        <w:trPr>
          <w:trHeight w:val="247"/>
        </w:trPr>
        <w:tc>
          <w:tcPr>
            <w:tcW w:w="8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w w:val="99"/>
              </w:rPr>
              <w:t>(in thousands)</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1,152</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811</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1,471</w:t>
            </w:r>
          </w:p>
        </w:tc>
      </w:tr>
      <w:tr>
        <w:trPr>
          <w:trHeight w:val="24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employee stock-based compensation</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4,509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3,762</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Compensation cost is recognized on a straight-line basis over the service period. Forfeitures are estimated at the time of grant and revised, if necessary, in subsequent periods if actual forfeitures differ from those estimates.</w:t>
      </w:r>
    </w:p>
    <w:p>
      <w:pPr>
        <w:spacing w:after="0" w:line="196"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2016</w:t>
      </w:r>
      <w:r>
        <w:rPr>
          <w:rFonts w:ascii="Arial" w:cs="Arial" w:eastAsia="Arial" w:hAnsi="Arial"/>
          <w:sz w:val="18"/>
          <w:szCs w:val="18"/>
          <w:color w:val="231F20"/>
        </w:rPr>
        <w:t xml:space="preserve">, the Company had </w:t>
      </w:r>
      <w:r>
        <w:rPr>
          <w:rFonts w:ascii="Arial" w:cs="Arial" w:eastAsia="Arial" w:hAnsi="Arial"/>
          <w:sz w:val="18"/>
          <w:szCs w:val="18"/>
          <w:color w:val="000000"/>
        </w:rPr>
        <w:t>$23.1 million</w:t>
      </w:r>
      <w:r>
        <w:rPr>
          <w:rFonts w:ascii="Arial" w:cs="Arial" w:eastAsia="Arial" w:hAnsi="Arial"/>
          <w:sz w:val="18"/>
          <w:szCs w:val="18"/>
          <w:color w:val="231F20"/>
        </w:rPr>
        <w:t xml:space="preserve"> of total unrecognized employee compensation cost related to unvested option awards that it expects to recognize over a weighted-average period of </w:t>
      </w:r>
      <w:r>
        <w:rPr>
          <w:rFonts w:ascii="Arial" w:cs="Arial" w:eastAsia="Arial" w:hAnsi="Arial"/>
          <w:sz w:val="18"/>
          <w:szCs w:val="18"/>
          <w:color w:val="000000"/>
        </w:rPr>
        <w:t>2.5</w:t>
      </w:r>
      <w:r>
        <w:rPr>
          <w:rFonts w:ascii="Arial" w:cs="Arial" w:eastAsia="Arial" w:hAnsi="Arial"/>
          <w:sz w:val="18"/>
          <w:szCs w:val="18"/>
          <w:color w:val="231F20"/>
        </w:rPr>
        <w:t xml:space="preserve"> years.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231F20"/>
        </w:rPr>
        <w:t>The fair value of each option granted to employees is estimated on the date of grant using the Black-Scholes option-pricing model based on the following assumptions: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22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r>
      <w:tr>
        <w:trPr>
          <w:trHeight w:val="283"/>
        </w:trPr>
        <w:tc>
          <w:tcPr>
            <w:tcW w:w="85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March 31,</w:t>
            </w:r>
          </w:p>
        </w:tc>
        <w:tc>
          <w:tcPr>
            <w:tcW w:w="580" w:type="dxa"/>
            <w:vAlign w:val="bottom"/>
            <w:tcBorders>
              <w:bottom w:val="single" w:sz="8" w:color="auto"/>
            </w:tcBorders>
          </w:tcPr>
          <w:p>
            <w:pPr>
              <w:spacing w:after="0"/>
              <w:rPr>
                <w:sz w:val="24"/>
                <w:szCs w:val="24"/>
                <w:color w:val="auto"/>
              </w:rPr>
            </w:pPr>
          </w:p>
        </w:tc>
      </w:tr>
      <w:tr>
        <w:trPr>
          <w:trHeight w:val="264"/>
        </w:trPr>
        <w:tc>
          <w:tcPr>
            <w:tcW w:w="8580" w:type="dxa"/>
            <w:vAlign w:val="bottom"/>
          </w:tcPr>
          <w:p>
            <w:pPr>
              <w:spacing w:after="0"/>
              <w:rPr>
                <w:sz w:val="22"/>
                <w:szCs w:val="22"/>
                <w:color w:val="auto"/>
              </w:rPr>
            </w:pPr>
          </w:p>
        </w:tc>
        <w:tc>
          <w:tcPr>
            <w:tcW w:w="1020" w:type="dxa"/>
            <w:vAlign w:val="bottom"/>
          </w:tcPr>
          <w:p>
            <w:pPr>
              <w:jc w:val="center"/>
              <w:ind w:left="259"/>
              <w:spacing w:after="0"/>
              <w:rPr>
                <w:sz w:val="20"/>
                <w:szCs w:val="20"/>
                <w:color w:val="auto"/>
              </w:rPr>
            </w:pPr>
            <w:r>
              <w:rPr>
                <w:rFonts w:ascii="Arial" w:cs="Arial" w:eastAsia="Arial" w:hAnsi="Arial"/>
                <w:sz w:val="16"/>
                <w:szCs w:val="16"/>
                <w:b w:val="1"/>
                <w:bCs w:val="1"/>
                <w:color w:val="auto"/>
              </w:rPr>
              <w:t>2016</w:t>
            </w:r>
          </w:p>
        </w:tc>
        <w:tc>
          <w:tcPr>
            <w:tcW w:w="182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auto"/>
              </w:rPr>
              <w:t>2015</w:t>
            </w:r>
          </w:p>
        </w:tc>
      </w:tr>
      <w:tr>
        <w:trPr>
          <w:trHeight w:val="257"/>
        </w:trPr>
        <w:tc>
          <w:tcPr>
            <w:tcW w:w="8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10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w w:val="98"/>
              </w:rPr>
              <w:t>5.0 to 5.9</w:t>
            </w:r>
          </w:p>
        </w:tc>
        <w:tc>
          <w:tcPr>
            <w:tcW w:w="3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 to</w:t>
            </w: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5.9</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1020" w:type="dxa"/>
            <w:vAlign w:val="bottom"/>
          </w:tcPr>
          <w:p>
            <w:pPr>
              <w:jc w:val="center"/>
              <w:ind w:left="259"/>
              <w:spacing w:after="0"/>
              <w:rPr>
                <w:sz w:val="20"/>
                <w:szCs w:val="20"/>
                <w:color w:val="auto"/>
              </w:rPr>
            </w:pPr>
            <w:r>
              <w:rPr>
                <w:rFonts w:ascii="Arial" w:cs="Arial" w:eastAsia="Arial" w:hAnsi="Arial"/>
                <w:sz w:val="16"/>
                <w:szCs w:val="16"/>
                <w:color w:val="auto"/>
                <w:w w:val="99"/>
              </w:rPr>
              <w:t>45%</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 to</w:t>
            </w:r>
          </w:p>
        </w:tc>
        <w:tc>
          <w:tcPr>
            <w:tcW w:w="580" w:type="dxa"/>
            <w:vAlign w:val="bottom"/>
          </w:tcPr>
          <w:p>
            <w:pPr>
              <w:ind w:left="20"/>
              <w:spacing w:after="0"/>
              <w:rPr>
                <w:sz w:val="20"/>
                <w:szCs w:val="20"/>
                <w:color w:val="auto"/>
              </w:rPr>
            </w:pPr>
            <w:r>
              <w:rPr>
                <w:rFonts w:ascii="Arial" w:cs="Arial" w:eastAsia="Arial" w:hAnsi="Arial"/>
                <w:sz w:val="16"/>
                <w:szCs w:val="16"/>
                <w:color w:val="auto"/>
              </w:rPr>
              <w:t>48%</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020" w:type="dxa"/>
            <w:vAlign w:val="bottom"/>
            <w:shd w:val="clear" w:color="auto" w:fill="CCEEFF"/>
          </w:tcPr>
          <w:p>
            <w:pPr>
              <w:jc w:val="center"/>
              <w:ind w:left="259"/>
              <w:spacing w:after="0"/>
              <w:rPr>
                <w:sz w:val="20"/>
                <w:szCs w:val="20"/>
                <w:color w:val="auto"/>
              </w:rPr>
            </w:pPr>
            <w:r>
              <w:rPr>
                <w:rFonts w:ascii="Arial" w:cs="Arial" w:eastAsia="Arial" w:hAnsi="Arial"/>
                <w:sz w:val="16"/>
                <w:szCs w:val="16"/>
                <w:color w:val="auto"/>
                <w:w w:val="98"/>
              </w:rPr>
              <w:t>1.3%</w:t>
            </w:r>
          </w:p>
        </w:tc>
        <w:tc>
          <w:tcPr>
            <w:tcW w:w="1820" w:type="dxa"/>
            <w:vAlign w:val="bottom"/>
            <w:gridSpan w:val="4"/>
            <w:shd w:val="clear" w:color="auto" w:fill="CCEEFF"/>
          </w:tcPr>
          <w:p>
            <w:pPr>
              <w:jc w:val="center"/>
              <w:ind w:left="379"/>
              <w:spacing w:after="0"/>
              <w:rPr>
                <w:sz w:val="20"/>
                <w:szCs w:val="20"/>
                <w:color w:val="auto"/>
              </w:rPr>
            </w:pPr>
            <w:r>
              <w:rPr>
                <w:rFonts w:ascii="Arial" w:cs="Arial" w:eastAsia="Arial" w:hAnsi="Arial"/>
                <w:sz w:val="16"/>
                <w:szCs w:val="16"/>
                <w:color w:val="auto"/>
                <w:w w:val="98"/>
              </w:rPr>
              <w:t>1.3%</w:t>
            </w: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1020" w:type="dxa"/>
            <w:vAlign w:val="bottom"/>
          </w:tcPr>
          <w:p>
            <w:pPr>
              <w:jc w:val="center"/>
              <w:ind w:left="259"/>
              <w:spacing w:after="0"/>
              <w:rPr>
                <w:sz w:val="20"/>
                <w:szCs w:val="20"/>
                <w:color w:val="auto"/>
              </w:rPr>
            </w:pPr>
            <w:r>
              <w:rPr>
                <w:rFonts w:ascii="Arial" w:cs="Arial" w:eastAsia="Arial" w:hAnsi="Arial"/>
                <w:sz w:val="16"/>
                <w:szCs w:val="16"/>
                <w:color w:val="auto"/>
                <w:w w:val="99"/>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left="499"/>
              <w:spacing w:after="0"/>
              <w:rPr>
                <w:sz w:val="20"/>
                <w:szCs w:val="20"/>
                <w:color w:val="auto"/>
              </w:rPr>
            </w:pPr>
            <w:r>
              <w:rPr>
                <w:rFonts w:ascii="Arial" w:cs="Arial" w:eastAsia="Arial" w:hAnsi="Arial"/>
                <w:sz w:val="16"/>
                <w:szCs w:val="16"/>
                <w:color w:val="auto"/>
                <w:w w:val="99"/>
              </w:rPr>
              <w:t>—</w:t>
            </w:r>
          </w:p>
        </w:tc>
        <w:tc>
          <w:tcPr>
            <w:tcW w:w="580" w:type="dxa"/>
            <w:vAlign w:val="bottom"/>
          </w:tcPr>
          <w:p>
            <w:pPr>
              <w:spacing w:after="0"/>
              <w:rPr>
                <w:sz w:val="21"/>
                <w:szCs w:val="21"/>
                <w:color w:val="auto"/>
              </w:rPr>
            </w:pPr>
          </w:p>
        </w:tc>
      </w:tr>
    </w:tbl>
    <w:p>
      <w:pPr>
        <w:spacing w:after="0" w:line="23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231F20"/>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Volatility is based on historical volatility of several public entities that are similar to the Company, as the Company does not have sufficient historical transactions in its own shares on which to base expected volatility. The Company has not historically declared any dividends and does not expect to in the future.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Non-Employee Stock-based Compensation</w:t>
      </w:r>
    </w:p>
    <w:p>
      <w:pPr>
        <w:spacing w:after="0" w:line="243"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231F20"/>
        </w:rPr>
        <w:t>The Company records compensation representing the fair value of stock options granted to non-employees. Stock-based non-employee compensation expense was minimal and $0.1 million for the three months ended March 31, 2016 and 2015, respectively. Non-employee stock-based compensation is recognized over the vesting periods of the options. The value of options granted to non-employees is remeasured as they vest over a performance period.</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Stock Option Plan Activity</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Weighted 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Aggregate Intrinsic</w:t>
            </w:r>
          </w:p>
        </w:tc>
      </w:tr>
      <w:tr>
        <w:trPr>
          <w:trHeight w:val="228"/>
        </w:trPr>
        <w:tc>
          <w:tcPr>
            <w:tcW w:w="5020" w:type="dxa"/>
            <w:vAlign w:val="bottom"/>
          </w:tcPr>
          <w:p>
            <w:pPr>
              <w:spacing w:after="0"/>
              <w:rPr>
                <w:sz w:val="19"/>
                <w:szCs w:val="19"/>
                <w:color w:val="auto"/>
              </w:rPr>
            </w:pPr>
          </w:p>
        </w:tc>
        <w:tc>
          <w:tcPr>
            <w:tcW w:w="1500" w:type="dxa"/>
            <w:vAlign w:val="bottom"/>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80" w:type="dxa"/>
            <w:vAlign w:val="bottom"/>
          </w:tcPr>
          <w:p>
            <w:pPr>
              <w:spacing w:after="0"/>
              <w:rPr>
                <w:sz w:val="19"/>
                <w:szCs w:val="19"/>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60"/>
        </w:trPr>
        <w:tc>
          <w:tcPr>
            <w:tcW w:w="502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7,579,058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16.88</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131,345</w:t>
            </w:r>
          </w:p>
        </w:tc>
      </w:tr>
      <w:tr>
        <w:trPr>
          <w:trHeight w:val="260"/>
        </w:trPr>
        <w:tc>
          <w:tcPr>
            <w:tcW w:w="502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549,700</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25.17</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(462,737)</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(258,628)</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32.69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2016</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7,407,393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77,955</w:t>
            </w:r>
          </w:p>
        </w:tc>
      </w:tr>
      <w:tr>
        <w:trPr>
          <w:trHeight w:val="20"/>
        </w:trPr>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7"/>
        </w:trPr>
        <w:tc>
          <w:tcPr>
            <w:tcW w:w="5020" w:type="dxa"/>
            <w:vAlign w:val="bottom"/>
          </w:tcPr>
          <w:p>
            <w:pPr>
              <w:ind w:left="40"/>
              <w:spacing w:after="0"/>
              <w:rPr>
                <w:sz w:val="20"/>
                <w:szCs w:val="20"/>
                <w:color w:val="auto"/>
              </w:rPr>
            </w:pPr>
            <w:r>
              <w:rPr>
                <w:rFonts w:ascii="Arial" w:cs="Arial" w:eastAsia="Arial" w:hAnsi="Arial"/>
                <w:sz w:val="16"/>
                <w:szCs w:val="16"/>
                <w:color w:val="auto"/>
              </w:rPr>
              <w:t>Vested and expected to vest - March 31, 2016</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6,851,379</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16.57</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77,676</w:t>
            </w:r>
          </w:p>
        </w:tc>
      </w:tr>
      <w:tr>
        <w:trPr>
          <w:trHeight w:val="280"/>
        </w:trPr>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March 31, 2016</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5,074,374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76,024</w:t>
            </w:r>
          </w:p>
        </w:tc>
      </w:tr>
    </w:tbl>
    <w:p>
      <w:pPr>
        <w:spacing w:after="0" w:line="35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47"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231F20"/>
        </w:rPr>
        <w:t>The terms and conditions of RSUs and RSAs, including vesting criteria and timing are set by the board of directors. The cost of RSUs and RSAs is determined using the fair value of the Company’s common stock on the date of the grant. Compensation cost is recognized on a straight-line basis over the requisite service period of each grant adjusted for estimated forfeitures.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RSU activity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858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Average Fair</w:t>
            </w:r>
          </w:p>
        </w:tc>
      </w:tr>
      <w:tr>
        <w:trPr>
          <w:trHeight w:val="228"/>
        </w:trPr>
        <w:tc>
          <w:tcPr>
            <w:tcW w:w="8580" w:type="dxa"/>
            <w:vAlign w:val="bottom"/>
          </w:tcPr>
          <w:p>
            <w:pPr>
              <w:spacing w:after="0"/>
              <w:rPr>
                <w:sz w:val="19"/>
                <w:szCs w:val="19"/>
                <w:color w:val="auto"/>
              </w:rPr>
            </w:pPr>
          </w:p>
        </w:tc>
        <w:tc>
          <w:tcPr>
            <w:tcW w:w="13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RSUs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8"/>
              </w:rPr>
              <w:t>Value</w:t>
            </w:r>
          </w:p>
        </w:tc>
      </w:tr>
      <w:tr>
        <w:trPr>
          <w:trHeight w:val="284"/>
        </w:trPr>
        <w:tc>
          <w:tcPr>
            <w:tcW w:w="8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47,500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37.28</w:t>
            </w:r>
          </w:p>
        </w:tc>
      </w:tr>
      <w:tr>
        <w:trPr>
          <w:trHeight w:val="260"/>
        </w:trPr>
        <w:tc>
          <w:tcPr>
            <w:tcW w:w="8580" w:type="dxa"/>
            <w:vAlign w:val="bottom"/>
          </w:tcPr>
          <w:p>
            <w:pPr>
              <w:ind w:left="28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14,142</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25.17</w:t>
            </w:r>
          </w:p>
        </w:tc>
      </w:tr>
      <w:tr>
        <w:trPr>
          <w:trHeight w:val="280"/>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Released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37.28</w:t>
            </w: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(42,500)</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37.28</w:t>
            </w:r>
          </w:p>
        </w:tc>
      </w:tr>
      <w:tr>
        <w:trPr>
          <w:trHeight w:val="24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2016</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14,142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25.17</w:t>
            </w: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7"/>
        </w:trPr>
        <w:tc>
          <w:tcPr>
            <w:tcW w:w="8580" w:type="dxa"/>
            <w:vAlign w:val="bottom"/>
          </w:tcPr>
          <w:p>
            <w:pPr>
              <w:ind w:left="40"/>
              <w:spacing w:after="0"/>
              <w:rPr>
                <w:sz w:val="20"/>
                <w:szCs w:val="20"/>
                <w:color w:val="auto"/>
              </w:rPr>
            </w:pPr>
            <w:r>
              <w:rPr>
                <w:rFonts w:ascii="Arial" w:cs="Arial" w:eastAsia="Arial" w:hAnsi="Arial"/>
                <w:sz w:val="16"/>
                <w:szCs w:val="16"/>
                <w:color w:val="auto"/>
              </w:rPr>
              <w:t>Outstanding and expected to vest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14,142</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25.17</w:t>
            </w:r>
          </w:p>
        </w:tc>
      </w:tr>
    </w:tbl>
    <w:p>
      <w:pPr>
        <w:spacing w:after="0" w:line="200" w:lineRule="exact"/>
        <w:rPr>
          <w:sz w:val="20"/>
          <w:szCs w:val="20"/>
          <w:color w:val="auto"/>
        </w:rPr>
      </w:pPr>
    </w:p>
    <w:p>
      <w:pPr>
        <w:spacing w:after="0" w:line="251"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231F20"/>
        </w:rPr>
        <w:t xml:space="preserve">The Company recorded compensation expense of </w:t>
      </w:r>
      <w:r>
        <w:rPr>
          <w:rFonts w:ascii="Arial" w:cs="Arial" w:eastAsia="Arial" w:hAnsi="Arial"/>
          <w:sz w:val="18"/>
          <w:szCs w:val="18"/>
          <w:color w:val="000000"/>
        </w:rPr>
        <w:t>$0.2 million</w:t>
      </w:r>
      <w:r>
        <w:rPr>
          <w:rFonts w:ascii="Arial" w:cs="Arial" w:eastAsia="Arial" w:hAnsi="Arial"/>
          <w:sz w:val="18"/>
          <w:szCs w:val="18"/>
          <w:color w:val="231F20"/>
        </w:rPr>
        <w:t xml:space="preserve"> for the three months ended March 31, 2016. The Company did not record compensation expense for RSUs in the three months ended March 31, 2015.</w:t>
      </w:r>
    </w:p>
    <w:p>
      <w:pPr>
        <w:spacing w:after="0" w:line="196"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As of March 31, 2016, the Company has $0.4 million of unrecognized compensation cost related to unvested awards that it expects to recognize over a weighted-average period of 2.9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Other Income (Expense), Net</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Other income (expense), net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2380" w:type="dxa"/>
            <w:vAlign w:val="bottom"/>
            <w:gridSpan w:val="4"/>
          </w:tcPr>
          <w:p>
            <w:pPr>
              <w:jc w:val="center"/>
              <w:ind w:left="39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r>
      <w:tr>
        <w:trPr>
          <w:trHeight w:val="283"/>
        </w:trPr>
        <w:tc>
          <w:tcPr>
            <w:tcW w:w="85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6"/>
                <w:szCs w:val="16"/>
                <w:b w:val="1"/>
                <w:bCs w:val="1"/>
                <w:color w:val="auto"/>
              </w:rPr>
              <w:t>March 31,</w:t>
            </w:r>
          </w:p>
        </w:tc>
        <w:tc>
          <w:tcPr>
            <w:tcW w:w="460" w:type="dxa"/>
            <w:vAlign w:val="bottom"/>
            <w:tcBorders>
              <w:bottom w:val="single" w:sz="8" w:color="auto"/>
            </w:tcBorders>
          </w:tcPr>
          <w:p>
            <w:pPr>
              <w:spacing w:after="0"/>
              <w:rPr>
                <w:sz w:val="24"/>
                <w:szCs w:val="24"/>
                <w:color w:val="auto"/>
              </w:rPr>
            </w:pPr>
          </w:p>
        </w:tc>
      </w:tr>
      <w:tr>
        <w:trPr>
          <w:trHeight w:val="264"/>
        </w:trPr>
        <w:tc>
          <w:tcPr>
            <w:tcW w:w="85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460" w:type="dxa"/>
            <w:vAlign w:val="bottom"/>
            <w:tcBorders>
              <w:bottom w:val="single" w:sz="8" w:color="auto"/>
            </w:tcBorders>
          </w:tcPr>
          <w:p>
            <w:pPr>
              <w:spacing w:after="0"/>
              <w:rPr>
                <w:sz w:val="22"/>
                <w:szCs w:val="22"/>
                <w:color w:val="auto"/>
              </w:rPr>
            </w:pPr>
          </w:p>
        </w:tc>
      </w:tr>
      <w:tr>
        <w:trPr>
          <w:trHeight w:val="247"/>
        </w:trPr>
        <w:tc>
          <w:tcPr>
            <w:tcW w:w="8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gridSpan w:val="3"/>
          </w:tcPr>
          <w:p>
            <w:pPr>
              <w:jc w:val="center"/>
              <w:ind w:right="299"/>
              <w:spacing w:after="0"/>
              <w:rPr>
                <w:sz w:val="20"/>
                <w:szCs w:val="20"/>
                <w:color w:val="auto"/>
              </w:rPr>
            </w:pPr>
            <w:r>
              <w:rPr>
                <w:rFonts w:ascii="Arial" w:cs="Arial" w:eastAsia="Arial" w:hAnsi="Arial"/>
                <w:sz w:val="16"/>
                <w:szCs w:val="16"/>
                <w:b w:val="1"/>
                <w:bCs w:val="1"/>
                <w:color w:val="auto"/>
                <w:w w:val="99"/>
              </w:rPr>
              <w:t>(in thousands)</w:t>
            </w:r>
          </w:p>
        </w:tc>
        <w:tc>
          <w:tcPr>
            <w:tcW w:w="460" w:type="dxa"/>
            <w:vAlign w:val="bottom"/>
          </w:tcPr>
          <w:p>
            <w:pPr>
              <w:spacing w:after="0"/>
              <w:rPr>
                <w:sz w:val="21"/>
                <w:szCs w:val="21"/>
                <w:color w:val="auto"/>
              </w:rPr>
            </w:pP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exchange losses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w:t>
            </w:r>
          </w:p>
        </w:tc>
        <w:tc>
          <w:tcPr>
            <w:tcW w:w="8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4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0"/>
        </w:trPr>
        <w:tc>
          <w:tcPr>
            <w:tcW w:w="8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47"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The Company recorded an income tax provision of $3.0 million and $1.8 million for the three months ended March 31, 2016 and 2015, respectively. The effective income tax rate was approximately 38.4 % and 38.0% for the three months ended March 31, 2016 and 2015, respectively.</w:t>
      </w:r>
    </w:p>
    <w:p>
      <w:pPr>
        <w:spacing w:after="0" w:line="202"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231F20"/>
        </w:rPr>
        <w:t xml:space="preserve">As of March 31, 2016, the Company had unrecognized tax benefits of </w:t>
      </w:r>
      <w:r>
        <w:rPr>
          <w:rFonts w:ascii="Arial" w:cs="Arial" w:eastAsia="Arial" w:hAnsi="Arial"/>
          <w:sz w:val="18"/>
          <w:szCs w:val="18"/>
          <w:color w:val="000000"/>
        </w:rPr>
        <w:t>$4.0 million</w:t>
      </w:r>
      <w:r>
        <w:rPr>
          <w:rFonts w:ascii="Arial" w:cs="Arial" w:eastAsia="Arial" w:hAnsi="Arial"/>
          <w:sz w:val="18"/>
          <w:szCs w:val="18"/>
          <w:color w:val="231F20"/>
        </w:rPr>
        <w:t xml:space="preserve">, of which </w:t>
      </w:r>
      <w:r>
        <w:rPr>
          <w:rFonts w:ascii="Arial" w:cs="Arial" w:eastAsia="Arial" w:hAnsi="Arial"/>
          <w:sz w:val="18"/>
          <w:szCs w:val="18"/>
          <w:color w:val="000000"/>
        </w:rPr>
        <w:t>$2.4 million</w:t>
      </w:r>
      <w:r>
        <w:rPr>
          <w:rFonts w:ascii="Arial" w:cs="Arial" w:eastAsia="Arial" w:hAnsi="Arial"/>
          <w:sz w:val="18"/>
          <w:szCs w:val="18"/>
          <w:color w:val="231F20"/>
        </w:rPr>
        <w:t>, if recognized, would favorably impact the Company's effective tax rate. As of December 31, 2015, the Company had unrecognized tax benefits of $3.5 million, of which $2.1 million, if recognized, would favorably impact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color w:val="231F20"/>
        </w:rPr>
        <w:t>Segment Information and Information about Geographic Area</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2680" w:type="dxa"/>
            <w:vAlign w:val="bottom"/>
            <w:gridSpan w:val="4"/>
          </w:tcPr>
          <w:p>
            <w:pPr>
              <w:jc w:val="center"/>
              <w:ind w:left="55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18"/>
                <w:szCs w:val="18"/>
                <w:color w:val="auto"/>
              </w:rPr>
            </w:pPr>
          </w:p>
        </w:tc>
      </w:tr>
      <w:tr>
        <w:trPr>
          <w:trHeight w:val="283"/>
        </w:trPr>
        <w:tc>
          <w:tcPr>
            <w:tcW w:w="81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259"/>
              <w:spacing w:after="0"/>
              <w:rPr>
                <w:sz w:val="20"/>
                <w:szCs w:val="20"/>
                <w:color w:val="auto"/>
              </w:rPr>
            </w:pPr>
            <w:r>
              <w:rPr>
                <w:rFonts w:ascii="Arial" w:cs="Arial" w:eastAsia="Arial" w:hAnsi="Arial"/>
                <w:sz w:val="16"/>
                <w:szCs w:val="16"/>
                <w:b w:val="1"/>
                <w:bCs w:val="1"/>
                <w:color w:val="auto"/>
              </w:rPr>
              <w:t>March 31,</w:t>
            </w:r>
          </w:p>
        </w:tc>
        <w:tc>
          <w:tcPr>
            <w:tcW w:w="620" w:type="dxa"/>
            <w:vAlign w:val="bottom"/>
            <w:tcBorders>
              <w:bottom w:val="single" w:sz="8" w:color="auto"/>
            </w:tcBorders>
          </w:tcPr>
          <w:p>
            <w:pPr>
              <w:spacing w:after="0"/>
              <w:rPr>
                <w:sz w:val="24"/>
                <w:szCs w:val="24"/>
                <w:color w:val="auto"/>
              </w:rPr>
            </w:pPr>
          </w:p>
        </w:tc>
      </w:tr>
      <w:tr>
        <w:trPr>
          <w:trHeight w:val="264"/>
        </w:trPr>
        <w:tc>
          <w:tcPr>
            <w:tcW w:w="8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620" w:type="dxa"/>
            <w:vAlign w:val="bottom"/>
            <w:tcBorders>
              <w:bottom w:val="single" w:sz="8" w:color="auto"/>
            </w:tcBorders>
          </w:tcPr>
          <w:p>
            <w:pPr>
              <w:spacing w:after="0"/>
              <w:rPr>
                <w:sz w:val="22"/>
                <w:szCs w:val="22"/>
                <w:color w:val="auto"/>
              </w:rPr>
            </w:pPr>
          </w:p>
        </w:tc>
      </w:tr>
      <w:tr>
        <w:trPr>
          <w:trHeight w:val="247"/>
        </w:trPr>
        <w:tc>
          <w:tcPr>
            <w:tcW w:w="8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700" w:type="dxa"/>
            <w:vAlign w:val="bottom"/>
            <w:gridSpan w:val="3"/>
          </w:tcPr>
          <w:p>
            <w:pPr>
              <w:jc w:val="center"/>
              <w:ind w:right="259"/>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Pr>
          <w:p>
            <w:pPr>
              <w:spacing w:after="0"/>
              <w:rPr>
                <w:sz w:val="21"/>
                <w:szCs w:val="21"/>
                <w:color w:val="auto"/>
              </w:rPr>
            </w:pP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32,689</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26,341</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13,559</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11,152</w:t>
            </w: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46,248</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37,493</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247"/>
        </w:trPr>
        <w:tc>
          <w:tcPr>
            <w:tcW w:w="8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4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25,623</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6,050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5,706</w:t>
            </w: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31,786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31,329</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10.Net Income Per Share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per share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2680" w:type="dxa"/>
            <w:vAlign w:val="bottom"/>
            <w:gridSpan w:val="4"/>
          </w:tcPr>
          <w:p>
            <w:pPr>
              <w:jc w:val="center"/>
              <w:ind w:left="55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18"/>
                <w:szCs w:val="18"/>
                <w:color w:val="auto"/>
              </w:rPr>
            </w:pPr>
          </w:p>
        </w:tc>
      </w:tr>
      <w:tr>
        <w:trPr>
          <w:trHeight w:val="283"/>
        </w:trPr>
        <w:tc>
          <w:tcPr>
            <w:tcW w:w="81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259"/>
              <w:spacing w:after="0"/>
              <w:rPr>
                <w:sz w:val="20"/>
                <w:szCs w:val="20"/>
                <w:color w:val="auto"/>
              </w:rPr>
            </w:pPr>
            <w:r>
              <w:rPr>
                <w:rFonts w:ascii="Arial" w:cs="Arial" w:eastAsia="Arial" w:hAnsi="Arial"/>
                <w:sz w:val="16"/>
                <w:szCs w:val="16"/>
                <w:b w:val="1"/>
                <w:bCs w:val="1"/>
                <w:color w:val="auto"/>
              </w:rPr>
              <w:t>March 31,</w:t>
            </w:r>
          </w:p>
        </w:tc>
        <w:tc>
          <w:tcPr>
            <w:tcW w:w="620" w:type="dxa"/>
            <w:vAlign w:val="bottom"/>
            <w:tcBorders>
              <w:bottom w:val="single" w:sz="8" w:color="auto"/>
            </w:tcBorders>
          </w:tcPr>
          <w:p>
            <w:pPr>
              <w:spacing w:after="0"/>
              <w:rPr>
                <w:sz w:val="24"/>
                <w:szCs w:val="24"/>
                <w:color w:val="auto"/>
              </w:rPr>
            </w:pPr>
          </w:p>
        </w:tc>
      </w:tr>
      <w:tr>
        <w:trPr>
          <w:trHeight w:val="264"/>
        </w:trPr>
        <w:tc>
          <w:tcPr>
            <w:tcW w:w="8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620" w:type="dxa"/>
            <w:vAlign w:val="bottom"/>
            <w:tcBorders>
              <w:bottom w:val="single" w:sz="8" w:color="auto"/>
            </w:tcBorders>
          </w:tcPr>
          <w:p>
            <w:pPr>
              <w:spacing w:after="0"/>
              <w:rPr>
                <w:sz w:val="22"/>
                <w:szCs w:val="22"/>
                <w:color w:val="auto"/>
              </w:rPr>
            </w:pPr>
          </w:p>
        </w:tc>
      </w:tr>
      <w:tr>
        <w:trPr>
          <w:trHeight w:val="237"/>
        </w:trPr>
        <w:tc>
          <w:tcPr>
            <w:tcW w:w="8120" w:type="dxa"/>
            <w:vAlign w:val="bottom"/>
          </w:tcPr>
          <w:p>
            <w:pPr>
              <w:spacing w:after="0"/>
              <w:rPr>
                <w:sz w:val="20"/>
                <w:szCs w:val="20"/>
                <w:color w:val="auto"/>
              </w:rPr>
            </w:pPr>
          </w:p>
        </w:tc>
        <w:tc>
          <w:tcPr>
            <w:tcW w:w="3300" w:type="dxa"/>
            <w:vAlign w:val="bottom"/>
            <w:gridSpan w:val="5"/>
          </w:tcPr>
          <w:p>
            <w:pPr>
              <w:jc w:val="center"/>
              <w:spacing w:after="0"/>
              <w:rPr>
                <w:sz w:val="20"/>
                <w:szCs w:val="20"/>
                <w:color w:val="auto"/>
              </w:rPr>
            </w:pPr>
            <w:r>
              <w:rPr>
                <w:rFonts w:ascii="Arial" w:cs="Arial" w:eastAsia="Arial" w:hAnsi="Arial"/>
                <w:sz w:val="16"/>
                <w:szCs w:val="16"/>
                <w:b w:val="1"/>
                <w:bCs w:val="1"/>
                <w:color w:val="auto"/>
              </w:rPr>
              <w:t>(in thousands, except per share data)</w:t>
            </w:r>
          </w:p>
        </w:tc>
      </w:tr>
      <w:tr>
        <w:trPr>
          <w:trHeight w:val="280"/>
        </w:trPr>
        <w:tc>
          <w:tcPr>
            <w:tcW w:w="8120" w:type="dxa"/>
            <w:vAlign w:val="bottom"/>
          </w:tcPr>
          <w:p>
            <w:pPr>
              <w:ind w:left="40"/>
              <w:spacing w:after="0"/>
              <w:rPr>
                <w:sz w:val="20"/>
                <w:szCs w:val="20"/>
                <w:color w:val="auto"/>
              </w:rPr>
            </w:pPr>
            <w:r>
              <w:rPr>
                <w:rFonts w:ascii="Arial" w:cs="Arial" w:eastAsia="Arial" w:hAnsi="Arial"/>
                <w:sz w:val="16"/>
                <w:szCs w:val="16"/>
                <w:color w:val="auto"/>
              </w:rPr>
              <w:t>Numerator:</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4,783</w:t>
            </w:r>
          </w:p>
        </w:tc>
        <w:tc>
          <w:tcPr>
            <w:tcW w:w="10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3,002</w:t>
            </w:r>
          </w:p>
        </w:tc>
      </w:tr>
      <w:tr>
        <w:trPr>
          <w:trHeight w:val="254"/>
        </w:trPr>
        <w:tc>
          <w:tcPr>
            <w:tcW w:w="8120" w:type="dxa"/>
            <w:vAlign w:val="bottom"/>
          </w:tcPr>
          <w:p>
            <w:pPr>
              <w:ind w:left="40"/>
              <w:spacing w:after="0"/>
              <w:rPr>
                <w:sz w:val="20"/>
                <w:szCs w:val="20"/>
                <w:color w:val="auto"/>
              </w:rPr>
            </w:pPr>
            <w:r>
              <w:rPr>
                <w:rFonts w:ascii="Arial" w:cs="Arial" w:eastAsia="Arial" w:hAnsi="Arial"/>
                <w:sz w:val="16"/>
                <w:szCs w:val="16"/>
                <w:color w:val="auto"/>
              </w:rPr>
              <w:t>Denominator:</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Weighted-average shares used in computing net income per share:</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0"/>
        </w:trPr>
        <w:tc>
          <w:tcPr>
            <w:tcW w:w="8120" w:type="dxa"/>
            <w:vAlign w:val="bottom"/>
          </w:tcPr>
          <w:p>
            <w:pPr>
              <w:ind w:left="500"/>
              <w:spacing w:after="0"/>
              <w:rPr>
                <w:sz w:val="20"/>
                <w:szCs w:val="20"/>
                <w:color w:val="auto"/>
              </w:rPr>
            </w:pPr>
            <w:r>
              <w:rPr>
                <w:rFonts w:ascii="Arial" w:cs="Arial" w:eastAsia="Arial" w:hAnsi="Arial"/>
                <w:sz w:val="16"/>
                <w:szCs w:val="16"/>
                <w:color w:val="auto"/>
              </w:rPr>
              <w:t>Basic</w:t>
            </w:r>
          </w:p>
        </w:tc>
        <w:tc>
          <w:tcPr>
            <w:tcW w:w="9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34,619</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33,775</w:t>
            </w:r>
          </w:p>
        </w:tc>
      </w:tr>
      <w:tr>
        <w:trPr>
          <w:trHeight w:val="280"/>
        </w:trPr>
        <w:tc>
          <w:tcPr>
            <w:tcW w:w="8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Effect of potentially dilutive securities: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4"/>
        </w:trPr>
        <w:tc>
          <w:tcPr>
            <w:tcW w:w="81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Common stock options</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3,219</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4,460</w:t>
            </w:r>
          </w:p>
        </w:tc>
      </w:tr>
      <w:tr>
        <w:trPr>
          <w:trHeight w:val="257"/>
        </w:trPr>
        <w:tc>
          <w:tcPr>
            <w:tcW w:w="8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9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37,838</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38,235</w:t>
            </w:r>
          </w:p>
        </w:tc>
      </w:tr>
      <w:tr>
        <w:trPr>
          <w:trHeight w:val="254"/>
        </w:trPr>
        <w:tc>
          <w:tcPr>
            <w:tcW w:w="8120" w:type="dxa"/>
            <w:vAlign w:val="bottom"/>
          </w:tcPr>
          <w:p>
            <w:pPr>
              <w:ind w:left="40"/>
              <w:spacing w:after="0"/>
              <w:rPr>
                <w:sz w:val="20"/>
                <w:szCs w:val="20"/>
                <w:color w:val="auto"/>
              </w:rPr>
            </w:pPr>
            <w:r>
              <w:rPr>
                <w:rFonts w:ascii="Arial" w:cs="Arial" w:eastAsia="Arial" w:hAnsi="Arial"/>
                <w:sz w:val="16"/>
                <w:szCs w:val="16"/>
                <w:color w:val="auto"/>
              </w:rPr>
              <w:t>Net income per share:</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63"/>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0.09</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24"/>
        </w:trPr>
        <w:tc>
          <w:tcPr>
            <w:tcW w:w="8120" w:type="dxa"/>
            <w:vAlign w:val="bottom"/>
          </w:tcPr>
          <w:p>
            <w:pPr>
              <w:ind w:left="280"/>
              <w:spacing w:after="0"/>
              <w:rPr>
                <w:sz w:val="20"/>
                <w:szCs w:val="20"/>
                <w:color w:val="auto"/>
              </w:rPr>
            </w:pPr>
            <w:r>
              <w:rPr>
                <w:rFonts w:ascii="Arial" w:cs="Arial" w:eastAsia="Arial" w:hAnsi="Arial"/>
                <w:sz w:val="16"/>
                <w:szCs w:val="16"/>
                <w:color w:val="auto"/>
              </w:rPr>
              <w:t>Diluted</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0.08</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179"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auto"/>
        </w:rPr>
        <w:t>Three Months Ended</w:t>
      </w:r>
    </w:p>
    <w:p>
      <w:pPr>
        <w:spacing w:after="0" w:line="86"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31750</wp:posOffset>
            </wp:positionV>
            <wp:extent cx="2101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2016</w:t>
            </w:r>
          </w:p>
        </w:tc>
        <w:tc>
          <w:tcPr>
            <w:tcW w:w="1260" w:type="dxa"/>
            <w:vAlign w:val="bottom"/>
          </w:tcPr>
          <w:p>
            <w:pPr>
              <w:spacing w:after="0"/>
              <w:rPr>
                <w:sz w:val="19"/>
                <w:szCs w:val="19"/>
                <w:color w:val="auto"/>
              </w:rPr>
            </w:pPr>
          </w:p>
        </w:tc>
        <w:tc>
          <w:tcPr>
            <w:tcW w:w="10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r>
      <w:tr>
        <w:trPr>
          <w:trHeight w:val="247"/>
        </w:trPr>
        <w:tc>
          <w:tcPr>
            <w:tcW w:w="81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(in thousands)</w:t>
            </w:r>
          </w:p>
        </w:tc>
        <w:tc>
          <w:tcPr>
            <w:tcW w:w="1020" w:type="dxa"/>
            <w:vAlign w:val="bottom"/>
            <w:tcBorders>
              <w:top w:val="single" w:sz="8" w:color="auto"/>
            </w:tcBorders>
          </w:tcPr>
          <w:p>
            <w:pPr>
              <w:spacing w:after="0"/>
              <w:rPr>
                <w:sz w:val="21"/>
                <w:szCs w:val="21"/>
                <w:color w:val="auto"/>
              </w:rPr>
            </w:pPr>
          </w:p>
        </w:tc>
      </w:tr>
      <w:tr>
        <w:trPr>
          <w:trHeight w:val="280"/>
        </w:trPr>
        <w:tc>
          <w:tcPr>
            <w:tcW w:w="9140" w:type="dxa"/>
            <w:vAlign w:val="bottom"/>
            <w:gridSpan w:val="2"/>
            <w:shd w:val="clear" w:color="auto" w:fill="CCEEFF"/>
          </w:tcPr>
          <w:p>
            <w:pPr>
              <w:jc w:val="right"/>
              <w:ind w:right="7460"/>
              <w:spacing w:after="0"/>
              <w:rPr>
                <w:sz w:val="20"/>
                <w:szCs w:val="20"/>
                <w:color w:val="auto"/>
              </w:rPr>
            </w:pPr>
            <w:r>
              <w:rPr>
                <w:rFonts w:ascii="Arial" w:cs="Arial" w:eastAsia="Arial" w:hAnsi="Arial"/>
                <w:sz w:val="16"/>
                <w:szCs w:val="16"/>
                <w:color w:val="auto"/>
              </w:rPr>
              <w:t>Common stock options</w:t>
            </w:r>
          </w:p>
        </w:tc>
        <w:tc>
          <w:tcPr>
            <w:tcW w:w="12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3,115</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00" w:lineRule="exact"/>
        <w:rPr>
          <w:sz w:val="20"/>
          <w:szCs w:val="20"/>
          <w:color w:val="auto"/>
        </w:rPr>
      </w:pPr>
    </w:p>
    <w:p>
      <w:pPr>
        <w:spacing w:after="0" w:line="272"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condensed consolidated financial statements (unaudited) and the related notes included elsewhere in this report, and (2) the audited consolidated financial statements and the related notes and management’s discussion and analysis of financial condition and results of operations included in our Annual Report on Form 10-K for the fiscal year ended December 31, 2015, filed with the Securities and Exchange Commission, or SEC, on February 26, 2016.</w:t>
      </w:r>
    </w:p>
    <w:p>
      <w:pPr>
        <w:spacing w:after="0" w:line="3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257" w:lineRule="exact"/>
        <w:rPr>
          <w:sz w:val="20"/>
          <w:szCs w:val="20"/>
          <w:color w:val="auto"/>
        </w:rPr>
      </w:pPr>
    </w:p>
    <w:p>
      <w:pPr>
        <w:ind w:left="1060" w:right="180" w:hanging="323"/>
        <w:spacing w:after="0" w:line="26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60" w:right="320" w:hanging="323"/>
        <w:spacing w:after="0" w:line="250"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diversify our sources of revenues, including selling additional solutions to our existing customers and our ability to pursue new customers;</w:t>
      </w: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and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auto"/>
        </w:rPr>
      </w:pPr>
    </w:p>
    <w:p>
      <w:pPr>
        <w:ind w:left="1060" w:right="680" w:hanging="323"/>
        <w:spacing w:after="0" w:line="250"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anticipated investments in sales and marketing, our infrastructure, new solutions, and research and development, and acquisitions;</w:t>
      </w: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1060" w:right="2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our deferred tax assets and our effective tax rate; and</w:t>
      </w:r>
    </w:p>
    <w:p>
      <w:pPr>
        <w:ind w:left="1060" w:right="920" w:hanging="323"/>
        <w:spacing w:after="0" w:line="262"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other factors discussed in this Quarterly Report on Form 10-Q in the sections titled “Risk Factors” and “Management's Discussion and Analysis of Financial Condition and Results of Operations.”</w:t>
      </w:r>
    </w:p>
    <w:p>
      <w:pPr>
        <w:spacing w:after="0" w:line="17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231F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and those discussed in other documents we file with the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09"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20"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are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 Cloud Platform to cost-effectively obtain a unified view of their security and compliance posture across globally-distributed IT infrastructures.</w:t>
      </w:r>
    </w:p>
    <w:p>
      <w:pPr>
        <w:spacing w:after="0" w:line="213"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 xml:space="preserve">We were founded and incorporated in December 1999 with a vision of transforming the way organizations secure and protect their IT infrastructure and applications and initially launched our first cloud solution, Qualys Vulnerability Management (VM), in 2000. As this solution gained acceptance, we introduced new solutions to help customers manage increasing IT security and compliance requirements, including PCI Compliance, Policy Compliance, Web Application Scanning, Malware Detection Service and Qualys SECURE Seal. In 2012, we introduced our virtualized private cloud platform as an additional deployment option of our solutions for customers and partners. In 2014, we released Continuous Monitoring (CM) for internet-facing systems, which allows customers to continuously monitor their mission-critical assets and to be alerted to security vulnerabilities or misconfigurations that may make them more susceptible to a cyber-attack and in 2015, we introduced our Cloud Agent Platform (CAP), which provides customers </w:t>
      </w:r>
      <w:r>
        <w:rPr>
          <w:rFonts w:ascii="Arial" w:cs="Arial" w:eastAsia="Arial" w:hAnsi="Arial"/>
          <w:sz w:val="18"/>
          <w:szCs w:val="18"/>
          <w:color w:val="000000"/>
        </w:rPr>
        <w:t>with the ability to secure IT assets on a continuous basis regardless of where they</w:t>
      </w:r>
      <w:r>
        <w:rPr>
          <w:rFonts w:ascii="Arial" w:cs="Arial" w:eastAsia="Arial" w:hAnsi="Arial"/>
          <w:sz w:val="18"/>
          <w:szCs w:val="18"/>
          <w:color w:val="231F20"/>
        </w:rPr>
        <w:t xml:space="preserve"> </w:t>
      </w:r>
      <w:r>
        <w:rPr>
          <w:rFonts w:ascii="Arial" w:cs="Arial" w:eastAsia="Arial" w:hAnsi="Arial"/>
          <w:sz w:val="18"/>
          <w:szCs w:val="18"/>
          <w:color w:val="000000"/>
        </w:rPr>
        <w:t>reside, inside the enterprise, in the cloud or mobile endpoints. Additional offerings, such as CM and CAP, add functionality to our core VM and POL services and expand the scope of our capabilities. We expect the sales of multiple, fully-integrated cloud based security offerings on our platform will contribute to the continuing trend of revenue growth.</w:t>
      </w:r>
    </w:p>
    <w:p>
      <w:pPr>
        <w:spacing w:after="0" w:line="212"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our cloud solutions. We typically invoice our customers for the entire subscription amount at the start of the subscription term, and the invoiced amounts are treated as deferred revenues and are recognized ratably over the term of each subscription. We continue to experience significant revenue growth from existing customers as they renew and purchase additional subscriptions.</w:t>
      </w:r>
    </w:p>
    <w:p>
      <w:pPr>
        <w:spacing w:after="0" w:line="165"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We market and sell our solutions to enterprises, government entities and to small and medium-sized businesses across a broad range of industries, including education, financial services, government, healthcare, insurance, manufacturing, media, retail, technology and utilities. In the three month period ended March 31, 2016, approximately 71%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168"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231F20"/>
        </w:rPr>
        <w:t xml:space="preserve">Our revenues increased to $46.2 million in the three months ended March 31, 2016 from </w:t>
      </w:r>
      <w:r>
        <w:rPr>
          <w:rFonts w:ascii="Arial" w:cs="Arial" w:eastAsia="Arial" w:hAnsi="Arial"/>
          <w:sz w:val="18"/>
          <w:szCs w:val="18"/>
          <w:color w:val="000000"/>
        </w:rPr>
        <w:t>$37.5 million</w:t>
      </w:r>
      <w:r>
        <w:rPr>
          <w:rFonts w:ascii="Arial" w:cs="Arial" w:eastAsia="Arial" w:hAnsi="Arial"/>
          <w:sz w:val="18"/>
          <w:szCs w:val="18"/>
          <w:color w:val="231F20"/>
        </w:rPr>
        <w:t xml:space="preserve"> for the comparable period in 2015, representing an increase of $8.8 million or 23%.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47"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center"/>
              <w:ind w:right="299"/>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ind w:left="519"/>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24"/>
                <w:szCs w:val="24"/>
                <w:color w:val="auto"/>
              </w:rPr>
            </w:pPr>
          </w:p>
        </w:tc>
      </w:tr>
      <w:tr>
        <w:trPr>
          <w:trHeight w:val="264"/>
        </w:trPr>
        <w:tc>
          <w:tcPr>
            <w:tcW w:w="84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r>
      <w:tr>
        <w:trPr>
          <w:trHeight w:val="247"/>
        </w:trPr>
        <w:tc>
          <w:tcPr>
            <w:tcW w:w="8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40" w:type="dxa"/>
            <w:vAlign w:val="bottom"/>
            <w:gridSpan w:val="7"/>
          </w:tcPr>
          <w:p>
            <w:pPr>
              <w:jc w:val="center"/>
              <w:spacing w:after="0"/>
              <w:rPr>
                <w:sz w:val="20"/>
                <w:szCs w:val="20"/>
                <w:color w:val="auto"/>
              </w:rPr>
            </w:pPr>
            <w:r>
              <w:rPr>
                <w:rFonts w:ascii="Arial" w:cs="Arial" w:eastAsia="Arial" w:hAnsi="Arial"/>
                <w:sz w:val="16"/>
                <w:szCs w:val="16"/>
                <w:b w:val="1"/>
                <w:bCs w:val="1"/>
                <w:color w:val="auto"/>
              </w:rPr>
              <w:t>(in thousands, except percentages)</w:t>
            </w:r>
          </w:p>
        </w:tc>
      </w:tr>
      <w:tr>
        <w:trPr>
          <w:trHeight w:val="26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16,128</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11,977</w:t>
            </w:r>
          </w:p>
        </w:tc>
      </w:tr>
      <w:tr>
        <w:trPr>
          <w:trHeight w:val="20"/>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0"/>
        </w:trPr>
        <w:tc>
          <w:tcPr>
            <w:tcW w:w="84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818"/>
        </w:trPr>
        <w:tc>
          <w:tcPr>
            <w:tcW w:w="8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6"/>
          </w:tcPr>
          <w:p>
            <w:pPr>
              <w:jc w:val="center"/>
              <w:ind w:right="159"/>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ind w:left="639"/>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24"/>
                <w:szCs w:val="24"/>
                <w:color w:val="auto"/>
              </w:rPr>
            </w:pPr>
          </w:p>
        </w:tc>
      </w:tr>
      <w:tr>
        <w:trPr>
          <w:trHeight w:val="264"/>
        </w:trPr>
        <w:tc>
          <w:tcPr>
            <w:tcW w:w="8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r>
      <w:tr>
        <w:trPr>
          <w:trHeight w:val="247"/>
        </w:trPr>
        <w:tc>
          <w:tcPr>
            <w:tcW w:w="8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80" w:type="dxa"/>
            <w:vAlign w:val="bottom"/>
            <w:gridSpan w:val="6"/>
          </w:tcPr>
          <w:p>
            <w:pPr>
              <w:jc w:val="center"/>
              <w:ind w:right="119"/>
              <w:spacing w:after="0"/>
              <w:rPr>
                <w:sz w:val="20"/>
                <w:szCs w:val="20"/>
                <w:color w:val="auto"/>
              </w:rPr>
            </w:pPr>
            <w:r>
              <w:rPr>
                <w:rFonts w:ascii="Arial" w:cs="Arial" w:eastAsia="Arial" w:hAnsi="Arial"/>
                <w:sz w:val="16"/>
                <w:szCs w:val="16"/>
                <w:b w:val="1"/>
                <w:bCs w:val="1"/>
                <w:color w:val="auto"/>
                <w:w w:val="99"/>
              </w:rPr>
              <w:t>(in thousands)</w:t>
            </w:r>
          </w:p>
        </w:tc>
      </w:tr>
      <w:tr>
        <w:trPr>
          <w:trHeight w:val="263"/>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Free cash flow</w:t>
            </w:r>
          </w:p>
        </w:tc>
        <w:tc>
          <w:tcPr>
            <w:tcW w:w="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12,839</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3,779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Adjusted EBITDA</w:t>
      </w:r>
    </w:p>
    <w:p>
      <w:pPr>
        <w:spacing w:after="0" w:line="220"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82" w:lineRule="exact"/>
        <w:rPr>
          <w:sz w:val="20"/>
          <w:szCs w:val="20"/>
          <w:color w:val="auto"/>
        </w:rPr>
      </w:pPr>
    </w:p>
    <w:p>
      <w:pPr>
        <w:jc w:val="both"/>
        <w:ind w:right="40" w:firstLine="405"/>
        <w:spacing w:after="0" w:line="254" w:lineRule="auto"/>
        <w:rPr>
          <w:sz w:val="20"/>
          <w:szCs w:val="20"/>
          <w:color w:val="auto"/>
        </w:rPr>
      </w:pPr>
      <w:r>
        <w:rPr>
          <w:rFonts w:ascii="Arial" w:cs="Arial" w:eastAsia="Arial" w:hAnsi="Arial"/>
          <w:sz w:val="18"/>
          <w:szCs w:val="18"/>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income taxes, (3) depreciation and amortization of property and equipment, (4) amortization of intangible assets and (5) stock-based compensation.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40" w:firstLine="405"/>
        <w:spacing w:after="0" w:line="262" w:lineRule="auto"/>
        <w:rPr>
          <w:sz w:val="20"/>
          <w:szCs w:val="20"/>
          <w:color w:val="auto"/>
        </w:rPr>
      </w:pPr>
      <w:r>
        <w:rPr>
          <w:rFonts w:ascii="Arial" w:cs="Arial" w:eastAsia="Arial" w:hAnsi="Arial"/>
          <w:sz w:val="18"/>
          <w:szCs w:val="18"/>
          <w:color w:val="auto"/>
        </w:rPr>
        <w:t>The following unaudited table presents the reconciliation of net income to Adjusted EBITDA for the three months ended March 31, 2016 and 2015: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4"/>
        </w:trPr>
        <w:tc>
          <w:tcPr>
            <w:tcW w:w="8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r>
      <w:tr>
        <w:trPr>
          <w:trHeight w:val="247"/>
        </w:trPr>
        <w:tc>
          <w:tcPr>
            <w:tcW w:w="8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99"/>
              </w:rPr>
              <w:t>(in thousands)</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4,783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3,002</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77</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1,841</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Depreciation and amortization of property and equipment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3,724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3,084</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Stock-based compensation</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4,697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3,875</w:t>
            </w:r>
          </w:p>
        </w:tc>
      </w:tr>
      <w:tr>
        <w:trPr>
          <w:trHeight w:val="24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16,128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11,977</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Free Cash Flow</w:t>
      </w:r>
    </w:p>
    <w:p>
      <w:pPr>
        <w:spacing w:after="0" w:line="247" w:lineRule="exact"/>
        <w:rPr>
          <w:sz w:val="20"/>
          <w:szCs w:val="20"/>
          <w:color w:val="auto"/>
        </w:rPr>
      </w:pPr>
    </w:p>
    <w:p>
      <w:pPr>
        <w:ind w:right="180" w:firstLine="405"/>
        <w:spacing w:after="0" w:line="252" w:lineRule="auto"/>
        <w:rPr>
          <w:sz w:val="20"/>
          <w:szCs w:val="20"/>
          <w:color w:val="auto"/>
        </w:rPr>
      </w:pPr>
      <w:r>
        <w:rPr>
          <w:rFonts w:ascii="Arial" w:cs="Arial" w:eastAsia="Arial" w:hAnsi="Arial"/>
          <w:sz w:val="18"/>
          <w:szCs w:val="18"/>
          <w:color w:val="auto"/>
        </w:rPr>
        <w:t>We define free cash flow, a non-GAAP measure, as net cash provided by operating activities less purchases of property and equipment and capitalization of software development costs. We monitor free cash flow as a liquidity measure because we believe it provides useful information to management and investors about the amount of cash we generated, that, after the acquisition of property and equipment and capitalized software development costs, can be used for strategic opportunities, including investing in our business, making strategic acquisitions and strengthening the balance sheet. We also believe free cash flow provides an additional tool for investors to use in comparing our recurring core business operating results over multiple periods.</w:t>
      </w:r>
    </w:p>
    <w:p>
      <w:pPr>
        <w:spacing w:after="0" w:line="20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A limitation of using free cash flow as a means for evaluating liquidity is that free cash flow does not represent the total increase or decrease in cash and cash equivalents for the period because it excludes cash provided by or used in other investing and financing activities.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free cash flow to net cash provided by operating activities, the most directly comparable financial measure calculated and presented in accordance with GAAP, is provided below:</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center"/>
              <w:ind w:right="206"/>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583"/>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4"/>
        </w:trPr>
        <w:tc>
          <w:tcPr>
            <w:tcW w:w="8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6"/>
              <w:spacing w:after="0"/>
              <w:rPr>
                <w:sz w:val="20"/>
                <w:szCs w:val="20"/>
                <w:color w:val="auto"/>
              </w:rPr>
            </w:pPr>
            <w:r>
              <w:rPr>
                <w:rFonts w:ascii="Arial" w:cs="Arial" w:eastAsia="Arial" w:hAnsi="Arial"/>
                <w:sz w:val="16"/>
                <w:szCs w:val="16"/>
                <w:b w:val="1"/>
                <w:bCs w:val="1"/>
                <w:color w:val="auto"/>
              </w:rPr>
              <w:t>2015</w:t>
            </w:r>
          </w:p>
        </w:tc>
      </w:tr>
      <w:tr>
        <w:trPr>
          <w:trHeight w:val="247"/>
        </w:trPr>
        <w:tc>
          <w:tcPr>
            <w:tcW w:w="8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4"/>
          </w:tcPr>
          <w:p>
            <w:pPr>
              <w:jc w:val="center"/>
              <w:ind w:right="166"/>
              <w:spacing w:after="0"/>
              <w:rPr>
                <w:sz w:val="20"/>
                <w:szCs w:val="20"/>
                <w:color w:val="auto"/>
              </w:rPr>
            </w:pPr>
            <w:r>
              <w:rPr>
                <w:rFonts w:ascii="Arial" w:cs="Arial" w:eastAsia="Arial" w:hAnsi="Arial"/>
                <w:sz w:val="16"/>
                <w:szCs w:val="16"/>
                <w:b w:val="1"/>
                <w:bCs w:val="1"/>
                <w:color w:val="auto"/>
                <w:w w:val="99"/>
              </w:rPr>
              <w:t>(in thousands)</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17,138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10,026</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Less: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and equipment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4"/>
                <w:szCs w:val="14"/>
                <w:color w:val="auto"/>
              </w:rPr>
              <w:t>(4,181)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(6,148)</w:t>
            </w:r>
          </w:p>
        </w:tc>
      </w:tr>
      <w:tr>
        <w:trPr>
          <w:trHeight w:val="26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Capitalized software development costs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Free cash flow</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4"/>
                <w:szCs w:val="14"/>
                <w:color w:val="auto"/>
              </w:rPr>
              <w:t>12,839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3,779</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Adjusted EBITDA and Free Cash Flow</w:t>
      </w:r>
    </w:p>
    <w:p>
      <w:pPr>
        <w:spacing w:after="0" w:line="382"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Adjusted EBITDA and free cash flow, non-GAAP financial measures, have limitations as analytical tools, and should not be considered in isolation from or as a substitute for the measures presented in accordance with U.S. GAAP. Some of these limitations are:</w:t>
      </w:r>
    </w:p>
    <w:p>
      <w:pPr>
        <w:spacing w:after="0" w:line="196" w:lineRule="exact"/>
        <w:rPr>
          <w:sz w:val="20"/>
          <w:szCs w:val="20"/>
          <w:color w:val="auto"/>
        </w:rPr>
      </w:pPr>
    </w:p>
    <w:p>
      <w:pPr>
        <w:ind w:left="5620" w:right="3760" w:hanging="5288"/>
        <w:spacing w:after="0" w:line="794" w:lineRule="auto"/>
        <w:tabs>
          <w:tab w:leader="none" w:pos="662"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 24</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 does not represent the total increase or decrease in the cash and cash equivalents for the period; and</w:t>
      </w:r>
    </w:p>
    <w:p>
      <w:pPr>
        <w:spacing w:after="0" w:line="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and free cash flow differently or not at all, which reduces their usefulness as a comparative measure.</w:t>
      </w:r>
    </w:p>
    <w:p>
      <w:pPr>
        <w:spacing w:after="0" w:line="196" w:lineRule="exact"/>
        <w:rPr>
          <w:sz w:val="20"/>
          <w:szCs w:val="20"/>
          <w:color w:val="auto"/>
        </w:rPr>
      </w:pPr>
    </w:p>
    <w:p>
      <w:pPr>
        <w:ind w:right="60" w:firstLine="405"/>
        <w:spacing w:after="0" w:line="291" w:lineRule="auto"/>
        <w:rPr>
          <w:sz w:val="20"/>
          <w:szCs w:val="20"/>
          <w:color w:val="auto"/>
        </w:rPr>
      </w:pPr>
      <w:r>
        <w:rPr>
          <w:rFonts w:ascii="Arial" w:cs="Arial" w:eastAsia="Arial" w:hAnsi="Arial"/>
          <w:sz w:val="17"/>
          <w:szCs w:val="17"/>
          <w:color w:val="auto"/>
        </w:rPr>
        <w:t>Because of these limitations, Adjusted EBITDA and free cash flow should be considered alongside other financial performance measures, including revenues, net income, cash flows from operating activities and our financial results presented in accordance with U.S. GAAP.</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193"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 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limited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18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represents the amount billed to customers that has not yet been earned or recognized as revenues, pursuant to subscriptions entered into in current and prior periods.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3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and related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Research and Development</w:t>
      </w:r>
    </w:p>
    <w:p>
      <w:pPr>
        <w:spacing w:after="0" w:line="135"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prior acquisitions and overhead allocations. All research and development costs are expensed as incurred. We expect to continue to devote substantial resources to research and development in an effort to continuously improve our existing solutions as well as develop new solutions and capabilities and expect that research and development expenses will increase in absolute dollars.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Sales and Marketing</w:t>
      </w:r>
    </w:p>
    <w:p>
      <w:pPr>
        <w:spacing w:after="0" w:line="135"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and overhead allocations.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ind w:right="420" w:firstLine="486"/>
        <w:spacing w:after="0" w:line="253"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human resources and internal information technology support teams, as well as professional services, insurance, fees, and overhead allocations. We expect that general and administrative expenses will increase in absolute dollars, as we continue to add personnel and incur professional services to support our growth and compliance with legal requirements.</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39"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investments; foreign exchange gains and losses, the majority of which result from fluctuations between the U.S. dollar and the Euro, British Pound and Indian Rupee; and losses on disposal of property and equipment.</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39"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country which are generally lower than U.S. tax rates, and may be subject to U.S. income taxes. Our effective rates differ from the U.S. statutory rate primarily due to foreign income subject to different tax rates than the U.S., research and development tax credits, non-deductible stock-based compensation expense and other adjustments.</w:t>
      </w:r>
    </w:p>
    <w:p>
      <w:pPr>
        <w:spacing w:after="0" w:line="97"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97" w:lineRule="exact"/>
        <w:rPr>
          <w:sz w:val="20"/>
          <w:szCs w:val="20"/>
          <w:color w:val="auto"/>
        </w:rPr>
      </w:pPr>
    </w:p>
    <w:p>
      <w:pPr>
        <w:jc w:val="both"/>
        <w:ind w:right="120" w:firstLine="405"/>
        <w:spacing w:after="0" w:line="256" w:lineRule="auto"/>
        <w:rPr>
          <w:sz w:val="20"/>
          <w:szCs w:val="20"/>
          <w:color w:val="auto"/>
        </w:rPr>
      </w:pPr>
      <w:r>
        <w:rPr>
          <w:rFonts w:ascii="Arial" w:cs="Arial" w:eastAsia="Arial" w:hAnsi="Arial"/>
          <w:sz w:val="18"/>
          <w:szCs w:val="18"/>
          <w:color w:val="231F20"/>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9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Our provision for income taxes in the three months ended March 31, 2016 and 2015 consists of income taxes for federal and certain states in the United States, as well as income taxes for profits generated in foreign jurisdictions by wholly-owned subsidiaries. The provision for income taxes also includes changes to unrecognized tax benefits related to uncertain tax positions.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41" w:right="27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jc w:val="center"/>
              <w:ind w:right="32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83"/>
        </w:trPr>
        <w:tc>
          <w:tcPr>
            <w:tcW w:w="9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center"/>
              <w:ind w:left="442"/>
              <w:spacing w:after="0"/>
              <w:rPr>
                <w:sz w:val="20"/>
                <w:szCs w:val="20"/>
                <w:color w:val="auto"/>
              </w:rPr>
            </w:pPr>
            <w:r>
              <w:rPr>
                <w:rFonts w:ascii="Arial" w:cs="Arial" w:eastAsia="Arial" w:hAnsi="Arial"/>
                <w:sz w:val="16"/>
                <w:szCs w:val="16"/>
                <w:b w:val="1"/>
                <w:bCs w:val="1"/>
                <w:color w:val="auto"/>
              </w:rPr>
              <w:t>March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20" w:type="dxa"/>
            <w:vAlign w:val="bottom"/>
          </w:tcPr>
          <w:p>
            <w:pPr>
              <w:spacing w:after="0"/>
              <w:rPr>
                <w:sz w:val="22"/>
                <w:szCs w:val="22"/>
                <w:color w:val="auto"/>
              </w:rPr>
            </w:pPr>
          </w:p>
        </w:tc>
        <w:tc>
          <w:tcPr>
            <w:tcW w:w="76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47"/>
        </w:trPr>
        <w:tc>
          <w:tcPr>
            <w:tcW w:w="9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6"/>
          </w:tcPr>
          <w:p>
            <w:pPr>
              <w:jc w:val="center"/>
              <w:ind w:right="322"/>
              <w:spacing w:after="0"/>
              <w:rPr>
                <w:sz w:val="20"/>
                <w:szCs w:val="20"/>
                <w:color w:val="auto"/>
              </w:rPr>
            </w:pPr>
            <w:r>
              <w:rPr>
                <w:rFonts w:ascii="Arial" w:cs="Arial" w:eastAsia="Arial" w:hAnsi="Arial"/>
                <w:sz w:val="16"/>
                <w:szCs w:val="16"/>
                <w:b w:val="1"/>
                <w:bCs w:val="1"/>
                <w:color w:val="auto"/>
                <w:w w:val="99"/>
              </w:rPr>
              <w:t>(in thousands)</w:t>
            </w:r>
          </w:p>
        </w:tc>
        <w:tc>
          <w:tcPr>
            <w:tcW w:w="0" w:type="dxa"/>
            <w:vAlign w:val="bottom"/>
          </w:tcPr>
          <w:p>
            <w:pPr>
              <w:spacing w:after="0"/>
              <w:rPr>
                <w:sz w:val="1"/>
                <w:szCs w:val="1"/>
                <w:color w:val="auto"/>
              </w:rPr>
            </w:pPr>
          </w:p>
        </w:tc>
      </w:tr>
      <w:tr>
        <w:trPr>
          <w:trHeight w:val="28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Condensed Consolidated Statements of Operations data:</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Revenues</w:t>
            </w:r>
          </w:p>
        </w:tc>
        <w:tc>
          <w:tcPr>
            <w:tcW w:w="220" w:type="dxa"/>
            <w:vAlign w:val="bottom"/>
          </w:tcPr>
          <w:p>
            <w:pPr>
              <w:jc w:val="right"/>
              <w:ind w:right="43"/>
              <w:spacing w:after="0"/>
              <w:rPr>
                <w:sz w:val="20"/>
                <w:szCs w:val="20"/>
                <w:color w:val="auto"/>
              </w:rPr>
            </w:pPr>
            <w:r>
              <w:rPr>
                <w:rFonts w:ascii="Arial" w:cs="Arial" w:eastAsia="Arial" w:hAnsi="Arial"/>
                <w:sz w:val="16"/>
                <w:szCs w:val="16"/>
                <w:color w:val="231F20"/>
                <w:w w:val="89"/>
              </w:rPr>
              <w:t>$</w:t>
            </w:r>
          </w:p>
        </w:tc>
        <w:tc>
          <w:tcPr>
            <w:tcW w:w="20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231F20"/>
              </w:rPr>
              <w:t>46,248</w:t>
            </w:r>
          </w:p>
        </w:tc>
        <w:tc>
          <w:tcPr>
            <w:tcW w:w="120" w:type="dxa"/>
            <w:vAlign w:val="bottom"/>
          </w:tcPr>
          <w:p>
            <w:pPr>
              <w:spacing w:after="0"/>
              <w:rPr>
                <w:sz w:val="22"/>
                <w:szCs w:val="22"/>
                <w:color w:val="auto"/>
              </w:rPr>
            </w:pPr>
          </w:p>
        </w:tc>
        <w:tc>
          <w:tcPr>
            <w:tcW w:w="120" w:type="dxa"/>
            <w:vAlign w:val="bottom"/>
            <w:gridSpan w:val="2"/>
          </w:tcPr>
          <w:p>
            <w:pPr>
              <w:jc w:val="center"/>
              <w:spacing w:after="0"/>
              <w:rPr>
                <w:sz w:val="20"/>
                <w:szCs w:val="20"/>
                <w:color w:val="auto"/>
              </w:rPr>
            </w:pPr>
            <w:r>
              <w:rPr>
                <w:rFonts w:ascii="Arial" w:cs="Arial" w:eastAsia="Arial" w:hAnsi="Arial"/>
                <w:sz w:val="16"/>
                <w:szCs w:val="16"/>
                <w:color w:val="231F20"/>
              </w:rPr>
              <w:t>$</w:t>
            </w:r>
          </w:p>
        </w:tc>
        <w:tc>
          <w:tcPr>
            <w:tcW w:w="320" w:type="dxa"/>
            <w:vAlign w:val="bottom"/>
          </w:tcPr>
          <w:p>
            <w:pPr>
              <w:spacing w:after="0"/>
              <w:rPr>
                <w:sz w:val="22"/>
                <w:szCs w:val="22"/>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231F20"/>
              </w:rPr>
              <w:t>37,493</w:t>
            </w:r>
          </w:p>
        </w:tc>
        <w:tc>
          <w:tcPr>
            <w:tcW w:w="0" w:type="dxa"/>
            <w:vAlign w:val="bottom"/>
          </w:tcPr>
          <w:p>
            <w:pPr>
              <w:spacing w:after="0"/>
              <w:rPr>
                <w:sz w:val="1"/>
                <w:szCs w:val="1"/>
                <w:color w:val="auto"/>
              </w:rPr>
            </w:pPr>
          </w:p>
        </w:tc>
      </w:tr>
      <w:tr>
        <w:trPr>
          <w:trHeight w:val="28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w:t>
            </w:r>
          </w:p>
        </w:tc>
        <w:tc>
          <w:tcPr>
            <w:tcW w:w="220" w:type="dxa"/>
            <w:vAlign w:val="bottom"/>
            <w:tcBorders>
              <w:bottom w:val="single" w:sz="8" w:color="231F20"/>
            </w:tcBorders>
            <w:shd w:val="clear" w:color="auto" w:fill="CCEEFF"/>
          </w:tcPr>
          <w:p>
            <w:pPr>
              <w:spacing w:after="0"/>
              <w:rPr>
                <w:sz w:val="24"/>
                <w:szCs w:val="24"/>
                <w:color w:val="auto"/>
              </w:rPr>
            </w:pPr>
          </w:p>
        </w:tc>
        <w:tc>
          <w:tcPr>
            <w:tcW w:w="200" w:type="dxa"/>
            <w:vAlign w:val="bottom"/>
            <w:tcBorders>
              <w:bottom w:val="single" w:sz="8" w:color="231F20"/>
            </w:tcBorders>
            <w:shd w:val="clear" w:color="auto" w:fill="CCEEFF"/>
          </w:tcPr>
          <w:p>
            <w:pPr>
              <w:spacing w:after="0"/>
              <w:rPr>
                <w:sz w:val="24"/>
                <w:szCs w:val="24"/>
                <w:color w:val="auto"/>
              </w:rPr>
            </w:pPr>
          </w:p>
        </w:tc>
        <w:tc>
          <w:tcPr>
            <w:tcW w:w="94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9,416</w:t>
            </w:r>
          </w:p>
        </w:tc>
        <w:tc>
          <w:tcPr>
            <w:tcW w:w="120" w:type="dxa"/>
            <w:vAlign w:val="bottom"/>
            <w:shd w:val="clear" w:color="auto" w:fill="CCEEFF"/>
          </w:tcPr>
          <w:p>
            <w:pPr>
              <w:spacing w:after="0"/>
              <w:rPr>
                <w:sz w:val="24"/>
                <w:szCs w:val="24"/>
                <w:color w:val="auto"/>
              </w:rPr>
            </w:pPr>
          </w:p>
        </w:tc>
        <w:tc>
          <w:tcPr>
            <w:tcW w:w="20" w:type="dxa"/>
            <w:vAlign w:val="bottom"/>
            <w:tcBorders>
              <w:bottom w:val="single" w:sz="8" w:color="231F20"/>
            </w:tcBorders>
            <w:shd w:val="clear" w:color="auto" w:fill="CCEEFF"/>
          </w:tcPr>
          <w:p>
            <w:pPr>
              <w:spacing w:after="0"/>
              <w:rPr>
                <w:sz w:val="24"/>
                <w:szCs w:val="24"/>
                <w:color w:val="auto"/>
              </w:rPr>
            </w:pPr>
          </w:p>
        </w:tc>
        <w:tc>
          <w:tcPr>
            <w:tcW w:w="100" w:type="dxa"/>
            <w:vAlign w:val="bottom"/>
            <w:tcBorders>
              <w:bottom w:val="single" w:sz="8" w:color="231F20"/>
            </w:tcBorders>
            <w:shd w:val="clear" w:color="auto" w:fill="CCEEFF"/>
          </w:tcPr>
          <w:p>
            <w:pPr>
              <w:spacing w:after="0"/>
              <w:rPr>
                <w:sz w:val="24"/>
                <w:szCs w:val="24"/>
                <w:color w:val="auto"/>
              </w:rPr>
            </w:pPr>
          </w:p>
        </w:tc>
        <w:tc>
          <w:tcPr>
            <w:tcW w:w="320" w:type="dxa"/>
            <w:vAlign w:val="bottom"/>
            <w:tcBorders>
              <w:bottom w:val="single" w:sz="8" w:color="231F20"/>
            </w:tcBorders>
            <w:shd w:val="clear" w:color="auto" w:fill="CCEEFF"/>
          </w:tcPr>
          <w:p>
            <w:pPr>
              <w:spacing w:after="0"/>
              <w:rPr>
                <w:sz w:val="24"/>
                <w:szCs w:val="24"/>
                <w:color w:val="auto"/>
              </w:rPr>
            </w:pPr>
          </w:p>
        </w:tc>
        <w:tc>
          <w:tcPr>
            <w:tcW w:w="92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7,964</w:t>
            </w:r>
          </w:p>
        </w:tc>
        <w:tc>
          <w:tcPr>
            <w:tcW w:w="0" w:type="dxa"/>
            <w:vAlign w:val="bottom"/>
          </w:tcPr>
          <w:p>
            <w:pPr>
              <w:spacing w:after="0"/>
              <w:rPr>
                <w:sz w:val="1"/>
                <w:szCs w:val="1"/>
                <w:color w:val="auto"/>
              </w:rPr>
            </w:pPr>
          </w:p>
        </w:tc>
      </w:tr>
      <w:tr>
        <w:trPr>
          <w:trHeight w:val="240"/>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36,832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29,529</w:t>
            </w:r>
          </w:p>
        </w:tc>
        <w:tc>
          <w:tcPr>
            <w:tcW w:w="0" w:type="dxa"/>
            <w:vAlign w:val="bottom"/>
          </w:tcPr>
          <w:p>
            <w:pPr>
              <w:spacing w:after="0"/>
              <w:rPr>
                <w:sz w:val="1"/>
                <w:szCs w:val="1"/>
                <w:color w:val="auto"/>
              </w:rPr>
            </w:pPr>
          </w:p>
        </w:tc>
      </w:tr>
      <w:tr>
        <w:trPr>
          <w:trHeight w:val="28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231F20"/>
              </w:rPr>
              <w:t>7,834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231F20"/>
              </w:rPr>
              <w:t>7,150</w:t>
            </w:r>
          </w:p>
        </w:tc>
        <w:tc>
          <w:tcPr>
            <w:tcW w:w="0" w:type="dxa"/>
            <w:vAlign w:val="bottom"/>
          </w:tcPr>
          <w:p>
            <w:pPr>
              <w:spacing w:after="0"/>
              <w:rPr>
                <w:sz w:val="1"/>
                <w:szCs w:val="1"/>
                <w:color w:val="auto"/>
              </w:rPr>
            </w:pPr>
          </w:p>
        </w:tc>
      </w:tr>
      <w:tr>
        <w:trPr>
          <w:trHeight w:val="270"/>
        </w:trPr>
        <w:tc>
          <w:tcPr>
            <w:tcW w:w="8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231F20"/>
              </w:rPr>
              <w:t>13,933</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231F20"/>
              </w:rPr>
              <w:t>11,443</w:t>
            </w: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w:t>
            </w:r>
          </w:p>
        </w:tc>
        <w:tc>
          <w:tcPr>
            <w:tcW w:w="220" w:type="dxa"/>
            <w:vAlign w:val="bottom"/>
            <w:tcBorders>
              <w:bottom w:val="single" w:sz="8" w:color="231F20"/>
            </w:tcBorders>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231F20"/>
              </w:rPr>
              <w:t>7,468</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231F20"/>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231F20"/>
              </w:rPr>
              <w:t>6,016</w:t>
            </w:r>
          </w:p>
        </w:tc>
        <w:tc>
          <w:tcPr>
            <w:tcW w:w="0" w:type="dxa"/>
            <w:vAlign w:val="bottom"/>
          </w:tcPr>
          <w:p>
            <w:pPr>
              <w:spacing w:after="0"/>
              <w:rPr>
                <w:sz w:val="1"/>
                <w:szCs w:val="1"/>
                <w:color w:val="auto"/>
              </w:rPr>
            </w:pPr>
          </w:p>
        </w:tc>
      </w:tr>
      <w:tr>
        <w:trPr>
          <w:trHeight w:val="244"/>
        </w:trPr>
        <w:tc>
          <w:tcPr>
            <w:tcW w:w="85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29,235</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24,609</w:t>
            </w:r>
          </w:p>
        </w:tc>
        <w:tc>
          <w:tcPr>
            <w:tcW w:w="0" w:type="dxa"/>
            <w:vAlign w:val="bottom"/>
          </w:tcPr>
          <w:p>
            <w:pPr>
              <w:spacing w:after="0"/>
              <w:rPr>
                <w:sz w:val="1"/>
                <w:szCs w:val="1"/>
                <w:color w:val="auto"/>
              </w:rPr>
            </w:pPr>
          </w:p>
        </w:tc>
      </w:tr>
      <w:tr>
        <w:trPr>
          <w:trHeight w:val="24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Income from operations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7,597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4,920</w:t>
            </w:r>
          </w:p>
        </w:tc>
        <w:tc>
          <w:tcPr>
            <w:tcW w:w="0" w:type="dxa"/>
            <w:vAlign w:val="bottom"/>
          </w:tcPr>
          <w:p>
            <w:pPr>
              <w:spacing w:after="0"/>
              <w:rPr>
                <w:sz w:val="1"/>
                <w:szCs w:val="1"/>
                <w:color w:val="auto"/>
              </w:rPr>
            </w:pPr>
          </w:p>
        </w:tc>
      </w:tr>
      <w:tr>
        <w:trPr>
          <w:trHeight w:val="273"/>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4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7,765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4,843</w:t>
            </w:r>
          </w:p>
        </w:tc>
        <w:tc>
          <w:tcPr>
            <w:tcW w:w="0" w:type="dxa"/>
            <w:vAlign w:val="bottom"/>
          </w:tcPr>
          <w:p>
            <w:pPr>
              <w:spacing w:after="0"/>
              <w:rPr>
                <w:sz w:val="1"/>
                <w:szCs w:val="1"/>
                <w:color w:val="auto"/>
              </w:rPr>
            </w:pPr>
          </w:p>
        </w:tc>
      </w:tr>
      <w:tr>
        <w:trPr>
          <w:trHeight w:val="273"/>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231F20"/>
            </w:tcBorders>
            <w:shd w:val="clear" w:color="auto" w:fill="CCEEFF"/>
          </w:tcPr>
          <w:p>
            <w:pPr>
              <w:spacing w:after="0"/>
              <w:rPr>
                <w:sz w:val="23"/>
                <w:szCs w:val="23"/>
                <w:color w:val="auto"/>
              </w:rPr>
            </w:pPr>
          </w:p>
        </w:tc>
        <w:tc>
          <w:tcPr>
            <w:tcW w:w="200" w:type="dxa"/>
            <w:vAlign w:val="bottom"/>
            <w:tcBorders>
              <w:bottom w:val="single" w:sz="8" w:color="231F20"/>
            </w:tcBorders>
            <w:shd w:val="clear" w:color="auto" w:fill="CCEEFF"/>
          </w:tcPr>
          <w:p>
            <w:pPr>
              <w:spacing w:after="0"/>
              <w:rPr>
                <w:sz w:val="23"/>
                <w:szCs w:val="23"/>
                <w:color w:val="auto"/>
              </w:rPr>
            </w:pPr>
          </w:p>
        </w:tc>
        <w:tc>
          <w:tcPr>
            <w:tcW w:w="94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2,982</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231F20"/>
            </w:tcBorders>
            <w:shd w:val="clear" w:color="auto" w:fill="CCEEFF"/>
          </w:tcPr>
          <w:p>
            <w:pPr>
              <w:spacing w:after="0"/>
              <w:rPr>
                <w:sz w:val="23"/>
                <w:szCs w:val="23"/>
                <w:color w:val="auto"/>
              </w:rPr>
            </w:pPr>
          </w:p>
        </w:tc>
        <w:tc>
          <w:tcPr>
            <w:tcW w:w="100" w:type="dxa"/>
            <w:vAlign w:val="bottom"/>
            <w:tcBorders>
              <w:bottom w:val="single" w:sz="8" w:color="231F20"/>
            </w:tcBorders>
            <w:shd w:val="clear" w:color="auto" w:fill="CCEEFF"/>
          </w:tcPr>
          <w:p>
            <w:pPr>
              <w:spacing w:after="0"/>
              <w:rPr>
                <w:sz w:val="23"/>
                <w:szCs w:val="23"/>
                <w:color w:val="auto"/>
              </w:rPr>
            </w:pPr>
          </w:p>
        </w:tc>
        <w:tc>
          <w:tcPr>
            <w:tcW w:w="320" w:type="dxa"/>
            <w:vAlign w:val="bottom"/>
            <w:tcBorders>
              <w:bottom w:val="single" w:sz="8" w:color="231F20"/>
            </w:tcBorders>
            <w:shd w:val="clear" w:color="auto" w:fill="CCEEFF"/>
          </w:tcPr>
          <w:p>
            <w:pPr>
              <w:spacing w:after="0"/>
              <w:rPr>
                <w:sz w:val="23"/>
                <w:szCs w:val="23"/>
                <w:color w:val="auto"/>
              </w:rPr>
            </w:pPr>
          </w:p>
        </w:tc>
        <w:tc>
          <w:tcPr>
            <w:tcW w:w="92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1,841</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4,783</w:t>
            </w:r>
          </w:p>
        </w:tc>
        <w:tc>
          <w:tcPr>
            <w:tcW w:w="120" w:type="dxa"/>
            <w:vAlign w:val="bottom"/>
          </w:tcPr>
          <w:p>
            <w:pPr>
              <w:spacing w:after="0"/>
              <w:rPr>
                <w:sz w:val="20"/>
                <w:szCs w:val="20"/>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3,002</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9"/>
                <w:szCs w:val="9"/>
                <w:color w:val="231F20"/>
              </w:rPr>
              <w:t>____________________</w:t>
            </w: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85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580" w:type="dxa"/>
            <w:vAlign w:val="bottom"/>
            <w:gridSpan w:val="2"/>
          </w:tcPr>
          <w:p>
            <w:pPr>
              <w:spacing w:after="0"/>
              <w:rPr>
                <w:sz w:val="20"/>
                <w:szCs w:val="20"/>
                <w:color w:val="auto"/>
              </w:rPr>
            </w:pPr>
            <w:r>
              <w:rPr>
                <w:rFonts w:ascii="Arial" w:cs="Arial" w:eastAsia="Arial" w:hAnsi="Arial"/>
                <w:sz w:val="14"/>
                <w:szCs w:val="14"/>
                <w:color w:val="231F20"/>
              </w:rPr>
              <w:t>(1) Includes stock-based compensation as follows: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1"/>
        </w:trPr>
        <w:tc>
          <w:tcPr>
            <w:tcW w:w="9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6"/>
          </w:tcPr>
          <w:p>
            <w:pPr>
              <w:jc w:val="center"/>
              <w:ind w:right="8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9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center"/>
              <w:ind w:left="682"/>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20" w:type="dxa"/>
            <w:vAlign w:val="bottom"/>
          </w:tcPr>
          <w:p>
            <w:pPr>
              <w:spacing w:after="0"/>
              <w:rPr>
                <w:sz w:val="22"/>
                <w:szCs w:val="22"/>
                <w:color w:val="auto"/>
              </w:rPr>
            </w:pPr>
          </w:p>
        </w:tc>
        <w:tc>
          <w:tcPr>
            <w:tcW w:w="7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6"/>
          </w:tcPr>
          <w:p>
            <w:pPr>
              <w:jc w:val="center"/>
              <w:ind w:right="10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76"/>
        </w:trPr>
        <w:tc>
          <w:tcPr>
            <w:tcW w:w="920" w:type="dxa"/>
            <w:vAlign w:val="bottom"/>
          </w:tcPr>
          <w:p>
            <w:pPr>
              <w:spacing w:after="0"/>
              <w:rPr>
                <w:sz w:val="24"/>
                <w:szCs w:val="24"/>
                <w:color w:val="auto"/>
              </w:rPr>
            </w:pPr>
          </w:p>
        </w:tc>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revenues</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379</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64"/>
        </w:trPr>
        <w:tc>
          <w:tcPr>
            <w:tcW w:w="920" w:type="dxa"/>
            <w:vAlign w:val="bottom"/>
          </w:tcPr>
          <w:p>
            <w:pPr>
              <w:spacing w:after="0"/>
              <w:rPr>
                <w:sz w:val="22"/>
                <w:szCs w:val="22"/>
                <w:color w:val="auto"/>
              </w:rPr>
            </w:pPr>
          </w:p>
        </w:tc>
        <w:tc>
          <w:tcPr>
            <w:tcW w:w="7660" w:type="dxa"/>
            <w:vAlign w:val="bottom"/>
          </w:tcPr>
          <w:p>
            <w:pPr>
              <w:ind w:left="40"/>
              <w:spacing w:after="0"/>
              <w:rPr>
                <w:sz w:val="20"/>
                <w:szCs w:val="20"/>
                <w:color w:val="auto"/>
              </w:rPr>
            </w:pPr>
            <w:r>
              <w:rPr>
                <w:rFonts w:ascii="Arial" w:cs="Arial" w:eastAsia="Arial" w:hAnsi="Arial"/>
                <w:sz w:val="14"/>
                <w:szCs w:val="14"/>
                <w:color w:val="auto"/>
              </w:rPr>
              <w:t>Research and development</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1,295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2"/>
              <w:spacing w:after="0"/>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276"/>
        </w:trPr>
        <w:tc>
          <w:tcPr>
            <w:tcW w:w="920" w:type="dxa"/>
            <w:vAlign w:val="bottom"/>
          </w:tcPr>
          <w:p>
            <w:pPr>
              <w:spacing w:after="0"/>
              <w:rPr>
                <w:sz w:val="24"/>
                <w:szCs w:val="24"/>
                <w:color w:val="auto"/>
              </w:rPr>
            </w:pPr>
          </w:p>
        </w:tc>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1,249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264"/>
        </w:trPr>
        <w:tc>
          <w:tcPr>
            <w:tcW w:w="920" w:type="dxa"/>
            <w:vAlign w:val="bottom"/>
          </w:tcPr>
          <w:p>
            <w:pPr>
              <w:spacing w:after="0"/>
              <w:rPr>
                <w:sz w:val="22"/>
                <w:szCs w:val="22"/>
                <w:color w:val="auto"/>
              </w:rPr>
            </w:pPr>
          </w:p>
        </w:tc>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General and administrative</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1,774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1,584</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stock-based compensation</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4,697</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3,875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68"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Three Months Ended</w:t>
      </w:r>
    </w:p>
    <w:p>
      <w:pPr>
        <w:spacing w:after="0" w:line="86"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31750</wp:posOffset>
            </wp:positionV>
            <wp:extent cx="1869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257"/>
        </w:trPr>
        <w:tc>
          <w:tcPr>
            <w:tcW w:w="9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64"/>
        </w:trPr>
        <w:tc>
          <w:tcPr>
            <w:tcW w:w="8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9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w:t>
            </w:r>
          </w:p>
        </w:tc>
      </w:tr>
      <w:tr>
        <w:trPr>
          <w:trHeight w:val="257"/>
        </w:trPr>
        <w:tc>
          <w:tcPr>
            <w:tcW w:w="9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w:t>
            </w:r>
          </w:p>
        </w:tc>
      </w:tr>
      <w:tr>
        <w:trPr>
          <w:trHeight w:val="260"/>
        </w:trPr>
        <w:tc>
          <w:tcPr>
            <w:tcW w:w="940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9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r>
      <w:tr>
        <w:trPr>
          <w:trHeight w:val="260"/>
        </w:trPr>
        <w:tc>
          <w:tcPr>
            <w:tcW w:w="940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31</w:t>
            </w:r>
          </w:p>
        </w:tc>
      </w:tr>
      <w:tr>
        <w:trPr>
          <w:trHeight w:val="273"/>
        </w:trPr>
        <w:tc>
          <w:tcPr>
            <w:tcW w:w="8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9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r>
      <w:tr>
        <w:trPr>
          <w:trHeight w:val="250"/>
        </w:trPr>
        <w:tc>
          <w:tcPr>
            <w:tcW w:w="84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66</w:t>
            </w:r>
          </w:p>
        </w:tc>
      </w:tr>
      <w:tr>
        <w:trPr>
          <w:trHeight w:val="257"/>
        </w:trPr>
        <w:tc>
          <w:tcPr>
            <w:tcW w:w="9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r>
      <w:tr>
        <w:trPr>
          <w:trHeight w:val="264"/>
        </w:trPr>
        <w:tc>
          <w:tcPr>
            <w:tcW w:w="8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9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r>
      <w:tr>
        <w:trPr>
          <w:trHeight w:val="257"/>
        </w:trPr>
        <w:tc>
          <w:tcPr>
            <w:tcW w:w="9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r>
      <w:tr>
        <w:trPr>
          <w:trHeight w:val="264"/>
        </w:trPr>
        <w:tc>
          <w:tcPr>
            <w:tcW w:w="8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9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w:t>
            </w:r>
          </w:p>
        </w:tc>
      </w:tr>
      <w:tr>
        <w:trPr>
          <w:trHeight w:val="240"/>
        </w:trPr>
        <w:tc>
          <w:tcPr>
            <w:tcW w:w="9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Three Months Ended March 31, 2016</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2015</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0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46,248</w:t>
            </w: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37,493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8,755</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bl>
    <w:p>
      <w:pPr>
        <w:spacing w:after="0" w:line="215"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231F20"/>
        </w:rPr>
        <w:t xml:space="preserve">Revenues increased $8.8 million for the </w:t>
      </w:r>
      <w:r>
        <w:rPr>
          <w:rFonts w:ascii="Arial" w:cs="Arial" w:eastAsia="Arial" w:hAnsi="Arial"/>
          <w:sz w:val="18"/>
          <w:szCs w:val="18"/>
          <w:color w:val="000000"/>
        </w:rPr>
        <w:t>three months ended March 31, 2016</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March 31, 2015</w:t>
      </w:r>
      <w:r>
        <w:rPr>
          <w:rFonts w:ascii="Arial" w:cs="Arial" w:eastAsia="Arial" w:hAnsi="Arial"/>
          <w:sz w:val="18"/>
          <w:szCs w:val="18"/>
          <w:color w:val="231F20"/>
        </w:rPr>
        <w:t xml:space="preserve">, due to new customer subscriptions entered into after March 31, 2015 and from an increase in the purchase of subscriptions from existing customers. Of the total increase of </w:t>
      </w:r>
      <w:r>
        <w:rPr>
          <w:rFonts w:ascii="Arial" w:cs="Arial" w:eastAsia="Arial" w:hAnsi="Arial"/>
          <w:sz w:val="18"/>
          <w:szCs w:val="18"/>
          <w:color w:val="000000"/>
        </w:rPr>
        <w:t>$8.8 million</w:t>
      </w:r>
      <w:r>
        <w:rPr>
          <w:rFonts w:ascii="Arial" w:cs="Arial" w:eastAsia="Arial" w:hAnsi="Arial"/>
          <w:sz w:val="18"/>
          <w:szCs w:val="18"/>
          <w:color w:val="231F20"/>
        </w:rPr>
        <w:t>, $6.4 million was from customers in the United States and the remaining $2.4 million was from customers in foreign countries. The growth in revenues reflects the continued demand for solutions.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9,416</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7,964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1,452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bl>
    <w:p>
      <w:pPr>
        <w:spacing w:after="0" w:line="188" w:lineRule="exact"/>
        <w:rPr>
          <w:sz w:val="20"/>
          <w:szCs w:val="20"/>
          <w:color w:val="auto"/>
        </w:rPr>
      </w:pPr>
    </w:p>
    <w:p>
      <w:pPr>
        <w:ind w:right="300" w:firstLine="486"/>
        <w:spacing w:after="0" w:line="250" w:lineRule="auto"/>
        <w:rPr>
          <w:sz w:val="20"/>
          <w:szCs w:val="20"/>
          <w:color w:val="auto"/>
        </w:rPr>
      </w:pPr>
      <w:r>
        <w:rPr>
          <w:rFonts w:ascii="Arial" w:cs="Arial" w:eastAsia="Arial" w:hAnsi="Arial"/>
          <w:sz w:val="18"/>
          <w:szCs w:val="18"/>
          <w:color w:val="231F20"/>
        </w:rPr>
        <w:t xml:space="preserve">Cost of revenues increased $ 1.5 million for the </w:t>
      </w:r>
      <w:r>
        <w:rPr>
          <w:rFonts w:ascii="Arial" w:cs="Arial" w:eastAsia="Arial" w:hAnsi="Arial"/>
          <w:sz w:val="18"/>
          <w:szCs w:val="18"/>
          <w:color w:val="000000"/>
        </w:rPr>
        <w:t>three months ended March 31, 2016</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March 31,</w:t>
      </w:r>
      <w:r>
        <w:rPr>
          <w:rFonts w:ascii="Arial" w:cs="Arial" w:eastAsia="Arial" w:hAnsi="Arial"/>
          <w:sz w:val="18"/>
          <w:szCs w:val="18"/>
          <w:color w:val="231F20"/>
        </w:rPr>
        <w:t xml:space="preserve"> </w:t>
      </w:r>
      <w:r>
        <w:rPr>
          <w:rFonts w:ascii="Arial" w:cs="Arial" w:eastAsia="Arial" w:hAnsi="Arial"/>
          <w:sz w:val="18"/>
          <w:szCs w:val="18"/>
          <w:color w:val="000000"/>
        </w:rPr>
        <w:t xml:space="preserve">2015 </w:t>
      </w:r>
      <w:r>
        <w:rPr>
          <w:rFonts w:ascii="Arial" w:cs="Arial" w:eastAsia="Arial" w:hAnsi="Arial"/>
          <w:sz w:val="18"/>
          <w:szCs w:val="18"/>
          <w:color w:val="231F20"/>
        </w:rPr>
        <w:t>primarily due to a $0.6 million increase in depreciation expense related to additional computer hardware and software; increased third-party software license and maintenance expense of $0.5</w:t>
      </w:r>
    </w:p>
    <w:p>
      <w:pPr>
        <w:spacing w:after="0" w:line="1"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231F20"/>
        </w:rPr>
        <w:t>million; increased data center costs of $0.2 million; and increased personnel expenses of $0.2 million to support continued growth of our business.</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b w:val="1"/>
                <w:bCs w:val="1"/>
                <w:color w:val="auto"/>
              </w:rPr>
              <w:t>March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7,834</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7,150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684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51"/>
        </w:trPr>
        <w:tc>
          <w:tcPr>
            <w:tcW w:w="548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89"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231F20"/>
        </w:rPr>
        <w:t xml:space="preserve">Research and development expenses increased $0.7 million in the three months ended March 31, 2016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 xml:space="preserve">ended March 31, 2015 </w:t>
      </w:r>
      <w:r>
        <w:rPr>
          <w:rFonts w:ascii="Arial" w:cs="Arial" w:eastAsia="Arial" w:hAnsi="Arial"/>
          <w:sz w:val="18"/>
          <w:szCs w:val="18"/>
          <w:color w:val="231F20"/>
        </w:rPr>
        <w:t>primarily due to an increase in personnel expenses of $0.7 million, due to new employees and higher stock-based</w:t>
      </w:r>
      <w:r>
        <w:rPr>
          <w:rFonts w:ascii="Arial" w:cs="Arial" w:eastAsia="Arial" w:hAnsi="Arial"/>
          <w:sz w:val="18"/>
          <w:szCs w:val="18"/>
          <w:color w:val="000000"/>
        </w:rPr>
        <w:t xml:space="preserve"> </w:t>
      </w:r>
      <w:r>
        <w:rPr>
          <w:rFonts w:ascii="Arial" w:cs="Arial" w:eastAsia="Arial" w:hAnsi="Arial"/>
          <w:sz w:val="18"/>
          <w:szCs w:val="18"/>
          <w:color w:val="231F20"/>
        </w:rPr>
        <w:t>compensation. We continue to significantly invest in and expand our research and development teams to continuously improve our platform and existing solutions, as well as develop new solutions and capabilities.</w:t>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13,933</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11,443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2,490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231F20"/>
        </w:rPr>
        <w:t xml:space="preserve">Sales and marketing expenses increased $2.5 million for the </w:t>
      </w:r>
      <w:r>
        <w:rPr>
          <w:rFonts w:ascii="Arial" w:cs="Arial" w:eastAsia="Arial" w:hAnsi="Arial"/>
          <w:sz w:val="18"/>
          <w:szCs w:val="18"/>
          <w:color w:val="000000"/>
        </w:rPr>
        <w:t>three months ended March 31, 2016</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March 31, 2015</w:t>
      </w:r>
      <w:r>
        <w:rPr>
          <w:rFonts w:ascii="Arial" w:cs="Arial" w:eastAsia="Arial" w:hAnsi="Arial"/>
          <w:sz w:val="18"/>
          <w:szCs w:val="18"/>
          <w:color w:val="231F20"/>
        </w:rPr>
        <w:t>, primarily due to increased personnel expenses of $0.8 million, principally due to new employees and higher stock based</w:t>
      </w:r>
      <w:r>
        <w:rPr>
          <w:rFonts w:ascii="Arial" w:cs="Arial" w:eastAsia="Arial" w:hAnsi="Arial"/>
          <w:sz w:val="18"/>
          <w:szCs w:val="18"/>
          <w:color w:val="000000"/>
        </w:rPr>
        <w:t xml:space="preserve"> </w:t>
      </w:r>
      <w:r>
        <w:rPr>
          <w:rFonts w:ascii="Arial" w:cs="Arial" w:eastAsia="Arial" w:hAnsi="Arial"/>
          <w:sz w:val="18"/>
          <w:szCs w:val="18"/>
          <w:color w:val="231F20"/>
        </w:rPr>
        <w:t>compensation, and also due to an increase in marketing expenses of $1.6 million, primarily due to increased trade shows and program activities as a result of a large security trade show that occurred in the first quarter of 2016 which previously occurred in the second quarter of 2015.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7,468</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6,016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1,452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231F20"/>
        </w:rPr>
        <w:t xml:space="preserve">General and administrative expenses increased $1.5 million for the </w:t>
      </w:r>
      <w:r>
        <w:rPr>
          <w:rFonts w:ascii="Arial" w:cs="Arial" w:eastAsia="Arial" w:hAnsi="Arial"/>
          <w:sz w:val="18"/>
          <w:szCs w:val="18"/>
          <w:color w:val="000000"/>
        </w:rPr>
        <w:t>three months ended March 31, 2016</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 xml:space="preserve">ended March 31, 2015 </w:t>
      </w:r>
      <w:r>
        <w:rPr>
          <w:rFonts w:ascii="Arial" w:cs="Arial" w:eastAsia="Arial" w:hAnsi="Arial"/>
          <w:sz w:val="18"/>
          <w:szCs w:val="18"/>
          <w:color w:val="231F20"/>
        </w:rPr>
        <w:t>primarily driven by increased personnel expenses of $0.5 million, principally due to additional employees and higher</w:t>
      </w:r>
      <w:r>
        <w:rPr>
          <w:rFonts w:ascii="Arial" w:cs="Arial" w:eastAsia="Arial" w:hAnsi="Arial"/>
          <w:sz w:val="18"/>
          <w:szCs w:val="18"/>
          <w:color w:val="000000"/>
        </w:rPr>
        <w:t xml:space="preserve"> </w:t>
      </w:r>
      <w:r>
        <w:rPr>
          <w:rFonts w:ascii="Arial" w:cs="Arial" w:eastAsia="Arial" w:hAnsi="Arial"/>
          <w:sz w:val="18"/>
          <w:szCs w:val="18"/>
          <w:color w:val="231F20"/>
        </w:rPr>
        <w:t>stock-based compensation; and increased professional services of $0.8 million.</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2480" w:type="dxa"/>
            <w:vAlign w:val="bottom"/>
            <w:gridSpan w:val="3"/>
          </w:tcPr>
          <w:p>
            <w:pPr>
              <w:jc w:val="center"/>
              <w:ind w:left="39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359"/>
              <w:spacing w:after="0"/>
              <w:rPr>
                <w:sz w:val="20"/>
                <w:szCs w:val="20"/>
                <w:color w:val="auto"/>
              </w:rPr>
            </w:pPr>
            <w:r>
              <w:rPr>
                <w:rFonts w:ascii="Arial" w:cs="Arial" w:eastAsia="Arial" w:hAnsi="Arial"/>
                <w:sz w:val="16"/>
                <w:szCs w:val="16"/>
                <w:b w:val="1"/>
                <w:bCs w:val="1"/>
                <w:color w:val="auto"/>
              </w:rPr>
              <w:t>March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168</w:t>
            </w:r>
          </w:p>
        </w:tc>
        <w:tc>
          <w:tcPr>
            <w:tcW w:w="102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245</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51"/>
        </w:trPr>
        <w:tc>
          <w:tcPr>
            <w:tcW w:w="550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480" w:firstLine="486"/>
        <w:spacing w:after="0" w:line="262" w:lineRule="auto"/>
        <w:rPr>
          <w:sz w:val="20"/>
          <w:szCs w:val="20"/>
          <w:color w:val="auto"/>
        </w:rPr>
      </w:pPr>
      <w:r>
        <w:rPr>
          <w:rFonts w:ascii="Arial" w:cs="Arial" w:eastAsia="Arial" w:hAnsi="Arial"/>
          <w:sz w:val="18"/>
          <w:szCs w:val="18"/>
          <w:color w:val="231F20"/>
        </w:rPr>
        <w:t>Other income (expense), increased by $0.2 million in the three months ended March 31, 2016 compared to the three months ended March 31, 2015, primarily due to an increase in investment and interest income and lower foreign exchange losses.</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2,982</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1,841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1,141</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38.4%</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62" w:lineRule="exact"/>
        <w:rPr>
          <w:sz w:val="20"/>
          <w:szCs w:val="20"/>
          <w:color w:val="auto"/>
        </w:rPr>
      </w:pPr>
    </w:p>
    <w:p>
      <w:pPr>
        <w:ind w:right="480" w:firstLine="486"/>
        <w:spacing w:after="0" w:line="262" w:lineRule="auto"/>
        <w:rPr>
          <w:sz w:val="20"/>
          <w:szCs w:val="20"/>
          <w:color w:val="auto"/>
        </w:rPr>
      </w:pPr>
      <w:r>
        <w:rPr>
          <w:rFonts w:ascii="Arial" w:cs="Arial" w:eastAsia="Arial" w:hAnsi="Arial"/>
          <w:sz w:val="18"/>
          <w:szCs w:val="18"/>
          <w:color w:val="231F20"/>
        </w:rPr>
        <w:t>The provision for income taxes increased by $ 1.1 million for the three months ended March 31, 2016 compared to the three months ended March 31, 2015, primarily due to an increase in income before taxes.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328"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March 31, 2016</w:t>
      </w:r>
      <w:r>
        <w:rPr>
          <w:rFonts w:ascii="Arial" w:cs="Arial" w:eastAsia="Arial" w:hAnsi="Arial"/>
          <w:sz w:val="18"/>
          <w:szCs w:val="18"/>
          <w:color w:val="231F20"/>
        </w:rPr>
        <w:t xml:space="preserve">, our principal source of liquidity was cash, cash equivalents, and short-term and long-term investments of </w:t>
      </w:r>
      <w:r>
        <w:rPr>
          <w:rFonts w:ascii="Arial" w:cs="Arial" w:eastAsia="Arial" w:hAnsi="Arial"/>
          <w:sz w:val="18"/>
          <w:szCs w:val="18"/>
          <w:color w:val="000000"/>
        </w:rPr>
        <w:t>$240.3</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including $3.4 million held outside of the United States by our foreign subsidiaries. We do not intend to repatriate these funds generated</w:t>
      </w:r>
      <w:r>
        <w:rPr>
          <w:rFonts w:ascii="Arial" w:cs="Arial" w:eastAsia="Arial" w:hAnsi="Arial"/>
          <w:sz w:val="18"/>
          <w:szCs w:val="18"/>
          <w:color w:val="000000"/>
        </w:rPr>
        <w:t xml:space="preserve"> </w:t>
      </w:r>
      <w:r>
        <w:rPr>
          <w:rFonts w:ascii="Arial" w:cs="Arial" w:eastAsia="Arial" w:hAnsi="Arial"/>
          <w:sz w:val="18"/>
          <w:szCs w:val="18"/>
          <w:color w:val="231F20"/>
        </w:rPr>
        <w:t>from foreign operations to fund our domestic operations.</w:t>
      </w:r>
    </w:p>
    <w:p>
      <w:pPr>
        <w:spacing w:after="0" w:line="202"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231F20"/>
        </w:rPr>
        <w:t>We have experienced positive cash flows from operations during the three months ended March 31, 2016 and 2015. We believe our existing cash, cash equivalents, short-term and long-term investments, and cash from operations will be sufficient to fund our operations for at least the next twelve months. Our future capital requirements will depend on many factors, including our rate of revenue growth, the expansion of our sales and marketing activities, the timing and extent of our spending on research and development efforts, international expansion and investment in data centers. We may also seek to invest in or acquire complementary businesses or technologies.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193"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4"/>
        </w:trPr>
        <w:tc>
          <w:tcPr>
            <w:tcW w:w="8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r>
      <w:tr>
        <w:trPr>
          <w:trHeight w:val="247"/>
        </w:trPr>
        <w:tc>
          <w:tcPr>
            <w:tcW w:w="8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w w:val="99"/>
              </w:rPr>
              <w:t>(in thousands)</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17,138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10,026</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(1,573)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(12,051)</w:t>
            </w:r>
          </w:p>
        </w:tc>
      </w:tr>
      <w:tr>
        <w:trPr>
          <w:trHeight w:val="273"/>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financing activities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5,208</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3,539</w:t>
            </w:r>
          </w:p>
        </w:tc>
      </w:tr>
      <w:tr>
        <w:trPr>
          <w:trHeight w:val="240"/>
        </w:trPr>
        <w:tc>
          <w:tcPr>
            <w:tcW w:w="858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20,773</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1,514</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2016</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$17.1 million</w:t>
      </w:r>
      <w:r>
        <w:rPr>
          <w:rFonts w:ascii="Arial" w:cs="Arial" w:eastAsia="Arial" w:hAnsi="Arial"/>
          <w:sz w:val="18"/>
          <w:szCs w:val="18"/>
          <w:color w:val="231F20"/>
        </w:rPr>
        <w:t xml:space="preserve"> resulted from our net income of approximately </w:t>
      </w:r>
      <w:r>
        <w:rPr>
          <w:rFonts w:ascii="Arial" w:cs="Arial" w:eastAsia="Arial" w:hAnsi="Arial"/>
          <w:sz w:val="18"/>
          <w:szCs w:val="18"/>
          <w:color w:val="000000"/>
        </w:rPr>
        <w:t>$4.8 million</w:t>
      </w:r>
      <w:r>
        <w:rPr>
          <w:rFonts w:ascii="Arial" w:cs="Arial" w:eastAsia="Arial" w:hAnsi="Arial"/>
          <w:sz w:val="18"/>
          <w:szCs w:val="18"/>
          <w:color w:val="231F20"/>
        </w:rPr>
        <w:t xml:space="preserve">, as adjusted by an increase in deferred revenues of </w:t>
      </w:r>
      <w:r>
        <w:rPr>
          <w:rFonts w:ascii="Arial" w:cs="Arial" w:eastAsia="Arial" w:hAnsi="Arial"/>
          <w:sz w:val="18"/>
          <w:szCs w:val="18"/>
          <w:color w:val="000000"/>
        </w:rPr>
        <w:t>$2.1 million</w:t>
      </w:r>
      <w:r>
        <w:rPr>
          <w:rFonts w:ascii="Arial" w:cs="Arial" w:eastAsia="Arial" w:hAnsi="Arial"/>
          <w:sz w:val="18"/>
          <w:szCs w:val="18"/>
          <w:color w:val="231F20"/>
        </w:rPr>
        <w:t xml:space="preserve">, attributable to our continued growth, an increase in accounts payable and accrued liabilities of $4.8 million and by non-cash items including depreciation and amortization expense of </w:t>
      </w:r>
      <w:r>
        <w:rPr>
          <w:rFonts w:ascii="Arial" w:cs="Arial" w:eastAsia="Arial" w:hAnsi="Arial"/>
          <w:sz w:val="18"/>
          <w:szCs w:val="18"/>
          <w:color w:val="000000"/>
        </w:rPr>
        <w:t>$3.8 million</w:t>
      </w:r>
      <w:r>
        <w:rPr>
          <w:rFonts w:ascii="Arial" w:cs="Arial" w:eastAsia="Arial" w:hAnsi="Arial"/>
          <w:sz w:val="18"/>
          <w:szCs w:val="18"/>
          <w:color w:val="231F20"/>
        </w:rPr>
        <w:t xml:space="preserve"> and stock-based compensation of </w:t>
      </w:r>
      <w:r>
        <w:rPr>
          <w:rFonts w:ascii="Arial" w:cs="Arial" w:eastAsia="Arial" w:hAnsi="Arial"/>
          <w:sz w:val="18"/>
          <w:szCs w:val="18"/>
          <w:color w:val="000000"/>
        </w:rPr>
        <w:t>$4.7 million</w:t>
      </w:r>
      <w:r>
        <w:rPr>
          <w:rFonts w:ascii="Arial" w:cs="Arial" w:eastAsia="Arial" w:hAnsi="Arial"/>
          <w:sz w:val="18"/>
          <w:szCs w:val="18"/>
          <w:color w:val="231F20"/>
        </w:rPr>
        <w:t>. These increases are partially offset by an increase in accounts receivable of $0.2 million due to continued growth, excess tax benefits from stock based compensation of $3.1 million, and additions to deferred income tax assets of $1.1 million.</w:t>
      </w:r>
    </w:p>
    <w:p>
      <w:pPr>
        <w:spacing w:after="0" w:line="209" w:lineRule="exact"/>
        <w:rPr>
          <w:sz w:val="20"/>
          <w:szCs w:val="20"/>
          <w:color w:val="auto"/>
        </w:rPr>
      </w:pPr>
    </w:p>
    <w:p>
      <w:pPr>
        <w:ind w:right="220" w:firstLine="486"/>
        <w:spacing w:after="0" w:line="253"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2015</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$ 10.0 million</w:t>
      </w:r>
      <w:r>
        <w:rPr>
          <w:rFonts w:ascii="Arial" w:cs="Arial" w:eastAsia="Arial" w:hAnsi="Arial"/>
          <w:sz w:val="18"/>
          <w:szCs w:val="18"/>
          <w:color w:val="231F20"/>
        </w:rPr>
        <w:t xml:space="preserve"> resulted from our net income of </w:t>
      </w:r>
      <w:r>
        <w:rPr>
          <w:rFonts w:ascii="Arial" w:cs="Arial" w:eastAsia="Arial" w:hAnsi="Arial"/>
          <w:sz w:val="18"/>
          <w:szCs w:val="18"/>
          <w:color w:val="000000"/>
        </w:rPr>
        <w:t>$3.0</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as adjusted by an increase in deferred revenues of</w:t>
      </w:r>
      <w:r>
        <w:rPr>
          <w:rFonts w:ascii="Arial" w:cs="Arial" w:eastAsia="Arial" w:hAnsi="Arial"/>
          <w:sz w:val="18"/>
          <w:szCs w:val="18"/>
          <w:color w:val="000000"/>
        </w:rPr>
        <w:t xml:space="preserve"> $6.8 million</w:t>
      </w:r>
      <w:r>
        <w:rPr>
          <w:rFonts w:ascii="Arial" w:cs="Arial" w:eastAsia="Arial" w:hAnsi="Arial"/>
          <w:sz w:val="18"/>
          <w:szCs w:val="18"/>
          <w:color w:val="231F20"/>
        </w:rPr>
        <w:t>, attributable to our continued growth. These working capital increases</w:t>
      </w:r>
      <w:r>
        <w:rPr>
          <w:rFonts w:ascii="Arial" w:cs="Arial" w:eastAsia="Arial" w:hAnsi="Arial"/>
          <w:sz w:val="18"/>
          <w:szCs w:val="18"/>
          <w:color w:val="000000"/>
        </w:rPr>
        <w:t xml:space="preserve"> </w:t>
      </w:r>
      <w:r>
        <w:rPr>
          <w:rFonts w:ascii="Arial" w:cs="Arial" w:eastAsia="Arial" w:hAnsi="Arial"/>
          <w:sz w:val="18"/>
          <w:szCs w:val="18"/>
          <w:color w:val="231F20"/>
        </w:rPr>
        <w:t xml:space="preserve">are further increased by non-cash items including depreciation and amortization expense of </w:t>
      </w:r>
      <w:r>
        <w:rPr>
          <w:rFonts w:ascii="Arial" w:cs="Arial" w:eastAsia="Arial" w:hAnsi="Arial"/>
          <w:sz w:val="18"/>
          <w:szCs w:val="18"/>
          <w:color w:val="000000"/>
        </w:rPr>
        <w:t>$3.2 million</w:t>
      </w:r>
      <w:r>
        <w:rPr>
          <w:rFonts w:ascii="Arial" w:cs="Arial" w:eastAsia="Arial" w:hAnsi="Arial"/>
          <w:sz w:val="18"/>
          <w:szCs w:val="18"/>
          <w:color w:val="231F20"/>
        </w:rPr>
        <w:t xml:space="preserve"> and stock-based compensation expense of </w:t>
      </w:r>
      <w:r>
        <w:rPr>
          <w:rFonts w:ascii="Arial" w:cs="Arial" w:eastAsia="Arial" w:hAnsi="Arial"/>
          <w:sz w:val="18"/>
          <w:szCs w:val="18"/>
          <w:color w:val="000000"/>
        </w:rPr>
        <w:t>$3.9 million</w:t>
      </w:r>
      <w:r>
        <w:rPr>
          <w:rFonts w:ascii="Arial" w:cs="Arial" w:eastAsia="Arial" w:hAnsi="Arial"/>
          <w:sz w:val="18"/>
          <w:szCs w:val="18"/>
          <w:color w:val="231F20"/>
        </w:rPr>
        <w:t>. These increases are partially offset by an increase in accounts receivable of $5.9 million, due to timing of orders received relatively later in the quarter, and by a decrease in accounts payable of $3.6 million due to timing of payments.</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19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2016</w:t>
      </w:r>
      <w:r>
        <w:rPr>
          <w:rFonts w:ascii="Arial" w:cs="Arial" w:eastAsia="Arial" w:hAnsi="Arial"/>
          <w:sz w:val="18"/>
          <w:szCs w:val="18"/>
          <w:color w:val="231F20"/>
        </w:rPr>
        <w:t xml:space="preserve">, cash used in investing activities of </w:t>
      </w:r>
      <w:r>
        <w:rPr>
          <w:rFonts w:ascii="Arial" w:cs="Arial" w:eastAsia="Arial" w:hAnsi="Arial"/>
          <w:sz w:val="18"/>
          <w:szCs w:val="18"/>
          <w:color w:val="000000"/>
        </w:rPr>
        <w:t>$1.6 million was primarily attributable to $4.2 million of</w:t>
      </w:r>
      <w:r>
        <w:rPr>
          <w:rFonts w:ascii="Arial" w:cs="Arial" w:eastAsia="Arial" w:hAnsi="Arial"/>
          <w:sz w:val="18"/>
          <w:szCs w:val="18"/>
          <w:color w:val="231F20"/>
        </w:rPr>
        <w:t xml:space="preserve"> </w:t>
      </w:r>
      <w:r>
        <w:rPr>
          <w:rFonts w:ascii="Arial" w:cs="Arial" w:eastAsia="Arial" w:hAnsi="Arial"/>
          <w:sz w:val="18"/>
          <w:szCs w:val="18"/>
          <w:color w:val="000000"/>
        </w:rPr>
        <w:t>cash used for capital expenditures, including computer hardware and software for our data centers to support our growth and development and physical scanner appliances and computer hardware provided to certain customers as part of their subscriptions; and sales and maturities of investments, net of purchases, of $2.7 million.</w:t>
      </w:r>
    </w:p>
    <w:p>
      <w:pPr>
        <w:spacing w:after="0" w:line="204"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2015</w:t>
      </w:r>
      <w:r>
        <w:rPr>
          <w:rFonts w:ascii="Arial" w:cs="Arial" w:eastAsia="Arial" w:hAnsi="Arial"/>
          <w:sz w:val="18"/>
          <w:szCs w:val="18"/>
          <w:color w:val="231F20"/>
        </w:rPr>
        <w:t xml:space="preserve">, cash used in investing activities of $12.1 million was primarily attributable </w:t>
      </w:r>
      <w:r>
        <w:rPr>
          <w:rFonts w:ascii="Arial" w:cs="Arial" w:eastAsia="Arial" w:hAnsi="Arial"/>
          <w:sz w:val="18"/>
          <w:szCs w:val="18"/>
          <w:color w:val="000000"/>
        </w:rPr>
        <w:t>$6.1 million of cash</w:t>
      </w:r>
      <w:r>
        <w:rPr>
          <w:rFonts w:ascii="Arial" w:cs="Arial" w:eastAsia="Arial" w:hAnsi="Arial"/>
          <w:sz w:val="18"/>
          <w:szCs w:val="18"/>
          <w:color w:val="231F20"/>
        </w:rPr>
        <w:t xml:space="preserve"> </w:t>
      </w:r>
      <w:r>
        <w:rPr>
          <w:rFonts w:ascii="Arial" w:cs="Arial" w:eastAsia="Arial" w:hAnsi="Arial"/>
          <w:sz w:val="18"/>
          <w:szCs w:val="18"/>
          <w:color w:val="000000"/>
        </w:rPr>
        <w:t>used for capital expenditures, including computer hardware and software for our data centers to support our growth and development and physical scanner appliances provided to certain customers as part of their subscriptions, and net purchases of investments of $5.8 million.</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247"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2016</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$ 5.2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$2.1 million</w:t>
      </w:r>
      <w:r>
        <w:rPr>
          <w:rFonts w:ascii="Arial" w:cs="Arial" w:eastAsia="Arial" w:hAnsi="Arial"/>
          <w:sz w:val="18"/>
          <w:szCs w:val="18"/>
          <w:color w:val="231F20"/>
        </w:rPr>
        <w:t xml:space="preserve"> of proceeds from the exercise of stock options and $3.1 million of tax benefit from exercise of stock options.</w:t>
      </w:r>
    </w:p>
    <w:p>
      <w:pPr>
        <w:spacing w:after="0" w:line="196"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2015</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$3.5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$3.4 million</w:t>
      </w:r>
      <w:r>
        <w:rPr>
          <w:rFonts w:ascii="Arial" w:cs="Arial" w:eastAsia="Arial" w:hAnsi="Arial"/>
          <w:sz w:val="18"/>
          <w:szCs w:val="18"/>
          <w:color w:val="231F20"/>
        </w:rPr>
        <w:t xml:space="preserve"> of proceeds from the exercise of stock options.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193" w:lineRule="exact"/>
        <w:rPr>
          <w:sz w:val="20"/>
          <w:szCs w:val="20"/>
          <w:color w:val="auto"/>
        </w:rPr>
      </w:pPr>
    </w:p>
    <w:p>
      <w:pPr>
        <w:jc w:val="both"/>
        <w:ind w:right="60" w:firstLine="486"/>
        <w:spacing w:after="0" w:line="256" w:lineRule="auto"/>
        <w:rPr>
          <w:sz w:val="20"/>
          <w:szCs w:val="20"/>
          <w:color w:val="auto"/>
        </w:rPr>
      </w:pPr>
      <w:r>
        <w:rPr>
          <w:rFonts w:ascii="Arial" w:cs="Arial" w:eastAsia="Arial" w:hAnsi="Arial"/>
          <w:sz w:val="18"/>
          <w:szCs w:val="18"/>
          <w:color w:val="231F20"/>
        </w:rPr>
        <w:t xml:space="preserve">Our principal commitments consist of obligations under our outstanding leases for office space, third-party data centers and certain office equipment. The following table summarizes our contractual cash obligations at </w:t>
      </w:r>
      <w:r>
        <w:rPr>
          <w:rFonts w:ascii="Arial" w:cs="Arial" w:eastAsia="Arial" w:hAnsi="Arial"/>
          <w:sz w:val="18"/>
          <w:szCs w:val="18"/>
          <w:color w:val="000000"/>
        </w:rPr>
        <w:t>March 31, 2016</w:t>
      </w:r>
      <w:r>
        <w:rPr>
          <w:rFonts w:ascii="Arial" w:cs="Arial" w:eastAsia="Arial" w:hAnsi="Arial"/>
          <w:sz w:val="18"/>
          <w:szCs w:val="18"/>
          <w:color w:val="231F20"/>
        </w:rPr>
        <w:t xml:space="preserve"> and the effect such obligations are expected to have on our liquidity and cash flows in future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rPr>
              <w:t>Payment Due by Period</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Remainder of</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2021 and</w:t>
            </w:r>
          </w:p>
        </w:tc>
        <w:tc>
          <w:tcPr>
            <w:tcW w:w="0" w:type="dxa"/>
            <w:vAlign w:val="bottom"/>
          </w:tcPr>
          <w:p>
            <w:pPr>
              <w:spacing w:after="0"/>
              <w:rPr>
                <w:sz w:val="1"/>
                <w:szCs w:val="1"/>
                <w:color w:val="auto"/>
              </w:rPr>
            </w:pPr>
          </w:p>
        </w:tc>
      </w:tr>
      <w:tr>
        <w:trPr>
          <w:trHeight w:val="180"/>
        </w:trPr>
        <w:tc>
          <w:tcPr>
            <w:tcW w:w="4700" w:type="dxa"/>
            <w:vAlign w:val="bottom"/>
            <w:gridSpan w:val="4"/>
          </w:tcPr>
          <w:p>
            <w:pPr>
              <w:ind w:left="40"/>
              <w:spacing w:after="0" w:line="181" w:lineRule="exact"/>
              <w:rPr>
                <w:sz w:val="20"/>
                <w:szCs w:val="20"/>
                <w:color w:val="auto"/>
              </w:rPr>
            </w:pPr>
            <w:r>
              <w:rPr>
                <w:rFonts w:ascii="Arial" w:cs="Arial" w:eastAsia="Arial" w:hAnsi="Arial"/>
                <w:sz w:val="16"/>
                <w:szCs w:val="16"/>
                <w:b w:val="1"/>
                <w:bCs w:val="1"/>
                <w:color w:val="auto"/>
              </w:rPr>
              <w:t>Contractual Obligations</w:t>
            </w:r>
          </w:p>
        </w:tc>
        <w:tc>
          <w:tcPr>
            <w:tcW w:w="280" w:type="dxa"/>
            <w:vAlign w:val="bottom"/>
          </w:tcPr>
          <w:p>
            <w:pPr>
              <w:spacing w:after="0"/>
              <w:rPr>
                <w:sz w:val="15"/>
                <w:szCs w:val="15"/>
                <w:color w:val="auto"/>
              </w:rPr>
            </w:pPr>
          </w:p>
        </w:tc>
        <w:tc>
          <w:tcPr>
            <w:tcW w:w="1100" w:type="dxa"/>
            <w:vAlign w:val="bottom"/>
            <w:gridSpan w:val="2"/>
          </w:tcPr>
          <w:p>
            <w:pPr>
              <w:ind w:left="160"/>
              <w:spacing w:after="0" w:line="181" w:lineRule="exact"/>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5"/>
                <w:szCs w:val="15"/>
                <w:color w:val="auto"/>
              </w:rPr>
            </w:pPr>
          </w:p>
        </w:tc>
        <w:tc>
          <w:tcPr>
            <w:tcW w:w="980" w:type="dxa"/>
            <w:vAlign w:val="bottom"/>
          </w:tcPr>
          <w:p>
            <w:pPr>
              <w:jc w:val="right"/>
              <w:ind w:right="359"/>
              <w:spacing w:after="0" w:line="181" w:lineRule="exact"/>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59"/>
              <w:spacing w:after="0" w:line="181" w:lineRule="exact"/>
              <w:rPr>
                <w:sz w:val="20"/>
                <w:szCs w:val="20"/>
                <w:color w:val="auto"/>
              </w:rPr>
            </w:pPr>
            <w:r>
              <w:rPr>
                <w:rFonts w:ascii="Arial" w:cs="Arial" w:eastAsia="Arial" w:hAnsi="Arial"/>
                <w:sz w:val="16"/>
                <w:szCs w:val="16"/>
                <w:b w:val="1"/>
                <w:bCs w:val="1"/>
                <w:color w:val="auto"/>
              </w:rPr>
              <w:t>2017-2018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59"/>
              <w:spacing w:after="0" w:line="181" w:lineRule="exact"/>
              <w:rPr>
                <w:sz w:val="20"/>
                <w:szCs w:val="20"/>
                <w:color w:val="auto"/>
              </w:rPr>
            </w:pPr>
            <w:r>
              <w:rPr>
                <w:rFonts w:ascii="Arial" w:cs="Arial" w:eastAsia="Arial" w:hAnsi="Arial"/>
                <w:sz w:val="16"/>
                <w:szCs w:val="16"/>
                <w:b w:val="1"/>
                <w:bCs w:val="1"/>
                <w:color w:val="auto"/>
              </w:rPr>
              <w:t>2019-2020</w:t>
            </w:r>
          </w:p>
        </w:tc>
        <w:tc>
          <w:tcPr>
            <w:tcW w:w="280" w:type="dxa"/>
            <w:vAlign w:val="bottom"/>
          </w:tcPr>
          <w:p>
            <w:pPr>
              <w:spacing w:after="0"/>
              <w:rPr>
                <w:sz w:val="15"/>
                <w:szCs w:val="15"/>
                <w:color w:val="auto"/>
              </w:rPr>
            </w:pPr>
          </w:p>
        </w:tc>
        <w:tc>
          <w:tcPr>
            <w:tcW w:w="1080" w:type="dxa"/>
            <w:vAlign w:val="bottom"/>
          </w:tcPr>
          <w:p>
            <w:pPr>
              <w:jc w:val="right"/>
              <w:ind w:right="179"/>
              <w:spacing w:after="0" w:line="181" w:lineRule="exact"/>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9"/>
              </w:rPr>
              <w:t>(in thousands)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40" w:type="dxa"/>
            <w:vAlign w:val="bottom"/>
            <w:shd w:val="clear" w:color="auto" w:fill="CCEEFF"/>
          </w:tcPr>
          <w:p>
            <w:pPr>
              <w:spacing w:after="0"/>
              <w:rPr>
                <w:sz w:val="16"/>
                <w:szCs w:val="16"/>
                <w:color w:val="auto"/>
              </w:rPr>
            </w:pPr>
          </w:p>
        </w:tc>
        <w:tc>
          <w:tcPr>
            <w:tcW w:w="20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shd w:val="clear" w:color="auto" w:fill="CCEEFF"/>
              </w:rPr>
              <w:t>Operating lease obligations</w:t>
            </w:r>
          </w:p>
        </w:tc>
        <w:tc>
          <w:tcPr>
            <w:tcW w:w="2660" w:type="dxa"/>
            <w:vAlign w:val="bottom"/>
            <w:shd w:val="clear" w:color="auto" w:fill="CCEEFF"/>
          </w:tcPr>
          <w:p>
            <w:pPr>
              <w:jc w:val="right"/>
              <w:ind w:right="2466"/>
              <w:spacing w:after="0"/>
              <w:rPr>
                <w:sz w:val="20"/>
                <w:szCs w:val="20"/>
                <w:color w:val="auto"/>
              </w:rPr>
            </w:pPr>
            <w:r>
              <w:rPr>
                <w:rFonts w:ascii="Arial" w:cs="Arial" w:eastAsia="Arial" w:hAnsi="Arial"/>
                <w:sz w:val="11"/>
                <w:szCs w:val="11"/>
                <w:color w:val="auto"/>
                <w:w w:val="88"/>
                <w:shd w:val="clear" w:color="auto" w:fill="CCEEFF"/>
              </w:rPr>
              <w:t>(1)</w:t>
            </w: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9,165</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3,169</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4,078</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1,520</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90"/>
        </w:trPr>
        <w:tc>
          <w:tcPr>
            <w:tcW w:w="40" w:type="dxa"/>
            <w:vAlign w:val="bottom"/>
            <w:tcBorders>
              <w:bottom w:val="single" w:sz="8" w:color="CCEEFF"/>
            </w:tcBorders>
            <w:shd w:val="clear" w:color="auto" w:fill="CCEEFF"/>
          </w:tcPr>
          <w:p>
            <w:pPr>
              <w:spacing w:after="0"/>
              <w:rPr>
                <w:sz w:val="7"/>
                <w:szCs w:val="7"/>
                <w:color w:val="auto"/>
              </w:rPr>
            </w:pPr>
          </w:p>
        </w:tc>
        <w:tc>
          <w:tcPr>
            <w:tcW w:w="2000" w:type="dxa"/>
            <w:vAlign w:val="bottom"/>
            <w:tcBorders>
              <w:bottom w:val="single" w:sz="8" w:color="CCEEFF"/>
            </w:tcBorders>
            <w:gridSpan w:val="2"/>
            <w:vMerge w:val="continue"/>
            <w:shd w:val="clear" w:color="auto" w:fill="CCEEFF"/>
          </w:tcPr>
          <w:p>
            <w:pPr>
              <w:spacing w:after="0"/>
              <w:rPr>
                <w:sz w:val="7"/>
                <w:szCs w:val="7"/>
                <w:color w:val="auto"/>
              </w:rPr>
            </w:pPr>
          </w:p>
        </w:tc>
        <w:tc>
          <w:tcPr>
            <w:tcW w:w="266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28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4660" w:type="dxa"/>
            <w:vAlign w:val="bottom"/>
            <w:gridSpan w:val="3"/>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9,165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3,169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1,520</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340" w:right="280" w:hanging="332"/>
        <w:spacing w:after="0" w:line="278" w:lineRule="auto"/>
        <w:tabs>
          <w:tab w:leader="none" w:pos="232" w:val="left"/>
        </w:tabs>
        <w:numPr>
          <w:ilvl w:val="0"/>
          <w:numId w:val="6"/>
        </w:numPr>
        <w:rPr>
          <w:rFonts w:ascii="Arial" w:cs="Arial" w:eastAsia="Arial" w:hAnsi="Arial"/>
          <w:sz w:val="14"/>
          <w:szCs w:val="14"/>
          <w:color w:val="231F20"/>
        </w:rPr>
      </w:pPr>
      <w:r>
        <w:rPr>
          <w:rFonts w:ascii="Arial" w:cs="Arial" w:eastAsia="Arial" w:hAnsi="Arial"/>
          <w:sz w:val="14"/>
          <w:szCs w:val="14"/>
          <w:color w:val="231F20"/>
        </w:rPr>
        <w:t xml:space="preserve">Operating lease obligations represent our obligations to make payments under the lease agreements for our facilities, data centers, and office equipment leases. During the </w:t>
      </w:r>
      <w:r>
        <w:rPr>
          <w:rFonts w:ascii="Arial" w:cs="Arial" w:eastAsia="Arial" w:hAnsi="Arial"/>
          <w:sz w:val="14"/>
          <w:szCs w:val="14"/>
          <w:color w:val="000000"/>
        </w:rPr>
        <w:t>three months ended March 31, 2016</w:t>
      </w:r>
      <w:r>
        <w:rPr>
          <w:rFonts w:ascii="Arial" w:cs="Arial" w:eastAsia="Arial" w:hAnsi="Arial"/>
          <w:sz w:val="14"/>
          <w:szCs w:val="14"/>
          <w:color w:val="231F20"/>
        </w:rPr>
        <w:t>, we made regular payments on our operating lease obligations of $1.1 million.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93"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193"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Form 10-Q for a discussion of recent accounting pronouncements.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93" w:lineRule="exact"/>
        <w:rPr>
          <w:sz w:val="20"/>
          <w:szCs w:val="20"/>
          <w:color w:val="auto"/>
        </w:rPr>
      </w:pPr>
    </w:p>
    <w:p>
      <w:pPr>
        <w:ind w:right="460" w:firstLine="486"/>
        <w:spacing w:after="0" w:line="25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2015, filed with the SEC on February 26, 2016, the accounting policies related to revenue recognition,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There have been no material changes to our critical accounting policies and estimates as compared to the critical accounting policies and estimates as described in our Annual Report on Form 10-K for the fiscal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color w:val="231F20"/>
        </w:rPr>
        <w:t>Quantitative and Qualitative Disclosures about Market Risk</w:t>
      </w:r>
    </w:p>
    <w:p>
      <w:pPr>
        <w:spacing w:after="0" w:line="315" w:lineRule="exact"/>
        <w:rPr>
          <w:sz w:val="20"/>
          <w:szCs w:val="20"/>
          <w:color w:val="auto"/>
        </w:rPr>
      </w:pPr>
    </w:p>
    <w:p>
      <w:pPr>
        <w:jc w:val="both"/>
        <w:ind w:right="180" w:firstLine="486"/>
        <w:spacing w:after="0" w:line="254" w:lineRule="auto"/>
        <w:rPr>
          <w:sz w:val="20"/>
          <w:szCs w:val="20"/>
          <w:color w:val="auto"/>
        </w:rPr>
      </w:pPr>
      <w:r>
        <w:rPr>
          <w:rFonts w:ascii="Arial" w:cs="Arial" w:eastAsia="Arial" w:hAnsi="Arial"/>
          <w:sz w:val="18"/>
          <w:szCs w:val="18"/>
          <w:color w:val="231F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Our results of operations and cash flows have been and will continue to be subject to fluctuations because of changes in foreign currency exchange rates, particularly changes in exchange rates between the U.S. dollar and the Euro, British Pound, and Indian Rupee,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17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We use foreign currency forward contracts to partially mitigate the impact of fluctuations in cash and accounts receivable balances denominated in Euros and British Pound.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93"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 xml:space="preserve">We have $240 million in cash, cash equivalents and short-term and long-term investments at March 31, 2016. Cash and cash equivalents include cash held in banks, highly liquid money market funds, U.S. government agency securities, and commercial paper. Investments consist of fixed-income U.S. government agency securities, corporate bonds, asset-backed securities, and commercial paper. We </w:t>
      </w:r>
      <w:r>
        <w:rPr>
          <w:rFonts w:ascii="Arial" w:cs="Arial" w:eastAsia="Arial" w:hAnsi="Arial"/>
          <w:sz w:val="18"/>
          <w:szCs w:val="18"/>
          <w:color w:val="231F20"/>
        </w:rPr>
        <w:t>determine the appropriate classification of our investments at the time of purchase and reevaluate such designation at each balance sheet date. We classify our investments as either short-term or long-term based on each instrument's underlying contractual maturity date.</w:t>
      </w:r>
    </w:p>
    <w:p>
      <w:pPr>
        <w:spacing w:after="0" w:line="165"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41" w:right="25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7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March 31, 2016.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2016,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274" w:lineRule="exact"/>
        <w:rPr>
          <w:sz w:val="20"/>
          <w:szCs w:val="20"/>
          <w:color w:val="auto"/>
        </w:rPr>
      </w:pPr>
    </w:p>
    <w:p>
      <w:pPr>
        <w:jc w:val="both"/>
        <w:ind w:right="300" w:firstLine="486"/>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PART II. 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171" w:lineRule="exact"/>
        <w:rPr>
          <w:sz w:val="20"/>
          <w:szCs w:val="20"/>
          <w:color w:val="auto"/>
        </w:rPr>
      </w:pPr>
    </w:p>
    <w:p>
      <w:pPr>
        <w:jc w:val="both"/>
        <w:ind w:right="80" w:firstLine="486"/>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231F20"/>
        </w:rPr>
        <w:t>Subscriptions to our Qualys Vulnerability Management solution generate most of our revenues, and if we are unable to continue to renew and grow subscriptions for this solution, our operating results would suffer.</w:t>
      </w:r>
    </w:p>
    <w:p>
      <w:pPr>
        <w:spacing w:after="0" w:line="175"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We derived approximately 79% of our revenues from subscriptions to our core Vulnerability Management solution for the three months ended March 31, 2016. We expect to continue to derive a majority of our revenues from subscriptions to our VM solution, also including the related portion of additional offerings, such as Continuous Monitoring and Cloud Agent, that expand the scope of capabilities within our platform. The market demand for our Qualys Vulnerability Management solution is critical to our continued success. Demand for this solution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175"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8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and marketing expenses associated with our existing and new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17"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141" w:right="31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333"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41" w:right="25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231F20"/>
        </w:rPr>
        <w:t>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196" w:lineRule="exact"/>
        <w:rPr>
          <w:sz w:val="20"/>
          <w:szCs w:val="20"/>
          <w:color w:val="auto"/>
        </w:rPr>
      </w:pPr>
    </w:p>
    <w:p>
      <w:pPr>
        <w:jc w:val="both"/>
        <w:ind w:right="160" w:firstLine="405"/>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90"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6"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333"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00" w:firstLine="405"/>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8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231F20"/>
        </w:rPr>
        <w:t>Our current research and development efforts may not produce successful products or enhancements to our platform that result in significant revenue, cost savings or other benefits in the near future, if at all.</w:t>
      </w:r>
    </w:p>
    <w:p>
      <w:pPr>
        <w:spacing w:after="0" w:line="175" w:lineRule="exact"/>
        <w:rPr>
          <w:sz w:val="20"/>
          <w:szCs w:val="20"/>
          <w:color w:val="auto"/>
        </w:rPr>
      </w:pPr>
    </w:p>
    <w:p>
      <w:pPr>
        <w:ind w:right="200" w:firstLine="405"/>
        <w:spacing w:after="0" w:line="253"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31F20"/>
        </w:rPr>
        <w:t>must</w:t>
      </w:r>
      <w:r>
        <w:rPr>
          <w:rFonts w:ascii="Arial" w:cs="Arial" w:eastAsia="Arial" w:hAnsi="Arial"/>
          <w:sz w:val="18"/>
          <w:szCs w:val="18"/>
          <w:color w:val="auto"/>
        </w:rPr>
        <w:t xml:space="preserve">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may also suffer security incidents as a result of non-technical issues, including intentional or inadvertent breaches by our employees or service providers. Because our operations involve providing IT security solutions to our customers, we may be targeted for cyber-attacks and other security incidents. If an actual or perceived breach of our security measures or those of our service providers occurs, it could adversely affect the market perception of our solutions, negatively affecting our reputation, and may expose us to the loss of information, litigation, regulatory actions and possible liability. Any such actual or perceived security breach could also divert the efforts of our technical and management personnel.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19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41" w:right="2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231F20"/>
        </w:rPr>
        <w:t>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8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Qualys Vulnerability Management for our business and revenues to grow as we expect. Revenues from our other solutions, including our Web Application Scanning, Policy Compliance, PCI Compliance, Malware Detection Service, and Qualys SECURE Seal, have been relatively modest compared to revenues from our Qualys Vulnerability Management solution.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The timing of sales of subscriptions for our solutions is difficult to forecast because of the length and unpredictability of our sales cycle, particularly with large enterprises.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247" w:lineRule="exact"/>
        <w:rPr>
          <w:sz w:val="20"/>
          <w:szCs w:val="20"/>
          <w:color w:val="auto"/>
        </w:rPr>
      </w:pPr>
    </w:p>
    <w:p>
      <w:pPr>
        <w:ind w:right="80" w:firstLine="392"/>
        <w:spacing w:after="0" w:line="251" w:lineRule="auto"/>
        <w:rPr>
          <w:sz w:val="20"/>
          <w:szCs w:val="20"/>
          <w:color w:val="auto"/>
        </w:rPr>
      </w:pPr>
      <w:r>
        <w:rPr>
          <w:rFonts w:ascii="Arial" w:cs="Arial" w:eastAsia="Arial" w:hAnsi="Arial"/>
          <w:sz w:val="18"/>
          <w:szCs w:val="18"/>
          <w:color w:val="auto"/>
        </w:rPr>
        <w:t xml:space="preserve">Our business depends on the overall demand for IT and on the economic health of our current and prospective customers. </w:t>
      </w:r>
      <w:r>
        <w:rPr>
          <w:rFonts w:ascii="Arial" w:cs="Arial" w:eastAsia="Arial" w:hAnsi="Arial"/>
          <w:sz w:val="18"/>
          <w:szCs w:val="18"/>
          <w:color w:val="231F20"/>
        </w:rPr>
        <w:t>Economic</w:t>
      </w:r>
      <w:r>
        <w:rPr>
          <w:rFonts w:ascii="Arial" w:cs="Arial" w:eastAsia="Arial" w:hAnsi="Arial"/>
          <w:sz w:val="18"/>
          <w:szCs w:val="18"/>
          <w:color w:val="auto"/>
        </w:rPr>
        <w:t xml:space="preserve"> </w:t>
      </w:r>
      <w:r>
        <w:rPr>
          <w:rFonts w:ascii="Arial" w:cs="Arial" w:eastAsia="Arial" w:hAnsi="Arial"/>
          <w:sz w:val="18"/>
          <w:szCs w:val="18"/>
          <w:color w:val="231F20"/>
        </w:rPr>
        <w:t>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213" w:lineRule="exact"/>
        <w:rPr>
          <w:sz w:val="20"/>
          <w:szCs w:val="20"/>
          <w:color w:val="auto"/>
        </w:rPr>
      </w:pPr>
    </w:p>
    <w:p>
      <w:pPr>
        <w:jc w:val="both"/>
        <w:ind w:right="500" w:firstLine="392"/>
        <w:spacing w:after="0" w:line="256" w:lineRule="auto"/>
        <w:rPr>
          <w:sz w:val="20"/>
          <w:szCs w:val="20"/>
          <w:color w:val="auto"/>
        </w:rPr>
      </w:pPr>
      <w:r>
        <w:rPr>
          <w:rFonts w:ascii="Arial" w:cs="Arial" w:eastAsia="Arial" w:hAnsi="Arial"/>
          <w:sz w:val="18"/>
          <w:szCs w:val="18"/>
          <w:color w:val="231F20"/>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231F20"/>
        </w:rPr>
        <w:t>spending on IT security could have a material adverse effect on demand for our platform and consequently on our business, financial condition and results of operations.</w:t>
      </w:r>
    </w:p>
    <w:p>
      <w:pPr>
        <w:spacing w:after="0" w:line="174"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primarily delivered from four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ind w:right="380" w:firstLine="405"/>
        <w:spacing w:after="0" w:line="252" w:lineRule="auto"/>
        <w:rPr>
          <w:sz w:val="20"/>
          <w:szCs w:val="20"/>
          <w:color w:val="auto"/>
        </w:rPr>
      </w:pPr>
      <w:r>
        <w:rPr>
          <w:rFonts w:ascii="Arial" w:cs="Arial" w:eastAsia="Arial" w:hAnsi="Arial"/>
          <w:sz w:val="18"/>
          <w:szCs w:val="18"/>
          <w:color w:val="231F20"/>
        </w:rPr>
        <w:t>We currently host substantially all of our solutions from third-party data centers located in the United States, Switzerland and the Netherlands.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9" w:lineRule="exact"/>
        <w:rPr>
          <w:sz w:val="20"/>
          <w:szCs w:val="20"/>
          <w:color w:val="auto"/>
        </w:rPr>
      </w:pPr>
    </w:p>
    <w:p>
      <w:pPr>
        <w:jc w:val="both"/>
        <w:ind w:right="40" w:firstLine="405"/>
        <w:spacing w:after="0" w:line="254" w:lineRule="auto"/>
        <w:rPr>
          <w:sz w:val="20"/>
          <w:szCs w:val="20"/>
          <w:color w:val="auto"/>
        </w:rPr>
      </w:pPr>
      <w:r>
        <w:rPr>
          <w:rFonts w:ascii="Arial" w:cs="Arial" w:eastAsia="Arial" w:hAnsi="Arial"/>
          <w:sz w:val="18"/>
          <w:szCs w:val="18"/>
          <w:color w:val="231F20"/>
        </w:rPr>
        <w:t>Our data centers are not currently redundant and we cannot rapidly move customers from one data center to another, which may increase delays in the restoration of our service for our customers if an adverse event occurs. We have added data center facilities to provide additional capacity for our cloud platform and to enable disaster recovery. We continue to build out these facilities; however, these additional facilities may not be operational in the anticipated time-frame and we may incur unplanned expenses.</w:t>
      </w:r>
    </w:p>
    <w:p>
      <w:pPr>
        <w:spacing w:after="0" w:line="20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ind w:right="240" w:firstLine="405"/>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ind w:right="400" w:firstLine="405"/>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8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ind w:right="300" w:firstLine="405"/>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4" w:lineRule="exact"/>
        <w:rPr>
          <w:sz w:val="20"/>
          <w:szCs w:val="20"/>
          <w:color w:val="auto"/>
        </w:rPr>
      </w:pPr>
    </w:p>
    <w:p>
      <w:pPr>
        <w:ind w:right="300" w:firstLine="405"/>
        <w:spacing w:after="0" w:line="252" w:lineRule="auto"/>
        <w:rPr>
          <w:sz w:val="20"/>
          <w:szCs w:val="20"/>
          <w:color w:val="auto"/>
        </w:rPr>
      </w:pPr>
      <w:r>
        <w:rPr>
          <w:rFonts w:ascii="Arial" w:cs="Arial" w:eastAsia="Arial" w:hAnsi="Arial"/>
          <w:sz w:val="18"/>
          <w:szCs w:val="18"/>
          <w:color w:val="231F20"/>
        </w:rPr>
        <w:t>We compete with large and small public companies, such as Barracuda Networks, Inc., Hewlett-Packard Company, Imperva, Inc., International Business Machines Corporation, Symantec Corporation, and Rapid7, Inc., as well as privately held security providers including BeyondTrust Software, Inc., Tripwire, Inc., NetIQ Corporation,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231F20"/>
        </w:rPr>
        <w:t>further expand their presence in the IT security and compliance market and compete more directly against one or more of our solutions.</w:t>
      </w:r>
    </w:p>
    <w:p>
      <w:pPr>
        <w:spacing w:after="0" w:line="225" w:lineRule="exact"/>
        <w:rPr>
          <w:sz w:val="20"/>
          <w:szCs w:val="20"/>
          <w:color w:val="auto"/>
        </w:rPr>
      </w:pPr>
    </w:p>
    <w:p>
      <w:pPr>
        <w:jc w:val="both"/>
        <w:ind w:right="560" w:firstLine="405"/>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94" w:lineRule="exact"/>
        <w:rPr>
          <w:sz w:val="20"/>
          <w:szCs w:val="20"/>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420" w:firstLine="405"/>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2"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41" w:right="25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maintain profitability in the future.</w:t>
      </w:r>
    </w:p>
    <w:p>
      <w:pPr>
        <w:spacing w:after="0" w:line="247"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 and Japanese Yen,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achieve profitability.</w:t>
      </w:r>
    </w:p>
    <w:p>
      <w:pPr>
        <w:spacing w:after="0" w:line="19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213" w:lineRule="exact"/>
        <w:rPr>
          <w:sz w:val="20"/>
          <w:szCs w:val="20"/>
          <w:color w:val="auto"/>
        </w:rPr>
      </w:pPr>
    </w:p>
    <w:p>
      <w:pPr>
        <w:ind w:right="400" w:firstLine="405"/>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840" w:firstLine="405"/>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8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12" w:lineRule="exact"/>
        <w:rPr>
          <w:sz w:val="20"/>
          <w:szCs w:val="20"/>
          <w:color w:val="auto"/>
        </w:rPr>
      </w:pPr>
    </w:p>
    <w:p>
      <w:pPr>
        <w:ind w:right="180" w:firstLine="405"/>
        <w:spacing w:after="0" w:line="252"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231F20"/>
        </w:rPr>
        <w:t>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202"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especially in the San Francisco Bay Area, one of the locations in which we have a substantial presence and need for highly skilled personnel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91"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9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right="2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41" w:right="25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21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In addition, approximately 44% of our employees are located outside of the United States, with a significant number of these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ind w:right="280" w:firstLine="405"/>
        <w:spacing w:after="0" w:line="250"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w:t>
      </w:r>
    </w:p>
    <w:p>
      <w:pPr>
        <w:spacing w:after="0" w:line="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231F20"/>
        </w:rPr>
        <w:t>our customers and potential customers of the value of our solutions even in light of new technologies, our business could be harmed and our revenues may decline.</w:t>
      </w:r>
    </w:p>
    <w:p>
      <w:pPr>
        <w:spacing w:after="0" w:line="17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significant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 xml:space="preserve">We have experienced significant growth over the last several years. From 2013 to 2015, our revenues have grown from </w:t>
      </w:r>
      <w:r>
        <w:rPr>
          <w:rFonts w:ascii="Arial" w:cs="Arial" w:eastAsia="Arial" w:hAnsi="Arial"/>
          <w:sz w:val="18"/>
          <w:szCs w:val="18"/>
          <w:color w:val="000000"/>
        </w:rPr>
        <w:t>$108.0 million</w:t>
      </w:r>
      <w:r>
        <w:rPr>
          <w:rFonts w:ascii="Arial" w:cs="Arial" w:eastAsia="Arial" w:hAnsi="Arial"/>
          <w:sz w:val="18"/>
          <w:szCs w:val="18"/>
          <w:color w:val="231F20"/>
        </w:rPr>
        <w:t xml:space="preserve"> to </w:t>
      </w:r>
      <w:r>
        <w:rPr>
          <w:rFonts w:ascii="Arial" w:cs="Arial" w:eastAsia="Arial" w:hAnsi="Arial"/>
          <w:sz w:val="18"/>
          <w:szCs w:val="18"/>
          <w:color w:val="000000"/>
        </w:rPr>
        <w:t>$164.3 million</w:t>
      </w:r>
      <w:r>
        <w:rPr>
          <w:rFonts w:ascii="Arial" w:cs="Arial" w:eastAsia="Arial" w:hAnsi="Arial"/>
          <w:sz w:val="18"/>
          <w:szCs w:val="18"/>
          <w:color w:val="231F20"/>
        </w:rPr>
        <w:t>, and our headcount increased from 359 employees at the beginning of 2013 to 540 employees at March 31, 2016. We rely on</w:t>
      </w:r>
      <w:r>
        <w:rPr>
          <w:rFonts w:ascii="Arial" w:cs="Arial" w:eastAsia="Arial" w:hAnsi="Arial"/>
          <w:sz w:val="18"/>
          <w:szCs w:val="18"/>
          <w:color w:val="000000"/>
        </w:rPr>
        <w:t xml:space="preserve"> </w:t>
      </w:r>
      <w:r>
        <w:rPr>
          <w:rFonts w:ascii="Arial" w:cs="Arial" w:eastAsia="Arial" w:hAnsi="Arial"/>
          <w:sz w:val="18"/>
          <w:szCs w:val="18"/>
          <w:color w:val="231F20"/>
        </w:rPr>
        <w:t>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9"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231F20"/>
        </w:rPr>
        <w:t>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Our success significantly depends upon establishing and maintaining relationships with a variety of channel partners and we anticipate that we will continue to depend on these partners in order to grow our business. For the three months ended March 31, 2016, we derived approximately 41%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211"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8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41" w:right="2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231F20"/>
        </w:rPr>
        <w:t>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06"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licenses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7" w:lineRule="exact"/>
        <w:rPr>
          <w:sz w:val="20"/>
          <w:szCs w:val="20"/>
          <w:color w:val="auto"/>
        </w:rPr>
      </w:pPr>
    </w:p>
    <w:p>
      <w:pPr>
        <w:ind w:right="320" w:firstLine="405"/>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8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Our reporting currency is the U.S. dollar and we generate a majority of our revenues in U.S. dollars. However, for three months ended March 31, 2016, we incurred approximately 19% of our expenses outside of the United States in foreign currencies, primarily Euros, British Pounds, and Indian Rupee, principally with respect to salaries and related personnel expenses associated with our European and Indian operations. Additionally, for three months ended March 31, 2016, approximately 16%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 British Pound and Indian Rupee. The results of our operations may be adversely affected by foreign exchange fluctuations.</w:t>
      </w:r>
    </w:p>
    <w:p>
      <w:pPr>
        <w:spacing w:after="0" w:line="212"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180" w:firstLine="405"/>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6" w:lineRule="exact"/>
        <w:rPr>
          <w:sz w:val="20"/>
          <w:szCs w:val="20"/>
          <w:color w:val="auto"/>
        </w:rPr>
      </w:pPr>
    </w:p>
    <w:p>
      <w:pPr>
        <w:ind w:firstLine="392"/>
        <w:spacing w:after="0" w:line="254" w:lineRule="auto"/>
        <w:rPr>
          <w:sz w:val="20"/>
          <w:szCs w:val="20"/>
          <w:color w:val="auto"/>
        </w:rPr>
      </w:pPr>
      <w:r>
        <w:rPr>
          <w:rFonts w:ascii="Arial" w:cs="Arial" w:eastAsia="Arial" w:hAnsi="Arial"/>
          <w:sz w:val="18"/>
          <w:szCs w:val="18"/>
          <w:color w:val="231F20"/>
        </w:rPr>
        <w:t>We have four issued patents and several pending U.S. patent applications, and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41" w:right="25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60" w:firstLine="392"/>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206"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8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206"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right="360"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41" w:right="27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 skilled personnel and we may not be able to compete for these employees.</w:t>
      </w:r>
    </w:p>
    <w:p>
      <w:pPr>
        <w:spacing w:after="0" w:line="206"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41" w:right="25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9"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 xml:space="preserve">Our solutions are subject to U.S. export controls, </w:t>
      </w:r>
      <w:r>
        <w:rPr>
          <w:rFonts w:ascii="Arial" w:cs="Arial" w:eastAsia="Arial" w:hAnsi="Arial"/>
          <w:sz w:val="18"/>
          <w:szCs w:val="18"/>
          <w:color w:val="000000"/>
        </w:rPr>
        <w:t>specifically, the Export Administration Regulations and economic sanctions enforced by</w:t>
      </w:r>
      <w:r>
        <w:rPr>
          <w:rFonts w:ascii="Arial" w:cs="Arial" w:eastAsia="Arial" w:hAnsi="Arial"/>
          <w:sz w:val="18"/>
          <w:szCs w:val="18"/>
          <w:color w:val="231F20"/>
        </w:rPr>
        <w:t xml:space="preserve"> </w:t>
      </w:r>
      <w:r>
        <w:rPr>
          <w:rFonts w:ascii="Arial" w:cs="Arial" w:eastAsia="Arial" w:hAnsi="Arial"/>
          <w:sz w:val="18"/>
          <w:szCs w:val="18"/>
          <w:color w:val="000000"/>
        </w:rPr>
        <w:t xml:space="preserve">the Office of Foreign Assets Control. </w:t>
      </w:r>
      <w:r>
        <w:rPr>
          <w:rFonts w:ascii="Arial" w:cs="Arial" w:eastAsia="Arial" w:hAnsi="Arial"/>
          <w:sz w:val="18"/>
          <w:szCs w:val="18"/>
          <w:color w:val="231F20"/>
        </w:rPr>
        <w:t>We incorporate encryption technology into certain of our solutions. These encryption solutions and the</w:t>
      </w:r>
      <w:r>
        <w:rPr>
          <w:rFonts w:ascii="Arial" w:cs="Arial" w:eastAsia="Arial" w:hAnsi="Arial"/>
          <w:sz w:val="18"/>
          <w:szCs w:val="18"/>
          <w:color w:val="000000"/>
        </w:rPr>
        <w:t xml:space="preserve"> </w:t>
      </w:r>
      <w:r>
        <w:rPr>
          <w:rFonts w:ascii="Arial" w:cs="Arial" w:eastAsia="Arial" w:hAnsi="Arial"/>
          <w:sz w:val="18"/>
          <w:szCs w:val="18"/>
          <w:color w:val="231F20"/>
        </w:rPr>
        <w:t>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The environment for acquisitions in our industry is very competitive and acquisition candidate purchase prices will likely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w:t>
      </w:r>
      <w:r>
        <w:rPr>
          <w:rFonts w:ascii="Arial" w:cs="Arial" w:eastAsia="Arial" w:hAnsi="Arial"/>
          <w:sz w:val="18"/>
          <w:szCs w:val="18"/>
          <w:color w:val="231F20"/>
        </w:rPr>
        <w:t xml:space="preserve"> </w:t>
      </w:r>
      <w:r>
        <w:rPr>
          <w:rFonts w:ascii="Arial" w:cs="Arial" w:eastAsia="Arial" w:hAnsi="Arial"/>
          <w:sz w:val="18"/>
          <w:szCs w:val="18"/>
          <w:color w:val="000000"/>
        </w:rPr>
        <w:t xml:space="preserve">acquisitions, such acquisitions may still be viewed negatively by customers, financial markets or investors. </w:t>
      </w:r>
      <w:r>
        <w:rPr>
          <w:rFonts w:ascii="Arial" w:cs="Arial" w:eastAsia="Arial" w:hAnsi="Arial"/>
          <w:sz w:val="18"/>
          <w:szCs w:val="18"/>
          <w:color w:val="231F20"/>
        </w:rPr>
        <w:t>The acquisition and integration</w:t>
      </w:r>
      <w:r>
        <w:rPr>
          <w:rFonts w:ascii="Arial" w:cs="Arial" w:eastAsia="Arial" w:hAnsi="Arial"/>
          <w:sz w:val="18"/>
          <w:szCs w:val="18"/>
          <w:color w:val="000000"/>
        </w:rPr>
        <w:t xml:space="preserve"> </w:t>
      </w:r>
      <w:r>
        <w:rPr>
          <w:rFonts w:ascii="Arial" w:cs="Arial" w:eastAsia="Arial" w:hAnsi="Arial"/>
          <w:sz w:val="18"/>
          <w:szCs w:val="18"/>
          <w:color w:val="231F20"/>
        </w:rPr>
        <w:t xml:space="preserve">process is complex, expensive and time-consuming, and may cause an interruption of, or loss of momentum in, product development and sales activities and operations of both companies </w:t>
      </w:r>
      <w:r>
        <w:rPr>
          <w:rFonts w:ascii="Arial" w:cs="Arial" w:eastAsia="Arial" w:hAnsi="Arial"/>
          <w:sz w:val="18"/>
          <w:szCs w:val="18"/>
          <w:color w:val="000000"/>
        </w:rPr>
        <w:t>and we may incur substantial cost and expense, as well as divert the attention of management. We</w:t>
      </w:r>
      <w:r>
        <w:rPr>
          <w:rFonts w:ascii="Arial" w:cs="Arial" w:eastAsia="Arial" w:hAnsi="Arial"/>
          <w:sz w:val="18"/>
          <w:szCs w:val="18"/>
          <w:color w:val="231F20"/>
        </w:rPr>
        <w:t xml:space="preserve"> </w:t>
      </w:r>
      <w:r>
        <w:rPr>
          <w:rFonts w:ascii="Arial" w:cs="Arial" w:eastAsia="Arial" w:hAnsi="Arial"/>
          <w:sz w:val="18"/>
          <w:szCs w:val="18"/>
          <w:color w:val="000000"/>
        </w:rPr>
        <w:t>may issue equity securities which could dilute current stockholders’ ownership, incur debt, assume contingent or other liabilities and expend cash in acquisitions, which could negatively impact our financial position, stockholder</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equity and stock price. </w:t>
      </w:r>
      <w:r>
        <w:rPr>
          <w:rFonts w:ascii="Arial" w:cs="Arial" w:eastAsia="Arial" w:hAnsi="Arial"/>
          <w:sz w:val="18"/>
          <w:szCs w:val="18"/>
          <w:color w:val="231F20"/>
        </w:rPr>
        <w:t>We may not find suitable acquisition candidates, and acquisitions we complete may be unsuccessful. If we consummate</w:t>
      </w:r>
      <w:r>
        <w:rPr>
          <w:rFonts w:ascii="Arial" w:cs="Arial" w:eastAsia="Arial" w:hAnsi="Arial"/>
          <w:sz w:val="18"/>
          <w:szCs w:val="18"/>
          <w:color w:val="auto"/>
        </w:rPr>
        <w:t xml:space="preserve"> </w:t>
      </w:r>
      <w:r>
        <w:rPr>
          <w:rFonts w:ascii="Arial" w:cs="Arial" w:eastAsia="Arial" w:hAnsi="Arial"/>
          <w:sz w:val="18"/>
          <w:szCs w:val="18"/>
          <w:color w:val="231F20"/>
        </w:rPr>
        <w:t>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8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and fair value measurement.</w:t>
      </w:r>
    </w:p>
    <w:p>
      <w:pPr>
        <w:spacing w:after="0" w:line="19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w:t>
      </w:r>
      <w:r>
        <w:rPr>
          <w:rFonts w:ascii="Arial" w:cs="Arial" w:eastAsia="Arial" w:hAnsi="Arial"/>
          <w:sz w:val="18"/>
          <w:szCs w:val="18"/>
          <w:color w:val="000000"/>
        </w:rPr>
        <w:t>reported results and may even retroactively affect</w:t>
      </w:r>
      <w:r>
        <w:rPr>
          <w:rFonts w:ascii="Arial" w:cs="Arial" w:eastAsia="Arial" w:hAnsi="Arial"/>
          <w:sz w:val="18"/>
          <w:szCs w:val="18"/>
          <w:color w:val="231F20"/>
        </w:rPr>
        <w:t xml:space="preserve"> </w:t>
      </w:r>
      <w:r>
        <w:rPr>
          <w:rFonts w:ascii="Arial" w:cs="Arial" w:eastAsia="Arial" w:hAnsi="Arial"/>
          <w:sz w:val="18"/>
          <w:szCs w:val="18"/>
          <w:color w:val="000000"/>
        </w:rPr>
        <w:t xml:space="preserve">previously reported transactions. </w:t>
      </w:r>
      <w:r>
        <w:rPr>
          <w:rFonts w:ascii="Arial" w:cs="Arial" w:eastAsia="Arial" w:hAnsi="Arial"/>
          <w:sz w:val="18"/>
          <w:szCs w:val="18"/>
          <w:color w:val="231F20"/>
        </w:rPr>
        <w:t>New accounting pronouncements and varying interpretations of accounting pronouncements have occurred</w:t>
      </w:r>
      <w:r>
        <w:rPr>
          <w:rFonts w:ascii="Arial" w:cs="Arial" w:eastAsia="Arial" w:hAnsi="Arial"/>
          <w:sz w:val="18"/>
          <w:szCs w:val="18"/>
          <w:color w:val="000000"/>
        </w:rPr>
        <w:t xml:space="preserve"> </w:t>
      </w:r>
      <w:r>
        <w:rPr>
          <w:rFonts w:ascii="Arial" w:cs="Arial" w:eastAsia="Arial" w:hAnsi="Arial"/>
          <w:sz w:val="18"/>
          <w:szCs w:val="18"/>
          <w:color w:val="231F20"/>
        </w:rPr>
        <w:t xml:space="preserve">and may occur in the future. Changes to existing rules or the questioning of current practices may harm our operating results, </w:t>
      </w:r>
      <w:r>
        <w:rPr>
          <w:rFonts w:ascii="Arial" w:cs="Arial" w:eastAsia="Arial" w:hAnsi="Arial"/>
          <w:sz w:val="18"/>
          <w:szCs w:val="18"/>
          <w:color w:val="000000"/>
        </w:rPr>
        <w:t>require that we</w:t>
      </w:r>
      <w:r>
        <w:rPr>
          <w:rFonts w:ascii="Arial" w:cs="Arial" w:eastAsia="Arial" w:hAnsi="Arial"/>
          <w:sz w:val="18"/>
          <w:szCs w:val="18"/>
          <w:color w:val="231F20"/>
        </w:rPr>
        <w:t xml:space="preserve"> </w:t>
      </w:r>
      <w:r>
        <w:rPr>
          <w:rFonts w:ascii="Arial" w:cs="Arial" w:eastAsia="Arial" w:hAnsi="Arial"/>
          <w:sz w:val="18"/>
          <w:szCs w:val="18"/>
          <w:color w:val="000000"/>
        </w:rPr>
        <w:t xml:space="preserve">make significant changes to our systems, processes and controls </w:t>
      </w:r>
      <w:r>
        <w:rPr>
          <w:rFonts w:ascii="Arial" w:cs="Arial" w:eastAsia="Arial" w:hAnsi="Arial"/>
          <w:sz w:val="18"/>
          <w:szCs w:val="18"/>
          <w:color w:val="231F20"/>
        </w:rPr>
        <w:t>or the way we conduct our business.</w:t>
      </w:r>
    </w:p>
    <w:p>
      <w:pPr>
        <w:spacing w:after="0" w:line="187" w:lineRule="exact"/>
        <w:rPr>
          <w:sz w:val="20"/>
          <w:szCs w:val="20"/>
          <w:color w:val="auto"/>
        </w:rPr>
      </w:pPr>
    </w:p>
    <w:p>
      <w:pPr>
        <w:jc w:val="both"/>
        <w:ind w:right="220"/>
        <w:spacing w:after="0" w:line="269" w:lineRule="auto"/>
        <w:rPr>
          <w:sz w:val="20"/>
          <w:szCs w:val="20"/>
          <w:color w:val="auto"/>
        </w:rPr>
      </w:pPr>
      <w:r>
        <w:rPr>
          <w:rFonts w:ascii="Arial" w:cs="Arial" w:eastAsia="Arial" w:hAnsi="Arial"/>
          <w:sz w:val="18"/>
          <w:szCs w:val="18"/>
          <w:b w:val="1"/>
          <w:bCs w:val="1"/>
          <w:i w:val="1"/>
          <w:iCs w:val="1"/>
          <w:color w:val="231F20"/>
        </w:rPr>
        <w:t>Because we expense commissions associated with sales of our solutions immediately upon receipt of a subscription order from a customer and generally recognize the revenues associated with such sale over the term of the agreement, our operating income in any period may not be indicative of our financial health and future performance.</w:t>
      </w:r>
    </w:p>
    <w:p>
      <w:pPr>
        <w:spacing w:after="0" w:line="190"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We expense commissions paid to our sales personnel in the quarter in which the related order is received. In contrast, we generally recognize the revenues associated with a sale of our solutions ratably over the term of the subscription, which is typically one year. Although we believe increased sales is a positive indicator of the long-term health of our business, increased sales would increase our operating expenses and decrease net income in any particular period. Thus, we may report poor operating results due to higher sales commissions in a period in which we experience strong sales of our solutions. Alternatively, we may report better operating results due to the reduction of sales commissions in a period in which we experience a slowdown in sales. Therefore, you should not rely on our operating results during any one quarter as an indication of our financial health and future performance.</w:t>
      </w:r>
    </w:p>
    <w:p>
      <w:pPr>
        <w:spacing w:after="0" w:line="18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7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41" w:right="25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231F20"/>
        </w:rPr>
        <w:t>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80"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 We could be subject to additional taxes.</w:t>
      </w:r>
    </w:p>
    <w:p>
      <w:pPr>
        <w:spacing w:after="0" w:line="17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 xml:space="preserve">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and the valuation of deferred tax assets and liabilities, including our ability to utilize our federal net operating losses, which were </w:t>
      </w:r>
      <w:r>
        <w:rPr>
          <w:rFonts w:ascii="Arial" w:cs="Arial" w:eastAsia="Arial" w:hAnsi="Arial"/>
          <w:sz w:val="18"/>
          <w:szCs w:val="18"/>
          <w:color w:val="000000"/>
        </w:rPr>
        <w:t>$35.6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2015</w:t>
      </w:r>
      <w:r>
        <w:rPr>
          <w:rFonts w:ascii="Arial" w:cs="Arial" w:eastAsia="Arial" w:hAnsi="Arial"/>
          <w:sz w:val="18"/>
          <w:szCs w:val="18"/>
          <w:color w:val="231F20"/>
        </w:rPr>
        <w:t>. Increases in our effective tax rate could harm our operating results.</w:t>
      </w:r>
    </w:p>
    <w:p>
      <w:pPr>
        <w:spacing w:after="0" w:line="206"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Additionally, </w:t>
      </w:r>
      <w:r>
        <w:rPr>
          <w:rFonts w:ascii="Arial" w:cs="Arial" w:eastAsia="Arial" w:hAnsi="Arial"/>
          <w:sz w:val="18"/>
          <w:szCs w:val="18"/>
          <w:color w:val="000000"/>
        </w:rPr>
        <w:t>significant judgment is required in evaluating our tax positions and our worldwide provision for taxes. During the ordinary</w:t>
      </w:r>
      <w:r>
        <w:rPr>
          <w:rFonts w:ascii="Arial" w:cs="Arial" w:eastAsia="Arial" w:hAnsi="Arial"/>
          <w:sz w:val="18"/>
          <w:szCs w:val="18"/>
          <w:color w:val="231F20"/>
        </w:rPr>
        <w:t xml:space="preserve"> </w:t>
      </w:r>
      <w:r>
        <w:rPr>
          <w:rFonts w:ascii="Arial" w:cs="Arial" w:eastAsia="Arial" w:hAnsi="Arial"/>
          <w:sz w:val="18"/>
          <w:szCs w:val="18"/>
          <w:color w:val="000000"/>
        </w:rPr>
        <w:t>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9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90"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additional internal controls and procedures and hiring accounting or internal audit staff.</w:t>
      </w:r>
    </w:p>
    <w:p>
      <w:pPr>
        <w:spacing w:after="0" w:line="204"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231F20"/>
        </w:rPr>
        <w:t xml:space="preserve">Our </w:t>
      </w:r>
      <w:r>
        <w:rPr>
          <w:rFonts w:ascii="Arial" w:cs="Arial" w:eastAsia="Arial" w:hAnsi="Arial"/>
          <w:sz w:val="18"/>
          <w:szCs w:val="18"/>
          <w:color w:val="000000"/>
        </w:rPr>
        <w:t>internal control over financial reporting is a process designed to provide reasonable assurance regarding the reliability of financial</w:t>
      </w:r>
      <w:r>
        <w:rPr>
          <w:rFonts w:ascii="Arial" w:cs="Arial" w:eastAsia="Arial" w:hAnsi="Arial"/>
          <w:sz w:val="18"/>
          <w:szCs w:val="18"/>
          <w:color w:val="231F20"/>
        </w:rPr>
        <w:t xml:space="preserve"> </w:t>
      </w:r>
      <w:r>
        <w:rPr>
          <w:rFonts w:ascii="Arial" w:cs="Arial" w:eastAsia="Arial" w:hAnsi="Arial"/>
          <w:sz w:val="18"/>
          <w:szCs w:val="18"/>
          <w:color w:val="000000"/>
        </w:rPr>
        <w:t xml:space="preserve">reporting and the preparation of financial statements in accordance with GAAP. Our </w:t>
      </w:r>
      <w:r>
        <w:rPr>
          <w:rFonts w:ascii="Arial" w:cs="Arial" w:eastAsia="Arial" w:hAnsi="Arial"/>
          <w:sz w:val="18"/>
          <w:szCs w:val="18"/>
          <w:color w:val="231F20"/>
        </w:rPr>
        <w:t>current controls and any new controls that we develop may</w:t>
      </w:r>
      <w:r>
        <w:rPr>
          <w:rFonts w:ascii="Arial" w:cs="Arial" w:eastAsia="Arial" w:hAnsi="Arial"/>
          <w:sz w:val="18"/>
          <w:szCs w:val="18"/>
          <w:color w:val="000000"/>
        </w:rPr>
        <w:t xml:space="preserve"> </w:t>
      </w:r>
      <w:r>
        <w:rPr>
          <w:rFonts w:ascii="Arial" w:cs="Arial" w:eastAsia="Arial" w:hAnsi="Arial"/>
          <w:sz w:val="18"/>
          <w:szCs w:val="18"/>
          <w:color w:val="231F20"/>
        </w:rPr>
        <w:t>become inadequate because of changes in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231F20"/>
        </w:rPr>
        <w:t>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In the event that our internal control over financial reporting is perceived as inadequate or that we are unable to produce timely or accurate financial statements, investors may lose confidence in our operating results and our stock price could decline. In addition, if we are unable to continue to meet these requirements, we may not be able to remain listed on the NASDAQ Stock Market.</w:t>
      </w:r>
    </w:p>
    <w:p>
      <w:pPr>
        <w:spacing w:after="0" w:line="20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As a public company, we are required to comply with certain of these rules, which require management to certify financial and other information in this Quarterly Report on Form 10-Q and other quarterly and annual reports and provide an annual management report on the effectiveness of our internal control over financial reporting and our independent registered public accounting firm is required to formally attest to the effectiveness of our internal control over financial reporting. It is possible that in the future our independent registered public accounting firm may issue a report that is adverse in the event it is not satisfied with the level at which our controls are documented, designed or operating. Our remediation efforts may not enable us to avoid a material weakness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88" w:lineRule="exact"/>
        <w:rPr>
          <w:sz w:val="20"/>
          <w:szCs w:val="20"/>
          <w:color w:val="auto"/>
        </w:rPr>
      </w:pPr>
    </w:p>
    <w:p>
      <w:pPr>
        <w:ind w:left="660" w:right="72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333"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247" w:lineRule="exact"/>
        <w:rPr>
          <w:sz w:val="20"/>
          <w:szCs w:val="20"/>
          <w:color w:val="auto"/>
        </w:rPr>
      </w:pPr>
    </w:p>
    <w:p>
      <w:pPr>
        <w:jc w:val="both"/>
        <w:ind w:right="40" w:firstLine="405"/>
        <w:spacing w:after="0" w:line="256"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41" w:right="25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231F20"/>
        </w:rPr>
        <w:t>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20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207"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04"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Quarterly Report on Form 10-Q could result in the actual operating results being different from our guidance, and the differences may be adverse and material.</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As of March 31, 2016, our executive officers, directors and holders of 10% or more of our outstanding common stock beneficially own, in the aggregate, approximately 37%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These persons also have significant ability to control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March 31, 2016, we had approximately 34.9 million shares of our common stock outstanding. Certain holders of shares of common stock have rights, subject to some conditions, to require us to file registration statements covering their shares or to include these shares in registration statements that we may file for ourselves or other stockholders.</w:t>
      </w:r>
    </w:p>
    <w:p>
      <w:pPr>
        <w:spacing w:after="0" w:line="20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In addition, as of March 31, 2016 we had outstanding options to purchase approximately 7.4 million shares of common stock that, if exercised, will result in these additional shares becoming available for sale. As of March 31, 2016, we had an aggregate of 3.1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41" w:right="25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ind w:left="660" w:right="6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Exhibits</w:t>
      </w:r>
    </w:p>
    <w:p>
      <w:pPr>
        <w:spacing w:after="0" w:line="315"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231F20"/>
        </w:rPr>
        <w:t>See the Exhibit Index on the page immediately preceding the exhibits for a list of exhibits filed as part of this Quarterly Report on Form 10-Q, which Exhibit Index is incorporated herein by reference.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41" w:right="25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88" w:lineRule="exact"/>
        <w:rPr>
          <w:sz w:val="20"/>
          <w:szCs w:val="20"/>
          <w:color w:val="auto"/>
        </w:rPr>
      </w:pPr>
    </w:p>
    <w:p>
      <w:pPr>
        <w:ind w:left="80" w:firstLine="432"/>
        <w:spacing w:after="0" w:line="26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Redwood City, State of California on May 5, 2016.</w:t>
      </w:r>
    </w:p>
    <w:p>
      <w:pPr>
        <w:spacing w:after="0" w:line="120"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4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ind w:left="7740"/>
        <w:spacing w:after="0"/>
        <w:rPr>
          <w:sz w:val="20"/>
          <w:szCs w:val="20"/>
          <w:color w:val="auto"/>
        </w:rPr>
      </w:pPr>
      <w:r>
        <w:rPr>
          <w:rFonts w:ascii="Arial" w:cs="Arial" w:eastAsia="Arial" w:hAnsi="Arial"/>
          <w:sz w:val="18"/>
          <w:szCs w:val="18"/>
          <w:color w:val="auto"/>
        </w:rPr>
        <w:t>Executive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Melissa B. Fisher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41" w:right="2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4"/>
        </w:trPr>
        <w:tc>
          <w:tcPr>
            <w:tcW w:w="1880" w:type="dxa"/>
            <w:vAlign w:val="bottom"/>
            <w:gridSpan w:val="4"/>
          </w:tcPr>
          <w:p>
            <w:pPr>
              <w:jc w:val="center"/>
              <w:ind w:right="620"/>
              <w:spacing w:after="0"/>
              <w:rPr>
                <w:rFonts w:ascii="Arial" w:cs="Arial" w:eastAsia="Arial" w:hAnsi="Arial"/>
                <w:sz w:val="16"/>
                <w:szCs w:val="16"/>
                <w:color w:val="0000EE"/>
                <w:w w:val="99"/>
              </w:rPr>
            </w:pPr>
            <w:hyperlink w:anchor="page2">
              <w:r>
                <w:rPr>
                  <w:rFonts w:ascii="Arial" w:cs="Arial" w:eastAsia="Arial" w:hAnsi="Arial"/>
                  <w:sz w:val="16"/>
                  <w:szCs w:val="16"/>
                  <w:color w:val="0000EE"/>
                  <w:w w:val="99"/>
                </w:rPr>
                <w:t>Table of Contents</w:t>
              </w:r>
            </w:hyperlink>
          </w:p>
        </w:tc>
        <w:tc>
          <w:tcPr>
            <w:tcW w:w="8460" w:type="dxa"/>
            <w:vAlign w:val="bottom"/>
          </w:tcPr>
          <w:p>
            <w:pPr>
              <w:spacing w:after="0"/>
              <w:rPr>
                <w:sz w:val="16"/>
                <w:szCs w:val="16"/>
                <w:color w:val="auto"/>
              </w:rPr>
            </w:pPr>
          </w:p>
        </w:tc>
      </w:tr>
      <w:tr>
        <w:trPr>
          <w:trHeight w:val="466"/>
        </w:trPr>
        <w:tc>
          <w:tcPr>
            <w:tcW w:w="3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880" w:type="dxa"/>
            <w:vAlign w:val="bottom"/>
            <w:gridSpan w:val="4"/>
          </w:tcPr>
          <w:p>
            <w:pPr>
              <w:ind w:left="280"/>
              <w:spacing w:after="0"/>
              <w:rPr>
                <w:sz w:val="20"/>
                <w:szCs w:val="20"/>
                <w:color w:val="auto"/>
              </w:rPr>
            </w:pPr>
            <w:r>
              <w:rPr>
                <w:rFonts w:ascii="Arial" w:cs="Arial" w:eastAsia="Arial" w:hAnsi="Arial"/>
                <w:sz w:val="18"/>
                <w:szCs w:val="18"/>
                <w:color w:val="auto"/>
              </w:rPr>
              <w:t>Exhibit Number</w:t>
            </w:r>
          </w:p>
        </w:tc>
        <w:tc>
          <w:tcPr>
            <w:tcW w:w="846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431"/>
        </w:trPr>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231F20"/>
              </w:rPr>
              <w:t>Certification of Chief Executive Officer pursuant to Rule 13a-14(a) or Rule 15d-14(a) of the Securities</w:t>
            </w:r>
          </w:p>
        </w:tc>
      </w:tr>
      <w:tr>
        <w:trPr>
          <w:trHeight w:val="217"/>
        </w:trPr>
        <w:tc>
          <w:tcPr>
            <w:tcW w:w="380" w:type="dxa"/>
            <w:vAlign w:val="bottom"/>
          </w:tcPr>
          <w:p>
            <w:pPr>
              <w:ind w:left="40"/>
              <w:spacing w:after="0"/>
              <w:rPr>
                <w:sz w:val="20"/>
                <w:szCs w:val="20"/>
                <w:color w:val="auto"/>
              </w:rPr>
            </w:pPr>
            <w:r>
              <w:rPr>
                <w:rFonts w:ascii="Arial" w:cs="Arial" w:eastAsia="Arial" w:hAnsi="Arial"/>
                <w:sz w:val="18"/>
                <w:szCs w:val="18"/>
                <w:color w:val="auto"/>
                <w:w w:val="91"/>
              </w:rPr>
              <w:t>31.1</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231F20"/>
              </w:rPr>
              <w:t>Exchange Act of 1934, as adopted pursuant to Section 302 of The Sarbanes-Oxley Act of 2002.</w:t>
            </w:r>
          </w:p>
        </w:tc>
      </w:tr>
      <w:tr>
        <w:trPr>
          <w:trHeight w:val="445"/>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231F20"/>
              </w:rPr>
              <w:t>Certification of Chief Financial Officer pursuant to Rule 13a-14(a) or Rule 15d-14(a) of the Securities</w:t>
            </w:r>
          </w:p>
        </w:tc>
      </w:tr>
      <w:tr>
        <w:trPr>
          <w:trHeight w:val="217"/>
        </w:trPr>
        <w:tc>
          <w:tcPr>
            <w:tcW w:w="380" w:type="dxa"/>
            <w:vAlign w:val="bottom"/>
          </w:tcPr>
          <w:p>
            <w:pPr>
              <w:ind w:left="40"/>
              <w:spacing w:after="0"/>
              <w:rPr>
                <w:sz w:val="20"/>
                <w:szCs w:val="20"/>
                <w:color w:val="auto"/>
              </w:rPr>
            </w:pPr>
            <w:r>
              <w:rPr>
                <w:rFonts w:ascii="Arial" w:cs="Arial" w:eastAsia="Arial" w:hAnsi="Arial"/>
                <w:sz w:val="18"/>
                <w:szCs w:val="18"/>
                <w:color w:val="auto"/>
                <w:w w:val="91"/>
              </w:rPr>
              <w:t>31.2</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231F20"/>
              </w:rPr>
              <w:t>Exchange Act of 1934, as adopted pursuant to Section 302 of The Sarbanes-Oxley Act of 2002.</w:t>
            </w:r>
          </w:p>
        </w:tc>
      </w:tr>
      <w:tr>
        <w:trPr>
          <w:trHeight w:val="445"/>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231F20"/>
              </w:rPr>
              <w:t>Certification of Chief Executive Officer pursuant to Rule 13a-14(b) or Rule 15d-14(b) of the Securities</w:t>
            </w:r>
          </w:p>
        </w:tc>
      </w:tr>
      <w:tr>
        <w:trPr>
          <w:trHeight w:val="203"/>
        </w:trPr>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60" w:type="dxa"/>
            <w:vAlign w:val="bottom"/>
          </w:tcPr>
          <w:p>
            <w:pPr>
              <w:ind w:left="340"/>
              <w:spacing w:after="0" w:line="202" w:lineRule="exact"/>
              <w:rPr>
                <w:sz w:val="20"/>
                <w:szCs w:val="20"/>
                <w:color w:val="auto"/>
              </w:rPr>
            </w:pPr>
            <w:r>
              <w:rPr>
                <w:rFonts w:ascii="Arial" w:cs="Arial" w:eastAsia="Arial" w:hAnsi="Arial"/>
                <w:sz w:val="18"/>
                <w:szCs w:val="18"/>
                <w:color w:val="231F20"/>
              </w:rPr>
              <w:t>Exchange Act of 1934 and 18 U.S.C. Section 1350 as adopted pursuant to Section 906 of The</w:t>
            </w:r>
          </w:p>
        </w:tc>
      </w:tr>
      <w:tr>
        <w:trPr>
          <w:trHeight w:val="21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231F20"/>
              </w:rPr>
              <w:t>Sarbanes-Oxley Act of 2002.</w:t>
            </w:r>
          </w:p>
        </w:tc>
      </w:tr>
      <w:tr>
        <w:trPr>
          <w:trHeight w:val="485"/>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Rule 13a-14(b) or Rule 15d-14(b) of the Securities</w:t>
            </w:r>
          </w:p>
        </w:tc>
      </w:tr>
      <w:tr>
        <w:trPr>
          <w:trHeight w:val="203"/>
        </w:trPr>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60" w:type="dxa"/>
            <w:vAlign w:val="bottom"/>
          </w:tcPr>
          <w:p>
            <w:pPr>
              <w:ind w:left="340"/>
              <w:spacing w:after="0" w:line="202" w:lineRule="exact"/>
              <w:rPr>
                <w:sz w:val="20"/>
                <w:szCs w:val="20"/>
                <w:color w:val="auto"/>
              </w:rPr>
            </w:pPr>
            <w:r>
              <w:rPr>
                <w:rFonts w:ascii="Arial" w:cs="Arial" w:eastAsia="Arial" w:hAnsi="Arial"/>
                <w:sz w:val="18"/>
                <w:szCs w:val="18"/>
                <w:color w:val="auto"/>
              </w:rPr>
              <w:t>Exchange Act of 1934 and 18 U.S.C. Section 1350 as adopted pursuant to Section 906 of The</w:t>
            </w:r>
          </w:p>
        </w:tc>
      </w:tr>
      <w:tr>
        <w:trPr>
          <w:trHeight w:val="21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Sarbanes-Oxley Act of 2002.</w:t>
            </w:r>
          </w:p>
        </w:tc>
      </w:tr>
      <w:tr>
        <w:trPr>
          <w:trHeight w:val="473"/>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1020"/>
              <w:spacing w:after="0"/>
              <w:rPr>
                <w:sz w:val="20"/>
                <w:szCs w:val="20"/>
                <w:color w:val="auto"/>
              </w:rPr>
            </w:pPr>
            <w:r>
              <w:rPr>
                <w:rFonts w:ascii="Arial" w:cs="Arial" w:eastAsia="Arial" w:hAnsi="Arial"/>
                <w:sz w:val="18"/>
                <w:szCs w:val="18"/>
                <w:color w:val="auto"/>
              </w:rPr>
              <w:t>INS^^</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Instance Document</w:t>
            </w:r>
          </w:p>
        </w:tc>
      </w:tr>
      <w:tr>
        <w:trPr>
          <w:trHeight w:val="500"/>
        </w:trPr>
        <w:tc>
          <w:tcPr>
            <w:tcW w:w="1880" w:type="dxa"/>
            <w:vAlign w:val="bottom"/>
            <w:gridSpan w:val="4"/>
          </w:tcPr>
          <w:p>
            <w:pPr>
              <w:ind w:left="40"/>
              <w:spacing w:after="0"/>
              <w:rPr>
                <w:sz w:val="20"/>
                <w:szCs w:val="20"/>
                <w:color w:val="auto"/>
              </w:rPr>
            </w:pPr>
            <w:r>
              <w:rPr>
                <w:rFonts w:ascii="Arial" w:cs="Arial" w:eastAsia="Arial" w:hAnsi="Arial"/>
                <w:sz w:val="18"/>
                <w:szCs w:val="18"/>
                <w:color w:val="auto"/>
              </w:rPr>
              <w:t>101 SCH^^</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Schema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80"/>
              <w:spacing w:after="0"/>
              <w:rPr>
                <w:sz w:val="20"/>
                <w:szCs w:val="20"/>
                <w:color w:val="auto"/>
              </w:rPr>
            </w:pPr>
            <w:r>
              <w:rPr>
                <w:rFonts w:ascii="Arial" w:cs="Arial" w:eastAsia="Arial" w:hAnsi="Arial"/>
                <w:sz w:val="18"/>
                <w:szCs w:val="18"/>
                <w:color w:val="auto"/>
              </w:rPr>
              <w:t>CAL^^</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Calculation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60"/>
              <w:spacing w:after="0"/>
              <w:rPr>
                <w:sz w:val="20"/>
                <w:szCs w:val="20"/>
                <w:color w:val="auto"/>
              </w:rPr>
            </w:pPr>
            <w:r>
              <w:rPr>
                <w:rFonts w:ascii="Arial" w:cs="Arial" w:eastAsia="Arial" w:hAnsi="Arial"/>
                <w:sz w:val="18"/>
                <w:szCs w:val="18"/>
                <w:color w:val="auto"/>
              </w:rPr>
              <w:t>DEF^^</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Definition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80"/>
              <w:spacing w:after="0"/>
              <w:rPr>
                <w:sz w:val="20"/>
                <w:szCs w:val="20"/>
                <w:color w:val="auto"/>
              </w:rPr>
            </w:pPr>
            <w:r>
              <w:rPr>
                <w:rFonts w:ascii="Arial" w:cs="Arial" w:eastAsia="Arial" w:hAnsi="Arial"/>
                <w:sz w:val="18"/>
                <w:szCs w:val="18"/>
                <w:color w:val="auto"/>
              </w:rPr>
              <w:t>LAB^^</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Labels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60"/>
              <w:spacing w:after="0"/>
              <w:rPr>
                <w:sz w:val="20"/>
                <w:szCs w:val="20"/>
                <w:color w:val="auto"/>
              </w:rPr>
            </w:pPr>
            <w:r>
              <w:rPr>
                <w:rFonts w:ascii="Arial" w:cs="Arial" w:eastAsia="Arial" w:hAnsi="Arial"/>
                <w:sz w:val="18"/>
                <w:szCs w:val="18"/>
                <w:color w:val="auto"/>
              </w:rPr>
              <w:t>PRE^^</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Presentation Linkbase Document.</w:t>
            </w:r>
          </w:p>
        </w:tc>
      </w:tr>
    </w:tbl>
    <w:p>
      <w:pPr>
        <w:spacing w:after="0" w:line="200" w:lineRule="exact"/>
        <w:rPr>
          <w:sz w:val="20"/>
          <w:szCs w:val="20"/>
          <w:color w:val="auto"/>
        </w:rPr>
      </w:pPr>
    </w:p>
    <w:p>
      <w:pPr>
        <w:spacing w:after="0" w:line="285" w:lineRule="exact"/>
        <w:rPr>
          <w:sz w:val="20"/>
          <w:szCs w:val="20"/>
          <w:color w:val="auto"/>
        </w:rPr>
      </w:pPr>
    </w:p>
    <w:p>
      <w:pPr>
        <w:ind w:left="500" w:right="120" w:hanging="492"/>
        <w:spacing w:after="0" w:line="253" w:lineRule="auto"/>
        <w:tabs>
          <w:tab w:leader="none" w:pos="5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19" w:lineRule="exact"/>
        <w:rPr>
          <w:sz w:val="20"/>
          <w:szCs w:val="20"/>
          <w:color w:val="auto"/>
        </w:rPr>
      </w:pPr>
    </w:p>
    <w:p>
      <w:pPr>
        <w:ind w:left="500" w:hanging="492"/>
        <w:spacing w:after="0" w:line="302" w:lineRule="auto"/>
        <w:tabs>
          <w:tab w:leader="none" w:pos="500" w:val="left"/>
        </w:tabs>
        <w:numPr>
          <w:ilvl w:val="0"/>
          <w:numId w:val="17"/>
        </w:numPr>
        <w:rPr>
          <w:rFonts w:ascii="Arial" w:cs="Arial" w:eastAsia="Arial" w:hAnsi="Arial"/>
          <w:sz w:val="20"/>
          <w:szCs w:val="20"/>
          <w:color w:val="auto"/>
        </w:rPr>
      </w:pPr>
      <w:r>
        <w:rPr>
          <w:rFonts w:ascii="Arial" w:cs="Arial" w:eastAsia="Arial" w:hAnsi="Arial"/>
          <w:sz w:val="18"/>
          <w:szCs w:val="18"/>
          <w:color w:val="231F20"/>
        </w:rPr>
        <w:t>Pursuant to Rule 406T of Regulation S-T, the Interactive Data Files on Exhibit 101 hereto are deemed not “filed” for purposes of Sections 11 or 12 of the Securities Act are deemed not filed for purposes of Section 18 of the Exchange Act, and otherwise are not subject to liability under those Sections.</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18" w:right="27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3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4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5, 2016</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Melissa B. Fisher,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3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4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May 5, 2016</w:t>
      </w:r>
    </w:p>
    <w:p>
      <w:pPr>
        <w:spacing w:after="0" w:line="2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332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32" w:lineRule="exact"/>
        <w:rPr>
          <w:sz w:val="20"/>
          <w:szCs w:val="20"/>
          <w:color w:val="auto"/>
        </w:rPr>
      </w:pPr>
    </w:p>
    <w:p>
      <w:pPr>
        <w:jc w:val="center"/>
        <w:ind w:left="260" w:right="2400"/>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March 31, 2016,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50" w:lineRule="exact"/>
        <w:rPr>
          <w:sz w:val="20"/>
          <w:szCs w:val="20"/>
          <w:color w:val="auto"/>
        </w:rPr>
      </w:pPr>
    </w:p>
    <w:p>
      <w:pPr>
        <w:ind w:left="780" w:hanging="272"/>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5, 2016</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March 31, 2016, as filed with the Securities and Exchange Commission on the date hereof (the “Report”), I, Melissa B. Fisher, Chief Financial Officer of the Company, certify, pursuant to 18 U.S.C. § 1350, as adopted pursuant to § 906 of the Sarbanes-Oxley Act of 2002, that, to the best of my knowledge:</w:t>
      </w:r>
    </w:p>
    <w:p>
      <w:pPr>
        <w:spacing w:after="0" w:line="148" w:lineRule="exact"/>
        <w:rPr>
          <w:sz w:val="20"/>
          <w:szCs w:val="20"/>
          <w:color w:val="auto"/>
        </w:rPr>
      </w:pPr>
    </w:p>
    <w:p>
      <w:pPr>
        <w:ind w:left="780" w:hanging="272"/>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5, 2016</w:t>
      </w:r>
    </w:p>
    <w:p>
      <w:pPr>
        <w:spacing w:after="0" w:line="2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36830</wp:posOffset>
            </wp:positionV>
            <wp:extent cx="26498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decimal"/>
      <w:start w:val="2"/>
    </w:lvl>
  </w:abstractNum>
  <w:abstractNum w:abstractNumId="20">
    <w:nsid w:val="628C895D"/>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2019-12-29T11:40:44Z</dcterms:created>
  <dcterms:modified xsi:type="dcterms:W3CDTF">2019-12-29T11:40:44Z</dcterms:modified>
</cp:coreProperties>
</file>