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231F20"/>
        </w:rPr>
        <w:t>Washington, D.C. 20549</w:t>
      </w: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231F20"/>
        </w:rPr>
        <w:t>FORM 10-Q</w:t>
      </w:r>
    </w:p>
    <w:p>
      <w:pPr>
        <w:spacing w:after="0" w:line="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136" w:lineRule="exact"/>
        <w:rPr>
          <w:sz w:val="24"/>
          <w:szCs w:val="24"/>
          <w:color w:val="auto"/>
        </w:rPr>
      </w:pPr>
    </w:p>
    <w:p>
      <w:pPr>
        <w:ind w:left="440" w:hanging="401"/>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5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149" w:lineRule="exact"/>
        <w:rPr>
          <w:sz w:val="24"/>
          <w:szCs w:val="24"/>
          <w:color w:val="auto"/>
        </w:rPr>
      </w:pPr>
    </w:p>
    <w:p>
      <w:pPr>
        <w:ind w:left="520" w:hanging="481"/>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65" w:lineRule="exact"/>
        <w:rPr>
          <w:sz w:val="24"/>
          <w:szCs w:val="24"/>
          <w:color w:val="auto"/>
        </w:rPr>
      </w:pPr>
    </w:p>
    <w:p>
      <w:pPr>
        <w:jc w:val="center"/>
        <w:ind w:right="-39"/>
        <w:spacing w:after="0"/>
        <w:tabs>
          <w:tab w:leader="none" w:pos="4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001-35662</w:t>
      </w:r>
    </w:p>
    <w:p>
      <w:pPr>
        <w:ind w:left="4720"/>
        <w:spacing w:after="0"/>
        <w:rPr>
          <w:sz w:val="20"/>
          <w:szCs w:val="20"/>
          <w:color w:val="auto"/>
        </w:rPr>
      </w:pPr>
      <w:r>
        <w:rPr>
          <w:rFonts w:ascii="Arial" w:cs="Arial" w:eastAsia="Arial" w:hAnsi="Arial"/>
          <w:sz w:val="18"/>
          <w:szCs w:val="18"/>
          <w:b w:val="1"/>
          <w:bCs w:val="1"/>
          <w:color w:val="231F20"/>
        </w:rPr>
        <w:t>__________________</w:t>
      </w:r>
    </w:p>
    <w:p>
      <w:pPr>
        <w:jc w:val="center"/>
        <w:ind w:right="-39"/>
        <w:spacing w:after="0"/>
        <w:rPr>
          <w:sz w:val="20"/>
          <w:szCs w:val="20"/>
          <w:color w:val="auto"/>
        </w:rPr>
      </w:pPr>
      <w:r>
        <w:rPr>
          <w:rFonts w:ascii="Arial" w:cs="Arial" w:eastAsia="Arial" w:hAnsi="Arial"/>
          <w:sz w:val="40"/>
          <w:szCs w:val="40"/>
          <w:b w:val="1"/>
          <w:bCs w:val="1"/>
          <w:color w:val="231F20"/>
        </w:rPr>
        <w:t>QUALYS, INC.</w:t>
      </w:r>
    </w:p>
    <w:p>
      <w:pPr>
        <w:jc w:val="center"/>
        <w:ind w:right="-39"/>
        <w:spacing w:after="0" w:line="212" w:lineRule="auto"/>
        <w:rPr>
          <w:sz w:val="20"/>
          <w:szCs w:val="20"/>
          <w:color w:val="auto"/>
        </w:rPr>
      </w:pPr>
      <w:r>
        <w:rPr>
          <w:rFonts w:ascii="Arial" w:cs="Arial" w:eastAsia="Arial" w:hAnsi="Arial"/>
          <w:sz w:val="14"/>
          <w:szCs w:val="14"/>
          <w:b w:val="1"/>
          <w:bCs w:val="1"/>
          <w:color w:val="231F20"/>
        </w:rPr>
        <w:t>(Exact name of registrant as specified in its charter)</w:t>
      </w:r>
    </w:p>
    <w:p>
      <w:pPr>
        <w:spacing w:after="0" w:line="1"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200"/>
          </w:cols>
          <w:pgMar w:left="320" w:top="249" w:right="379" w:bottom="1440" w:gutter="0" w:footer="0" w:header="0"/>
        </w:sectPr>
      </w:pPr>
    </w:p>
    <w:p>
      <w:pPr>
        <w:spacing w:after="0" w:line="105" w:lineRule="exact"/>
        <w:rPr>
          <w:sz w:val="24"/>
          <w:szCs w:val="24"/>
          <w:color w:val="auto"/>
        </w:rPr>
      </w:pPr>
    </w:p>
    <w:p>
      <w:pPr>
        <w:jc w:val="center"/>
        <w:ind w:right="2440"/>
        <w:spacing w:after="0"/>
        <w:rPr>
          <w:sz w:val="20"/>
          <w:szCs w:val="20"/>
          <w:color w:val="auto"/>
        </w:rPr>
      </w:pPr>
      <w:r>
        <w:rPr>
          <w:rFonts w:ascii="Arial" w:cs="Arial" w:eastAsia="Arial" w:hAnsi="Arial"/>
          <w:sz w:val="14"/>
          <w:szCs w:val="14"/>
          <w:b w:val="1"/>
          <w:bCs w:val="1"/>
          <w:color w:val="auto"/>
        </w:rPr>
        <w:t>Delaware</w:t>
      </w:r>
    </w:p>
    <w:p>
      <w:pPr>
        <w:spacing w:after="0" w:line="55" w:lineRule="exact"/>
        <w:rPr>
          <w:sz w:val="24"/>
          <w:szCs w:val="24"/>
          <w:color w:val="auto"/>
        </w:rPr>
      </w:pPr>
    </w:p>
    <w:p>
      <w:pPr>
        <w:jc w:val="center"/>
        <w:ind w:right="2440"/>
        <w:spacing w:after="0"/>
        <w:rPr>
          <w:sz w:val="20"/>
          <w:szCs w:val="20"/>
          <w:color w:val="auto"/>
        </w:rPr>
      </w:pPr>
      <w:r>
        <w:rPr>
          <w:rFonts w:ascii="Arial" w:cs="Arial" w:eastAsia="Arial" w:hAnsi="Arial"/>
          <w:sz w:val="14"/>
          <w:szCs w:val="14"/>
          <w:b w:val="1"/>
          <w:bCs w:val="1"/>
          <w:color w:val="auto"/>
        </w:rPr>
        <w:t>(State or other jurisdiction of</w:t>
      </w:r>
    </w:p>
    <w:p>
      <w:pPr>
        <w:spacing w:after="0" w:line="55" w:lineRule="exact"/>
        <w:rPr>
          <w:sz w:val="24"/>
          <w:szCs w:val="24"/>
          <w:color w:val="auto"/>
        </w:rPr>
      </w:pPr>
    </w:p>
    <w:p>
      <w:pPr>
        <w:jc w:val="center"/>
        <w:ind w:right="244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77-0534145</w:t>
      </w:r>
    </w:p>
    <w:p>
      <w:pPr>
        <w:spacing w:after="0" w:line="55"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(I.R.S. Employer</w:t>
      </w:r>
    </w:p>
    <w:p>
      <w:pPr>
        <w:spacing w:after="0" w:line="55"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2">
            <w:col w:w="7340" w:space="720"/>
            <w:col w:w="3140"/>
          </w:cols>
          <w:pgMar w:left="320" w:top="249" w:right="379" w:bottom="1440" w:gutter="0" w:footer="0" w:header="0"/>
          <w:type w:val="continuous"/>
        </w:sectPr>
      </w:pP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919 E. Hillsdale Boulevard, 4th Floor, Foster City, California 94404</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(650) 801-6100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00"/>
          </w:cols>
          <w:pgMar w:left="320" w:top="249" w:right="379" w:bottom="1440" w:gutter="0" w:footer="0" w:header="0"/>
          <w:type w:val="continuous"/>
        </w:sectPr>
      </w:pPr>
    </w:p>
    <w:p>
      <w:pPr>
        <w:spacing w:after="0" w:line="194"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Title of each class</w:t>
      </w:r>
    </w:p>
    <w:p>
      <w:pPr>
        <w:spacing w:after="0" w:line="55"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940"/>
        <w:spacing w:after="0"/>
        <w:rPr>
          <w:sz w:val="20"/>
          <w:szCs w:val="20"/>
          <w:color w:val="auto"/>
        </w:rPr>
      </w:pPr>
      <w:r>
        <w:rPr>
          <w:rFonts w:ascii="Arial" w:cs="Arial" w:eastAsia="Arial" w:hAnsi="Arial"/>
          <w:sz w:val="14"/>
          <w:szCs w:val="14"/>
          <w:b w:val="1"/>
          <w:bCs w:val="1"/>
          <w:color w:val="auto"/>
        </w:rPr>
        <w:t>Trading Symbol(s)</w:t>
      </w:r>
    </w:p>
    <w:p>
      <w:pPr>
        <w:spacing w:after="0" w:line="55" w:lineRule="exact"/>
        <w:rPr>
          <w:sz w:val="24"/>
          <w:szCs w:val="24"/>
          <w:color w:val="auto"/>
        </w:rPr>
      </w:pPr>
    </w:p>
    <w:p>
      <w:pPr>
        <w:jc w:val="center"/>
        <w:ind w:right="940"/>
        <w:spacing w:after="0"/>
        <w:rPr>
          <w:sz w:val="20"/>
          <w:szCs w:val="20"/>
          <w:color w:val="auto"/>
        </w:rPr>
      </w:pPr>
      <w:r>
        <w:rPr>
          <w:rFonts w:ascii="Arial" w:cs="Arial" w:eastAsia="Arial" w:hAnsi="Arial"/>
          <w:sz w:val="14"/>
          <w:szCs w:val="14"/>
          <w:b w:val="1"/>
          <w:bCs w:val="1"/>
          <w:color w:val="auto"/>
        </w:rPr>
        <w:t>QLYS</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5"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The NASDAQ Stock Market LLC</w:t>
      </w:r>
    </w:p>
    <w:p>
      <w:pPr>
        <w:spacing w:after="0" w:line="200" w:lineRule="exact"/>
        <w:rPr>
          <w:sz w:val="24"/>
          <w:szCs w:val="24"/>
          <w:color w:val="auto"/>
        </w:rPr>
      </w:pPr>
    </w:p>
    <w:p>
      <w:pPr>
        <w:sectPr>
          <w:pgSz w:w="11900" w:h="16838" w:orient="portrait"/>
          <w:cols w:equalWidth="0" w:num="3">
            <w:col w:w="4080" w:space="720"/>
            <w:col w:w="2200" w:space="720"/>
            <w:col w:w="3480"/>
          </w:cols>
          <w:pgMar w:left="320" w:top="249" w:right="379" w:bottom="1440" w:gutter="0" w:footer="0" w:header="0"/>
          <w:type w:val="continuous"/>
        </w:sectPr>
      </w:pPr>
    </w:p>
    <w:p>
      <w:pPr>
        <w:spacing w:after="0" w:line="167" w:lineRule="exact"/>
        <w:rPr>
          <w:sz w:val="24"/>
          <w:szCs w:val="24"/>
          <w:color w:val="auto"/>
        </w:rPr>
      </w:pPr>
    </w:p>
    <w:p>
      <w:pPr>
        <w:jc w:val="both"/>
        <w:ind w:right="42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221" w:lineRule="exact"/>
        <w:rPr>
          <w:sz w:val="24"/>
          <w:szCs w:val="24"/>
          <w:color w:val="auto"/>
        </w:rPr>
      </w:pPr>
    </w:p>
    <w:p>
      <w:pPr>
        <w:ind w:right="4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6"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3060" w:type="dxa"/>
            <w:vAlign w:val="bottom"/>
          </w:tcPr>
          <w:p>
            <w:pPr>
              <w:spacing w:after="0"/>
              <w:rPr>
                <w:sz w:val="20"/>
                <w:szCs w:val="20"/>
                <w:color w:val="auto"/>
              </w:rPr>
            </w:pPr>
            <w:r>
              <w:rPr>
                <w:rFonts w:ascii="Arial" w:cs="Arial" w:eastAsia="Arial" w:hAnsi="Arial"/>
                <w:sz w:val="14"/>
                <w:szCs w:val="14"/>
                <w:color w:val="231F20"/>
              </w:rPr>
              <w:t>Large accelerated filer</w:t>
            </w:r>
          </w:p>
        </w:tc>
        <w:tc>
          <w:tcPr>
            <w:tcW w:w="2100" w:type="dxa"/>
            <w:vAlign w:val="bottom"/>
          </w:tcPr>
          <w:p>
            <w:pPr>
              <w:jc w:val="center"/>
              <w:ind w:left="1208"/>
              <w:spacing w:after="0"/>
              <w:rPr>
                <w:sz w:val="20"/>
                <w:szCs w:val="20"/>
                <w:color w:val="auto"/>
              </w:rPr>
            </w:pPr>
            <w:r>
              <w:rPr>
                <w:rFonts w:ascii="Arial" w:cs="Arial" w:eastAsia="Arial" w:hAnsi="Arial"/>
                <w:sz w:val="14"/>
                <w:szCs w:val="14"/>
                <w:color w:val="auto"/>
                <w:w w:val="85"/>
              </w:rPr>
              <w:t>x</w:t>
            </w:r>
          </w:p>
        </w:tc>
        <w:tc>
          <w:tcPr>
            <w:tcW w:w="3860" w:type="dxa"/>
            <w:vAlign w:val="bottom"/>
          </w:tcPr>
          <w:p>
            <w:pPr>
              <w:ind w:left="360"/>
              <w:spacing w:after="0"/>
              <w:rPr>
                <w:sz w:val="20"/>
                <w:szCs w:val="20"/>
                <w:color w:val="auto"/>
              </w:rPr>
            </w:pPr>
            <w:r>
              <w:rPr>
                <w:rFonts w:ascii="Arial" w:cs="Arial" w:eastAsia="Arial" w:hAnsi="Arial"/>
                <w:sz w:val="14"/>
                <w:szCs w:val="14"/>
                <w:color w:val="231F20"/>
              </w:rPr>
              <w:t>Accelerated filer</w:t>
            </w:r>
          </w:p>
        </w:tc>
        <w:tc>
          <w:tcPr>
            <w:tcW w:w="190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9"/>
        </w:trPr>
        <w:tc>
          <w:tcPr>
            <w:tcW w:w="3060" w:type="dxa"/>
            <w:vAlign w:val="bottom"/>
          </w:tcPr>
          <w:p>
            <w:pPr>
              <w:spacing w:after="0"/>
              <w:rPr>
                <w:sz w:val="20"/>
                <w:szCs w:val="20"/>
                <w:color w:val="auto"/>
              </w:rPr>
            </w:pPr>
            <w:r>
              <w:rPr>
                <w:rFonts w:ascii="Arial" w:cs="Arial" w:eastAsia="Arial" w:hAnsi="Arial"/>
                <w:sz w:val="14"/>
                <w:szCs w:val="14"/>
                <w:color w:val="auto"/>
              </w:rPr>
              <w:t>Non-accelerated filer</w:t>
            </w:r>
          </w:p>
        </w:tc>
        <w:tc>
          <w:tcPr>
            <w:tcW w:w="2100" w:type="dxa"/>
            <w:vAlign w:val="bottom"/>
          </w:tcPr>
          <w:p>
            <w:pPr>
              <w:jc w:val="center"/>
              <w:ind w:left="1188"/>
              <w:spacing w:after="0" w:line="141" w:lineRule="exact"/>
              <w:rPr>
                <w:sz w:val="20"/>
                <w:szCs w:val="20"/>
                <w:color w:val="auto"/>
              </w:rPr>
            </w:pPr>
            <w:r>
              <w:rPr>
                <w:rFonts w:ascii="MS PGothic" w:cs="MS PGothic" w:eastAsia="MS PGothic" w:hAnsi="MS PGothic"/>
                <w:sz w:val="14"/>
                <w:szCs w:val="14"/>
                <w:color w:val="auto"/>
                <w:w w:val="85"/>
              </w:rPr>
              <w:t>☐</w:t>
            </w:r>
          </w:p>
        </w:tc>
        <w:tc>
          <w:tcPr>
            <w:tcW w:w="3860" w:type="dxa"/>
            <w:vAlign w:val="bottom"/>
          </w:tcPr>
          <w:p>
            <w:pPr>
              <w:ind w:left="360"/>
              <w:spacing w:after="0"/>
              <w:rPr>
                <w:sz w:val="20"/>
                <w:szCs w:val="20"/>
                <w:color w:val="auto"/>
              </w:rPr>
            </w:pPr>
            <w:r>
              <w:rPr>
                <w:rFonts w:ascii="Arial" w:cs="Arial" w:eastAsia="Arial" w:hAnsi="Arial"/>
                <w:sz w:val="14"/>
                <w:szCs w:val="14"/>
                <w:color w:val="auto"/>
              </w:rPr>
              <w:t>Smaller reporting company</w:t>
            </w:r>
          </w:p>
        </w:tc>
        <w:tc>
          <w:tcPr>
            <w:tcW w:w="190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30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860" w:type="dxa"/>
            <w:vAlign w:val="bottom"/>
          </w:tcPr>
          <w:p>
            <w:pPr>
              <w:ind w:left="360"/>
              <w:spacing w:after="0"/>
              <w:rPr>
                <w:sz w:val="20"/>
                <w:szCs w:val="20"/>
                <w:color w:val="auto"/>
              </w:rPr>
            </w:pPr>
            <w:r>
              <w:rPr>
                <w:rFonts w:ascii="Arial" w:cs="Arial" w:eastAsia="Arial" w:hAnsi="Arial"/>
                <w:sz w:val="14"/>
                <w:szCs w:val="14"/>
                <w:color w:val="auto"/>
              </w:rPr>
              <w:t>Emerging growth company</w:t>
            </w:r>
          </w:p>
        </w:tc>
        <w:tc>
          <w:tcPr>
            <w:tcW w:w="190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 w:lineRule="exact"/>
        <w:rPr>
          <w:sz w:val="24"/>
          <w:szCs w:val="24"/>
          <w:color w:val="auto"/>
        </w:rPr>
      </w:pPr>
    </w:p>
    <w:p>
      <w:pPr>
        <w:ind w:left="20" w:right="820"/>
        <w:spacing w:after="0" w:line="22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w:t>
      </w:r>
    </w:p>
    <w:p>
      <w:pPr>
        <w:spacing w:after="0" w:line="206" w:lineRule="exact"/>
        <w:rPr>
          <w:sz w:val="24"/>
          <w:szCs w:val="24"/>
          <w:color w:val="auto"/>
        </w:rPr>
      </w:pPr>
    </w:p>
    <w:p>
      <w:pPr>
        <w:spacing w:after="0" w:line="184" w:lineRule="exact"/>
        <w:tabs>
          <w:tab w:leader="none" w:pos="500" w:val="left"/>
          <w:tab w:leader="none" w:pos="1160" w:val="left"/>
        </w:tabs>
        <w:rPr>
          <w:sz w:val="20"/>
          <w:szCs w:val="20"/>
          <w:color w:val="auto"/>
        </w:rPr>
      </w:pPr>
      <w:r>
        <w:rPr>
          <w:rFonts w:ascii="Arial" w:cs="Arial" w:eastAsia="Arial" w:hAnsi="Arial"/>
          <w:sz w:val="16"/>
          <w:szCs w:val="16"/>
          <w:color w:val="auto"/>
        </w:rPr>
        <w:t>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29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August 5, 2020 was 39,246,507.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636270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49" w:right="379" w:bottom="1440" w:gutter="0" w:footer="0" w:header="0"/>
          <w:type w:val="continuous"/>
        </w:sectPr>
      </w:pPr>
    </w:p>
    <w:bookmarkStart w:id="1" w:name="page2"/>
    <w:bookmarkEnd w:id="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ectPr>
          <w:pgSz w:w="11900" w:h="16838" w:orient="portrait"/>
          <w:cols w:equalWidth="0" w:num="1">
            <w:col w:w="11000"/>
          </w:cols>
          <w:pgMar w:left="320" w:top="141"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2.</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3.</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231F20"/>
        </w:rPr>
        <w:t>Qualys, Inc.</w:t>
      </w:r>
    </w:p>
    <w:p>
      <w:pPr>
        <w:spacing w:after="0" w:line="144"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231F20"/>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ind w:left="340"/>
              <w:spacing w:after="0"/>
              <w:rPr>
                <w:sz w:val="20"/>
                <w:szCs w:val="20"/>
                <w:color w:val="auto"/>
              </w:rPr>
            </w:pPr>
            <w:r>
              <w:rPr>
                <w:rFonts w:ascii="Arial" w:cs="Arial" w:eastAsia="Arial" w:hAnsi="Arial"/>
                <w:sz w:val="16"/>
                <w:szCs w:val="16"/>
                <w:color w:val="auto"/>
                <w:w w:val="96"/>
              </w:rPr>
              <w:t>Page</w:t>
            </w:r>
          </w:p>
        </w:tc>
      </w:tr>
      <w:tr>
        <w:trPr>
          <w:trHeight w:val="243"/>
        </w:trPr>
        <w:tc>
          <w:tcPr>
            <w:tcW w:w="9300" w:type="dxa"/>
            <w:vAlign w:val="bottom"/>
            <w:gridSpan w:val="8"/>
          </w:tcPr>
          <w:p>
            <w:pPr>
              <w:ind w:left="3260"/>
              <w:spacing w:after="0"/>
              <w:rPr>
                <w:sz w:val="20"/>
                <w:szCs w:val="20"/>
                <w:color w:val="auto"/>
              </w:rPr>
            </w:pPr>
            <w:r>
              <w:rPr>
                <w:rFonts w:ascii="Arial" w:cs="Arial" w:eastAsia="Arial" w:hAnsi="Arial"/>
                <w:sz w:val="16"/>
                <w:szCs w:val="16"/>
                <w:b w:val="1"/>
                <w:bCs w:val="1"/>
                <w:color w:val="auto"/>
              </w:rPr>
              <w:t>PART I – FINANCIAL INFORMATION</w:t>
            </w:r>
          </w:p>
        </w:tc>
        <w:tc>
          <w:tcPr>
            <w:tcW w:w="720" w:type="dxa"/>
            <w:vAlign w:val="bottom"/>
          </w:tcPr>
          <w:p>
            <w:pPr>
              <w:spacing w:after="0"/>
              <w:rPr>
                <w:sz w:val="21"/>
                <w:szCs w:val="21"/>
                <w:color w:val="auto"/>
              </w:rPr>
            </w:pPr>
          </w:p>
        </w:tc>
      </w:tr>
      <w:tr>
        <w:trPr>
          <w:trHeight w:val="243"/>
        </w:trPr>
        <w:tc>
          <w:tcPr>
            <w:tcW w:w="9300" w:type="dxa"/>
            <w:vAlign w:val="bottom"/>
            <w:gridSpan w:val="8"/>
          </w:tcPr>
          <w:p>
            <w:pPr>
              <w:spacing w:after="0"/>
              <w:rPr>
                <w:rFonts w:ascii="Arial" w:cs="Arial" w:eastAsia="Arial" w:hAnsi="Arial"/>
                <w:sz w:val="16"/>
                <w:szCs w:val="16"/>
                <w:u w:val="single" w:color="auto"/>
                <w:color w:val="384BFF"/>
              </w:rPr>
            </w:pPr>
            <w:hyperlink w:anchor="page3">
              <w:r>
                <w:rPr>
                  <w:rFonts w:ascii="Arial" w:cs="Arial" w:eastAsia="Arial" w:hAnsi="Arial"/>
                  <w:sz w:val="16"/>
                  <w:szCs w:val="16"/>
                  <w:u w:val="single" w:color="auto"/>
                  <w:color w:val="384BFF"/>
                </w:rPr>
                <w:t>Financial Statements</w:t>
              </w:r>
            </w:hyperlink>
          </w:p>
        </w:tc>
        <w:tc>
          <w:tcPr>
            <w:tcW w:w="720" w:type="dxa"/>
            <w:vAlign w:val="bottom"/>
          </w:tcPr>
          <w:p>
            <w:pPr>
              <w:spacing w:after="0"/>
              <w:rPr>
                <w:sz w:val="21"/>
                <w:szCs w:val="21"/>
                <w:color w:val="auto"/>
              </w:rPr>
            </w:pPr>
          </w:p>
        </w:tc>
      </w:tr>
      <w:tr>
        <w:trPr>
          <w:trHeight w:val="195"/>
        </w:trPr>
        <w:tc>
          <w:tcPr>
            <w:tcW w:w="9300" w:type="dxa"/>
            <w:vAlign w:val="bottom"/>
            <w:gridSpan w:val="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 xml:space="preserve">Condensed Consolidated Balance Sheets as of June 30, </w:t>
              </w:r>
              <w:r>
                <w:rPr>
                  <w:rFonts w:ascii="Arial" w:cs="Arial" w:eastAsia="Arial" w:hAnsi="Arial"/>
                  <w:sz w:val="16"/>
                  <w:szCs w:val="16"/>
                  <w:u w:val="single" w:color="auto"/>
                  <w:color w:val="0000FF"/>
                </w:rPr>
                <w:t>2020 and December 31, 2019</w:t>
              </w:r>
            </w:hyperlink>
          </w:p>
        </w:tc>
        <w:tc>
          <w:tcPr>
            <w:tcW w:w="720" w:type="dxa"/>
            <w:vAlign w:val="bottom"/>
          </w:tcPr>
          <w:p>
            <w:pPr>
              <w:ind w:left="340"/>
              <w:spacing w:after="0"/>
              <w:rPr>
                <w:rFonts w:ascii="Arial" w:cs="Arial" w:eastAsia="Arial" w:hAnsi="Arial"/>
                <w:sz w:val="16"/>
                <w:szCs w:val="16"/>
                <w:u w:val="single" w:color="auto"/>
                <w:color w:val="384BFF"/>
              </w:rPr>
            </w:pPr>
            <w:hyperlink w:anchor="page3">
              <w:r>
                <w:rPr>
                  <w:rFonts w:ascii="Arial" w:cs="Arial" w:eastAsia="Arial" w:hAnsi="Arial"/>
                  <w:sz w:val="16"/>
                  <w:szCs w:val="16"/>
                  <w:u w:val="single" w:color="auto"/>
                  <w:color w:val="384BFF"/>
                </w:rPr>
                <w:t>3</w:t>
              </w:r>
            </w:hyperlink>
          </w:p>
        </w:tc>
      </w:tr>
      <w:tr>
        <w:trPr>
          <w:trHeight w:val="20"/>
        </w:trPr>
        <w:tc>
          <w:tcPr>
            <w:tcW w:w="3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9300" w:type="dxa"/>
            <w:vAlign w:val="bottom"/>
            <w:gridSpan w:val="8"/>
          </w:tcPr>
          <w:p>
            <w:pPr>
              <w:spacing w:after="0"/>
              <w:rPr>
                <w:rFonts w:ascii="Arial" w:cs="Arial" w:eastAsia="Arial" w:hAnsi="Arial"/>
                <w:sz w:val="16"/>
                <w:szCs w:val="16"/>
                <w:color w:val="384BFF"/>
              </w:rPr>
            </w:pPr>
            <w:hyperlink w:anchor="page3">
              <w:r>
                <w:rPr>
                  <w:rFonts w:ascii="Arial" w:cs="Arial" w:eastAsia="Arial" w:hAnsi="Arial"/>
                  <w:sz w:val="16"/>
                  <w:szCs w:val="16"/>
                  <w:u w:val="single" w:color="auto"/>
                  <w:color w:val="384BFF"/>
                </w:rPr>
                <w:t>Condensed Consolidated Statements of Operations for the</w:t>
              </w:r>
              <w:r>
                <w:rPr>
                  <w:rFonts w:ascii="Arial" w:cs="Arial" w:eastAsia="Arial" w:hAnsi="Arial"/>
                  <w:sz w:val="16"/>
                  <w:szCs w:val="16"/>
                  <w:color w:val="384BFF"/>
                </w:rPr>
                <w:t xml:space="preserve"> </w:t>
              </w:r>
            </w:hyperlink>
            <w:r>
              <w:rPr>
                <w:rFonts w:ascii="Arial" w:cs="Arial" w:eastAsia="Arial" w:hAnsi="Arial"/>
                <w:sz w:val="16"/>
                <w:szCs w:val="16"/>
                <w:color w:val="384BFF"/>
              </w:rPr>
              <w:t>three and six months ended June 30, 2020 and 2019</w:t>
            </w:r>
          </w:p>
        </w:tc>
        <w:tc>
          <w:tcPr>
            <w:tcW w:w="720" w:type="dxa"/>
            <w:vAlign w:val="bottom"/>
          </w:tcPr>
          <w:p>
            <w:pPr>
              <w:ind w:left="340"/>
              <w:spacing w:after="0"/>
              <w:rPr>
                <w:rFonts w:ascii="Arial" w:cs="Arial" w:eastAsia="Arial" w:hAnsi="Arial"/>
                <w:sz w:val="16"/>
                <w:szCs w:val="16"/>
                <w:u w:val="single" w:color="auto"/>
                <w:color w:val="384BFF"/>
              </w:rPr>
            </w:pPr>
            <w:hyperlink w:anchor="page3">
              <w:r>
                <w:rPr>
                  <w:rFonts w:ascii="Arial" w:cs="Arial" w:eastAsia="Arial" w:hAnsi="Arial"/>
                  <w:sz w:val="16"/>
                  <w:szCs w:val="16"/>
                  <w:u w:val="single" w:color="auto"/>
                  <w:color w:val="384BFF"/>
                </w:rPr>
                <w:t>4</w:t>
              </w:r>
            </w:hyperlink>
          </w:p>
        </w:tc>
      </w:tr>
      <w:tr>
        <w:trPr>
          <w:trHeight w:val="20"/>
        </w:trPr>
        <w:tc>
          <w:tcPr>
            <w:tcW w:w="39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40" w:type="dxa"/>
            <w:vAlign w:val="bottom"/>
            <w:shd w:val="clear" w:color="auto" w:fill="384BFF"/>
          </w:tcPr>
          <w:p>
            <w:pPr>
              <w:spacing w:after="0" w:line="20" w:lineRule="exact"/>
              <w:rPr>
                <w:sz w:val="1"/>
                <w:szCs w:val="1"/>
                <w:color w:val="auto"/>
              </w:rPr>
            </w:pPr>
          </w:p>
        </w:tc>
        <w:tc>
          <w:tcPr>
            <w:tcW w:w="940" w:type="dxa"/>
            <w:vAlign w:val="bottom"/>
            <w:shd w:val="clear" w:color="auto" w:fill="384BFF"/>
          </w:tcPr>
          <w:p>
            <w:pPr>
              <w:spacing w:after="0" w:line="20" w:lineRule="exact"/>
              <w:rPr>
                <w:sz w:val="1"/>
                <w:szCs w:val="1"/>
                <w:color w:val="auto"/>
              </w:rPr>
            </w:pPr>
          </w:p>
        </w:tc>
        <w:tc>
          <w:tcPr>
            <w:tcW w:w="1260" w:type="dxa"/>
            <w:vAlign w:val="bottom"/>
            <w:shd w:val="clear" w:color="auto" w:fill="384BFF"/>
          </w:tcPr>
          <w:p>
            <w:pPr>
              <w:spacing w:after="0" w:line="20" w:lineRule="exact"/>
              <w:rPr>
                <w:sz w:val="1"/>
                <w:szCs w:val="1"/>
                <w:color w:val="auto"/>
              </w:rPr>
            </w:pPr>
          </w:p>
        </w:tc>
        <w:tc>
          <w:tcPr>
            <w:tcW w:w="260" w:type="dxa"/>
            <w:vAlign w:val="bottom"/>
            <w:shd w:val="clear" w:color="auto" w:fill="384B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9300" w:type="dxa"/>
            <w:vAlign w:val="bottom"/>
            <w:gridSpan w:val="8"/>
          </w:tcPr>
          <w:p>
            <w:pPr>
              <w:spacing w:after="0"/>
              <w:rPr>
                <w:rFonts w:ascii="Arial" w:cs="Arial" w:eastAsia="Arial" w:hAnsi="Arial"/>
                <w:sz w:val="16"/>
                <w:szCs w:val="16"/>
                <w:color w:val="384BFF"/>
              </w:rPr>
            </w:pPr>
            <w:hyperlink w:anchor="page4">
              <w:r>
                <w:rPr>
                  <w:rFonts w:ascii="Arial" w:cs="Arial" w:eastAsia="Arial" w:hAnsi="Arial"/>
                  <w:sz w:val="16"/>
                  <w:szCs w:val="16"/>
                  <w:u w:val="single" w:color="auto"/>
                  <w:color w:val="384BFF"/>
                </w:rPr>
                <w:t>Condensed Consolidated Statements of Comprehensive Income for the three</w:t>
              </w:r>
              <w:r>
                <w:rPr>
                  <w:rFonts w:ascii="Arial" w:cs="Arial" w:eastAsia="Arial" w:hAnsi="Arial"/>
                  <w:sz w:val="16"/>
                  <w:szCs w:val="16"/>
                  <w:color w:val="384BFF"/>
                </w:rPr>
                <w:t xml:space="preserve"> and six months ended June 30, </w:t>
              </w:r>
              <w:r>
                <w:rPr>
                  <w:rFonts w:ascii="Arial" w:cs="Arial" w:eastAsia="Arial" w:hAnsi="Arial"/>
                  <w:sz w:val="16"/>
                  <w:szCs w:val="16"/>
                  <w:u w:val="single" w:color="auto"/>
                  <w:color w:val="384BFF"/>
                </w:rPr>
                <w:t>2020 and 2019</w:t>
              </w:r>
            </w:hyperlink>
          </w:p>
        </w:tc>
        <w:tc>
          <w:tcPr>
            <w:tcW w:w="720" w:type="dxa"/>
            <w:vAlign w:val="bottom"/>
          </w:tcPr>
          <w:p>
            <w:pPr>
              <w:ind w:left="340"/>
              <w:spacing w:after="0"/>
              <w:rPr>
                <w:rFonts w:ascii="Arial" w:cs="Arial" w:eastAsia="Arial" w:hAnsi="Arial"/>
                <w:sz w:val="16"/>
                <w:szCs w:val="16"/>
                <w:u w:val="single" w:color="auto"/>
                <w:color w:val="384BFF"/>
              </w:rPr>
            </w:pPr>
            <w:hyperlink w:anchor="page4">
              <w:r>
                <w:rPr>
                  <w:rFonts w:ascii="Arial" w:cs="Arial" w:eastAsia="Arial" w:hAnsi="Arial"/>
                  <w:sz w:val="16"/>
                  <w:szCs w:val="16"/>
                  <w:u w:val="single" w:color="auto"/>
                  <w:color w:val="384BFF"/>
                </w:rPr>
                <w:t>5</w:t>
              </w:r>
            </w:hyperlink>
          </w:p>
        </w:tc>
      </w:tr>
      <w:tr>
        <w:trPr>
          <w:trHeight w:val="20"/>
        </w:trPr>
        <w:tc>
          <w:tcPr>
            <w:tcW w:w="39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940" w:type="dxa"/>
            <w:vAlign w:val="bottom"/>
            <w:shd w:val="clear" w:color="auto" w:fill="384BFF"/>
          </w:tcPr>
          <w:p>
            <w:pPr>
              <w:spacing w:after="0" w:line="20" w:lineRule="exact"/>
              <w:rPr>
                <w:sz w:val="1"/>
                <w:szCs w:val="1"/>
                <w:color w:val="auto"/>
              </w:rPr>
            </w:pPr>
          </w:p>
        </w:tc>
        <w:tc>
          <w:tcPr>
            <w:tcW w:w="1260" w:type="dxa"/>
            <w:vAlign w:val="bottom"/>
            <w:shd w:val="clear" w:color="auto" w:fill="384B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1"/>
        </w:trPr>
        <w:tc>
          <w:tcPr>
            <w:tcW w:w="9300" w:type="dxa"/>
            <w:vAlign w:val="bottom"/>
            <w:gridSpan w:val="8"/>
          </w:tcPr>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Condensed Consolidated Statements of Cash Flows for the six months ended June 30, 2020 and 2019</w:t>
              </w:r>
            </w:hyperlink>
          </w:p>
        </w:tc>
        <w:tc>
          <w:tcPr>
            <w:tcW w:w="720" w:type="dxa"/>
            <w:vAlign w:val="bottom"/>
          </w:tcPr>
          <w:p>
            <w:pPr>
              <w:ind w:left="340"/>
              <w:spacing w:after="0"/>
              <w:rPr>
                <w:rFonts w:ascii="Arial" w:cs="Arial" w:eastAsia="Arial" w:hAnsi="Arial"/>
                <w:sz w:val="16"/>
                <w:szCs w:val="16"/>
                <w:u w:val="single" w:color="auto"/>
                <w:color w:val="384BFF"/>
              </w:rPr>
            </w:pPr>
            <w:hyperlink w:anchor="page5">
              <w:r>
                <w:rPr>
                  <w:rFonts w:ascii="Arial" w:cs="Arial" w:eastAsia="Arial" w:hAnsi="Arial"/>
                  <w:sz w:val="16"/>
                  <w:szCs w:val="16"/>
                  <w:u w:val="single" w:color="auto"/>
                  <w:color w:val="384BFF"/>
                </w:rPr>
                <w:t>6</w:t>
              </w:r>
            </w:hyperlink>
          </w:p>
        </w:tc>
      </w:tr>
      <w:tr>
        <w:trPr>
          <w:trHeight w:val="181"/>
        </w:trPr>
        <w:tc>
          <w:tcPr>
            <w:tcW w:w="9300" w:type="dxa"/>
            <w:vAlign w:val="bottom"/>
            <w:gridSpan w:val="8"/>
          </w:tcPr>
          <w:p>
            <w:pPr>
              <w:spacing w:after="0" w:line="181" w:lineRule="exact"/>
              <w:rPr>
                <w:rFonts w:ascii="Arial" w:cs="Arial" w:eastAsia="Arial" w:hAnsi="Arial"/>
                <w:sz w:val="16"/>
                <w:szCs w:val="16"/>
                <w:color w:val="384BFF"/>
              </w:rPr>
            </w:pPr>
            <w:hyperlink w:anchor="page6">
              <w:r>
                <w:rPr>
                  <w:rFonts w:ascii="Arial" w:cs="Arial" w:eastAsia="Arial" w:hAnsi="Arial"/>
                  <w:sz w:val="16"/>
                  <w:szCs w:val="16"/>
                  <w:u w:val="single" w:color="auto"/>
                  <w:color w:val="384BFF"/>
                </w:rPr>
                <w:t>Condensed Consolidated Statements of Equity for the</w:t>
              </w:r>
              <w:r>
                <w:rPr>
                  <w:rFonts w:ascii="Arial" w:cs="Arial" w:eastAsia="Arial" w:hAnsi="Arial"/>
                  <w:sz w:val="16"/>
                  <w:szCs w:val="16"/>
                  <w:color w:val="384BFF"/>
                </w:rPr>
                <w:t xml:space="preserve"> three and six months ended June 30, </w:t>
              </w:r>
              <w:r>
                <w:rPr>
                  <w:rFonts w:ascii="Arial" w:cs="Arial" w:eastAsia="Arial" w:hAnsi="Arial"/>
                  <w:sz w:val="16"/>
                  <w:szCs w:val="16"/>
                  <w:u w:val="single" w:color="auto"/>
                  <w:color w:val="384BFF"/>
                </w:rPr>
                <w:t>2020 and 2019</w:t>
              </w:r>
            </w:hyperlink>
          </w:p>
        </w:tc>
        <w:tc>
          <w:tcPr>
            <w:tcW w:w="720" w:type="dxa"/>
            <w:vAlign w:val="bottom"/>
          </w:tcPr>
          <w:p>
            <w:pPr>
              <w:ind w:left="340"/>
              <w:spacing w:after="0" w:line="181" w:lineRule="exact"/>
              <w:rPr>
                <w:rFonts w:ascii="Arial" w:cs="Arial" w:eastAsia="Arial" w:hAnsi="Arial"/>
                <w:sz w:val="16"/>
                <w:szCs w:val="16"/>
                <w:u w:val="single" w:color="auto"/>
                <w:color w:val="384BFF"/>
              </w:rPr>
            </w:pPr>
            <w:hyperlink w:anchor="page6">
              <w:r>
                <w:rPr>
                  <w:rFonts w:ascii="Arial" w:cs="Arial" w:eastAsia="Arial" w:hAnsi="Arial"/>
                  <w:sz w:val="16"/>
                  <w:szCs w:val="16"/>
                  <w:u w:val="single" w:color="auto"/>
                  <w:color w:val="384BFF"/>
                </w:rPr>
                <w:t>7</w:t>
              </w:r>
            </w:hyperlink>
          </w:p>
        </w:tc>
      </w:tr>
      <w:tr>
        <w:trPr>
          <w:trHeight w:val="20"/>
        </w:trPr>
        <w:tc>
          <w:tcPr>
            <w:tcW w:w="3900" w:type="dxa"/>
            <w:vAlign w:val="bottom"/>
          </w:tcPr>
          <w:p>
            <w:pPr>
              <w:spacing w:after="0" w:line="20" w:lineRule="exact"/>
              <w:rPr>
                <w:sz w:val="1"/>
                <w:szCs w:val="1"/>
                <w:color w:val="auto"/>
              </w:rPr>
            </w:pPr>
          </w:p>
        </w:tc>
        <w:tc>
          <w:tcPr>
            <w:tcW w:w="2620" w:type="dxa"/>
            <w:vAlign w:val="bottom"/>
            <w:gridSpan w:val="4"/>
            <w:shd w:val="clear" w:color="auto" w:fill="384BFF"/>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1"/>
        </w:trPr>
        <w:tc>
          <w:tcPr>
            <w:tcW w:w="9300" w:type="dxa"/>
            <w:vAlign w:val="bottom"/>
            <w:gridSpan w:val="8"/>
          </w:tcPr>
          <w:p>
            <w:pPr>
              <w:spacing w:after="0"/>
              <w:rPr>
                <w:rFonts w:ascii="Arial" w:cs="Arial" w:eastAsia="Arial" w:hAnsi="Arial"/>
                <w:sz w:val="16"/>
                <w:szCs w:val="16"/>
                <w:u w:val="single" w:color="auto"/>
                <w:color w:val="384BFF"/>
              </w:rPr>
            </w:pPr>
            <w:hyperlink w:anchor="page8">
              <w:r>
                <w:rPr>
                  <w:rFonts w:ascii="Arial" w:cs="Arial" w:eastAsia="Arial" w:hAnsi="Arial"/>
                  <w:sz w:val="16"/>
                  <w:szCs w:val="16"/>
                  <w:u w:val="single" w:color="auto"/>
                  <w:color w:val="384BFF"/>
                </w:rPr>
                <w:t>Notes to Condensed Consolidated Financial Statements</w:t>
              </w:r>
            </w:hyperlink>
          </w:p>
        </w:tc>
        <w:tc>
          <w:tcPr>
            <w:tcW w:w="720" w:type="dxa"/>
            <w:vAlign w:val="bottom"/>
          </w:tcPr>
          <w:p>
            <w:pPr>
              <w:ind w:left="340"/>
              <w:spacing w:after="0"/>
              <w:rPr>
                <w:rFonts w:ascii="Arial" w:cs="Arial" w:eastAsia="Arial" w:hAnsi="Arial"/>
                <w:sz w:val="16"/>
                <w:szCs w:val="16"/>
                <w:u w:val="single" w:color="auto"/>
                <w:color w:val="384BFF"/>
              </w:rPr>
            </w:pPr>
            <w:hyperlink w:anchor="page8">
              <w:r>
                <w:rPr>
                  <w:rFonts w:ascii="Arial" w:cs="Arial" w:eastAsia="Arial" w:hAnsi="Arial"/>
                  <w:sz w:val="16"/>
                  <w:szCs w:val="16"/>
                  <w:u w:val="single" w:color="auto"/>
                  <w:color w:val="384BFF"/>
                </w:rPr>
                <w:t>9</w:t>
              </w:r>
            </w:hyperlink>
          </w:p>
        </w:tc>
      </w:tr>
      <w:tr>
        <w:trPr>
          <w:trHeight w:val="297"/>
        </w:trPr>
        <w:tc>
          <w:tcPr>
            <w:tcW w:w="9300" w:type="dxa"/>
            <w:vAlign w:val="bottom"/>
            <w:gridSpan w:val="8"/>
          </w:tcPr>
          <w:p>
            <w:pPr>
              <w:spacing w:after="0"/>
              <w:rPr>
                <w:rFonts w:ascii="Arial" w:cs="Arial" w:eastAsia="Arial" w:hAnsi="Arial"/>
                <w:sz w:val="16"/>
                <w:szCs w:val="16"/>
                <w:u w:val="single" w:color="auto"/>
                <w:color w:val="384BFF"/>
              </w:rPr>
            </w:pPr>
            <w:hyperlink w:anchor="page26">
              <w:r>
                <w:rPr>
                  <w:rFonts w:ascii="Arial" w:cs="Arial" w:eastAsia="Arial" w:hAnsi="Arial"/>
                  <w:sz w:val="16"/>
                  <w:szCs w:val="16"/>
                  <w:u w:val="single" w:color="auto"/>
                  <w:color w:val="384BFF"/>
                </w:rPr>
                <w:t>Management’s Discussion and Analysis of Financial Condition and Results of Operations</w:t>
              </w:r>
            </w:hyperlink>
          </w:p>
        </w:tc>
        <w:tc>
          <w:tcPr>
            <w:tcW w:w="720" w:type="dxa"/>
            <w:vAlign w:val="bottom"/>
          </w:tcPr>
          <w:p>
            <w:pPr>
              <w:ind w:left="340"/>
              <w:spacing w:after="0"/>
              <w:rPr>
                <w:rFonts w:ascii="Arial" w:cs="Arial" w:eastAsia="Arial" w:hAnsi="Arial"/>
                <w:sz w:val="16"/>
                <w:szCs w:val="16"/>
                <w:u w:val="single" w:color="auto"/>
                <w:color w:val="384BFF"/>
              </w:rPr>
            </w:pPr>
            <w:hyperlink w:anchor="page26">
              <w:r>
                <w:rPr>
                  <w:rFonts w:ascii="Arial" w:cs="Arial" w:eastAsia="Arial" w:hAnsi="Arial"/>
                  <w:sz w:val="16"/>
                  <w:szCs w:val="16"/>
                  <w:u w:val="single" w:color="auto"/>
                  <w:color w:val="384BFF"/>
                </w:rPr>
                <w:t>27</w:t>
              </w:r>
            </w:hyperlink>
          </w:p>
        </w:tc>
      </w:tr>
      <w:tr>
        <w:trPr>
          <w:trHeight w:val="243"/>
        </w:trPr>
        <w:tc>
          <w:tcPr>
            <w:tcW w:w="9300" w:type="dxa"/>
            <w:vAlign w:val="bottom"/>
            <w:gridSpan w:val="8"/>
          </w:tcPr>
          <w:p>
            <w:pPr>
              <w:spacing w:after="0"/>
              <w:rPr>
                <w:rFonts w:ascii="Arial" w:cs="Arial" w:eastAsia="Arial" w:hAnsi="Arial"/>
                <w:sz w:val="16"/>
                <w:szCs w:val="16"/>
                <w:u w:val="single" w:color="auto"/>
                <w:color w:val="384BFF"/>
              </w:rPr>
            </w:pPr>
            <w:hyperlink w:anchor="page36">
              <w:r>
                <w:rPr>
                  <w:rFonts w:ascii="Arial" w:cs="Arial" w:eastAsia="Arial" w:hAnsi="Arial"/>
                  <w:sz w:val="16"/>
                  <w:szCs w:val="16"/>
                  <w:u w:val="single" w:color="auto"/>
                  <w:color w:val="384BFF"/>
                </w:rPr>
                <w:t>Quantitative and Qualitative Disclosures About Market Risk</w:t>
              </w:r>
            </w:hyperlink>
          </w:p>
        </w:tc>
        <w:tc>
          <w:tcPr>
            <w:tcW w:w="720" w:type="dxa"/>
            <w:vAlign w:val="bottom"/>
          </w:tcPr>
          <w:p>
            <w:pPr>
              <w:ind w:left="340"/>
              <w:spacing w:after="0"/>
              <w:rPr>
                <w:rFonts w:ascii="Arial" w:cs="Arial" w:eastAsia="Arial" w:hAnsi="Arial"/>
                <w:sz w:val="16"/>
                <w:szCs w:val="16"/>
                <w:u w:val="single" w:color="auto"/>
                <w:color w:val="384BFF"/>
              </w:rPr>
            </w:pPr>
            <w:hyperlink w:anchor="page36">
              <w:r>
                <w:rPr>
                  <w:rFonts w:ascii="Arial" w:cs="Arial" w:eastAsia="Arial" w:hAnsi="Arial"/>
                  <w:sz w:val="16"/>
                  <w:szCs w:val="16"/>
                  <w:u w:val="single" w:color="auto"/>
                  <w:color w:val="384BFF"/>
                </w:rPr>
                <w:t>37</w:t>
              </w:r>
            </w:hyperlink>
          </w:p>
        </w:tc>
      </w:tr>
      <w:tr>
        <w:trPr>
          <w:trHeight w:val="243"/>
        </w:trPr>
        <w:tc>
          <w:tcPr>
            <w:tcW w:w="9300" w:type="dxa"/>
            <w:vAlign w:val="bottom"/>
            <w:gridSpan w:val="8"/>
          </w:tcPr>
          <w:p>
            <w:pPr>
              <w:spacing w:after="0"/>
              <w:rPr>
                <w:rFonts w:ascii="Arial" w:cs="Arial" w:eastAsia="Arial" w:hAnsi="Arial"/>
                <w:sz w:val="16"/>
                <w:szCs w:val="16"/>
                <w:u w:val="single" w:color="auto"/>
                <w:color w:val="384BFF"/>
              </w:rPr>
            </w:pPr>
            <w:hyperlink w:anchor="page37">
              <w:r>
                <w:rPr>
                  <w:rFonts w:ascii="Arial" w:cs="Arial" w:eastAsia="Arial" w:hAnsi="Arial"/>
                  <w:sz w:val="16"/>
                  <w:szCs w:val="16"/>
                  <w:u w:val="single" w:color="auto"/>
                  <w:color w:val="384BFF"/>
                </w:rPr>
                <w:t>Controls and Procedures</w:t>
              </w:r>
            </w:hyperlink>
          </w:p>
        </w:tc>
        <w:tc>
          <w:tcPr>
            <w:tcW w:w="720" w:type="dxa"/>
            <w:vAlign w:val="bottom"/>
          </w:tcPr>
          <w:p>
            <w:pPr>
              <w:ind w:left="340"/>
              <w:spacing w:after="0"/>
              <w:rPr>
                <w:rFonts w:ascii="Arial" w:cs="Arial" w:eastAsia="Arial" w:hAnsi="Arial"/>
                <w:sz w:val="16"/>
                <w:szCs w:val="16"/>
                <w:u w:val="single" w:color="auto"/>
                <w:color w:val="384BFF"/>
              </w:rPr>
            </w:pPr>
            <w:hyperlink w:anchor="page37">
              <w:r>
                <w:rPr>
                  <w:rFonts w:ascii="Arial" w:cs="Arial" w:eastAsia="Arial" w:hAnsi="Arial"/>
                  <w:sz w:val="16"/>
                  <w:szCs w:val="16"/>
                  <w:u w:val="single" w:color="auto"/>
                  <w:color w:val="384BFF"/>
                </w:rPr>
                <w:t>38</w:t>
              </w:r>
            </w:hyperlink>
          </w:p>
        </w:tc>
      </w:tr>
      <w:tr>
        <w:trPr>
          <w:trHeight w:val="229"/>
        </w:trPr>
        <w:tc>
          <w:tcPr>
            <w:tcW w:w="9300" w:type="dxa"/>
            <w:vAlign w:val="bottom"/>
            <w:gridSpan w:val="8"/>
          </w:tcPr>
          <w:p>
            <w:pPr>
              <w:ind w:left="3460"/>
              <w:spacing w:after="0"/>
              <w:rPr>
                <w:sz w:val="20"/>
                <w:szCs w:val="20"/>
                <w:color w:val="auto"/>
              </w:rPr>
            </w:pPr>
            <w:r>
              <w:rPr>
                <w:rFonts w:ascii="Arial" w:cs="Arial" w:eastAsia="Arial" w:hAnsi="Arial"/>
                <w:sz w:val="16"/>
                <w:szCs w:val="16"/>
                <w:b w:val="1"/>
                <w:bCs w:val="1"/>
                <w:color w:val="auto"/>
              </w:rPr>
              <w:t>PART II – OTHER INFORMATION</w:t>
            </w:r>
          </w:p>
        </w:tc>
        <w:tc>
          <w:tcPr>
            <w:tcW w:w="720" w:type="dxa"/>
            <w:vAlign w:val="bottom"/>
          </w:tcPr>
          <w:p>
            <w:pPr>
              <w:spacing w:after="0"/>
              <w:rPr>
                <w:sz w:val="19"/>
                <w:szCs w:val="19"/>
                <w:color w:val="auto"/>
              </w:rPr>
            </w:pPr>
          </w:p>
        </w:tc>
      </w:tr>
    </w:tbl>
    <w:p>
      <w:pPr>
        <w:spacing w:after="0" w:line="48" w:lineRule="exact"/>
        <w:rPr>
          <w:sz w:val="20"/>
          <w:szCs w:val="20"/>
          <w:color w:val="auto"/>
        </w:rPr>
      </w:pPr>
    </w:p>
    <w:p>
      <w:pPr>
        <w:sectPr>
          <w:pgSz w:w="11900" w:h="16838" w:orient="portrait"/>
          <w:cols w:equalWidth="0" w:num="2">
            <w:col w:w="520" w:space="460"/>
            <w:col w:w="10020"/>
          </w:cols>
          <w:pgMar w:left="320" w:top="141" w:right="57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Item 1.</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1A.</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2.</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3.</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4.</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5.</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000" w:type="dxa"/>
            <w:vAlign w:val="bottom"/>
          </w:tcPr>
          <w:p>
            <w:pPr>
              <w:spacing w:after="0"/>
              <w:rPr>
                <w:rFonts w:ascii="Arial" w:cs="Arial" w:eastAsia="Arial" w:hAnsi="Arial"/>
                <w:sz w:val="16"/>
                <w:szCs w:val="16"/>
                <w:u w:val="single" w:color="auto"/>
                <w:color w:val="384BFF"/>
              </w:rPr>
            </w:pPr>
            <w:hyperlink w:anchor="page39">
              <w:r>
                <w:rPr>
                  <w:rFonts w:ascii="Arial" w:cs="Arial" w:eastAsia="Arial" w:hAnsi="Arial"/>
                  <w:sz w:val="16"/>
                  <w:szCs w:val="16"/>
                  <w:u w:val="single" w:color="auto"/>
                  <w:color w:val="384BFF"/>
                </w:rPr>
                <w:t>Legal Proceedings</w:t>
              </w:r>
            </w:hyperlink>
          </w:p>
        </w:tc>
        <w:tc>
          <w:tcPr>
            <w:tcW w:w="2820" w:type="dxa"/>
            <w:vAlign w:val="bottom"/>
          </w:tcPr>
          <w:p>
            <w:pPr>
              <w:jc w:val="right"/>
              <w:spacing w:after="0"/>
              <w:rPr>
                <w:rFonts w:ascii="Arial" w:cs="Arial" w:eastAsia="Arial" w:hAnsi="Arial"/>
                <w:sz w:val="16"/>
                <w:szCs w:val="16"/>
                <w:u w:val="single" w:color="auto"/>
                <w:color w:val="384BFF"/>
              </w:rPr>
            </w:pPr>
            <w:hyperlink w:anchor="page39">
              <w:r>
                <w:rPr>
                  <w:rFonts w:ascii="Arial" w:cs="Arial" w:eastAsia="Arial" w:hAnsi="Arial"/>
                  <w:sz w:val="16"/>
                  <w:szCs w:val="16"/>
                  <w:u w:val="single" w:color="auto"/>
                  <w:color w:val="384BFF"/>
                </w:rPr>
                <w:t>39</w:t>
              </w:r>
            </w:hyperlink>
          </w:p>
        </w:tc>
      </w:tr>
      <w:tr>
        <w:trPr>
          <w:trHeight w:val="243"/>
        </w:trPr>
        <w:tc>
          <w:tcPr>
            <w:tcW w:w="7000" w:type="dxa"/>
            <w:vAlign w:val="bottom"/>
          </w:tcPr>
          <w:p>
            <w:pPr>
              <w:spacing w:after="0"/>
              <w:rPr>
                <w:rFonts w:ascii="Arial" w:cs="Arial" w:eastAsia="Arial" w:hAnsi="Arial"/>
                <w:sz w:val="16"/>
                <w:szCs w:val="16"/>
                <w:u w:val="single" w:color="auto"/>
                <w:color w:val="384BFF"/>
              </w:rPr>
            </w:pPr>
            <w:hyperlink w:anchor="page39">
              <w:r>
                <w:rPr>
                  <w:rFonts w:ascii="Arial" w:cs="Arial" w:eastAsia="Arial" w:hAnsi="Arial"/>
                  <w:sz w:val="16"/>
                  <w:szCs w:val="16"/>
                  <w:u w:val="single" w:color="auto"/>
                  <w:color w:val="384BFF"/>
                </w:rPr>
                <w:t>Risk Factors</w:t>
              </w:r>
            </w:hyperlink>
          </w:p>
        </w:tc>
        <w:tc>
          <w:tcPr>
            <w:tcW w:w="2820" w:type="dxa"/>
            <w:vAlign w:val="bottom"/>
          </w:tcPr>
          <w:p>
            <w:pPr>
              <w:jc w:val="right"/>
              <w:spacing w:after="0"/>
              <w:rPr>
                <w:rFonts w:ascii="Arial" w:cs="Arial" w:eastAsia="Arial" w:hAnsi="Arial"/>
                <w:sz w:val="16"/>
                <w:szCs w:val="16"/>
                <w:u w:val="single" w:color="auto"/>
                <w:color w:val="384BFF"/>
              </w:rPr>
            </w:pPr>
            <w:hyperlink w:anchor="page39">
              <w:r>
                <w:rPr>
                  <w:rFonts w:ascii="Arial" w:cs="Arial" w:eastAsia="Arial" w:hAnsi="Arial"/>
                  <w:sz w:val="16"/>
                  <w:szCs w:val="16"/>
                  <w:u w:val="single" w:color="auto"/>
                  <w:color w:val="384BFF"/>
                </w:rPr>
                <w:t>39</w:t>
              </w:r>
            </w:hyperlink>
          </w:p>
        </w:tc>
      </w:tr>
      <w:tr>
        <w:trPr>
          <w:trHeight w:val="243"/>
        </w:trPr>
        <w:tc>
          <w:tcPr>
            <w:tcW w:w="7000" w:type="dxa"/>
            <w:vAlign w:val="bottom"/>
          </w:tcPr>
          <w:p>
            <w:pPr>
              <w:spacing w:after="0"/>
              <w:rPr>
                <w:rFonts w:ascii="Arial" w:cs="Arial" w:eastAsia="Arial" w:hAnsi="Arial"/>
                <w:sz w:val="16"/>
                <w:szCs w:val="16"/>
                <w:u w:val="single" w:color="auto"/>
                <w:color w:val="384BFF"/>
              </w:rPr>
            </w:pPr>
            <w:hyperlink w:anchor="page62">
              <w:r>
                <w:rPr>
                  <w:rFonts w:ascii="Arial" w:cs="Arial" w:eastAsia="Arial" w:hAnsi="Arial"/>
                  <w:sz w:val="16"/>
                  <w:szCs w:val="16"/>
                  <w:u w:val="single" w:color="auto"/>
                  <w:color w:val="384BFF"/>
                </w:rPr>
                <w:t>Unregistered Sales of Equity Securities and Use of Proceeds</w:t>
              </w:r>
            </w:hyperlink>
          </w:p>
        </w:tc>
        <w:tc>
          <w:tcPr>
            <w:tcW w:w="2820" w:type="dxa"/>
            <w:vAlign w:val="bottom"/>
          </w:tcPr>
          <w:p>
            <w:pPr>
              <w:jc w:val="right"/>
              <w:spacing w:after="0"/>
              <w:rPr>
                <w:rFonts w:ascii="Arial" w:cs="Arial" w:eastAsia="Arial" w:hAnsi="Arial"/>
                <w:sz w:val="16"/>
                <w:szCs w:val="16"/>
                <w:u w:val="single" w:color="auto"/>
                <w:color w:val="384BFF"/>
              </w:rPr>
            </w:pPr>
            <w:hyperlink w:anchor="page62">
              <w:r>
                <w:rPr>
                  <w:rFonts w:ascii="Arial" w:cs="Arial" w:eastAsia="Arial" w:hAnsi="Arial"/>
                  <w:sz w:val="16"/>
                  <w:szCs w:val="16"/>
                  <w:u w:val="single" w:color="auto"/>
                  <w:color w:val="384BFF"/>
                </w:rPr>
                <w:t>63</w:t>
              </w:r>
            </w:hyperlink>
          </w:p>
        </w:tc>
      </w:tr>
      <w:tr>
        <w:trPr>
          <w:trHeight w:val="243"/>
        </w:trPr>
        <w:tc>
          <w:tcPr>
            <w:tcW w:w="7000" w:type="dxa"/>
            <w:vAlign w:val="bottom"/>
          </w:tcPr>
          <w:p>
            <w:pPr>
              <w:spacing w:after="0"/>
              <w:rPr>
                <w:rFonts w:ascii="Arial" w:cs="Arial" w:eastAsia="Arial" w:hAnsi="Arial"/>
                <w:sz w:val="16"/>
                <w:szCs w:val="16"/>
                <w:u w:val="single" w:color="auto"/>
                <w:color w:val="384BFF"/>
              </w:rPr>
            </w:pPr>
            <w:hyperlink w:anchor="page63">
              <w:r>
                <w:rPr>
                  <w:rFonts w:ascii="Arial" w:cs="Arial" w:eastAsia="Arial" w:hAnsi="Arial"/>
                  <w:sz w:val="16"/>
                  <w:szCs w:val="16"/>
                  <w:u w:val="single" w:color="auto"/>
                  <w:color w:val="384BFF"/>
                </w:rPr>
                <w:t>Defaults upon Senior Securities</w:t>
              </w:r>
            </w:hyperlink>
          </w:p>
        </w:tc>
        <w:tc>
          <w:tcPr>
            <w:tcW w:w="2820" w:type="dxa"/>
            <w:vAlign w:val="bottom"/>
          </w:tcPr>
          <w:p>
            <w:pPr>
              <w:jc w:val="right"/>
              <w:spacing w:after="0"/>
              <w:rPr>
                <w:rFonts w:ascii="Arial" w:cs="Arial" w:eastAsia="Arial" w:hAnsi="Arial"/>
                <w:sz w:val="16"/>
                <w:szCs w:val="16"/>
                <w:u w:val="single" w:color="auto"/>
                <w:color w:val="384BFF"/>
              </w:rPr>
            </w:pPr>
            <w:hyperlink w:anchor="page63">
              <w:r>
                <w:rPr>
                  <w:rFonts w:ascii="Arial" w:cs="Arial" w:eastAsia="Arial" w:hAnsi="Arial"/>
                  <w:sz w:val="16"/>
                  <w:szCs w:val="16"/>
                  <w:u w:val="single" w:color="auto"/>
                  <w:color w:val="384BFF"/>
                </w:rPr>
                <w:t>63</w:t>
              </w:r>
            </w:hyperlink>
          </w:p>
        </w:tc>
      </w:tr>
      <w:tr>
        <w:trPr>
          <w:trHeight w:val="243"/>
        </w:trPr>
        <w:tc>
          <w:tcPr>
            <w:tcW w:w="7000" w:type="dxa"/>
            <w:vAlign w:val="bottom"/>
          </w:tcPr>
          <w:p>
            <w:pPr>
              <w:spacing w:after="0"/>
              <w:rPr>
                <w:rFonts w:ascii="Arial" w:cs="Arial" w:eastAsia="Arial" w:hAnsi="Arial"/>
                <w:sz w:val="16"/>
                <w:szCs w:val="16"/>
                <w:u w:val="single" w:color="auto"/>
                <w:color w:val="384BFF"/>
              </w:rPr>
            </w:pPr>
            <w:hyperlink w:anchor="page63">
              <w:r>
                <w:rPr>
                  <w:rFonts w:ascii="Arial" w:cs="Arial" w:eastAsia="Arial" w:hAnsi="Arial"/>
                  <w:sz w:val="16"/>
                  <w:szCs w:val="16"/>
                  <w:u w:val="single" w:color="auto"/>
                  <w:color w:val="384BFF"/>
                </w:rPr>
                <w:t>Mine Safety Disclosures</w:t>
              </w:r>
            </w:hyperlink>
          </w:p>
        </w:tc>
        <w:tc>
          <w:tcPr>
            <w:tcW w:w="2820" w:type="dxa"/>
            <w:vAlign w:val="bottom"/>
          </w:tcPr>
          <w:p>
            <w:pPr>
              <w:jc w:val="right"/>
              <w:spacing w:after="0"/>
              <w:rPr>
                <w:rFonts w:ascii="Arial" w:cs="Arial" w:eastAsia="Arial" w:hAnsi="Arial"/>
                <w:sz w:val="16"/>
                <w:szCs w:val="16"/>
                <w:u w:val="single" w:color="auto"/>
                <w:color w:val="384BFF"/>
              </w:rPr>
            </w:pPr>
            <w:hyperlink w:anchor="page63">
              <w:r>
                <w:rPr>
                  <w:rFonts w:ascii="Arial" w:cs="Arial" w:eastAsia="Arial" w:hAnsi="Arial"/>
                  <w:sz w:val="16"/>
                  <w:szCs w:val="16"/>
                  <w:u w:val="single" w:color="auto"/>
                  <w:color w:val="384BFF"/>
                </w:rPr>
                <w:t>63</w:t>
              </w:r>
            </w:hyperlink>
          </w:p>
        </w:tc>
      </w:tr>
      <w:tr>
        <w:trPr>
          <w:trHeight w:val="243"/>
        </w:trPr>
        <w:tc>
          <w:tcPr>
            <w:tcW w:w="7000" w:type="dxa"/>
            <w:vAlign w:val="bottom"/>
          </w:tcPr>
          <w:p>
            <w:pPr>
              <w:spacing w:after="0"/>
              <w:rPr>
                <w:rFonts w:ascii="Arial" w:cs="Arial" w:eastAsia="Arial" w:hAnsi="Arial"/>
                <w:sz w:val="16"/>
                <w:szCs w:val="16"/>
                <w:u w:val="single" w:color="auto"/>
                <w:color w:val="384BFF"/>
              </w:rPr>
            </w:pPr>
            <w:hyperlink w:anchor="page63">
              <w:r>
                <w:rPr>
                  <w:rFonts w:ascii="Arial" w:cs="Arial" w:eastAsia="Arial" w:hAnsi="Arial"/>
                  <w:sz w:val="16"/>
                  <w:szCs w:val="16"/>
                  <w:u w:val="single" w:color="auto"/>
                  <w:color w:val="384BFF"/>
                </w:rPr>
                <w:t>Other Information</w:t>
              </w:r>
            </w:hyperlink>
          </w:p>
        </w:tc>
        <w:tc>
          <w:tcPr>
            <w:tcW w:w="2820" w:type="dxa"/>
            <w:vAlign w:val="bottom"/>
          </w:tcPr>
          <w:p>
            <w:pPr>
              <w:jc w:val="right"/>
              <w:spacing w:after="0"/>
              <w:rPr>
                <w:rFonts w:ascii="Arial" w:cs="Arial" w:eastAsia="Arial" w:hAnsi="Arial"/>
                <w:sz w:val="16"/>
                <w:szCs w:val="16"/>
                <w:u w:val="single" w:color="auto"/>
                <w:color w:val="384BFF"/>
              </w:rPr>
            </w:pPr>
            <w:hyperlink w:anchor="page63">
              <w:r>
                <w:rPr>
                  <w:rFonts w:ascii="Arial" w:cs="Arial" w:eastAsia="Arial" w:hAnsi="Arial"/>
                  <w:sz w:val="16"/>
                  <w:szCs w:val="16"/>
                  <w:u w:val="single" w:color="auto"/>
                  <w:color w:val="384BFF"/>
                </w:rPr>
                <w:t>63</w:t>
              </w:r>
            </w:hyperlink>
          </w:p>
        </w:tc>
      </w:tr>
      <w:tr>
        <w:trPr>
          <w:trHeight w:val="243"/>
        </w:trPr>
        <w:tc>
          <w:tcPr>
            <w:tcW w:w="7000" w:type="dxa"/>
            <w:vAlign w:val="bottom"/>
          </w:tcPr>
          <w:p>
            <w:pPr>
              <w:spacing w:after="0"/>
              <w:rPr>
                <w:rFonts w:ascii="Arial" w:cs="Arial" w:eastAsia="Arial" w:hAnsi="Arial"/>
                <w:sz w:val="16"/>
                <w:szCs w:val="16"/>
                <w:u w:val="single" w:color="auto"/>
                <w:color w:val="384BFF"/>
              </w:rPr>
            </w:pPr>
            <w:hyperlink w:anchor="page63">
              <w:r>
                <w:rPr>
                  <w:rFonts w:ascii="Arial" w:cs="Arial" w:eastAsia="Arial" w:hAnsi="Arial"/>
                  <w:sz w:val="16"/>
                  <w:szCs w:val="16"/>
                  <w:u w:val="single" w:color="auto"/>
                  <w:color w:val="384BFF"/>
                </w:rPr>
                <w:t>Exhibits</w:t>
              </w:r>
            </w:hyperlink>
          </w:p>
        </w:tc>
        <w:tc>
          <w:tcPr>
            <w:tcW w:w="2820" w:type="dxa"/>
            <w:vAlign w:val="bottom"/>
          </w:tcPr>
          <w:p>
            <w:pPr>
              <w:jc w:val="right"/>
              <w:spacing w:after="0"/>
              <w:rPr>
                <w:rFonts w:ascii="Arial" w:cs="Arial" w:eastAsia="Arial" w:hAnsi="Arial"/>
                <w:sz w:val="16"/>
                <w:szCs w:val="16"/>
                <w:u w:val="single" w:color="auto"/>
                <w:color w:val="384BFF"/>
              </w:rPr>
            </w:pPr>
            <w:hyperlink w:anchor="page63">
              <w:r>
                <w:rPr>
                  <w:rFonts w:ascii="Arial" w:cs="Arial" w:eastAsia="Arial" w:hAnsi="Arial"/>
                  <w:sz w:val="16"/>
                  <w:szCs w:val="16"/>
                  <w:u w:val="single" w:color="auto"/>
                  <w:color w:val="384BFF"/>
                </w:rPr>
                <w:t>64</w:t>
              </w:r>
            </w:hyperlink>
          </w:p>
        </w:tc>
      </w:tr>
      <w:tr>
        <w:trPr>
          <w:trHeight w:val="216"/>
        </w:trPr>
        <w:tc>
          <w:tcPr>
            <w:tcW w:w="7000" w:type="dxa"/>
            <w:vAlign w:val="bottom"/>
          </w:tcPr>
          <w:p>
            <w:pPr>
              <w:spacing w:after="0"/>
              <w:rPr>
                <w:rFonts w:ascii="Arial" w:cs="Arial" w:eastAsia="Arial" w:hAnsi="Arial"/>
                <w:sz w:val="16"/>
                <w:szCs w:val="16"/>
                <w:u w:val="single" w:color="auto"/>
                <w:color w:val="384BFF"/>
              </w:rPr>
            </w:pPr>
            <w:hyperlink w:anchor="page64">
              <w:r>
                <w:rPr>
                  <w:rFonts w:ascii="Arial" w:cs="Arial" w:eastAsia="Arial" w:hAnsi="Arial"/>
                  <w:sz w:val="16"/>
                  <w:szCs w:val="16"/>
                  <w:u w:val="single" w:color="auto"/>
                  <w:color w:val="384BFF"/>
                </w:rPr>
                <w:t>Signatures</w:t>
              </w:r>
            </w:hyperlink>
          </w:p>
        </w:tc>
        <w:tc>
          <w:tcPr>
            <w:tcW w:w="2820" w:type="dxa"/>
            <w:vAlign w:val="bottom"/>
          </w:tcPr>
          <w:p>
            <w:pPr>
              <w:jc w:val="right"/>
              <w:spacing w:after="0"/>
              <w:rPr>
                <w:rFonts w:ascii="Arial" w:cs="Arial" w:eastAsia="Arial" w:hAnsi="Arial"/>
                <w:sz w:val="16"/>
                <w:szCs w:val="16"/>
                <w:u w:val="single" w:color="auto"/>
                <w:color w:val="384BFF"/>
              </w:rPr>
            </w:pPr>
            <w:hyperlink w:anchor="page64">
              <w:r>
                <w:rPr>
                  <w:rFonts w:ascii="Arial" w:cs="Arial" w:eastAsia="Arial" w:hAnsi="Arial"/>
                  <w:sz w:val="16"/>
                  <w:szCs w:val="16"/>
                  <w:u w:val="single" w:color="auto"/>
                  <w:color w:val="384BFF"/>
                </w:rPr>
                <w:t>65</w:t>
              </w:r>
            </w:hyperlink>
          </w:p>
        </w:tc>
      </w:tr>
    </w:tbl>
    <w:p>
      <w:pPr>
        <w:spacing w:after="0" w:line="200" w:lineRule="exact"/>
        <w:rPr>
          <w:sz w:val="20"/>
          <w:szCs w:val="20"/>
          <w:color w:val="auto"/>
        </w:rPr>
      </w:pPr>
    </w:p>
    <w:p>
      <w:pPr>
        <w:sectPr>
          <w:pgSz w:w="11900" w:h="16838" w:orient="portrait"/>
          <w:cols w:equalWidth="0" w:num="2">
            <w:col w:w="620" w:space="360"/>
            <w:col w:w="10020"/>
          </w:cols>
          <w:pgMar w:left="320" w:top="141"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41" w:right="579" w:bottom="1440" w:gutter="0" w:footer="0" w:header="0"/>
          <w:type w:val="continuous"/>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02"/>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113,909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87,559</w:t>
            </w:r>
          </w:p>
        </w:tc>
        <w:tc>
          <w:tcPr>
            <w:tcW w:w="0" w:type="dxa"/>
            <w:vAlign w:val="bottom"/>
          </w:tcPr>
          <w:p>
            <w:pPr>
              <w:spacing w:after="0"/>
              <w:rPr>
                <w:sz w:val="1"/>
                <w:szCs w:val="1"/>
                <w:color w:val="auto"/>
              </w:rPr>
            </w:pPr>
          </w:p>
        </w:tc>
      </w:tr>
      <w:tr>
        <w:trPr>
          <w:trHeight w:val="210"/>
        </w:trPr>
        <w:tc>
          <w:tcPr>
            <w:tcW w:w="8260" w:type="dxa"/>
            <w:vAlign w:val="bottom"/>
          </w:tcPr>
          <w:p>
            <w:pPr>
              <w:ind w:left="220"/>
              <w:spacing w:after="0"/>
              <w:rPr>
                <w:sz w:val="20"/>
                <w:szCs w:val="20"/>
                <w:color w:val="auto"/>
              </w:rPr>
            </w:pPr>
            <w:r>
              <w:rPr>
                <w:rFonts w:ascii="Arial" w:cs="Arial" w:eastAsia="Arial" w:hAnsi="Arial"/>
                <w:sz w:val="14"/>
                <w:szCs w:val="14"/>
                <w:color w:val="auto"/>
              </w:rPr>
              <w:t>Short-term marketable securities</w:t>
            </w:r>
          </w:p>
        </w:tc>
        <w:tc>
          <w:tcPr>
            <w:tcW w:w="1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233,922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211,331</w:t>
            </w: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 of allowance of $643 and $585 as of June 30, 2020 and December 31, 2019, respectively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75,938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78,034</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24,338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18,692</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448,107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395,616</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Long-term marketable securities</w:t>
            </w:r>
          </w:p>
        </w:tc>
        <w:tc>
          <w:tcPr>
            <w:tcW w:w="1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97,483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119,508</w:t>
            </w: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63,098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60,579</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Operating leases - right of use asset</w:t>
            </w:r>
          </w:p>
        </w:tc>
        <w:tc>
          <w:tcPr>
            <w:tcW w:w="1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42,930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40,551</w:t>
            </w: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18,830</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13,755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16,795</w:t>
            </w: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7,447</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16,024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15,082</w:t>
            </w:r>
          </w:p>
        </w:tc>
        <w:tc>
          <w:tcPr>
            <w:tcW w:w="0" w:type="dxa"/>
            <w:vAlign w:val="bottom"/>
          </w:tcPr>
          <w:p>
            <w:pPr>
              <w:spacing w:after="0"/>
              <w:rPr>
                <w:sz w:val="1"/>
                <w:szCs w:val="1"/>
                <w:color w:val="auto"/>
              </w:rPr>
            </w:pPr>
          </w:p>
        </w:tc>
      </w:tr>
      <w:tr>
        <w:trPr>
          <w:trHeight w:val="216"/>
        </w:trPr>
        <w:tc>
          <w:tcPr>
            <w:tcW w:w="8260" w:type="dxa"/>
            <w:vAlign w:val="bottom"/>
          </w:tcPr>
          <w:p>
            <w:pPr>
              <w:ind w:left="46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707,015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675,608</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231F20"/>
              </w:rPr>
              <w:t>Liabilities and Stockholders’ Equity</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210"/>
        </w:trPr>
        <w:tc>
          <w:tcPr>
            <w:tcW w:w="8260" w:type="dxa"/>
            <w:vAlign w:val="bottom"/>
          </w:tcPr>
          <w:p>
            <w:pPr>
              <w:ind w:left="220"/>
              <w:spacing w:after="0"/>
              <w:rPr>
                <w:sz w:val="20"/>
                <w:szCs w:val="20"/>
                <w:color w:val="auto"/>
              </w:rPr>
            </w:pPr>
            <w:r>
              <w:rPr>
                <w:rFonts w:ascii="Arial" w:cs="Arial" w:eastAsia="Arial" w:hAnsi="Arial"/>
                <w:sz w:val="14"/>
                <w:szCs w:val="14"/>
                <w:color w:val="auto"/>
              </w:rPr>
              <w:t>Accrued liabilities</w:t>
            </w:r>
          </w:p>
        </w:tc>
        <w:tc>
          <w:tcPr>
            <w:tcW w:w="1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24,810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22,784</w:t>
            </w: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revenues, current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199,732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192,172</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Operating lease liabilities, current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9,161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7,663</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235,098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223,467</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Deferred revenues, noncurrent</w:t>
            </w:r>
          </w:p>
        </w:tc>
        <w:tc>
          <w:tcPr>
            <w:tcW w:w="1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19,070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20,935</w:t>
            </w: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noncurrent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45,050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44,015</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299,241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288,805</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Commitments and contingencies (Note 9)</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260" w:type="dxa"/>
            <w:vAlign w:val="bottom"/>
          </w:tcPr>
          <w:p>
            <w:pPr>
              <w:ind w:left="140"/>
              <w:spacing w:after="0" w:line="153" w:lineRule="exact"/>
              <w:rPr>
                <w:sz w:val="20"/>
                <w:szCs w:val="20"/>
                <w:color w:val="auto"/>
              </w:rPr>
            </w:pPr>
            <w:r>
              <w:rPr>
                <w:rFonts w:ascii="Arial" w:cs="Arial" w:eastAsia="Arial" w:hAnsi="Arial"/>
                <w:sz w:val="14"/>
                <w:szCs w:val="14"/>
                <w:color w:val="auto"/>
              </w:rPr>
              <w:t>Preferred stock, $0.001 par value; 20,000,000 shares authorized, no shares issued and outstanding at June 30, 2020 and</w:t>
            </w:r>
          </w:p>
        </w:tc>
        <w:tc>
          <w:tcPr>
            <w:tcW w:w="180" w:type="dxa"/>
            <w:vAlign w:val="bottom"/>
          </w:tcPr>
          <w:p>
            <w:pPr>
              <w:spacing w:after="0"/>
              <w:rPr>
                <w:sz w:val="13"/>
                <w:szCs w:val="13"/>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260" w:type="dxa"/>
            <w:vAlign w:val="bottom"/>
          </w:tcPr>
          <w:p>
            <w:pPr>
              <w:ind w:left="220"/>
              <w:spacing w:after="0"/>
              <w:rPr>
                <w:sz w:val="20"/>
                <w:szCs w:val="20"/>
                <w:color w:val="auto"/>
              </w:rPr>
            </w:pPr>
            <w:r>
              <w:rPr>
                <w:rFonts w:ascii="Arial" w:cs="Arial" w:eastAsia="Arial" w:hAnsi="Arial"/>
                <w:sz w:val="14"/>
                <w:szCs w:val="14"/>
                <w:color w:val="auto"/>
              </w:rPr>
              <w:t>December 31, 2019</w:t>
            </w: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2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$0.001 par value; 1,000,000,000 shares authorized; 39,315,337 and 39,146,272 shares issued and</w:t>
            </w:r>
          </w:p>
        </w:tc>
        <w:tc>
          <w:tcPr>
            <w:tcW w:w="1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1"/>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outstanding at June 30, 2020 and December 31, 2019, respectively</w:t>
            </w:r>
          </w:p>
        </w:tc>
        <w:tc>
          <w:tcPr>
            <w:tcW w:w="18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6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384,202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362,408</w:t>
            </w: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other comprehensive income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Retained earnings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21,098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23,194</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407,774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386,803</w:t>
            </w:r>
          </w:p>
        </w:tc>
        <w:tc>
          <w:tcPr>
            <w:tcW w:w="0" w:type="dxa"/>
            <w:vAlign w:val="bottom"/>
          </w:tcPr>
          <w:p>
            <w:pPr>
              <w:spacing w:after="0"/>
              <w:rPr>
                <w:sz w:val="1"/>
                <w:szCs w:val="1"/>
                <w:color w:val="auto"/>
              </w:rPr>
            </w:pPr>
          </w:p>
        </w:tc>
      </w:tr>
      <w:tr>
        <w:trPr>
          <w:trHeight w:val="215"/>
        </w:trPr>
        <w:tc>
          <w:tcPr>
            <w:tcW w:w="8260" w:type="dxa"/>
            <w:vAlign w:val="bottom"/>
          </w:tcPr>
          <w:p>
            <w:pPr>
              <w:ind w:left="460"/>
              <w:spacing w:after="0"/>
              <w:rPr>
                <w:sz w:val="20"/>
                <w:szCs w:val="20"/>
                <w:color w:val="auto"/>
              </w:rPr>
            </w:pPr>
            <w:r>
              <w:rPr>
                <w:rFonts w:ascii="Arial" w:cs="Arial" w:eastAsia="Arial" w:hAnsi="Arial"/>
                <w:sz w:val="14"/>
                <w:szCs w:val="14"/>
                <w:color w:val="231F20"/>
              </w:rPr>
              <w:t>Total liabilities and stockholders’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707,015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675,608</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2"/>
        </w:trPr>
        <w:tc>
          <w:tcPr>
            <w:tcW w:w="5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88,830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78,929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175,093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154,272</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revenues</w:t>
            </w:r>
          </w:p>
        </w:tc>
        <w:tc>
          <w:tcPr>
            <w:tcW w:w="28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auto"/>
              </w:rPr>
              <w:t>18,891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88"/>
              <w:spacing w:after="0"/>
              <w:rPr>
                <w:sz w:val="20"/>
                <w:szCs w:val="20"/>
                <w:color w:val="auto"/>
              </w:rPr>
            </w:pPr>
            <w:r>
              <w:rPr>
                <w:rFonts w:ascii="Arial" w:cs="Arial" w:eastAsia="Arial" w:hAnsi="Arial"/>
                <w:sz w:val="14"/>
                <w:szCs w:val="14"/>
                <w:color w:val="auto"/>
              </w:rPr>
              <w:t>17,537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37,386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auto"/>
              </w:rPr>
              <w:t>35,246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Gross profit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69,939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61,392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137,707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119,026</w:t>
            </w:r>
          </w:p>
        </w:tc>
        <w:tc>
          <w:tcPr>
            <w:tcW w:w="0" w:type="dxa"/>
            <w:vAlign w:val="bottom"/>
          </w:tcPr>
          <w:p>
            <w:pPr>
              <w:spacing w:after="0"/>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18,058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17,695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36,041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33,532</w:t>
            </w:r>
          </w:p>
        </w:tc>
        <w:tc>
          <w:tcPr>
            <w:tcW w:w="0" w:type="dxa"/>
            <w:vAlign w:val="bottom"/>
          </w:tcPr>
          <w:p>
            <w:pPr>
              <w:spacing w:after="0"/>
              <w:rPr>
                <w:sz w:val="1"/>
                <w:szCs w:val="1"/>
                <w:color w:val="auto"/>
              </w:rPr>
            </w:pPr>
          </w:p>
        </w:tc>
      </w:tr>
      <w:tr>
        <w:trPr>
          <w:trHeight w:val="210"/>
        </w:trPr>
        <w:tc>
          <w:tcPr>
            <w:tcW w:w="5740" w:type="dxa"/>
            <w:vAlign w:val="bottom"/>
          </w:tcPr>
          <w:p>
            <w:pPr>
              <w:ind w:left="220"/>
              <w:spacing w:after="0"/>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15,783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17,165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34,013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34,480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231F20"/>
            </w:tcBorders>
            <w:shd w:val="clear" w:color="auto" w:fill="CCEEFF"/>
          </w:tcPr>
          <w:p>
            <w:pPr>
              <w:spacing w:after="0"/>
              <w:rPr>
                <w:sz w:val="18"/>
                <w:szCs w:val="18"/>
                <w:color w:val="auto"/>
              </w:rPr>
            </w:pPr>
          </w:p>
        </w:tc>
        <w:tc>
          <w:tcPr>
            <w:tcW w:w="1000" w:type="dxa"/>
            <w:vAlign w:val="bottom"/>
            <w:tcBorders>
              <w:bottom w:val="single" w:sz="8" w:color="231F20"/>
            </w:tcBorders>
            <w:shd w:val="clear" w:color="auto" w:fill="CCEEFF"/>
          </w:tcPr>
          <w:p>
            <w:pPr>
              <w:jc w:val="right"/>
              <w:ind w:right="68"/>
              <w:spacing w:after="0"/>
              <w:rPr>
                <w:sz w:val="20"/>
                <w:szCs w:val="20"/>
                <w:color w:val="auto"/>
              </w:rPr>
            </w:pPr>
            <w:r>
              <w:rPr>
                <w:rFonts w:ascii="Arial" w:cs="Arial" w:eastAsia="Arial" w:hAnsi="Arial"/>
                <w:sz w:val="14"/>
                <w:szCs w:val="14"/>
                <w:color w:val="auto"/>
              </w:rPr>
              <w:t>10,590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231F20"/>
            </w:tcBorders>
            <w:shd w:val="clear" w:color="auto" w:fill="CCEEFF"/>
          </w:tcPr>
          <w:p>
            <w:pPr>
              <w:spacing w:after="0"/>
              <w:rPr>
                <w:sz w:val="18"/>
                <w:szCs w:val="18"/>
                <w:color w:val="auto"/>
              </w:rPr>
            </w:pPr>
          </w:p>
        </w:tc>
        <w:tc>
          <w:tcPr>
            <w:tcW w:w="940" w:type="dxa"/>
            <w:vAlign w:val="bottom"/>
            <w:tcBorders>
              <w:bottom w:val="single" w:sz="8" w:color="231F20"/>
            </w:tcBorders>
            <w:shd w:val="clear" w:color="auto" w:fill="CCEEFF"/>
          </w:tcPr>
          <w:p>
            <w:pPr>
              <w:jc w:val="right"/>
              <w:ind w:right="88"/>
              <w:spacing w:after="0"/>
              <w:rPr>
                <w:sz w:val="20"/>
                <w:szCs w:val="20"/>
                <w:color w:val="auto"/>
              </w:rPr>
            </w:pPr>
            <w:r>
              <w:rPr>
                <w:rFonts w:ascii="Arial" w:cs="Arial" w:eastAsia="Arial" w:hAnsi="Arial"/>
                <w:sz w:val="14"/>
                <w:szCs w:val="14"/>
                <w:color w:val="auto"/>
              </w:rPr>
              <w:t>10,424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21,714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231F20"/>
            </w:tcBorders>
            <w:shd w:val="clear" w:color="auto" w:fill="CCEEFF"/>
          </w:tcPr>
          <w:p>
            <w:pPr>
              <w:spacing w:after="0"/>
              <w:rPr>
                <w:sz w:val="18"/>
                <w:szCs w:val="18"/>
                <w:color w:val="auto"/>
              </w:rPr>
            </w:pPr>
          </w:p>
        </w:tc>
        <w:tc>
          <w:tcPr>
            <w:tcW w:w="940" w:type="dxa"/>
            <w:vAlign w:val="bottom"/>
            <w:tcBorders>
              <w:bottom w:val="single" w:sz="8" w:color="231F20"/>
            </w:tcBorders>
            <w:shd w:val="clear" w:color="auto" w:fill="CCEEFF"/>
          </w:tcPr>
          <w:p>
            <w:pPr>
              <w:jc w:val="right"/>
              <w:ind w:right="68"/>
              <w:spacing w:after="0"/>
              <w:rPr>
                <w:sz w:val="20"/>
                <w:szCs w:val="20"/>
                <w:color w:val="auto"/>
              </w:rPr>
            </w:pPr>
            <w:r>
              <w:rPr>
                <w:rFonts w:ascii="Arial" w:cs="Arial" w:eastAsia="Arial" w:hAnsi="Arial"/>
                <w:sz w:val="14"/>
                <w:szCs w:val="14"/>
                <w:color w:val="auto"/>
              </w:rPr>
              <w:t>20,855</w:t>
            </w:r>
          </w:p>
        </w:tc>
        <w:tc>
          <w:tcPr>
            <w:tcW w:w="0" w:type="dxa"/>
            <w:vAlign w:val="bottom"/>
          </w:tcPr>
          <w:p>
            <w:pPr>
              <w:spacing w:after="0"/>
              <w:rPr>
                <w:sz w:val="1"/>
                <w:szCs w:val="1"/>
                <w:color w:val="auto"/>
              </w:rPr>
            </w:pPr>
          </w:p>
        </w:tc>
      </w:tr>
      <w:tr>
        <w:trPr>
          <w:trHeight w:val="209"/>
        </w:trPr>
        <w:tc>
          <w:tcPr>
            <w:tcW w:w="57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auto"/>
              </w:rPr>
              <w:t>44,431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88"/>
              <w:spacing w:after="0"/>
              <w:rPr>
                <w:sz w:val="20"/>
                <w:szCs w:val="20"/>
                <w:color w:val="auto"/>
              </w:rPr>
            </w:pPr>
            <w:r>
              <w:rPr>
                <w:rFonts w:ascii="Arial" w:cs="Arial" w:eastAsia="Arial" w:hAnsi="Arial"/>
                <w:sz w:val="14"/>
                <w:szCs w:val="14"/>
                <w:color w:val="auto"/>
              </w:rPr>
              <w:t>45,284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91,768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auto"/>
              </w:rPr>
              <w:t>88,867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25,508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16,108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45,939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30,159</w:t>
            </w:r>
          </w:p>
        </w:tc>
        <w:tc>
          <w:tcPr>
            <w:tcW w:w="0" w:type="dxa"/>
            <w:vAlign w:val="bottom"/>
          </w:tcPr>
          <w:p>
            <w:pPr>
              <w:spacing w:after="0"/>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10"/>
        </w:trPr>
        <w:tc>
          <w:tcPr>
            <w:tcW w:w="574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1,392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2,198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3,316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4,249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 net</w:t>
            </w:r>
          </w:p>
        </w:tc>
        <w:tc>
          <w:tcPr>
            <w:tcW w:w="280" w:type="dxa"/>
            <w:vAlign w:val="bottom"/>
            <w:tcBorders>
              <w:bottom w:val="single" w:sz="8" w:color="231F20"/>
            </w:tcBorders>
            <w:shd w:val="clear" w:color="auto" w:fill="CCEEFF"/>
          </w:tcPr>
          <w:p>
            <w:pPr>
              <w:spacing w:after="0"/>
              <w:rPr>
                <w:sz w:val="18"/>
                <w:szCs w:val="18"/>
                <w:color w:val="auto"/>
              </w:rPr>
            </w:pPr>
          </w:p>
        </w:tc>
        <w:tc>
          <w:tcPr>
            <w:tcW w:w="1000" w:type="dxa"/>
            <w:vAlign w:val="bottom"/>
            <w:tcBorders>
              <w:bottom w:val="single" w:sz="8" w:color="231F20"/>
            </w:tcBorders>
            <w:shd w:val="clear" w:color="auto" w:fill="CCEEFF"/>
          </w:tcPr>
          <w:p>
            <w:pPr>
              <w:jc w:val="right"/>
              <w:ind w:right="6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231F20"/>
            </w:tcBorders>
            <w:shd w:val="clear" w:color="auto" w:fill="CCEEFF"/>
          </w:tcPr>
          <w:p>
            <w:pPr>
              <w:spacing w:after="0"/>
              <w:rPr>
                <w:sz w:val="18"/>
                <w:szCs w:val="18"/>
                <w:color w:val="auto"/>
              </w:rPr>
            </w:pPr>
          </w:p>
        </w:tc>
        <w:tc>
          <w:tcPr>
            <w:tcW w:w="940" w:type="dxa"/>
            <w:vAlign w:val="bottom"/>
            <w:tcBorders>
              <w:bottom w:val="single" w:sz="8" w:color="231F20"/>
            </w:tcBorders>
            <w:shd w:val="clear" w:color="auto" w:fill="CCEEFF"/>
          </w:tcPr>
          <w:p>
            <w:pPr>
              <w:jc w:val="right"/>
              <w:ind w:right="8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231F20"/>
            </w:tcBorders>
            <w:shd w:val="clear" w:color="auto" w:fill="CCEEFF"/>
          </w:tcPr>
          <w:p>
            <w:pPr>
              <w:spacing w:after="0"/>
              <w:rPr>
                <w:sz w:val="18"/>
                <w:szCs w:val="18"/>
                <w:color w:val="auto"/>
              </w:rPr>
            </w:pPr>
          </w:p>
        </w:tc>
        <w:tc>
          <w:tcPr>
            <w:tcW w:w="940" w:type="dxa"/>
            <w:vAlign w:val="bottom"/>
            <w:tcBorders>
              <w:bottom w:val="single" w:sz="8" w:color="231F20"/>
            </w:tcBorders>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9"/>
        </w:trPr>
        <w:tc>
          <w:tcPr>
            <w:tcW w:w="57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other income, net</w:t>
            </w:r>
          </w:p>
        </w:tc>
        <w:tc>
          <w:tcPr>
            <w:tcW w:w="28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auto"/>
              </w:rPr>
              <w:t>1,586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88"/>
              <w:spacing w:after="0"/>
              <w:rPr>
                <w:sz w:val="20"/>
                <w:szCs w:val="20"/>
                <w:color w:val="auto"/>
              </w:rPr>
            </w:pPr>
            <w:r>
              <w:rPr>
                <w:rFonts w:ascii="Arial" w:cs="Arial" w:eastAsia="Arial" w:hAnsi="Arial"/>
                <w:sz w:val="14"/>
                <w:szCs w:val="14"/>
                <w:color w:val="auto"/>
              </w:rPr>
              <w:t>2,401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3,372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auto"/>
              </w:rPr>
              <w:t>4,187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27,094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18,509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49,311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34,346</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2,277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4,298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4,848</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26,319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16,232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45,013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29,498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40" w:type="dxa"/>
            <w:vAlign w:val="bottom"/>
          </w:tcPr>
          <w:p>
            <w:pPr>
              <w:ind w:left="220"/>
              <w:spacing w:after="0"/>
              <w:rPr>
                <w:sz w:val="20"/>
                <w:szCs w:val="20"/>
                <w:color w:val="auto"/>
              </w:rPr>
            </w:pPr>
            <w:r>
              <w:rPr>
                <w:rFonts w:ascii="Arial" w:cs="Arial" w:eastAsia="Arial" w:hAnsi="Arial"/>
                <w:sz w:val="14"/>
                <w:szCs w:val="14"/>
                <w:color w:val="auto"/>
              </w:rPr>
              <w:t>Diluted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0.64</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used in computing net income per share:</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4"/>
                <w:szCs w:val="14"/>
                <w:color w:val="auto"/>
              </w:rPr>
              <w:t>Basic</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39,161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39,198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39,137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39,143</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40,919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41,530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40,928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41,570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6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7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9"/>
                <w:szCs w:val="19"/>
                <w:color w:val="auto"/>
              </w:rPr>
            </w:pPr>
          </w:p>
        </w:tc>
      </w:tr>
      <w:tr>
        <w:trPr>
          <w:trHeight w:val="209"/>
        </w:trPr>
        <w:tc>
          <w:tcPr>
            <w:tcW w:w="7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26,319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16,232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45,013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29,498</w:t>
            </w:r>
          </w:p>
        </w:tc>
      </w:tr>
      <w:tr>
        <w:trPr>
          <w:trHeight w:val="210"/>
        </w:trPr>
        <w:tc>
          <w:tcPr>
            <w:tcW w:w="7340" w:type="dxa"/>
            <w:vAlign w:val="bottom"/>
          </w:tcPr>
          <w:p>
            <w:pPr>
              <w:ind w:left="12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2"/>
        </w:trPr>
        <w:tc>
          <w:tcPr>
            <w:tcW w:w="7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Available-for-sale debt securities: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194"/>
        </w:trPr>
        <w:tc>
          <w:tcPr>
            <w:tcW w:w="7340" w:type="dxa"/>
            <w:vAlign w:val="bottom"/>
          </w:tcPr>
          <w:p>
            <w:pPr>
              <w:ind w:left="340"/>
              <w:spacing w:after="0"/>
              <w:rPr>
                <w:sz w:val="20"/>
                <w:szCs w:val="20"/>
                <w:color w:val="auto"/>
              </w:rPr>
            </w:pPr>
            <w:r>
              <w:rPr>
                <w:rFonts w:ascii="Arial" w:cs="Arial" w:eastAsia="Arial" w:hAnsi="Arial"/>
                <w:sz w:val="14"/>
                <w:szCs w:val="14"/>
                <w:color w:val="auto"/>
              </w:rPr>
              <w:t>Changes in net unrealized gains, net of tax effects of ($324) and ($213) in the three months ended June 30,</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62"/>
        </w:trPr>
        <w:tc>
          <w:tcPr>
            <w:tcW w:w="7340" w:type="dxa"/>
            <w:vAlign w:val="bottom"/>
          </w:tcPr>
          <w:p>
            <w:pPr>
              <w:ind w:left="340"/>
              <w:spacing w:after="0"/>
              <w:rPr>
                <w:sz w:val="20"/>
                <w:szCs w:val="20"/>
                <w:color w:val="auto"/>
              </w:rPr>
            </w:pPr>
            <w:r>
              <w:rPr>
                <w:rFonts w:ascii="Arial" w:cs="Arial" w:eastAsia="Arial" w:hAnsi="Arial"/>
                <w:sz w:val="14"/>
                <w:szCs w:val="14"/>
                <w:color w:val="auto"/>
              </w:rPr>
              <w:t>2020 and 2019, respectively, and ($428) and ($251) in the six months ended June 30, 2020 and 2019,</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8"/>
        </w:trPr>
        <w:tc>
          <w:tcPr>
            <w:tcW w:w="7340" w:type="dxa"/>
            <w:vAlign w:val="bottom"/>
          </w:tcPr>
          <w:p>
            <w:pPr>
              <w:ind w:left="340"/>
              <w:spacing w:after="0"/>
              <w:rPr>
                <w:sz w:val="20"/>
                <w:szCs w:val="20"/>
                <w:color w:val="auto"/>
              </w:rPr>
            </w:pPr>
            <w:r>
              <w:rPr>
                <w:rFonts w:ascii="Arial" w:cs="Arial" w:eastAsia="Arial" w:hAnsi="Arial"/>
                <w:sz w:val="14"/>
                <w:szCs w:val="14"/>
                <w:color w:val="auto"/>
              </w:rPr>
              <w:t>respectively.</w:t>
            </w:r>
          </w:p>
        </w:tc>
        <w:tc>
          <w:tcPr>
            <w:tcW w:w="20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1,444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1,379</w:t>
            </w:r>
          </w:p>
        </w:tc>
      </w:tr>
      <w:tr>
        <w:trPr>
          <w:trHeight w:val="200"/>
        </w:trPr>
        <w:tc>
          <w:tcPr>
            <w:tcW w:w="7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Reclassification adjustments for net realized (gains) losses included in net income, net of tax effects of $5 and</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62"/>
        </w:trPr>
        <w:tc>
          <w:tcPr>
            <w:tcW w:w="7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($4) in the three months ended June 30, 2020 and 2019, respectively, and $30 and ($6) in the six months</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78"/>
        </w:trPr>
        <w:tc>
          <w:tcPr>
            <w:tcW w:w="7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ended June 30, 2020 and 2019, respectively.</w:t>
            </w: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w:t>
            </w:r>
          </w:p>
        </w:tc>
      </w:tr>
      <w:tr>
        <w:trPr>
          <w:trHeight w:val="210"/>
        </w:trPr>
        <w:tc>
          <w:tcPr>
            <w:tcW w:w="7340" w:type="dxa"/>
            <w:vAlign w:val="bottom"/>
          </w:tcPr>
          <w:p>
            <w:pPr>
              <w:ind w:left="460"/>
              <w:spacing w:after="0"/>
              <w:rPr>
                <w:sz w:val="20"/>
                <w:szCs w:val="20"/>
                <w:color w:val="auto"/>
              </w:rPr>
            </w:pPr>
            <w:r>
              <w:rPr>
                <w:rFonts w:ascii="Arial" w:cs="Arial" w:eastAsia="Arial" w:hAnsi="Arial"/>
                <w:sz w:val="14"/>
                <w:szCs w:val="14"/>
                <w:color w:val="auto"/>
              </w:rPr>
              <w:t>Total changes in unrealized gains on marketable securities, net of tax</w:t>
            </w:r>
          </w:p>
        </w:tc>
        <w:tc>
          <w:tcPr>
            <w:tcW w:w="20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1,344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1,422</w:t>
            </w:r>
          </w:p>
        </w:tc>
      </w:tr>
      <w:tr>
        <w:trPr>
          <w:trHeight w:val="222"/>
        </w:trPr>
        <w:tc>
          <w:tcPr>
            <w:tcW w:w="7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flow hedges: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194"/>
        </w:trPr>
        <w:tc>
          <w:tcPr>
            <w:tcW w:w="7340" w:type="dxa"/>
            <w:vAlign w:val="bottom"/>
          </w:tcPr>
          <w:p>
            <w:pPr>
              <w:ind w:left="340"/>
              <w:spacing w:after="0"/>
              <w:rPr>
                <w:sz w:val="20"/>
                <w:szCs w:val="20"/>
                <w:color w:val="auto"/>
              </w:rPr>
            </w:pPr>
            <w:r>
              <w:rPr>
                <w:rFonts w:ascii="Arial" w:cs="Arial" w:eastAsia="Arial" w:hAnsi="Arial"/>
                <w:sz w:val="14"/>
                <w:szCs w:val="14"/>
                <w:color w:val="auto"/>
              </w:rPr>
              <w:t>Changes in net unrealized gains (losses), net of tax effects of $33 and ($43) in the three months ended June</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62"/>
        </w:trPr>
        <w:tc>
          <w:tcPr>
            <w:tcW w:w="7340" w:type="dxa"/>
            <w:vAlign w:val="bottom"/>
          </w:tcPr>
          <w:p>
            <w:pPr>
              <w:ind w:left="340"/>
              <w:spacing w:after="0"/>
              <w:rPr>
                <w:sz w:val="20"/>
                <w:szCs w:val="20"/>
                <w:color w:val="auto"/>
              </w:rPr>
            </w:pPr>
            <w:r>
              <w:rPr>
                <w:rFonts w:ascii="Arial" w:cs="Arial" w:eastAsia="Arial" w:hAnsi="Arial"/>
                <w:sz w:val="14"/>
                <w:szCs w:val="14"/>
                <w:color w:val="auto"/>
              </w:rPr>
              <w:t>30, 2020 and 2019, respectively, and ($61) and ($91) in the six months ended June 30, 2020 and 2019,</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8"/>
        </w:trPr>
        <w:tc>
          <w:tcPr>
            <w:tcW w:w="7340" w:type="dxa"/>
            <w:vAlign w:val="bottom"/>
          </w:tcPr>
          <w:p>
            <w:pPr>
              <w:ind w:left="340"/>
              <w:spacing w:after="0"/>
              <w:rPr>
                <w:sz w:val="20"/>
                <w:szCs w:val="20"/>
                <w:color w:val="auto"/>
              </w:rPr>
            </w:pPr>
            <w:r>
              <w:rPr>
                <w:rFonts w:ascii="Arial" w:cs="Arial" w:eastAsia="Arial" w:hAnsi="Arial"/>
                <w:sz w:val="14"/>
                <w:szCs w:val="14"/>
                <w:color w:val="auto"/>
              </w:rPr>
              <w:t>respectively.</w:t>
            </w:r>
          </w:p>
        </w:tc>
        <w:tc>
          <w:tcPr>
            <w:tcW w:w="20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351</w:t>
            </w:r>
          </w:p>
        </w:tc>
      </w:tr>
      <w:tr>
        <w:trPr>
          <w:trHeight w:val="200"/>
        </w:trPr>
        <w:tc>
          <w:tcPr>
            <w:tcW w:w="7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Reclassification adjustments for net realized (gains) losses included in net income, net of tax effects of $25</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62"/>
        </w:trPr>
        <w:tc>
          <w:tcPr>
            <w:tcW w:w="7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and ($13) in the three months ended June 30, 2020 and 2019, respectively, and $82 and ($16) in the six</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78"/>
        </w:trPr>
        <w:tc>
          <w:tcPr>
            <w:tcW w:w="7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months ended June 30, 2020 and 2019, respectively.</w:t>
            </w: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w:t>
            </w:r>
          </w:p>
        </w:tc>
      </w:tr>
      <w:tr>
        <w:trPr>
          <w:trHeight w:val="209"/>
        </w:trPr>
        <w:tc>
          <w:tcPr>
            <w:tcW w:w="73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changes in unrealized gains (losses) on cash flow hedges, net of tax</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404</w:t>
            </w:r>
          </w:p>
        </w:tc>
      </w:tr>
      <w:tr>
        <w:trPr>
          <w:trHeight w:val="210"/>
        </w:trPr>
        <w:tc>
          <w:tcPr>
            <w:tcW w:w="73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comprehensive income, net of tax</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882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1,273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1,826</w:t>
            </w:r>
          </w:p>
        </w:tc>
      </w:tr>
      <w:tr>
        <w:trPr>
          <w:trHeight w:val="215"/>
        </w:trPr>
        <w:tc>
          <w:tcPr>
            <w:tcW w:w="734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27,201</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17,162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46,286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31,324</w:t>
            </w: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8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9"/>
                <w:szCs w:val="19"/>
                <w:color w:val="auto"/>
              </w:rPr>
            </w:pPr>
          </w:p>
        </w:tc>
      </w:tr>
      <w:tr>
        <w:trPr>
          <w:trHeight w:val="210"/>
        </w:trPr>
        <w:tc>
          <w:tcPr>
            <w:tcW w:w="86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20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 from operating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0"/>
        </w:trPr>
        <w:tc>
          <w:tcPr>
            <w:tcW w:w="864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45,013</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29,498</w:t>
            </w:r>
          </w:p>
        </w:tc>
      </w:tr>
      <w:tr>
        <w:trPr>
          <w:trHeight w:val="222"/>
        </w:trPr>
        <w:tc>
          <w:tcPr>
            <w:tcW w:w="8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0"/>
        </w:trPr>
        <w:tc>
          <w:tcPr>
            <w:tcW w:w="8640" w:type="dxa"/>
            <w:vAlign w:val="bottom"/>
          </w:tcPr>
          <w:p>
            <w:pPr>
              <w:ind w:left="460"/>
              <w:spacing w:after="0"/>
              <w:rPr>
                <w:sz w:val="20"/>
                <w:szCs w:val="20"/>
                <w:color w:val="auto"/>
              </w:rPr>
            </w:pPr>
            <w:r>
              <w:rPr>
                <w:rFonts w:ascii="Arial" w:cs="Arial" w:eastAsia="Arial" w:hAnsi="Arial"/>
                <w:sz w:val="14"/>
                <w:szCs w:val="14"/>
                <w:color w:val="auto"/>
              </w:rPr>
              <w:t>Depreciation and amortization expense</w:t>
            </w:r>
          </w:p>
        </w:tc>
        <w:tc>
          <w:tcPr>
            <w:tcW w:w="2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15,633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15,809</w:t>
            </w:r>
          </w:p>
        </w:tc>
      </w:tr>
      <w:tr>
        <w:trPr>
          <w:trHeight w:val="222"/>
        </w:trPr>
        <w:tc>
          <w:tcPr>
            <w:tcW w:w="86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Loss on disposal of property and equipment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w:t>
            </w:r>
          </w:p>
        </w:tc>
      </w:tr>
      <w:tr>
        <w:trPr>
          <w:trHeight w:val="210"/>
        </w:trPr>
        <w:tc>
          <w:tcPr>
            <w:tcW w:w="8640" w:type="dxa"/>
            <w:vAlign w:val="bottom"/>
          </w:tcPr>
          <w:p>
            <w:pPr>
              <w:ind w:left="460"/>
              <w:spacing w:after="0"/>
              <w:rPr>
                <w:sz w:val="20"/>
                <w:szCs w:val="20"/>
                <w:color w:val="auto"/>
              </w:rPr>
            </w:pPr>
            <w:r>
              <w:rPr>
                <w:rFonts w:ascii="Arial" w:cs="Arial" w:eastAsia="Arial" w:hAnsi="Arial"/>
                <w:sz w:val="14"/>
                <w:szCs w:val="14"/>
                <w:color w:val="auto"/>
              </w:rPr>
              <w:t>Bad debt expense</w:t>
            </w:r>
          </w:p>
        </w:tc>
        <w:tc>
          <w:tcPr>
            <w:tcW w:w="2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86</w:t>
            </w:r>
          </w:p>
        </w:tc>
      </w:tr>
      <w:tr>
        <w:trPr>
          <w:trHeight w:val="222"/>
        </w:trPr>
        <w:tc>
          <w:tcPr>
            <w:tcW w:w="86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16,780</w:t>
            </w:r>
          </w:p>
        </w:tc>
      </w:tr>
      <w:tr>
        <w:trPr>
          <w:trHeight w:val="210"/>
        </w:trPr>
        <w:tc>
          <w:tcPr>
            <w:tcW w:w="8640" w:type="dxa"/>
            <w:vAlign w:val="bottom"/>
          </w:tcPr>
          <w:p>
            <w:pPr>
              <w:ind w:left="460"/>
              <w:spacing w:after="0"/>
              <w:rPr>
                <w:sz w:val="20"/>
                <w:szCs w:val="20"/>
                <w:color w:val="auto"/>
              </w:rPr>
            </w:pPr>
            <w:r>
              <w:rPr>
                <w:rFonts w:ascii="Arial" w:cs="Arial" w:eastAsia="Arial" w:hAnsi="Arial"/>
                <w:sz w:val="14"/>
                <w:szCs w:val="14"/>
                <w:color w:val="auto"/>
              </w:rPr>
              <w:t>Accretion of discounts on marketable securities</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(1,060)</w:t>
            </w:r>
          </w:p>
        </w:tc>
      </w:tr>
      <w:tr>
        <w:trPr>
          <w:trHeight w:val="222"/>
        </w:trPr>
        <w:tc>
          <w:tcPr>
            <w:tcW w:w="86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3,047</w:t>
            </w:r>
          </w:p>
        </w:tc>
      </w:tr>
      <w:tr>
        <w:trPr>
          <w:trHeight w:val="210"/>
        </w:trPr>
        <w:tc>
          <w:tcPr>
            <w:tcW w:w="8640" w:type="dxa"/>
            <w:vAlign w:val="bottom"/>
          </w:tcPr>
          <w:p>
            <w:pPr>
              <w:ind w:left="46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8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12,555</w:t>
            </w:r>
          </w:p>
        </w:tc>
      </w:tr>
      <w:tr>
        <w:trPr>
          <w:trHeight w:val="210"/>
        </w:trPr>
        <w:tc>
          <w:tcPr>
            <w:tcW w:w="8640" w:type="dxa"/>
            <w:vAlign w:val="bottom"/>
          </w:tcPr>
          <w:p>
            <w:pPr>
              <w:ind w:left="66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(6,725)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(6,896)</w:t>
            </w:r>
          </w:p>
        </w:tc>
      </w:tr>
      <w:tr>
        <w:trPr>
          <w:trHeight w:val="222"/>
        </w:trPr>
        <w:tc>
          <w:tcPr>
            <w:tcW w:w="8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(1,189)</w:t>
            </w:r>
          </w:p>
        </w:tc>
      </w:tr>
      <w:tr>
        <w:trPr>
          <w:trHeight w:val="210"/>
        </w:trPr>
        <w:tc>
          <w:tcPr>
            <w:tcW w:w="8640" w:type="dxa"/>
            <w:vAlign w:val="bottom"/>
          </w:tcPr>
          <w:p>
            <w:pPr>
              <w:ind w:left="66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(85)</w:t>
            </w:r>
          </w:p>
        </w:tc>
      </w:tr>
      <w:tr>
        <w:trPr>
          <w:trHeight w:val="222"/>
        </w:trPr>
        <w:tc>
          <w:tcPr>
            <w:tcW w:w="8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Deferred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12,397</w:t>
            </w:r>
          </w:p>
        </w:tc>
      </w:tr>
      <w:tr>
        <w:trPr>
          <w:trHeight w:val="210"/>
        </w:trPr>
        <w:tc>
          <w:tcPr>
            <w:tcW w:w="8640" w:type="dxa"/>
            <w:vAlign w:val="bottom"/>
          </w:tcPr>
          <w:p>
            <w:pPr>
              <w:ind w:left="660"/>
              <w:spacing w:after="0"/>
              <w:rPr>
                <w:sz w:val="20"/>
                <w:szCs w:val="20"/>
                <w:color w:val="auto"/>
              </w:rPr>
            </w:pPr>
            <w:r>
              <w:rPr>
                <w:rFonts w:ascii="Arial" w:cs="Arial" w:eastAsia="Arial" w:hAnsi="Arial"/>
                <w:sz w:val="14"/>
                <w:szCs w:val="14"/>
                <w:color w:val="auto"/>
              </w:rPr>
              <w:t>Other noncurrent liabilities</w:t>
            </w:r>
          </w:p>
        </w:tc>
        <w:tc>
          <w:tcPr>
            <w:tcW w:w="2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150</w:t>
            </w:r>
          </w:p>
        </w:tc>
      </w:tr>
      <w:tr>
        <w:trPr>
          <w:trHeight w:val="216"/>
        </w:trPr>
        <w:tc>
          <w:tcPr>
            <w:tcW w:w="8640" w:type="dxa"/>
            <w:vAlign w:val="bottom"/>
            <w:tcBorders>
              <w:top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81,649</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81,275</w:t>
            </w:r>
          </w:p>
        </w:tc>
      </w:tr>
      <w:tr>
        <w:trPr>
          <w:trHeight w:val="190"/>
        </w:trPr>
        <w:tc>
          <w:tcPr>
            <w:tcW w:w="8640" w:type="dxa"/>
            <w:vAlign w:val="bottom"/>
          </w:tcPr>
          <w:p>
            <w:pPr>
              <w:ind w:left="20"/>
              <w:spacing w:after="0"/>
              <w:rPr>
                <w:sz w:val="20"/>
                <w:szCs w:val="20"/>
                <w:color w:val="auto"/>
              </w:rPr>
            </w:pPr>
            <w:r>
              <w:rPr>
                <w:rFonts w:ascii="Arial" w:cs="Arial" w:eastAsia="Arial" w:hAnsi="Arial"/>
                <w:sz w:val="14"/>
                <w:szCs w:val="14"/>
                <w:color w:val="auto"/>
              </w:rPr>
              <w:t>Cash flow from investing activities: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2"/>
        </w:trPr>
        <w:tc>
          <w:tcPr>
            <w:tcW w:w="8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marketable securities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(162,912)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(184,829)</w:t>
            </w:r>
          </w:p>
        </w:tc>
      </w:tr>
      <w:tr>
        <w:trPr>
          <w:trHeight w:val="210"/>
        </w:trPr>
        <w:tc>
          <w:tcPr>
            <w:tcW w:w="8640" w:type="dxa"/>
            <w:vAlign w:val="bottom"/>
          </w:tcPr>
          <w:p>
            <w:pPr>
              <w:ind w:left="220"/>
              <w:spacing w:after="0"/>
              <w:rPr>
                <w:sz w:val="20"/>
                <w:szCs w:val="20"/>
                <w:color w:val="auto"/>
              </w:rPr>
            </w:pPr>
            <w:r>
              <w:rPr>
                <w:rFonts w:ascii="Arial" w:cs="Arial" w:eastAsia="Arial" w:hAnsi="Arial"/>
                <w:sz w:val="14"/>
                <w:szCs w:val="14"/>
                <w:color w:val="auto"/>
              </w:rPr>
              <w:t>Sales and maturities of marketable securities</w:t>
            </w:r>
          </w:p>
        </w:tc>
        <w:tc>
          <w:tcPr>
            <w:tcW w:w="2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164,109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193,270</w:t>
            </w:r>
          </w:p>
        </w:tc>
      </w:tr>
      <w:tr>
        <w:trPr>
          <w:trHeight w:val="222"/>
        </w:trPr>
        <w:tc>
          <w:tcPr>
            <w:tcW w:w="8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(14,138)</w:t>
            </w:r>
          </w:p>
        </w:tc>
      </w:tr>
      <w:tr>
        <w:trPr>
          <w:trHeight w:val="216"/>
        </w:trPr>
        <w:tc>
          <w:tcPr>
            <w:tcW w:w="8640" w:type="dxa"/>
            <w:vAlign w:val="bottom"/>
          </w:tcPr>
          <w:p>
            <w:pPr>
              <w:ind w:left="220"/>
              <w:spacing w:after="0"/>
              <w:rPr>
                <w:sz w:val="20"/>
                <w:szCs w:val="20"/>
                <w:color w:val="auto"/>
              </w:rPr>
            </w:pPr>
            <w:r>
              <w:rPr>
                <w:rFonts w:ascii="Arial" w:cs="Arial" w:eastAsia="Arial" w:hAnsi="Arial"/>
                <w:sz w:val="14"/>
                <w:szCs w:val="14"/>
                <w:color w:val="auto"/>
              </w:rPr>
              <w:t>Business combinations</w:t>
            </w:r>
          </w:p>
        </w:tc>
        <w:tc>
          <w:tcPr>
            <w:tcW w:w="2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(1,850)</w:t>
            </w:r>
          </w:p>
        </w:tc>
      </w:tr>
      <w:tr>
        <w:trPr>
          <w:trHeight w:val="210"/>
        </w:trPr>
        <w:tc>
          <w:tcPr>
            <w:tcW w:w="8640" w:type="dxa"/>
            <w:vAlign w:val="bottom"/>
            <w:tcBorders>
              <w:top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(10,371)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(7,547)</w:t>
            </w:r>
          </w:p>
        </w:tc>
      </w:tr>
      <w:tr>
        <w:trPr>
          <w:trHeight w:val="190"/>
        </w:trPr>
        <w:tc>
          <w:tcPr>
            <w:tcW w:w="8640" w:type="dxa"/>
            <w:vAlign w:val="bottom"/>
          </w:tcPr>
          <w:p>
            <w:pPr>
              <w:ind w:left="20"/>
              <w:spacing w:after="0"/>
              <w:rPr>
                <w:sz w:val="20"/>
                <w:szCs w:val="20"/>
                <w:color w:val="auto"/>
              </w:rPr>
            </w:pPr>
            <w:r>
              <w:rPr>
                <w:rFonts w:ascii="Arial" w:cs="Arial" w:eastAsia="Arial" w:hAnsi="Arial"/>
                <w:sz w:val="14"/>
                <w:szCs w:val="14"/>
                <w:color w:val="auto"/>
              </w:rPr>
              <w:t>Cash flow from financing activities: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2"/>
        </w:trPr>
        <w:tc>
          <w:tcPr>
            <w:tcW w:w="8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Repurchases of common stock</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(24,117)</w:t>
            </w:r>
          </w:p>
        </w:tc>
      </w:tr>
      <w:tr>
        <w:trPr>
          <w:trHeight w:val="210"/>
        </w:trPr>
        <w:tc>
          <w:tcPr>
            <w:tcW w:w="8640" w:type="dxa"/>
            <w:vAlign w:val="bottom"/>
          </w:tcPr>
          <w:p>
            <w:pPr>
              <w:ind w:left="220"/>
              <w:spacing w:after="0"/>
              <w:rPr>
                <w:sz w:val="20"/>
                <w:szCs w:val="20"/>
                <w:color w:val="auto"/>
              </w:rPr>
            </w:pPr>
            <w:r>
              <w:rPr>
                <w:rFonts w:ascii="Arial" w:cs="Arial" w:eastAsia="Arial" w:hAnsi="Arial"/>
                <w:sz w:val="14"/>
                <w:szCs w:val="14"/>
                <w:color w:val="auto"/>
              </w:rPr>
              <w:t>Proceeds from exercise of stock options</w:t>
            </w:r>
          </w:p>
        </w:tc>
        <w:tc>
          <w:tcPr>
            <w:tcW w:w="2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20,430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8,991</w:t>
            </w:r>
          </w:p>
        </w:tc>
      </w:tr>
      <w:tr>
        <w:trPr>
          <w:trHeight w:val="222"/>
        </w:trPr>
        <w:tc>
          <w:tcPr>
            <w:tcW w:w="8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(7,411)</w:t>
            </w:r>
          </w:p>
        </w:tc>
      </w:tr>
      <w:tr>
        <w:trPr>
          <w:trHeight w:val="216"/>
        </w:trPr>
        <w:tc>
          <w:tcPr>
            <w:tcW w:w="86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Principal payments under finance lease obligations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(836)</w:t>
            </w:r>
          </w:p>
        </w:tc>
      </w:tr>
      <w:tr>
        <w:trPr>
          <w:trHeight w:val="203"/>
        </w:trPr>
        <w:tc>
          <w:tcPr>
            <w:tcW w:w="86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Net cash used in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(44,928)</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(23,373)</w:t>
            </w:r>
          </w:p>
        </w:tc>
      </w:tr>
      <w:tr>
        <w:trPr>
          <w:trHeight w:val="210"/>
        </w:trPr>
        <w:tc>
          <w:tcPr>
            <w:tcW w:w="8640" w:type="dxa"/>
            <w:vAlign w:val="bottom"/>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2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26,350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50,355</w:t>
            </w: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88,759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42,226</w:t>
            </w:r>
          </w:p>
        </w:tc>
      </w:tr>
      <w:tr>
        <w:trPr>
          <w:trHeight w:val="215"/>
        </w:trPr>
        <w:tc>
          <w:tcPr>
            <w:tcW w:w="86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115,109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92,581</w:t>
            </w: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060" w:type="dxa"/>
            <w:vAlign w:val="bottom"/>
          </w:tcPr>
          <w:p>
            <w:pPr>
              <w:spacing w:after="0"/>
              <w:rPr>
                <w:sz w:val="13"/>
                <w:szCs w:val="13"/>
                <w:color w:val="auto"/>
              </w:rPr>
            </w:pPr>
          </w:p>
        </w:tc>
        <w:tc>
          <w:tcPr>
            <w:tcW w:w="1740" w:type="dxa"/>
            <w:vAlign w:val="bottom"/>
            <w:gridSpan w:val="4"/>
            <w:vMerge w:val="restart"/>
          </w:tcPr>
          <w:p>
            <w:pPr>
              <w:jc w:val="right"/>
              <w:ind w:right="349"/>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50"/>
              <w:spacing w:after="0"/>
              <w:rPr>
                <w:sz w:val="20"/>
                <w:szCs w:val="20"/>
                <w:color w:val="auto"/>
              </w:rPr>
            </w:pPr>
            <w:r>
              <w:rPr>
                <w:rFonts w:ascii="Arial" w:cs="Arial" w:eastAsia="Arial" w:hAnsi="Arial"/>
                <w:sz w:val="13"/>
                <w:szCs w:val="13"/>
                <w:b w:val="1"/>
                <w:bCs w:val="1"/>
                <w:color w:val="auto"/>
                <w:w w:val="95"/>
              </w:rPr>
              <w:t>Accumulated</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060" w:type="dxa"/>
            <w:vAlign w:val="bottom"/>
          </w:tcPr>
          <w:p>
            <w:pPr>
              <w:spacing w:after="0"/>
              <w:rPr>
                <w:sz w:val="11"/>
                <w:szCs w:val="11"/>
                <w:color w:val="auto"/>
              </w:rPr>
            </w:pPr>
          </w:p>
        </w:tc>
        <w:tc>
          <w:tcPr>
            <w:tcW w:w="1740" w:type="dxa"/>
            <w:vAlign w:val="bottom"/>
            <w:tcBorders>
              <w:bottom w:val="single" w:sz="8" w:color="auto"/>
            </w:tcBorders>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130"/>
              <w:spacing w:after="0" w:line="110" w:lineRule="exact"/>
              <w:rPr>
                <w:sz w:val="20"/>
                <w:szCs w:val="20"/>
                <w:color w:val="auto"/>
              </w:rPr>
            </w:pPr>
            <w:r>
              <w:rPr>
                <w:rFonts w:ascii="Arial" w:cs="Arial" w:eastAsia="Arial" w:hAnsi="Arial"/>
                <w:sz w:val="12"/>
                <w:szCs w:val="12"/>
                <w:b w:val="1"/>
                <w:bCs w:val="1"/>
                <w:color w:val="auto"/>
              </w:rPr>
              <w:t>Additional</w:t>
            </w:r>
          </w:p>
        </w:tc>
        <w:tc>
          <w:tcPr>
            <w:tcW w:w="200" w:type="dxa"/>
            <w:vAlign w:val="bottom"/>
          </w:tcPr>
          <w:p>
            <w:pPr>
              <w:spacing w:after="0"/>
              <w:rPr>
                <w:sz w:val="11"/>
                <w:szCs w:val="11"/>
                <w:color w:val="auto"/>
              </w:rPr>
            </w:pPr>
          </w:p>
        </w:tc>
        <w:tc>
          <w:tcPr>
            <w:tcW w:w="940" w:type="dxa"/>
            <w:vAlign w:val="bottom"/>
          </w:tcPr>
          <w:p>
            <w:pPr>
              <w:jc w:val="center"/>
              <w:ind w:right="50"/>
              <w:spacing w:after="0" w:line="110" w:lineRule="exact"/>
              <w:rPr>
                <w:sz w:val="20"/>
                <w:szCs w:val="20"/>
                <w:color w:val="auto"/>
              </w:rPr>
            </w:pPr>
            <w:r>
              <w:rPr>
                <w:rFonts w:ascii="Arial" w:cs="Arial" w:eastAsia="Arial" w:hAnsi="Arial"/>
                <w:sz w:val="12"/>
                <w:szCs w:val="12"/>
                <w:b w:val="1"/>
                <w:bCs w:val="1"/>
                <w:color w:val="auto"/>
              </w:rPr>
              <w:t>Other</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30"/>
              <w:spacing w:after="0" w:line="110"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20"/>
        </w:trPr>
        <w:tc>
          <w:tcPr>
            <w:tcW w:w="5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ind w:right="230"/>
              <w:spacing w:after="0" w:line="120" w:lineRule="exact"/>
              <w:rPr>
                <w:sz w:val="20"/>
                <w:szCs w:val="20"/>
                <w:color w:val="auto"/>
              </w:rPr>
            </w:pPr>
            <w:r>
              <w:rPr>
                <w:rFonts w:ascii="Arial" w:cs="Arial" w:eastAsia="Arial" w:hAnsi="Arial"/>
                <w:sz w:val="13"/>
                <w:szCs w:val="13"/>
                <w:b w:val="1"/>
                <w:bCs w:val="1"/>
                <w:color w:val="auto"/>
              </w:rPr>
              <w:t>Paid-In</w:t>
            </w:r>
          </w:p>
        </w:tc>
        <w:tc>
          <w:tcPr>
            <w:tcW w:w="1140" w:type="dxa"/>
            <w:vAlign w:val="bottom"/>
            <w:gridSpan w:val="2"/>
          </w:tcPr>
          <w:p>
            <w:pPr>
              <w:jc w:val="center"/>
              <w:ind w:left="11"/>
              <w:spacing w:after="0" w:line="120" w:lineRule="exact"/>
              <w:rPr>
                <w:sz w:val="20"/>
                <w:szCs w:val="20"/>
                <w:color w:val="auto"/>
              </w:rPr>
            </w:pPr>
            <w:r>
              <w:rPr>
                <w:rFonts w:ascii="Arial" w:cs="Arial" w:eastAsia="Arial" w:hAnsi="Arial"/>
                <w:sz w:val="13"/>
                <w:szCs w:val="13"/>
                <w:b w:val="1"/>
                <w:bCs w:val="1"/>
                <w:color w:val="auto"/>
                <w:w w:val="96"/>
              </w:rPr>
              <w:t>Comprehensive</w:t>
            </w:r>
          </w:p>
        </w:tc>
        <w:tc>
          <w:tcPr>
            <w:tcW w:w="240" w:type="dxa"/>
            <w:vAlign w:val="bottom"/>
          </w:tcPr>
          <w:p>
            <w:pPr>
              <w:spacing w:after="0"/>
              <w:rPr>
                <w:sz w:val="10"/>
                <w:szCs w:val="10"/>
                <w:color w:val="auto"/>
              </w:rPr>
            </w:pPr>
          </w:p>
        </w:tc>
        <w:tc>
          <w:tcPr>
            <w:tcW w:w="840" w:type="dxa"/>
            <w:vAlign w:val="bottom"/>
          </w:tcPr>
          <w:p>
            <w:pPr>
              <w:jc w:val="right"/>
              <w:ind w:right="169"/>
              <w:spacing w:after="0" w:line="120" w:lineRule="exact"/>
              <w:rPr>
                <w:sz w:val="20"/>
                <w:szCs w:val="20"/>
                <w:color w:val="auto"/>
              </w:rPr>
            </w:pPr>
            <w:r>
              <w:rPr>
                <w:rFonts w:ascii="Arial" w:cs="Arial" w:eastAsia="Arial" w:hAnsi="Arial"/>
                <w:sz w:val="13"/>
                <w:szCs w:val="13"/>
                <w:b w:val="1"/>
                <w:bCs w:val="1"/>
                <w:color w:val="auto"/>
              </w:rPr>
              <w:t>Retained</w:t>
            </w:r>
          </w:p>
        </w:tc>
        <w:tc>
          <w:tcPr>
            <w:tcW w:w="180" w:type="dxa"/>
            <w:vAlign w:val="bottom"/>
          </w:tcPr>
          <w:p>
            <w:pPr>
              <w:spacing w:after="0"/>
              <w:rPr>
                <w:sz w:val="10"/>
                <w:szCs w:val="10"/>
                <w:color w:val="auto"/>
              </w:rPr>
            </w:pPr>
          </w:p>
        </w:tc>
        <w:tc>
          <w:tcPr>
            <w:tcW w:w="940" w:type="dxa"/>
            <w:vAlign w:val="bottom"/>
          </w:tcPr>
          <w:p>
            <w:pPr>
              <w:jc w:val="center"/>
              <w:ind w:right="30"/>
              <w:spacing w:after="0" w:line="120"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77"/>
        </w:trPr>
        <w:tc>
          <w:tcPr>
            <w:tcW w:w="5060" w:type="dxa"/>
            <w:vAlign w:val="bottom"/>
          </w:tcPr>
          <w:p>
            <w:pPr>
              <w:spacing w:after="0"/>
              <w:rPr>
                <w:sz w:val="15"/>
                <w:szCs w:val="15"/>
                <w:color w:val="auto"/>
              </w:rPr>
            </w:pPr>
          </w:p>
        </w:tc>
        <w:tc>
          <w:tcPr>
            <w:tcW w:w="96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60" w:type="dxa"/>
            <w:vAlign w:val="bottom"/>
          </w:tcPr>
          <w:p>
            <w:pPr>
              <w:jc w:val="right"/>
              <w:ind w:right="89"/>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5"/>
                <w:szCs w:val="15"/>
                <w:color w:val="auto"/>
              </w:rPr>
            </w:pPr>
          </w:p>
        </w:tc>
        <w:tc>
          <w:tcPr>
            <w:tcW w:w="860" w:type="dxa"/>
            <w:vAlign w:val="bottom"/>
          </w:tcPr>
          <w:p>
            <w:pPr>
              <w:jc w:val="right"/>
              <w:ind w:right="230"/>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5"/>
                <w:szCs w:val="15"/>
                <w:color w:val="auto"/>
              </w:rPr>
            </w:pPr>
          </w:p>
        </w:tc>
        <w:tc>
          <w:tcPr>
            <w:tcW w:w="940" w:type="dxa"/>
            <w:vAlign w:val="bottom"/>
          </w:tcPr>
          <w:p>
            <w:pPr>
              <w:jc w:val="center"/>
              <w:ind w:right="70"/>
              <w:spacing w:after="0"/>
              <w:rPr>
                <w:sz w:val="20"/>
                <w:szCs w:val="20"/>
                <w:color w:val="auto"/>
              </w:rPr>
            </w:pPr>
            <w:r>
              <w:rPr>
                <w:rFonts w:ascii="Arial" w:cs="Arial" w:eastAsia="Arial" w:hAnsi="Arial"/>
                <w:sz w:val="13"/>
                <w:szCs w:val="13"/>
                <w:b w:val="1"/>
                <w:bCs w:val="1"/>
                <w:color w:val="auto"/>
                <w:w w:val="96"/>
              </w:rPr>
              <w:t>Income</w:t>
            </w:r>
          </w:p>
        </w:tc>
        <w:tc>
          <w:tcPr>
            <w:tcW w:w="240" w:type="dxa"/>
            <w:vAlign w:val="bottom"/>
          </w:tcPr>
          <w:p>
            <w:pPr>
              <w:spacing w:after="0"/>
              <w:rPr>
                <w:sz w:val="15"/>
                <w:szCs w:val="15"/>
                <w:color w:val="auto"/>
              </w:rPr>
            </w:pPr>
          </w:p>
        </w:tc>
        <w:tc>
          <w:tcPr>
            <w:tcW w:w="840" w:type="dxa"/>
            <w:vAlign w:val="bottom"/>
          </w:tcPr>
          <w:p>
            <w:pPr>
              <w:jc w:val="right"/>
              <w:ind w:right="169"/>
              <w:spacing w:after="0"/>
              <w:rPr>
                <w:sz w:val="20"/>
                <w:szCs w:val="20"/>
                <w:color w:val="auto"/>
              </w:rPr>
            </w:pPr>
            <w:r>
              <w:rPr>
                <w:rFonts w:ascii="Arial" w:cs="Arial" w:eastAsia="Arial" w:hAnsi="Arial"/>
                <w:sz w:val="13"/>
                <w:szCs w:val="13"/>
                <w:b w:val="1"/>
                <w:bCs w:val="1"/>
                <w:color w:val="auto"/>
              </w:rPr>
              <w:t>Earnings</w:t>
            </w:r>
          </w:p>
        </w:tc>
        <w:tc>
          <w:tcPr>
            <w:tcW w:w="180" w:type="dxa"/>
            <w:vAlign w:val="bottom"/>
          </w:tcPr>
          <w:p>
            <w:pPr>
              <w:spacing w:after="0"/>
              <w:rPr>
                <w:sz w:val="15"/>
                <w:szCs w:val="15"/>
                <w:color w:val="auto"/>
              </w:rPr>
            </w:pPr>
          </w:p>
        </w:tc>
        <w:tc>
          <w:tcPr>
            <w:tcW w:w="940" w:type="dxa"/>
            <w:vAlign w:val="bottom"/>
          </w:tcPr>
          <w:p>
            <w:pPr>
              <w:jc w:val="center"/>
              <w:ind w:right="3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16"/>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8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39,146,272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39</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362,408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1,162</w:t>
            </w:r>
          </w:p>
        </w:tc>
        <w:tc>
          <w:tcPr>
            <w:tcW w:w="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23,194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386,803</w:t>
            </w:r>
          </w:p>
        </w:tc>
        <w:tc>
          <w:tcPr>
            <w:tcW w:w="0" w:type="dxa"/>
            <w:vAlign w:val="bottom"/>
          </w:tcPr>
          <w:p>
            <w:pPr>
              <w:spacing w:after="0"/>
              <w:rPr>
                <w:sz w:val="1"/>
                <w:szCs w:val="1"/>
                <w:color w:val="auto"/>
              </w:rPr>
            </w:pPr>
          </w:p>
        </w:tc>
      </w:tr>
      <w:tr>
        <w:trPr>
          <w:trHeight w:val="203"/>
        </w:trPr>
        <w:tc>
          <w:tcPr>
            <w:tcW w:w="506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18,694</w:t>
            </w:r>
          </w:p>
        </w:tc>
        <w:tc>
          <w:tcPr>
            <w:tcW w:w="180" w:type="dxa"/>
            <w:vAlign w:val="bottom"/>
          </w:tcPr>
          <w:p>
            <w:pPr>
              <w:spacing w:after="0"/>
              <w:rPr>
                <w:sz w:val="17"/>
                <w:szCs w:val="17"/>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18,694</w:t>
            </w:r>
          </w:p>
        </w:tc>
        <w:tc>
          <w:tcPr>
            <w:tcW w:w="0" w:type="dxa"/>
            <w:vAlign w:val="bottom"/>
          </w:tcPr>
          <w:p>
            <w:pPr>
              <w:spacing w:after="0"/>
              <w:rPr>
                <w:sz w:val="1"/>
                <w:szCs w:val="1"/>
                <w:color w:val="auto"/>
              </w:rPr>
            </w:pPr>
          </w:p>
        </w:tc>
      </w:tr>
      <w:tr>
        <w:trPr>
          <w:trHeight w:val="222"/>
        </w:trPr>
        <w:tc>
          <w:tcPr>
            <w:tcW w:w="5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 net of tax</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391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10"/>
        </w:trPr>
        <w:tc>
          <w:tcPr>
            <w:tcW w:w="5060" w:type="dxa"/>
            <w:vAlign w:val="bottom"/>
          </w:tcPr>
          <w:p>
            <w:pPr>
              <w:ind w:left="200"/>
              <w:spacing w:after="0"/>
              <w:rPr>
                <w:sz w:val="20"/>
                <w:szCs w:val="20"/>
                <w:color w:val="auto"/>
              </w:rPr>
            </w:pPr>
            <w:r>
              <w:rPr>
                <w:rFonts w:ascii="Arial" w:cs="Arial" w:eastAsia="Arial" w:hAnsi="Arial"/>
                <w:sz w:val="14"/>
                <w:szCs w:val="14"/>
                <w:color w:val="auto"/>
              </w:rPr>
              <w:t>Issuance of common stock upon exercise of stock options</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144,989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4,714</w:t>
            </w:r>
          </w:p>
        </w:tc>
        <w:tc>
          <w:tcPr>
            <w:tcW w:w="20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4,714</w:t>
            </w:r>
          </w:p>
        </w:tc>
        <w:tc>
          <w:tcPr>
            <w:tcW w:w="0" w:type="dxa"/>
            <w:vAlign w:val="bottom"/>
          </w:tcPr>
          <w:p>
            <w:pPr>
              <w:spacing w:after="0"/>
              <w:rPr>
                <w:sz w:val="1"/>
                <w:szCs w:val="1"/>
                <w:color w:val="auto"/>
              </w:rPr>
            </w:pPr>
          </w:p>
        </w:tc>
      </w:tr>
      <w:tr>
        <w:trPr>
          <w:trHeight w:val="222"/>
        </w:trPr>
        <w:tc>
          <w:tcPr>
            <w:tcW w:w="5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of common stock</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(346,250)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(4,160)</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(24,766)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(28,926)</w:t>
            </w:r>
          </w:p>
        </w:tc>
        <w:tc>
          <w:tcPr>
            <w:tcW w:w="0" w:type="dxa"/>
            <w:vAlign w:val="bottom"/>
          </w:tcPr>
          <w:p>
            <w:pPr>
              <w:spacing w:after="0"/>
              <w:rPr>
                <w:sz w:val="1"/>
                <w:szCs w:val="1"/>
                <w:color w:val="auto"/>
              </w:rPr>
            </w:pPr>
          </w:p>
        </w:tc>
      </w:tr>
      <w:tr>
        <w:trPr>
          <w:trHeight w:val="210"/>
        </w:trPr>
        <w:tc>
          <w:tcPr>
            <w:tcW w:w="5060" w:type="dxa"/>
            <w:vAlign w:val="bottom"/>
          </w:tcPr>
          <w:p>
            <w:pPr>
              <w:ind w:left="200"/>
              <w:spacing w:after="0"/>
              <w:rPr>
                <w:sz w:val="20"/>
                <w:szCs w:val="20"/>
                <w:color w:val="auto"/>
              </w:rPr>
            </w:pPr>
            <w:r>
              <w:rPr>
                <w:rFonts w:ascii="Arial" w:cs="Arial" w:eastAsia="Arial" w:hAnsi="Arial"/>
                <w:sz w:val="14"/>
                <w:szCs w:val="14"/>
                <w:color w:val="auto"/>
              </w:rPr>
              <w:t>Issuance of common stock upon vesting of restricted stock units</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138,260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Taxes related to net share settlement of equity awards</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(58,598)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10"/>
        </w:trPr>
        <w:tc>
          <w:tcPr>
            <w:tcW w:w="506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10,054</w:t>
            </w:r>
          </w:p>
        </w:tc>
        <w:tc>
          <w:tcPr>
            <w:tcW w:w="20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10,054</w:t>
            </w:r>
          </w:p>
        </w:tc>
        <w:tc>
          <w:tcPr>
            <w:tcW w:w="0" w:type="dxa"/>
            <w:vAlign w:val="bottom"/>
          </w:tcPr>
          <w:p>
            <w:pPr>
              <w:spacing w:after="0"/>
              <w:rPr>
                <w:sz w:val="1"/>
                <w:szCs w:val="1"/>
                <w:color w:val="auto"/>
              </w:rPr>
            </w:pPr>
          </w:p>
        </w:tc>
      </w:tr>
      <w:tr>
        <w:trPr>
          <w:trHeight w:val="215"/>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March 31, 2020</w:t>
            </w:r>
          </w:p>
        </w:tc>
        <w:tc>
          <w:tcPr>
            <w:tcW w:w="8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39,024,673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39</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368,016</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1,553</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17,122</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386,730</w:t>
            </w:r>
          </w:p>
        </w:tc>
        <w:tc>
          <w:tcPr>
            <w:tcW w:w="0" w:type="dxa"/>
            <w:vAlign w:val="bottom"/>
          </w:tcPr>
          <w:p>
            <w:pPr>
              <w:spacing w:after="0"/>
              <w:rPr>
                <w:sz w:val="1"/>
                <w:szCs w:val="1"/>
                <w:color w:val="auto"/>
              </w:rPr>
            </w:pPr>
          </w:p>
        </w:tc>
      </w:tr>
      <w:tr>
        <w:trPr>
          <w:trHeight w:val="203"/>
        </w:trPr>
        <w:tc>
          <w:tcPr>
            <w:tcW w:w="506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26,319</w:t>
            </w:r>
          </w:p>
        </w:tc>
        <w:tc>
          <w:tcPr>
            <w:tcW w:w="180" w:type="dxa"/>
            <w:vAlign w:val="bottom"/>
          </w:tcPr>
          <w:p>
            <w:pPr>
              <w:spacing w:after="0"/>
              <w:rPr>
                <w:sz w:val="17"/>
                <w:szCs w:val="17"/>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26,319</w:t>
            </w:r>
          </w:p>
        </w:tc>
        <w:tc>
          <w:tcPr>
            <w:tcW w:w="0" w:type="dxa"/>
            <w:vAlign w:val="bottom"/>
          </w:tcPr>
          <w:p>
            <w:pPr>
              <w:spacing w:after="0"/>
              <w:rPr>
                <w:sz w:val="1"/>
                <w:szCs w:val="1"/>
                <w:color w:val="auto"/>
              </w:rPr>
            </w:pPr>
          </w:p>
        </w:tc>
      </w:tr>
      <w:tr>
        <w:trPr>
          <w:trHeight w:val="222"/>
        </w:trPr>
        <w:tc>
          <w:tcPr>
            <w:tcW w:w="5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 net of tax</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882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210"/>
        </w:trPr>
        <w:tc>
          <w:tcPr>
            <w:tcW w:w="5060" w:type="dxa"/>
            <w:vAlign w:val="bottom"/>
          </w:tcPr>
          <w:p>
            <w:pPr>
              <w:ind w:left="200"/>
              <w:spacing w:after="0"/>
              <w:rPr>
                <w:sz w:val="20"/>
                <w:szCs w:val="20"/>
                <w:color w:val="auto"/>
              </w:rPr>
            </w:pPr>
            <w:r>
              <w:rPr>
                <w:rFonts w:ascii="Arial" w:cs="Arial" w:eastAsia="Arial" w:hAnsi="Arial"/>
                <w:sz w:val="14"/>
                <w:szCs w:val="14"/>
                <w:color w:val="auto"/>
              </w:rPr>
              <w:t>Issuance of common stock upon exercise of stock options</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448,056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15,715</w:t>
            </w:r>
          </w:p>
        </w:tc>
        <w:tc>
          <w:tcPr>
            <w:tcW w:w="20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15,716</w:t>
            </w:r>
          </w:p>
        </w:tc>
        <w:tc>
          <w:tcPr>
            <w:tcW w:w="0" w:type="dxa"/>
            <w:vAlign w:val="bottom"/>
          </w:tcPr>
          <w:p>
            <w:pPr>
              <w:spacing w:after="0"/>
              <w:rPr>
                <w:sz w:val="1"/>
                <w:szCs w:val="1"/>
                <w:color w:val="auto"/>
              </w:rPr>
            </w:pPr>
          </w:p>
        </w:tc>
      </w:tr>
      <w:tr>
        <w:trPr>
          <w:trHeight w:val="222"/>
        </w:trPr>
        <w:tc>
          <w:tcPr>
            <w:tcW w:w="5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of common stock</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(242,500)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(2,912)</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(22,343)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(25,256)</w:t>
            </w:r>
          </w:p>
        </w:tc>
        <w:tc>
          <w:tcPr>
            <w:tcW w:w="0" w:type="dxa"/>
            <w:vAlign w:val="bottom"/>
          </w:tcPr>
          <w:p>
            <w:pPr>
              <w:spacing w:after="0"/>
              <w:rPr>
                <w:sz w:val="1"/>
                <w:szCs w:val="1"/>
                <w:color w:val="auto"/>
              </w:rPr>
            </w:pPr>
          </w:p>
        </w:tc>
      </w:tr>
      <w:tr>
        <w:trPr>
          <w:trHeight w:val="210"/>
        </w:trPr>
        <w:tc>
          <w:tcPr>
            <w:tcW w:w="5060" w:type="dxa"/>
            <w:vAlign w:val="bottom"/>
          </w:tcPr>
          <w:p>
            <w:pPr>
              <w:ind w:left="200"/>
              <w:spacing w:after="0"/>
              <w:rPr>
                <w:sz w:val="20"/>
                <w:szCs w:val="20"/>
                <w:color w:val="auto"/>
              </w:rPr>
            </w:pPr>
            <w:r>
              <w:rPr>
                <w:rFonts w:ascii="Arial" w:cs="Arial" w:eastAsia="Arial" w:hAnsi="Arial"/>
                <w:sz w:val="14"/>
                <w:szCs w:val="14"/>
                <w:color w:val="auto"/>
              </w:rPr>
              <w:t>Issuance of common stock upon vesting of restricted stock units</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146,343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Taxes related to net share settlement of equity awards</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(61,235)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(6,115)</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(6,115)</w:t>
            </w:r>
          </w:p>
        </w:tc>
        <w:tc>
          <w:tcPr>
            <w:tcW w:w="0" w:type="dxa"/>
            <w:vAlign w:val="bottom"/>
          </w:tcPr>
          <w:p>
            <w:pPr>
              <w:spacing w:after="0"/>
              <w:rPr>
                <w:sz w:val="1"/>
                <w:szCs w:val="1"/>
                <w:color w:val="auto"/>
              </w:rPr>
            </w:pPr>
          </w:p>
        </w:tc>
      </w:tr>
      <w:tr>
        <w:trPr>
          <w:trHeight w:val="210"/>
        </w:trPr>
        <w:tc>
          <w:tcPr>
            <w:tcW w:w="506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9,498</w:t>
            </w:r>
          </w:p>
        </w:tc>
        <w:tc>
          <w:tcPr>
            <w:tcW w:w="20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9,498</w:t>
            </w:r>
          </w:p>
        </w:tc>
        <w:tc>
          <w:tcPr>
            <w:tcW w:w="0" w:type="dxa"/>
            <w:vAlign w:val="bottom"/>
          </w:tcPr>
          <w:p>
            <w:pPr>
              <w:spacing w:after="0"/>
              <w:rPr>
                <w:sz w:val="1"/>
                <w:szCs w:val="1"/>
                <w:color w:val="auto"/>
              </w:rPr>
            </w:pPr>
          </w:p>
        </w:tc>
      </w:tr>
      <w:tr>
        <w:trPr>
          <w:trHeight w:val="261"/>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June 30, 2020</w:t>
            </w:r>
          </w:p>
        </w:tc>
        <w:tc>
          <w:tcPr>
            <w:tcW w:w="880" w:type="dxa"/>
            <w:vAlign w:val="bottom"/>
            <w:tcBorders>
              <w:top w:val="single" w:sz="8" w:color="auto"/>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39,315,337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39</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384,202</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2,435</w:t>
            </w:r>
          </w:p>
        </w:tc>
        <w:tc>
          <w:tcPr>
            <w:tcW w:w="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21,098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407,774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84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tcPr>
          <w:p>
            <w:pPr>
              <w:spacing w:after="0"/>
              <w:rPr>
                <w:sz w:val="13"/>
                <w:szCs w:val="13"/>
                <w:color w:val="auto"/>
              </w:rPr>
            </w:pPr>
          </w:p>
        </w:tc>
        <w:tc>
          <w:tcPr>
            <w:tcW w:w="1760" w:type="dxa"/>
            <w:vAlign w:val="bottom"/>
            <w:gridSpan w:val="4"/>
            <w:vMerge w:val="restart"/>
          </w:tcPr>
          <w:p>
            <w:pPr>
              <w:jc w:val="right"/>
              <w:ind w:right="349"/>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49"/>
              <w:spacing w:after="0"/>
              <w:rPr>
                <w:sz w:val="20"/>
                <w:szCs w:val="20"/>
                <w:color w:val="auto"/>
              </w:rPr>
            </w:pPr>
            <w:r>
              <w:rPr>
                <w:rFonts w:ascii="Arial" w:cs="Arial" w:eastAsia="Arial" w:hAnsi="Arial"/>
                <w:sz w:val="13"/>
                <w:szCs w:val="13"/>
                <w:b w:val="1"/>
                <w:bCs w:val="1"/>
                <w:color w:val="auto"/>
                <w:w w:val="95"/>
              </w:rPr>
              <w:t>Accumulated</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760" w:type="dxa"/>
            <w:vAlign w:val="bottom"/>
            <w:tcBorders>
              <w:bottom w:val="single" w:sz="8" w:color="auto"/>
            </w:tcBorders>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130"/>
              <w:spacing w:after="0" w:line="110" w:lineRule="exact"/>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11"/>
                <w:szCs w:val="11"/>
                <w:color w:val="auto"/>
              </w:rPr>
            </w:pPr>
          </w:p>
        </w:tc>
        <w:tc>
          <w:tcPr>
            <w:tcW w:w="940" w:type="dxa"/>
            <w:vAlign w:val="bottom"/>
          </w:tcPr>
          <w:p>
            <w:pPr>
              <w:jc w:val="center"/>
              <w:ind w:right="49"/>
              <w:spacing w:after="0" w:line="110" w:lineRule="exact"/>
              <w:rPr>
                <w:sz w:val="20"/>
                <w:szCs w:val="20"/>
                <w:color w:val="auto"/>
              </w:rPr>
            </w:pPr>
            <w:r>
              <w:rPr>
                <w:rFonts w:ascii="Arial" w:cs="Arial" w:eastAsia="Arial" w:hAnsi="Arial"/>
                <w:sz w:val="12"/>
                <w:szCs w:val="12"/>
                <w:b w:val="1"/>
                <w:bCs w:val="1"/>
                <w:color w:val="auto"/>
              </w:rPr>
              <w:t>Other</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jc w:val="center"/>
              <w:ind w:right="149"/>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0"/>
        </w:trPr>
        <w:tc>
          <w:tcPr>
            <w:tcW w:w="5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ind w:right="230"/>
              <w:spacing w:after="0" w:line="120"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2"/>
          </w:tcPr>
          <w:p>
            <w:pPr>
              <w:jc w:val="center"/>
              <w:spacing w:after="0" w:line="120" w:lineRule="exact"/>
              <w:rPr>
                <w:sz w:val="20"/>
                <w:szCs w:val="20"/>
                <w:color w:val="auto"/>
              </w:rPr>
            </w:pPr>
            <w:r>
              <w:rPr>
                <w:rFonts w:ascii="Arial" w:cs="Arial" w:eastAsia="Arial" w:hAnsi="Arial"/>
                <w:sz w:val="13"/>
                <w:szCs w:val="13"/>
                <w:b w:val="1"/>
                <w:bCs w:val="1"/>
                <w:color w:val="auto"/>
                <w:w w:val="96"/>
              </w:rPr>
              <w:t>Comprehensive</w:t>
            </w:r>
          </w:p>
        </w:tc>
        <w:tc>
          <w:tcPr>
            <w:tcW w:w="220" w:type="dxa"/>
            <w:vAlign w:val="bottom"/>
          </w:tcPr>
          <w:p>
            <w:pPr>
              <w:spacing w:after="0"/>
              <w:rPr>
                <w:sz w:val="10"/>
                <w:szCs w:val="10"/>
                <w:color w:val="auto"/>
              </w:rPr>
            </w:pPr>
          </w:p>
        </w:tc>
        <w:tc>
          <w:tcPr>
            <w:tcW w:w="840" w:type="dxa"/>
            <w:vAlign w:val="bottom"/>
          </w:tcPr>
          <w:p>
            <w:pPr>
              <w:jc w:val="right"/>
              <w:ind w:right="169"/>
              <w:spacing w:after="0" w:line="120" w:lineRule="exact"/>
              <w:rPr>
                <w:sz w:val="20"/>
                <w:szCs w:val="20"/>
                <w:color w:val="auto"/>
              </w:rPr>
            </w:pPr>
            <w:r>
              <w:rPr>
                <w:rFonts w:ascii="Arial" w:cs="Arial" w:eastAsia="Arial" w:hAnsi="Arial"/>
                <w:sz w:val="13"/>
                <w:szCs w:val="13"/>
                <w:b w:val="1"/>
                <w:bCs w:val="1"/>
                <w:color w:val="auto"/>
              </w:rPr>
              <w:t>Retained</w:t>
            </w:r>
          </w:p>
        </w:tc>
        <w:tc>
          <w:tcPr>
            <w:tcW w:w="1100" w:type="dxa"/>
            <w:vAlign w:val="bottom"/>
            <w:gridSpan w:val="2"/>
          </w:tcPr>
          <w:p>
            <w:pPr>
              <w:jc w:val="center"/>
              <w:ind w:left="31"/>
              <w:spacing w:after="0" w:line="120"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77"/>
        </w:trPr>
        <w:tc>
          <w:tcPr>
            <w:tcW w:w="5100" w:type="dxa"/>
            <w:vAlign w:val="bottom"/>
          </w:tcPr>
          <w:p>
            <w:pPr>
              <w:spacing w:after="0"/>
              <w:rPr>
                <w:sz w:val="15"/>
                <w:szCs w:val="15"/>
                <w:color w:val="auto"/>
              </w:rPr>
            </w:pPr>
          </w:p>
        </w:tc>
        <w:tc>
          <w:tcPr>
            <w:tcW w:w="96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80" w:type="dxa"/>
            <w:vAlign w:val="bottom"/>
          </w:tcPr>
          <w:p>
            <w:pPr>
              <w:jc w:val="right"/>
              <w:ind w:right="89"/>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860" w:type="dxa"/>
            <w:vAlign w:val="bottom"/>
          </w:tcPr>
          <w:p>
            <w:pPr>
              <w:jc w:val="right"/>
              <w:ind w:right="230"/>
              <w:spacing w:after="0"/>
              <w:rPr>
                <w:sz w:val="20"/>
                <w:szCs w:val="20"/>
                <w:color w:val="auto"/>
              </w:rPr>
            </w:pPr>
            <w:r>
              <w:rPr>
                <w:rFonts w:ascii="Arial" w:cs="Arial" w:eastAsia="Arial" w:hAnsi="Arial"/>
                <w:sz w:val="13"/>
                <w:szCs w:val="13"/>
                <w:b w:val="1"/>
                <w:bCs w:val="1"/>
                <w:color w:val="auto"/>
              </w:rPr>
              <w:t>Capital</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Income (Loss)</w:t>
            </w:r>
          </w:p>
        </w:tc>
        <w:tc>
          <w:tcPr>
            <w:tcW w:w="220" w:type="dxa"/>
            <w:vAlign w:val="bottom"/>
          </w:tcPr>
          <w:p>
            <w:pPr>
              <w:spacing w:after="0"/>
              <w:rPr>
                <w:sz w:val="15"/>
                <w:szCs w:val="15"/>
                <w:color w:val="auto"/>
              </w:rPr>
            </w:pPr>
          </w:p>
        </w:tc>
        <w:tc>
          <w:tcPr>
            <w:tcW w:w="840" w:type="dxa"/>
            <w:vAlign w:val="bottom"/>
          </w:tcPr>
          <w:p>
            <w:pPr>
              <w:jc w:val="right"/>
              <w:ind w:right="169"/>
              <w:spacing w:after="0"/>
              <w:rPr>
                <w:sz w:val="20"/>
                <w:szCs w:val="20"/>
                <w:color w:val="auto"/>
              </w:rPr>
            </w:pPr>
            <w:r>
              <w:rPr>
                <w:rFonts w:ascii="Arial" w:cs="Arial" w:eastAsia="Arial" w:hAnsi="Arial"/>
                <w:sz w:val="13"/>
                <w:szCs w:val="13"/>
                <w:b w:val="1"/>
                <w:bCs w:val="1"/>
                <w:color w:val="auto"/>
              </w:rPr>
              <w:t>Earnings</w:t>
            </w:r>
          </w:p>
        </w:tc>
        <w:tc>
          <w:tcPr>
            <w:tcW w:w="300" w:type="dxa"/>
            <w:vAlign w:val="bottom"/>
          </w:tcPr>
          <w:p>
            <w:pPr>
              <w:spacing w:after="0"/>
              <w:rPr>
                <w:sz w:val="15"/>
                <w:szCs w:val="15"/>
                <w:color w:val="auto"/>
              </w:rPr>
            </w:pPr>
          </w:p>
        </w:tc>
        <w:tc>
          <w:tcPr>
            <w:tcW w:w="800" w:type="dxa"/>
            <w:vAlign w:val="bottom"/>
          </w:tcPr>
          <w:p>
            <w:pPr>
              <w:jc w:val="center"/>
              <w:ind w:right="14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1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2018</w:t>
            </w:r>
          </w:p>
        </w:tc>
        <w:tc>
          <w:tcPr>
            <w:tcW w:w="8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39,015,034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39</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330,572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(586)</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27,964</w:t>
            </w:r>
          </w:p>
        </w:tc>
        <w:tc>
          <w:tcPr>
            <w:tcW w:w="3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357,989</w:t>
            </w:r>
          </w:p>
        </w:tc>
        <w:tc>
          <w:tcPr>
            <w:tcW w:w="0" w:type="dxa"/>
            <w:vAlign w:val="bottom"/>
          </w:tcPr>
          <w:p>
            <w:pPr>
              <w:spacing w:after="0"/>
              <w:rPr>
                <w:sz w:val="1"/>
                <w:szCs w:val="1"/>
                <w:color w:val="auto"/>
              </w:rPr>
            </w:pPr>
          </w:p>
        </w:tc>
      </w:tr>
      <w:tr>
        <w:trPr>
          <w:trHeight w:val="203"/>
        </w:trPr>
        <w:tc>
          <w:tcPr>
            <w:tcW w:w="510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13,266</w:t>
            </w:r>
          </w:p>
        </w:tc>
        <w:tc>
          <w:tcPr>
            <w:tcW w:w="300" w:type="dxa"/>
            <w:vAlign w:val="bottom"/>
          </w:tcPr>
          <w:p>
            <w:pPr>
              <w:spacing w:after="0"/>
              <w:rPr>
                <w:sz w:val="17"/>
                <w:szCs w:val="17"/>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13,266</w:t>
            </w:r>
          </w:p>
        </w:tc>
        <w:tc>
          <w:tcPr>
            <w:tcW w:w="0" w:type="dxa"/>
            <w:vAlign w:val="bottom"/>
          </w:tcPr>
          <w:p>
            <w:pPr>
              <w:spacing w:after="0"/>
              <w:rPr>
                <w:sz w:val="1"/>
                <w:szCs w:val="1"/>
                <w:color w:val="auto"/>
              </w:rPr>
            </w:pPr>
          </w:p>
        </w:tc>
      </w:tr>
      <w:tr>
        <w:trPr>
          <w:trHeight w:val="22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income, net of tax</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896</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210"/>
        </w:trPr>
        <w:tc>
          <w:tcPr>
            <w:tcW w:w="5100" w:type="dxa"/>
            <w:vAlign w:val="bottom"/>
          </w:tcPr>
          <w:p>
            <w:pPr>
              <w:ind w:left="220"/>
              <w:spacing w:after="0"/>
              <w:rPr>
                <w:sz w:val="20"/>
                <w:szCs w:val="20"/>
                <w:color w:val="auto"/>
              </w:rPr>
            </w:pPr>
            <w:r>
              <w:rPr>
                <w:rFonts w:ascii="Arial" w:cs="Arial" w:eastAsia="Arial" w:hAnsi="Arial"/>
                <w:sz w:val="14"/>
                <w:szCs w:val="14"/>
                <w:color w:val="auto"/>
              </w:rPr>
              <w:t>Issuance of common stock upon exercise of stock options</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152,164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4,047</w:t>
            </w:r>
          </w:p>
        </w:tc>
        <w:tc>
          <w:tcPr>
            <w:tcW w:w="18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4,047</w:t>
            </w:r>
          </w:p>
        </w:tc>
        <w:tc>
          <w:tcPr>
            <w:tcW w:w="0" w:type="dxa"/>
            <w:vAlign w:val="bottom"/>
          </w:tcPr>
          <w:p>
            <w:pPr>
              <w:spacing w:after="0"/>
              <w:rPr>
                <w:sz w:val="1"/>
                <w:szCs w:val="1"/>
                <w:color w:val="auto"/>
              </w:rPr>
            </w:pPr>
          </w:p>
        </w:tc>
      </w:tr>
      <w:tr>
        <w:trPr>
          <w:trHeight w:val="22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common stock</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(94,090)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(1,129)</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(6,742)</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(7,871)</w:t>
            </w:r>
          </w:p>
        </w:tc>
        <w:tc>
          <w:tcPr>
            <w:tcW w:w="0" w:type="dxa"/>
            <w:vAlign w:val="bottom"/>
          </w:tcPr>
          <w:p>
            <w:pPr>
              <w:spacing w:after="0"/>
              <w:rPr>
                <w:sz w:val="1"/>
                <w:szCs w:val="1"/>
                <w:color w:val="auto"/>
              </w:rPr>
            </w:pPr>
          </w:p>
        </w:tc>
      </w:tr>
      <w:tr>
        <w:trPr>
          <w:trHeight w:val="210"/>
        </w:trPr>
        <w:tc>
          <w:tcPr>
            <w:tcW w:w="5100" w:type="dxa"/>
            <w:vAlign w:val="bottom"/>
          </w:tcPr>
          <w:p>
            <w:pPr>
              <w:ind w:left="220"/>
              <w:spacing w:after="0"/>
              <w:rPr>
                <w:sz w:val="20"/>
                <w:szCs w:val="20"/>
                <w:color w:val="auto"/>
              </w:rPr>
            </w:pPr>
            <w:r>
              <w:rPr>
                <w:rFonts w:ascii="Arial" w:cs="Arial" w:eastAsia="Arial" w:hAnsi="Arial"/>
                <w:sz w:val="14"/>
                <w:szCs w:val="14"/>
                <w:color w:val="auto"/>
              </w:rPr>
              <w:t>Issuance of common stock upon vesting of restricted stock units</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99,601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Taxes related to net share settlement of equity awards</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(38,877)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(3,367)</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210"/>
        </w:trPr>
        <w:tc>
          <w:tcPr>
            <w:tcW w:w="510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8,443</w:t>
            </w:r>
          </w:p>
        </w:tc>
        <w:tc>
          <w:tcPr>
            <w:tcW w:w="18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8,443</w:t>
            </w:r>
          </w:p>
        </w:tc>
        <w:tc>
          <w:tcPr>
            <w:tcW w:w="0" w:type="dxa"/>
            <w:vAlign w:val="bottom"/>
          </w:tcPr>
          <w:p>
            <w:pPr>
              <w:spacing w:after="0"/>
              <w:rPr>
                <w:sz w:val="1"/>
                <w:szCs w:val="1"/>
                <w:color w:val="auto"/>
              </w:rPr>
            </w:pPr>
          </w:p>
        </w:tc>
      </w:tr>
      <w:tr>
        <w:trPr>
          <w:trHeight w:val="21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March 31, 2019</w:t>
            </w:r>
          </w:p>
        </w:tc>
        <w:tc>
          <w:tcPr>
            <w:tcW w:w="8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39,133,832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39</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338,566</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310</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34,488</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373,403</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16,232</w:t>
            </w:r>
          </w:p>
        </w:tc>
        <w:tc>
          <w:tcPr>
            <w:tcW w:w="300" w:type="dxa"/>
            <w:vAlign w:val="bottom"/>
          </w:tcPr>
          <w:p>
            <w:pPr>
              <w:spacing w:after="0"/>
              <w:rPr>
                <w:sz w:val="17"/>
                <w:szCs w:val="17"/>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16,232</w:t>
            </w:r>
          </w:p>
        </w:tc>
        <w:tc>
          <w:tcPr>
            <w:tcW w:w="0" w:type="dxa"/>
            <w:vAlign w:val="bottom"/>
          </w:tcPr>
          <w:p>
            <w:pPr>
              <w:spacing w:after="0"/>
              <w:rPr>
                <w:sz w:val="1"/>
                <w:szCs w:val="1"/>
                <w:color w:val="auto"/>
              </w:rPr>
            </w:pPr>
          </w:p>
        </w:tc>
      </w:tr>
      <w:tr>
        <w:trPr>
          <w:trHeight w:val="22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income, net of tax</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930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210"/>
        </w:trPr>
        <w:tc>
          <w:tcPr>
            <w:tcW w:w="5100" w:type="dxa"/>
            <w:vAlign w:val="bottom"/>
          </w:tcPr>
          <w:p>
            <w:pPr>
              <w:ind w:left="220"/>
              <w:spacing w:after="0"/>
              <w:rPr>
                <w:sz w:val="20"/>
                <w:szCs w:val="20"/>
                <w:color w:val="auto"/>
              </w:rPr>
            </w:pPr>
            <w:r>
              <w:rPr>
                <w:rFonts w:ascii="Arial" w:cs="Arial" w:eastAsia="Arial" w:hAnsi="Arial"/>
                <w:sz w:val="14"/>
                <w:szCs w:val="14"/>
                <w:color w:val="auto"/>
              </w:rPr>
              <w:t>Issuance of common stock upon exercise of stock options</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192,687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4,944</w:t>
            </w:r>
          </w:p>
        </w:tc>
        <w:tc>
          <w:tcPr>
            <w:tcW w:w="18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4,944</w:t>
            </w:r>
          </w:p>
        </w:tc>
        <w:tc>
          <w:tcPr>
            <w:tcW w:w="0" w:type="dxa"/>
            <w:vAlign w:val="bottom"/>
          </w:tcPr>
          <w:p>
            <w:pPr>
              <w:spacing w:after="0"/>
              <w:rPr>
                <w:sz w:val="1"/>
                <w:szCs w:val="1"/>
                <w:color w:val="auto"/>
              </w:rPr>
            </w:pPr>
          </w:p>
        </w:tc>
      </w:tr>
      <w:tr>
        <w:trPr>
          <w:trHeight w:val="22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common stock</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(183,948)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(2,207)</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(14,038)</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(16,245)</w:t>
            </w:r>
          </w:p>
        </w:tc>
        <w:tc>
          <w:tcPr>
            <w:tcW w:w="0" w:type="dxa"/>
            <w:vAlign w:val="bottom"/>
          </w:tcPr>
          <w:p>
            <w:pPr>
              <w:spacing w:after="0"/>
              <w:rPr>
                <w:sz w:val="1"/>
                <w:szCs w:val="1"/>
                <w:color w:val="auto"/>
              </w:rPr>
            </w:pPr>
          </w:p>
        </w:tc>
      </w:tr>
      <w:tr>
        <w:trPr>
          <w:trHeight w:val="210"/>
        </w:trPr>
        <w:tc>
          <w:tcPr>
            <w:tcW w:w="5100" w:type="dxa"/>
            <w:vAlign w:val="bottom"/>
          </w:tcPr>
          <w:p>
            <w:pPr>
              <w:ind w:left="220"/>
              <w:spacing w:after="0"/>
              <w:rPr>
                <w:sz w:val="20"/>
                <w:szCs w:val="20"/>
                <w:color w:val="auto"/>
              </w:rPr>
            </w:pPr>
            <w:r>
              <w:rPr>
                <w:rFonts w:ascii="Arial" w:cs="Arial" w:eastAsia="Arial" w:hAnsi="Arial"/>
                <w:sz w:val="14"/>
                <w:szCs w:val="14"/>
                <w:color w:val="auto"/>
              </w:rPr>
              <w:t>Issuance of common stock upon vesting of restricted stock units</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126,754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Taxes related to net share settlement of equity awards</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(45,250)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(4,044)</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(4,044)</w:t>
            </w:r>
          </w:p>
        </w:tc>
        <w:tc>
          <w:tcPr>
            <w:tcW w:w="0" w:type="dxa"/>
            <w:vAlign w:val="bottom"/>
          </w:tcPr>
          <w:p>
            <w:pPr>
              <w:spacing w:after="0"/>
              <w:rPr>
                <w:sz w:val="1"/>
                <w:szCs w:val="1"/>
                <w:color w:val="auto"/>
              </w:rPr>
            </w:pPr>
          </w:p>
        </w:tc>
      </w:tr>
      <w:tr>
        <w:trPr>
          <w:trHeight w:val="210"/>
        </w:trPr>
        <w:tc>
          <w:tcPr>
            <w:tcW w:w="510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8,378</w:t>
            </w:r>
          </w:p>
        </w:tc>
        <w:tc>
          <w:tcPr>
            <w:tcW w:w="18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8,378</w:t>
            </w:r>
          </w:p>
        </w:tc>
        <w:tc>
          <w:tcPr>
            <w:tcW w:w="0" w:type="dxa"/>
            <w:vAlign w:val="bottom"/>
          </w:tcPr>
          <w:p>
            <w:pPr>
              <w:spacing w:after="0"/>
              <w:rPr>
                <w:sz w:val="1"/>
                <w:szCs w:val="1"/>
                <w:color w:val="auto"/>
              </w:rPr>
            </w:pPr>
          </w:p>
        </w:tc>
      </w:tr>
      <w:tr>
        <w:trPr>
          <w:trHeight w:val="234"/>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June 30, 2019</w:t>
            </w:r>
          </w:p>
        </w:tc>
        <w:tc>
          <w:tcPr>
            <w:tcW w:w="8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39,224,075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39</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345,637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1,240</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36,682</w:t>
            </w:r>
          </w:p>
        </w:tc>
        <w:tc>
          <w:tcPr>
            <w:tcW w:w="3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383,598</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Qualys, Inc. (the “Company”, "we", "us", "our") was incorporated in the state of Delaware on December 30, 1999. The Company is headquartered in Foster City, California and has wholly-owned subsidiaries throughout the world. The Company is a pioneer and leading provider of cloud-based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 distributed IT infrastructures.</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The accompanying unaudited condensed consolidated financial statements and condensed footnotes have been prepared in accordance with accounting principles generally accepted in the United States ("U.S. GAAP") for interim financial information as well as the instructions to Form 10-Q and the rules and regulations of the U.S. Securities and Exchange Commission ("SEC"). Certain information and disclosures normally included in the financial statements prepared in accordance with U.S. GAAP have been condensed or omitted pursuant to such rules and regulations. The condensed consolidated balance sheet as of December 31, 2019,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and six months ended June 30, 2020 are not necessarily indicative of the results of operations expected for the entire year ending December 31, 2020 or for any other future annual or interim periods. These condensed consolidated financial statements should be read in conjunction with the consolidated financial statements and related notes included in the Company’s Annual Report on Form 10-K for the year ended December 31, 2019, filed with the SEC on February 21, 2020.</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Risks and Uncertainties</w:t>
      </w:r>
    </w:p>
    <w:p>
      <w:pPr>
        <w:spacing w:after="0" w:line="180"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 xml:space="preserve">In March 2020, the World Health Organization declared the outbreak of </w:t>
      </w:r>
      <w:r>
        <w:rPr>
          <w:rFonts w:ascii="Arial" w:cs="Arial" w:eastAsia="Arial" w:hAnsi="Arial"/>
          <w:sz w:val="18"/>
          <w:szCs w:val="18"/>
          <w:color w:val="231F20"/>
        </w:rPr>
        <w:t>a novel strain of coronavirus (“COVID-19”)</w:t>
      </w:r>
      <w:r>
        <w:rPr>
          <w:rFonts w:ascii="Arial" w:cs="Arial" w:eastAsia="Arial" w:hAnsi="Arial"/>
          <w:sz w:val="18"/>
          <w:szCs w:val="18"/>
          <w:color w:val="auto"/>
        </w:rPr>
        <w:t xml:space="preserve"> as a pandemic. As a result of COVID-19, the Company has modified certain aspects of its business, including restricting </w:t>
      </w:r>
      <w:r>
        <w:rPr>
          <w:rFonts w:ascii="Arial" w:cs="Arial" w:eastAsia="Arial" w:hAnsi="Arial"/>
          <w:sz w:val="18"/>
          <w:szCs w:val="18"/>
          <w:color w:val="212529"/>
        </w:rPr>
        <w:t>employee travel, requiring employees to</w:t>
      </w:r>
      <w:r>
        <w:rPr>
          <w:rFonts w:ascii="Arial" w:cs="Arial" w:eastAsia="Arial" w:hAnsi="Arial"/>
          <w:sz w:val="18"/>
          <w:szCs w:val="18"/>
          <w:color w:val="auto"/>
        </w:rPr>
        <w:t xml:space="preserve"> </w:t>
      </w:r>
      <w:r>
        <w:rPr>
          <w:rFonts w:ascii="Arial" w:cs="Arial" w:eastAsia="Arial" w:hAnsi="Arial"/>
          <w:sz w:val="18"/>
          <w:szCs w:val="18"/>
          <w:color w:val="212529"/>
        </w:rPr>
        <w:t xml:space="preserve">work from home, and canceling certain events and meetings, among other modifications. The Company will continue to actively monitor the situation and may take further actions that alter its business operations as may be required by federal, state or local authorities or that the Company determines are in the best interests of its employees, customers, partners, suppliers and stockholders. </w:t>
      </w:r>
      <w:r>
        <w:rPr>
          <w:rFonts w:ascii="Arial" w:cs="Arial" w:eastAsia="Arial" w:hAnsi="Arial"/>
          <w:sz w:val="18"/>
          <w:szCs w:val="18"/>
          <w:color w:val="000000"/>
        </w:rPr>
        <w:t>While the Company has not</w:t>
      </w:r>
      <w:r>
        <w:rPr>
          <w:rFonts w:ascii="Arial" w:cs="Arial" w:eastAsia="Arial" w:hAnsi="Arial"/>
          <w:sz w:val="18"/>
          <w:szCs w:val="18"/>
          <w:color w:val="212529"/>
        </w:rPr>
        <w:t xml:space="preserve"> </w:t>
      </w:r>
      <w:r>
        <w:rPr>
          <w:rFonts w:ascii="Arial" w:cs="Arial" w:eastAsia="Arial" w:hAnsi="Arial"/>
          <w:sz w:val="18"/>
          <w:szCs w:val="18"/>
          <w:color w:val="000000"/>
        </w:rPr>
        <w:t>incurred significant disruptions from the COVID-19 outbreak, the Company is unable to accurately predict the full impact that COVID-19 will have due to numerous uncertainties, including the duration of the outbreak, actions that may be taken by governmental authorities and the impact to the business of its customers and partners. The Company will continue to evaluate the nature and extent of the impact to its business, financial position, results of operations and cash flows.</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management to make certain estimates and assumptions that affect the reported amounts of assets and liabilities and disclosure of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capitalization of internally developed software, stock-based compensation and the provision for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taxes. Actual results could differ from those estimates and such differences may be material to the accompanying unaudited condensed consolidated financial statements.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Derivative financial instruments are utilized by the Company to reduce foreign currency exchange risks. The Company uses foreign currency forward contracts to mitigate the impact of foreign currency fluctuations of certain non-U.S. dollar denominated net asset positions, to date primarily cash, accounts receivable and operating lease liabilities, as well as to manage foreign currency fluctuation risk related to forecasted transactions. Open contracts are recorded within prepaid expenses and other current assets, other noncurrent assets, accrued liabilities or other noncurrent liabilities in the condensed consolidated balance sheets. Gains and losses resulting from currency exchange rate movements on non-designated forward contracts are recognized in other income (expense), net. Any gains or losses from derivatives designated as cash flow hedges are first recorded within accumulated other comprehensive income ("AOCI") and then reclassified into revenue or operating expenses when the hedged item impacts the condensed consolidated statements of operations.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 recognizes the fair value of its employee stock options and restricted stock units over the requisite service periods for those awards ultimately expected to vest. The fair value of each option is estimated on the date of grant using the Black-Scholes-Merton option pricing model and the fair value of each restricted stock unit ("RSU") is based on the price of the Company's stock on the date of grant. Forfeitures are estimated on the date of grant and revised if actual or expected forfeiture activity differs materially from original estimates.</w:t>
      </w:r>
    </w:p>
    <w:p>
      <w:pPr>
        <w:spacing w:after="0" w:line="9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 has issued performance-based awards and stock options, and accounts for these awards and options as stock-based compensation with multiple performance conditions. For these performance-based awards, the Company records compensation expense for only the performance milestones that are probable of being achieved, with such expense recorded on a straight-line basis over the expected vesting period. The Company reassesses performance-based estimates each reporting period and if there are any changes in the probability of achievement, the Company recognizes the cumulative effect in the period when the estimate changes.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Non-Marketable Securities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During the fiscal year ended December 31, 2018</w:t>
      </w:r>
      <w:r>
        <w:rPr>
          <w:rFonts w:ascii="Arial" w:cs="Arial" w:eastAsia="Arial" w:hAnsi="Arial"/>
          <w:sz w:val="18"/>
          <w:szCs w:val="18"/>
          <w:color w:val="000000"/>
        </w:rPr>
        <w:t>, the Company invested</w:t>
      </w:r>
      <w:r>
        <w:rPr>
          <w:rFonts w:ascii="Arial" w:cs="Arial" w:eastAsia="Arial" w:hAnsi="Arial"/>
          <w:sz w:val="18"/>
          <w:szCs w:val="18"/>
          <w:color w:val="231F20"/>
        </w:rPr>
        <w:t xml:space="preserve"> $2.5 million </w:t>
      </w:r>
      <w:r>
        <w:rPr>
          <w:rFonts w:ascii="Arial" w:cs="Arial" w:eastAsia="Arial" w:hAnsi="Arial"/>
          <w:sz w:val="18"/>
          <w:szCs w:val="18"/>
          <w:color w:val="000000"/>
        </w:rPr>
        <w:t>in preferred stock of a privately-held company.</w:t>
      </w:r>
      <w:r>
        <w:rPr>
          <w:rFonts w:ascii="Arial" w:cs="Arial" w:eastAsia="Arial" w:hAnsi="Arial"/>
          <w:sz w:val="18"/>
          <w:szCs w:val="18"/>
          <w:color w:val="231F20"/>
        </w:rPr>
        <w:t xml:space="preserve"> The fair value of the investment is not readily available, and there are no quoted market prices for the investment. The investment is included in other noncurrent assets on the condensed consolidated balance sheets and measured at cost less impairment, adjusted for observable price changes. The investment is assessed for impairment annually or whenever events or changes in circumstances indicate that the carrying amount may not be recoverable. </w:t>
      </w:r>
      <w:r>
        <w:rPr>
          <w:rFonts w:ascii="Arial" w:cs="Arial" w:eastAsia="Arial" w:hAnsi="Arial"/>
          <w:sz w:val="18"/>
          <w:szCs w:val="18"/>
          <w:color w:val="212529"/>
        </w:rPr>
        <w:t>During the second quarter ended June 30, 2019, the Company made an advance payment of</w:t>
      </w:r>
      <w:r>
        <w:rPr>
          <w:rFonts w:ascii="Arial" w:cs="Arial" w:eastAsia="Arial" w:hAnsi="Arial"/>
          <w:sz w:val="18"/>
          <w:szCs w:val="18"/>
          <w:color w:val="231F20"/>
        </w:rPr>
        <w:t xml:space="preserve"> </w:t>
      </w:r>
      <w:r>
        <w:rPr>
          <w:rFonts w:ascii="Arial" w:cs="Arial" w:eastAsia="Arial" w:hAnsi="Arial"/>
          <w:sz w:val="18"/>
          <w:szCs w:val="18"/>
          <w:color w:val="000000"/>
        </w:rPr>
        <w:t>$0.6 million to</w:t>
      </w:r>
      <w:r>
        <w:rPr>
          <w:rFonts w:ascii="Arial" w:cs="Arial" w:eastAsia="Arial" w:hAnsi="Arial"/>
          <w:sz w:val="18"/>
          <w:szCs w:val="18"/>
          <w:color w:val="231F20"/>
        </w:rPr>
        <w:t xml:space="preserve"> </w:t>
      </w:r>
      <w:r>
        <w:rPr>
          <w:rFonts w:ascii="Arial" w:cs="Arial" w:eastAsia="Arial" w:hAnsi="Arial"/>
          <w:sz w:val="18"/>
          <w:szCs w:val="18"/>
          <w:color w:val="000000"/>
        </w:rPr>
        <w:t xml:space="preserve">the investee for certain development work, which is recorded in other noncurrent assets on the condensed consolidated balance sheet. </w:t>
      </w:r>
      <w:r>
        <w:rPr>
          <w:rFonts w:ascii="Arial" w:cs="Arial" w:eastAsia="Arial" w:hAnsi="Arial"/>
          <w:sz w:val="18"/>
          <w:szCs w:val="18"/>
          <w:color w:val="212529"/>
        </w:rPr>
        <w:t xml:space="preserve">During the third quarter ended September 30, 2019, </w:t>
      </w:r>
      <w:r>
        <w:rPr>
          <w:rFonts w:ascii="Arial" w:cs="Arial" w:eastAsia="Arial" w:hAnsi="Arial"/>
          <w:sz w:val="18"/>
          <w:szCs w:val="18"/>
          <w:color w:val="000000"/>
        </w:rPr>
        <w:t>the Company made an additional investment of $0.6 million in a convertible security</w:t>
      </w:r>
      <w:r>
        <w:rPr>
          <w:rFonts w:ascii="Arial" w:cs="Arial" w:eastAsia="Arial" w:hAnsi="Arial"/>
          <w:sz w:val="18"/>
          <w:szCs w:val="18"/>
          <w:color w:val="212529"/>
        </w:rPr>
        <w:t xml:space="preserve"> </w:t>
      </w:r>
      <w:r>
        <w:rPr>
          <w:rFonts w:ascii="Arial" w:cs="Arial" w:eastAsia="Arial" w:hAnsi="Arial"/>
          <w:sz w:val="18"/>
          <w:szCs w:val="18"/>
          <w:color w:val="000000"/>
        </w:rPr>
        <w:t xml:space="preserve">issued by this investee and recorded it in other current assets on the condensed consolidated balance sheet. </w:t>
      </w:r>
      <w:r>
        <w:rPr>
          <w:rFonts w:ascii="Arial" w:cs="Arial" w:eastAsia="Arial" w:hAnsi="Arial"/>
          <w:sz w:val="18"/>
          <w:szCs w:val="18"/>
          <w:color w:val="231F20"/>
        </w:rPr>
        <w:t>As of June 30, 2020 and</w:t>
      </w:r>
      <w:r>
        <w:rPr>
          <w:rFonts w:ascii="Arial" w:cs="Arial" w:eastAsia="Arial" w:hAnsi="Arial"/>
          <w:sz w:val="18"/>
          <w:szCs w:val="18"/>
          <w:color w:val="000000"/>
        </w:rPr>
        <w:t xml:space="preserve"> </w:t>
      </w:r>
      <w:r>
        <w:rPr>
          <w:rFonts w:ascii="Arial" w:cs="Arial" w:eastAsia="Arial" w:hAnsi="Arial"/>
          <w:sz w:val="18"/>
          <w:szCs w:val="18"/>
          <w:color w:val="231F20"/>
        </w:rPr>
        <w:t>December 31, 2019, no impairment was recorded for the investments.</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Recently Adopted Accounting Pronouncements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In August 2018, the Financial Accounting Standards Board ("FASB") issued Accounting Standards Update ("ASU") 2018-15, Intangibles</w:t>
      </w:r>
    </w:p>
    <w:p>
      <w:pPr>
        <w:spacing w:after="0" w:line="9" w:lineRule="exact"/>
        <w:rPr>
          <w:sz w:val="20"/>
          <w:szCs w:val="20"/>
          <w:color w:val="auto"/>
        </w:rPr>
      </w:pPr>
    </w:p>
    <w:p>
      <w:pPr>
        <w:jc w:val="both"/>
        <w:ind w:firstLine="8"/>
        <w:spacing w:after="0" w:line="252" w:lineRule="auto"/>
        <w:tabs>
          <w:tab w:leader="none" w:pos="147"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 xml:space="preserve">Goodwill and Other - Internal-Use Software (Subtopic 350-40): Customer's Accounting for Implementation Costs Incurred in a Cloud Computing Arrangement That Is a Service Contract. This ASU aligns the requirements for capitalizing implementation costs incurred in a hosting arrangement that is a service contract with the requirements for capitalizing implementation costs related to internal-use software. It also requires the Company to expense the capitalized implementation costs of a hosting arrangement that is a service contract over the term of the hosting arrangement. The Company adopted this ASU prospectively to applicable implementation costs incurred since January 1, 2020. </w:t>
      </w:r>
      <w:r>
        <w:rPr>
          <w:rFonts w:ascii="Arial" w:cs="Arial" w:eastAsia="Arial" w:hAnsi="Arial"/>
          <w:sz w:val="18"/>
          <w:szCs w:val="18"/>
          <w:color w:val="000000"/>
        </w:rPr>
        <w:t>The adoption did not have a material impact on the Company's condensed consolidated financial statements.</w:t>
      </w:r>
    </w:p>
    <w:p>
      <w:pPr>
        <w:spacing w:after="0" w:line="100"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231F20"/>
        </w:rPr>
        <w:t>In June 2016, the FASB issued ASU No. 2016-13, Financial Instruments-Credit Losses (Topic 326) as modified by subsequently issued ASU No. 2018-19, 2019-04 and 2019-05, which introduces a new accounting model,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Current Expected Credit Losses ("CECL"). CECL requires earlier recognition of credit losses, while also providing additional transparency about credit risk. CECL utilizes a lifetime expected credit loss measurement objective for the recognition of credit losses at the time the financial asset is originated or acquired. The expected credit losses are adjusted each period for changes in expected lifetime credit losses. The Company adopted this ASU on January 1, 2020, using a modified retrospective transition method, which requires a cumulative-effect adjustme</w:t>
      </w:r>
      <w:r>
        <w:rPr>
          <w:rFonts w:ascii="Arial" w:cs="Arial" w:eastAsia="Arial" w:hAnsi="Arial"/>
          <w:sz w:val="18"/>
          <w:szCs w:val="18"/>
          <w:color w:val="000000"/>
        </w:rPr>
        <w:t>nt, if any, to the opening balance of retained earnings to be recognized on the date of adoption with prior periods not restated. The</w:t>
      </w:r>
      <w:r>
        <w:rPr>
          <w:rFonts w:ascii="Arial" w:cs="Arial" w:eastAsia="Arial" w:hAnsi="Arial"/>
          <w:sz w:val="18"/>
          <w:szCs w:val="18"/>
          <w:color w:val="231F20"/>
        </w:rPr>
        <w:t xml:space="preserve"> </w:t>
      </w:r>
      <w:r>
        <w:rPr>
          <w:rFonts w:ascii="Arial" w:cs="Arial" w:eastAsia="Arial" w:hAnsi="Arial"/>
          <w:sz w:val="18"/>
          <w:szCs w:val="18"/>
          <w:color w:val="000000"/>
        </w:rPr>
        <w:t>adoption did not have a material impact on the Company's condensed consolidated financial statements.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Recently Issued Accounting Pronouncements Not Yet Adopted</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January 2020, the FASB issued ASU No. 2020-01, Investments—Equity Securities (Topic 321), Investments—Equity Method and Joint Ventures (Topic 323), and Derivatives and Hedging (Topic 815) ("ASU 2020-01"). This ASU clarifies the interaction of the accounting for equity securities under Topic 321, the accounting for equity method investments in Topic 323, and the accounting for certain forward contracts and purchased options in Topic 815. It is effective for the Company beginning in the first quarter of fiscal 2021, and earlier adoption is permitted. The Company is currently evaluating the impact of its pending adoption of ASU 2020-01 on the Company's condensed consolidated financial statements.</w:t>
      </w:r>
    </w:p>
    <w:p>
      <w:pPr>
        <w:spacing w:after="0" w:line="10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December 2019, the FASB issued ASU No. 2019-12, Simplifying the Accounting for Income Taxes ("ASU 2019-12"), which simplifies the accounting for income taxes, eliminates certain exceptions within ASC 740, Income Taxes, and clarifies certain aspects of the current guidance to promote consistency among reporting entities. ASU 2019-12 is effective for the Company for fiscal years beginning after December 15, 2020. Most amendments within the standard are required to be applied on a prospective basis, while certain amendments must be applied on a retrospective or modified retrospective basis. The Company is currently evaluating the impacts of the provisions of ASU 2019-12 on its condensed consolidated financial statements.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9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marketable securities, derivative foreign currency forward contracts and commitments associated with prior business combinations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63" w:lineRule="exact"/>
        <w:rPr>
          <w:sz w:val="20"/>
          <w:szCs w:val="20"/>
          <w:color w:val="auto"/>
        </w:rPr>
      </w:pPr>
    </w:p>
    <w:p>
      <w:pPr>
        <w:jc w:val="both"/>
        <w:ind w:left="420" w:firstLine="405"/>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or liabilities, quoted prices for identical</w:t>
      </w:r>
      <w:r>
        <w:rPr>
          <w:rFonts w:ascii="Arial" w:cs="Arial" w:eastAsia="Arial" w:hAnsi="Arial"/>
          <w:sz w:val="18"/>
          <w:szCs w:val="18"/>
          <w:i w:val="1"/>
          <w:iCs w:val="1"/>
          <w:color w:val="231F20"/>
        </w:rPr>
        <w:t xml:space="preserve"> </w:t>
      </w:r>
      <w:r>
        <w:rPr>
          <w:rFonts w:ascii="Arial" w:cs="Arial" w:eastAsia="Arial" w:hAnsi="Arial"/>
          <w:sz w:val="18"/>
          <w:szCs w:val="18"/>
          <w:color w:val="231F20"/>
        </w:rPr>
        <w:t>or similar assets or liabilities in inactive markets, or other inputs that are observable or can be corroborated by observable market data for substantially the full term of the assets or liabilities.</w:t>
      </w:r>
    </w:p>
    <w:p>
      <w:pPr>
        <w:spacing w:after="0" w:line="14" w:lineRule="exact"/>
        <w:rPr>
          <w:sz w:val="20"/>
          <w:szCs w:val="20"/>
          <w:color w:val="auto"/>
        </w:rPr>
      </w:pPr>
    </w:p>
    <w:p>
      <w:pPr>
        <w:jc w:val="both"/>
        <w:ind w:left="420" w:firstLine="405"/>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w:t>
      </w:r>
      <w:r>
        <w:rPr>
          <w:rFonts w:ascii="Arial" w:cs="Arial" w:eastAsia="Arial" w:hAnsi="Arial"/>
          <w:sz w:val="18"/>
          <w:szCs w:val="18"/>
          <w:i w:val="1"/>
          <w:iCs w:val="1"/>
          <w:color w:val="231F20"/>
        </w:rPr>
        <w:t xml:space="preserve"> </w:t>
      </w:r>
      <w:r>
        <w:rPr>
          <w:rFonts w:ascii="Arial" w:cs="Arial" w:eastAsia="Arial" w:hAnsi="Arial"/>
          <w:sz w:val="18"/>
          <w:szCs w:val="18"/>
          <w:color w:val="231F20"/>
        </w:rPr>
        <w:t>that market participants would use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68"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The Company's Level 1 assets include a highly liquid money market funds, which are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w:t>
      </w:r>
      <w:r>
        <w:rPr>
          <w:rFonts w:ascii="Arial" w:cs="Arial" w:eastAsia="Arial" w:hAnsi="Arial"/>
          <w:sz w:val="18"/>
          <w:szCs w:val="18"/>
          <w:color w:val="231F20"/>
        </w:rPr>
        <w:t xml:space="preserve"> </w:t>
      </w:r>
      <w:r>
        <w:rPr>
          <w:rFonts w:ascii="Arial" w:cs="Arial" w:eastAsia="Arial" w:hAnsi="Arial"/>
          <w:sz w:val="18"/>
          <w:szCs w:val="18"/>
          <w:color w:val="000000"/>
        </w:rPr>
        <w:t xml:space="preserve">paper, corporate bonds, asset-backed securities and derivative 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 valued usi</w:t>
      </w:r>
      <w:r>
        <w:rPr>
          <w:rFonts w:ascii="Arial" w:cs="Arial" w:eastAsia="Arial" w:hAnsi="Arial"/>
          <w:sz w:val="18"/>
          <w:szCs w:val="18"/>
          <w:color w:val="000000"/>
        </w:rPr>
        <w:t>ng observable inputs, such as quotations on forward foreign exchange points and foreign interest rates. During the fiscal years ended December 31, 2019 and 2018, the Company made investments of $0.6 million in a convertible security and $2.5 million in preferred stock, respectively, issued by a privately-held company. The estimated fair value of the investments was determined based on Level 3 inputs. As of June 30, 2020 and December 31, 2019, management estimated that the fair value of the investments equaled their carrying value.</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cash and cash equivalents, and marketable securities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564"/>
              <w:spacing w:after="0"/>
              <w:rPr>
                <w:sz w:val="20"/>
                <w:szCs w:val="20"/>
                <w:color w:val="auto"/>
              </w:rPr>
            </w:pPr>
            <w:r>
              <w:rPr>
                <w:rFonts w:ascii="Arial" w:cs="Arial" w:eastAsia="Arial" w:hAnsi="Arial"/>
                <w:sz w:val="14"/>
                <w:szCs w:val="14"/>
                <w:b w:val="1"/>
                <w:bCs w:val="1"/>
                <w:color w:val="auto"/>
              </w:rPr>
              <w:t>June 30, 2020</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5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5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14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Unrealized Gains</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(Losses)</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gridSpan w:val="3"/>
          </w:tcPr>
          <w:p>
            <w:pPr>
              <w:jc w:val="right"/>
              <w:ind w:right="524"/>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5320" w:type="dxa"/>
            <w:vAlign w:val="bottom"/>
          </w:tcPr>
          <w:p>
            <w:pPr>
              <w:ind w:left="22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106,272</w:t>
            </w:r>
          </w:p>
        </w:tc>
        <w:tc>
          <w:tcPr>
            <w:tcW w:w="100" w:type="dxa"/>
            <w:vAlign w:val="bottom"/>
          </w:tcPr>
          <w:p>
            <w:pPr>
              <w:spacing w:after="0"/>
              <w:rPr>
                <w:sz w:val="20"/>
                <w:szCs w:val="20"/>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64"/>
              <w:spacing w:after="0"/>
              <w:rPr>
                <w:sz w:val="20"/>
                <w:szCs w:val="20"/>
                <w:color w:val="auto"/>
              </w:rPr>
            </w:pPr>
            <w:r>
              <w:rPr>
                <w:rFonts w:ascii="Arial" w:cs="Arial" w:eastAsia="Arial" w:hAnsi="Arial"/>
                <w:sz w:val="16"/>
                <w:szCs w:val="16"/>
                <w:color w:val="auto"/>
              </w:rPr>
              <w:t>$</w:t>
            </w:r>
          </w:p>
        </w:tc>
        <w:tc>
          <w:tcPr>
            <w:tcW w:w="420" w:type="dxa"/>
            <w:vAlign w:val="bottom"/>
            <w:gridSpan w:val="2"/>
          </w:tcPr>
          <w:p>
            <w:pPr>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106,272</w:t>
            </w:r>
          </w:p>
        </w:tc>
      </w:tr>
      <w:tr>
        <w:trPr>
          <w:trHeight w:val="253"/>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5,638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5,638</w:t>
            </w:r>
          </w:p>
        </w:tc>
      </w:tr>
      <w:tr>
        <w:trPr>
          <w:trHeight w:val="237"/>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1,999</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1,999</w:t>
            </w:r>
          </w:p>
        </w:tc>
      </w:tr>
      <w:tr>
        <w:trPr>
          <w:trHeight w:val="243"/>
        </w:trPr>
        <w:tc>
          <w:tcPr>
            <w:tcW w:w="53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113,909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113,909</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Short-term marketable securities: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53"/>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1,847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1,849</w:t>
            </w:r>
          </w:p>
        </w:tc>
      </w:tr>
      <w:tr>
        <w:trPr>
          <w:trHeight w:val="233"/>
        </w:trPr>
        <w:tc>
          <w:tcPr>
            <w:tcW w:w="5320" w:type="dxa"/>
            <w:vAlign w:val="bottom"/>
          </w:tcPr>
          <w:p>
            <w:pPr>
              <w:ind w:left="22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24,289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24,516</w:t>
            </w:r>
          </w:p>
        </w:tc>
      </w:tr>
      <w:tr>
        <w:trPr>
          <w:trHeight w:val="253"/>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6,511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6,563</w:t>
            </w:r>
          </w:p>
        </w:tc>
      </w:tr>
      <w:tr>
        <w:trPr>
          <w:trHeight w:val="237"/>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U.S. government agencies</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200,419</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580</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200,994</w:t>
            </w:r>
          </w:p>
        </w:tc>
      </w:tr>
      <w:tr>
        <w:trPr>
          <w:trHeight w:val="243"/>
        </w:trPr>
        <w:tc>
          <w:tcPr>
            <w:tcW w:w="53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233,066</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861</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233,922</w:t>
            </w:r>
          </w:p>
        </w:tc>
      </w:tr>
      <w:tr>
        <w:trPr>
          <w:trHeight w:val="193"/>
        </w:trPr>
        <w:tc>
          <w:tcPr>
            <w:tcW w:w="5320" w:type="dxa"/>
            <w:vAlign w:val="bottom"/>
          </w:tcPr>
          <w:p>
            <w:pPr>
              <w:ind w:left="20"/>
              <w:spacing w:after="0"/>
              <w:rPr>
                <w:sz w:val="20"/>
                <w:szCs w:val="20"/>
                <w:color w:val="auto"/>
              </w:rPr>
            </w:pPr>
            <w:r>
              <w:rPr>
                <w:rFonts w:ascii="Arial" w:cs="Arial" w:eastAsia="Arial" w:hAnsi="Arial"/>
                <w:sz w:val="16"/>
                <w:szCs w:val="16"/>
                <w:color w:val="auto"/>
              </w:rPr>
              <w:t>Long-term marketable securities: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6"/>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35,441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35,848</w:t>
            </w:r>
          </w:p>
        </w:tc>
      </w:tr>
      <w:tr>
        <w:trPr>
          <w:trHeight w:val="233"/>
        </w:trPr>
        <w:tc>
          <w:tcPr>
            <w:tcW w:w="5320" w:type="dxa"/>
            <w:vAlign w:val="bottom"/>
          </w:tcPr>
          <w:p>
            <w:pPr>
              <w:ind w:left="22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14,544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14,988</w:t>
            </w:r>
          </w:p>
        </w:tc>
      </w:tr>
      <w:tr>
        <w:trPr>
          <w:trHeight w:val="253"/>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government agencies</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1,039</w:t>
            </w:r>
          </w:p>
        </w:tc>
      </w:tr>
      <w:tr>
        <w:trPr>
          <w:trHeight w:val="236"/>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44,542</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1,066</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45,608</w:t>
            </w:r>
          </w:p>
        </w:tc>
      </w:tr>
      <w:tr>
        <w:trPr>
          <w:trHeight w:val="237"/>
        </w:trPr>
        <w:tc>
          <w:tcPr>
            <w:tcW w:w="53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95,532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1,951</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97,483</w:t>
            </w:r>
          </w:p>
        </w:tc>
      </w:tr>
      <w:tr>
        <w:trPr>
          <w:trHeight w:val="243"/>
        </w:trPr>
        <w:tc>
          <w:tcPr>
            <w:tcW w:w="532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442,507</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2,812</w:t>
            </w:r>
          </w:p>
        </w:tc>
        <w:tc>
          <w:tcPr>
            <w:tcW w:w="10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ind w:right="864"/>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445,314</w:t>
            </w: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364"/>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75"/>
        </w:trPr>
        <w:tc>
          <w:tcPr>
            <w:tcW w:w="5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6"/>
        </w:trPr>
        <w:tc>
          <w:tcPr>
            <w:tcW w:w="5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14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Unrealized Gains</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(Losses)</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524"/>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3"/>
        </w:trPr>
        <w:tc>
          <w:tcPr>
            <w:tcW w:w="5420" w:type="dxa"/>
            <w:vAlign w:val="bottom"/>
          </w:tcPr>
          <w:p>
            <w:pPr>
              <w:ind w:left="22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84,102</w:t>
            </w:r>
          </w:p>
        </w:tc>
        <w:tc>
          <w:tcPr>
            <w:tcW w:w="120" w:type="dxa"/>
            <w:vAlign w:val="bottom"/>
          </w:tcPr>
          <w:p>
            <w:pPr>
              <w:spacing w:after="0"/>
              <w:rPr>
                <w:sz w:val="20"/>
                <w:szCs w:val="20"/>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64"/>
              <w:spacing w:after="0"/>
              <w:rPr>
                <w:sz w:val="20"/>
                <w:szCs w:val="20"/>
                <w:color w:val="auto"/>
              </w:rPr>
            </w:pPr>
            <w:r>
              <w:rPr>
                <w:rFonts w:ascii="Arial" w:cs="Arial" w:eastAsia="Arial" w:hAnsi="Arial"/>
                <w:sz w:val="16"/>
                <w:szCs w:val="16"/>
                <w:color w:val="auto"/>
              </w:rPr>
              <w:t>$</w:t>
            </w:r>
          </w:p>
        </w:tc>
        <w:tc>
          <w:tcPr>
            <w:tcW w:w="420" w:type="dxa"/>
            <w:vAlign w:val="bottom"/>
            <w:gridSpan w:val="2"/>
          </w:tcPr>
          <w:p>
            <w:pPr>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84,102</w:t>
            </w:r>
          </w:p>
        </w:tc>
      </w:tr>
      <w:tr>
        <w:trPr>
          <w:trHeight w:val="253"/>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58</w:t>
            </w:r>
          </w:p>
        </w:tc>
      </w:tr>
      <w:tr>
        <w:trPr>
          <w:trHeight w:val="237"/>
        </w:trPr>
        <w:tc>
          <w:tcPr>
            <w:tcW w:w="5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3,399</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3,399</w:t>
            </w:r>
          </w:p>
        </w:tc>
      </w:tr>
      <w:tr>
        <w:trPr>
          <w:trHeight w:val="243"/>
        </w:trPr>
        <w:tc>
          <w:tcPr>
            <w:tcW w:w="54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87,559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87,559</w:t>
            </w: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Short-term marketable securities: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53"/>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2,239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2,239</w:t>
            </w:r>
          </w:p>
        </w:tc>
      </w:tr>
      <w:tr>
        <w:trPr>
          <w:trHeight w:val="233"/>
        </w:trPr>
        <w:tc>
          <w:tcPr>
            <w:tcW w:w="5420" w:type="dxa"/>
            <w:vAlign w:val="bottom"/>
          </w:tcPr>
          <w:p>
            <w:pPr>
              <w:ind w:left="22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0"/>
                <w:szCs w:val="20"/>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33,048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33,098</w:t>
            </w:r>
          </w:p>
        </w:tc>
      </w:tr>
      <w:tr>
        <w:trPr>
          <w:trHeight w:val="253"/>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2,438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2,449</w:t>
            </w:r>
          </w:p>
        </w:tc>
      </w:tr>
      <w:tr>
        <w:trPr>
          <w:trHeight w:val="237"/>
        </w:trPr>
        <w:tc>
          <w:tcPr>
            <w:tcW w:w="5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U.S. government agencies</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173,364</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173,545</w:t>
            </w:r>
          </w:p>
        </w:tc>
      </w:tr>
      <w:tr>
        <w:trPr>
          <w:trHeight w:val="243"/>
        </w:trPr>
        <w:tc>
          <w:tcPr>
            <w:tcW w:w="54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211,089</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211,331</w:t>
            </w:r>
          </w:p>
        </w:tc>
      </w:tr>
      <w:tr>
        <w:trPr>
          <w:trHeight w:val="193"/>
        </w:trPr>
        <w:tc>
          <w:tcPr>
            <w:tcW w:w="5420" w:type="dxa"/>
            <w:vAlign w:val="bottom"/>
          </w:tcPr>
          <w:p>
            <w:pPr>
              <w:ind w:left="20"/>
              <w:spacing w:after="0"/>
              <w:rPr>
                <w:sz w:val="20"/>
                <w:szCs w:val="20"/>
                <w:color w:val="auto"/>
              </w:rPr>
            </w:pPr>
            <w:r>
              <w:rPr>
                <w:rFonts w:ascii="Arial" w:cs="Arial" w:eastAsia="Arial" w:hAnsi="Arial"/>
                <w:sz w:val="16"/>
                <w:szCs w:val="16"/>
                <w:color w:val="auto"/>
              </w:rPr>
              <w:t>Long-term marketable securities: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6"/>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40,001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40,193</w:t>
            </w:r>
          </w:p>
        </w:tc>
      </w:tr>
      <w:tr>
        <w:trPr>
          <w:trHeight w:val="233"/>
        </w:trPr>
        <w:tc>
          <w:tcPr>
            <w:tcW w:w="5420" w:type="dxa"/>
            <w:vAlign w:val="bottom"/>
          </w:tcPr>
          <w:p>
            <w:pPr>
              <w:ind w:left="22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0"/>
                <w:szCs w:val="20"/>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46,447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46,817</w:t>
            </w:r>
          </w:p>
        </w:tc>
      </w:tr>
      <w:tr>
        <w:trPr>
          <w:trHeight w:val="246"/>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32,236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32,498</w:t>
            </w:r>
          </w:p>
        </w:tc>
      </w:tr>
      <w:tr>
        <w:trPr>
          <w:trHeight w:val="237"/>
        </w:trPr>
        <w:tc>
          <w:tcPr>
            <w:tcW w:w="54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118,684</w:t>
            </w:r>
          </w:p>
        </w:tc>
        <w:tc>
          <w:tcPr>
            <w:tcW w:w="12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825</w:t>
            </w:r>
          </w:p>
        </w:tc>
        <w:tc>
          <w:tcPr>
            <w:tcW w:w="100" w:type="dxa"/>
            <w:vAlign w:val="bottom"/>
            <w:tcBorders>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119,508</w:t>
            </w:r>
          </w:p>
        </w:tc>
      </w:tr>
      <w:tr>
        <w:trPr>
          <w:trHeight w:val="26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417,332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1,071</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418,398</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There were no marketable securities that had been in a continuous unrealized loss position for 12 months or longer. As of June 30, 2020, the Company had the ability and intent to hold all marketable securities that were in an unrealized loss position until maturity or recovery. The Company considered the extent to which fair value was less than amortized cost basis and conditions related to security’s industry and geography and changes to the ratings, if any, and concluded the decline in fair value compared to carrying value was not related to credit loss.</w:t>
      </w:r>
    </w:p>
    <w:p>
      <w:pPr>
        <w:spacing w:after="0" w:line="9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following table sets forth by level within the fair value hierarchy the fair value of the Company's cash equivalents and marketable securities measured on a recurring basis: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9"/>
        </w:trPr>
        <w:tc>
          <w:tcPr>
            <w:tcW w:w="6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5,638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5,638</w:t>
            </w:r>
          </w:p>
        </w:tc>
      </w:tr>
      <w:tr>
        <w:trPr>
          <w:trHeight w:val="233"/>
        </w:trPr>
        <w:tc>
          <w:tcPr>
            <w:tcW w:w="6700" w:type="dxa"/>
            <w:vAlign w:val="bottom"/>
          </w:tcPr>
          <w:p>
            <w:pPr>
              <w:ind w:left="20"/>
              <w:spacing w:after="0"/>
              <w:rPr>
                <w:sz w:val="20"/>
                <w:szCs w:val="20"/>
                <w:color w:val="auto"/>
              </w:rPr>
            </w:pPr>
            <w:r>
              <w:rPr>
                <w:rFonts w:ascii="Arial" w:cs="Arial" w:eastAsia="Arial" w:hAnsi="Arial"/>
                <w:sz w:val="16"/>
                <w:szCs w:val="16"/>
                <w:color w:val="auto"/>
              </w:rPr>
              <w:t>Commercial paper</w:t>
            </w:r>
          </w:p>
        </w:tc>
        <w:tc>
          <w:tcPr>
            <w:tcW w:w="28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3,848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3,848</w:t>
            </w:r>
          </w:p>
        </w:tc>
      </w:tr>
      <w:tr>
        <w:trPr>
          <w:trHeight w:val="25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w:t>
            </w: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215,982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215,982</w:t>
            </w:r>
          </w:p>
        </w:tc>
      </w:tr>
      <w:tr>
        <w:trPr>
          <w:trHeight w:val="233"/>
        </w:trPr>
        <w:tc>
          <w:tcPr>
            <w:tcW w:w="6700" w:type="dxa"/>
            <w:vAlign w:val="bottom"/>
          </w:tcPr>
          <w:p>
            <w:pPr>
              <w:ind w:left="20"/>
              <w:spacing w:after="0"/>
              <w:rPr>
                <w:sz w:val="20"/>
                <w:szCs w:val="20"/>
                <w:color w:val="auto"/>
              </w:rPr>
            </w:pPr>
            <w:r>
              <w:rPr>
                <w:rFonts w:ascii="Arial" w:cs="Arial" w:eastAsia="Arial" w:hAnsi="Arial"/>
                <w:sz w:val="16"/>
                <w:szCs w:val="16"/>
                <w:color w:val="auto"/>
              </w:rPr>
              <w:t>Foreign government agencies</w:t>
            </w:r>
          </w:p>
        </w:tc>
        <w:tc>
          <w:tcPr>
            <w:tcW w:w="28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1,039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1,039</w:t>
            </w:r>
          </w:p>
        </w:tc>
      </w:tr>
      <w:tr>
        <w:trPr>
          <w:trHeight w:val="25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70,124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70,124</w:t>
            </w:r>
          </w:p>
        </w:tc>
      </w:tr>
      <w:tr>
        <w:trPr>
          <w:trHeight w:val="236"/>
        </w:trPr>
        <w:tc>
          <w:tcPr>
            <w:tcW w:w="670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28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42,411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42,411</w:t>
            </w:r>
          </w:p>
        </w:tc>
      </w:tr>
      <w:tr>
        <w:trPr>
          <w:trHeight w:val="26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5,638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333,404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339,042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643"/>
        </w:trPr>
        <w:tc>
          <w:tcPr>
            <w:tcW w:w="6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0"/>
        </w:trPr>
        <w:tc>
          <w:tcPr>
            <w:tcW w:w="6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58</w:t>
            </w:r>
          </w:p>
        </w:tc>
      </w:tr>
      <w:tr>
        <w:trPr>
          <w:trHeight w:val="233"/>
        </w:trPr>
        <w:tc>
          <w:tcPr>
            <w:tcW w:w="6700" w:type="dxa"/>
            <w:vAlign w:val="bottom"/>
          </w:tcPr>
          <w:p>
            <w:pPr>
              <w:ind w:left="20"/>
              <w:spacing w:after="0"/>
              <w:rPr>
                <w:sz w:val="20"/>
                <w:szCs w:val="20"/>
                <w:color w:val="auto"/>
              </w:rPr>
            </w:pPr>
            <w:r>
              <w:rPr>
                <w:rFonts w:ascii="Arial" w:cs="Arial" w:eastAsia="Arial" w:hAnsi="Arial"/>
                <w:sz w:val="16"/>
                <w:szCs w:val="16"/>
                <w:color w:val="auto"/>
              </w:rPr>
              <w:t>Commercial paper</w:t>
            </w:r>
          </w:p>
        </w:tc>
        <w:tc>
          <w:tcPr>
            <w:tcW w:w="28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5,638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5,638</w:t>
            </w:r>
          </w:p>
        </w:tc>
      </w:tr>
      <w:tr>
        <w:trPr>
          <w:trHeight w:val="25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w:t>
            </w: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220,362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220,362</w:t>
            </w:r>
          </w:p>
        </w:tc>
      </w:tr>
      <w:tr>
        <w:trPr>
          <w:trHeight w:val="233"/>
        </w:trPr>
        <w:tc>
          <w:tcPr>
            <w:tcW w:w="670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28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65,596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65,596</w:t>
            </w:r>
          </w:p>
        </w:tc>
      </w:tr>
      <w:tr>
        <w:trPr>
          <w:trHeight w:val="24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42,642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42,642</w:t>
            </w:r>
          </w:p>
        </w:tc>
      </w:tr>
      <w:tr>
        <w:trPr>
          <w:trHeight w:val="243"/>
        </w:trPr>
        <w:tc>
          <w:tcPr>
            <w:tcW w:w="6700" w:type="dxa"/>
            <w:vAlign w:val="bottom"/>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334,238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334,296</w:t>
            </w:r>
          </w:p>
        </w:tc>
      </w:tr>
      <w:tr>
        <w:trPr>
          <w:trHeight w:val="20"/>
        </w:trPr>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There were no transfers between Level 1 and Level 2 of the fair value hierarchy, as determined at the end of each reporting period.</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following summarizes the fair value of marketable securities by contractual or effective maturity as of June 30, 2020 and December 31, 2019:</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Mature within</w:t>
            </w:r>
          </w:p>
        </w:tc>
        <w:tc>
          <w:tcPr>
            <w:tcW w:w="22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Mature after One Year through</w:t>
            </w:r>
          </w:p>
        </w:tc>
        <w:tc>
          <w:tcPr>
            <w:tcW w:w="1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One Year</w:t>
            </w:r>
          </w:p>
        </w:tc>
        <w:tc>
          <w:tcPr>
            <w:tcW w:w="4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9"/>
              </w:rPr>
              <w:t>Two Years</w:t>
            </w: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Mature over Two Years</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4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9"/>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3,848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8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3,848</w:t>
            </w:r>
          </w:p>
        </w:tc>
        <w:tc>
          <w:tcPr>
            <w:tcW w:w="40" w:type="dxa"/>
            <w:vAlign w:val="bottom"/>
            <w:shd w:val="clear" w:color="auto" w:fill="CCEEFF"/>
          </w:tcPr>
          <w:p>
            <w:pPr>
              <w:spacing w:after="0"/>
              <w:rPr>
                <w:sz w:val="21"/>
                <w:szCs w:val="21"/>
                <w:color w:val="auto"/>
              </w:rPr>
            </w:pPr>
          </w:p>
        </w:tc>
      </w:tr>
      <w:tr>
        <w:trPr>
          <w:trHeight w:val="233"/>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U.S. government agencies</w:t>
            </w:r>
          </w:p>
        </w:tc>
        <w:tc>
          <w:tcPr>
            <w:tcW w:w="300" w:type="dxa"/>
            <w:vAlign w:val="bottom"/>
          </w:tcPr>
          <w:p>
            <w:pPr>
              <w:spacing w:after="0"/>
              <w:rPr>
                <w:sz w:val="20"/>
                <w:szCs w:val="20"/>
                <w:color w:val="auto"/>
              </w:rPr>
            </w:pP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200,994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ind w:right="62"/>
              <w:spacing w:after="0"/>
              <w:rPr>
                <w:sz w:val="20"/>
                <w:szCs w:val="20"/>
                <w:color w:val="auto"/>
              </w:rPr>
            </w:pPr>
            <w:r>
              <w:rPr>
                <w:rFonts w:ascii="Arial" w:cs="Arial" w:eastAsia="Arial" w:hAnsi="Arial"/>
                <w:sz w:val="16"/>
                <w:szCs w:val="16"/>
                <w:color w:val="auto"/>
              </w:rPr>
              <w:t>14,988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215,982</w:t>
            </w:r>
          </w:p>
        </w:tc>
        <w:tc>
          <w:tcPr>
            <w:tcW w:w="40" w:type="dxa"/>
            <w:vAlign w:val="bottom"/>
          </w:tcPr>
          <w:p>
            <w:pPr>
              <w:spacing w:after="0"/>
              <w:rPr>
                <w:sz w:val="20"/>
                <w:szCs w:val="20"/>
                <w:color w:val="auto"/>
              </w:rPr>
            </w:pPr>
          </w:p>
        </w:tc>
      </w:tr>
      <w:tr>
        <w:trPr>
          <w:trHeight w:val="253"/>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government agencies</w:t>
            </w:r>
          </w:p>
        </w:tc>
        <w:tc>
          <w:tcPr>
            <w:tcW w:w="30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1,039</w:t>
            </w:r>
          </w:p>
        </w:tc>
        <w:tc>
          <w:tcPr>
            <w:tcW w:w="40" w:type="dxa"/>
            <w:vAlign w:val="bottom"/>
            <w:shd w:val="clear" w:color="auto" w:fill="CCEEFF"/>
          </w:tcPr>
          <w:p>
            <w:pPr>
              <w:spacing w:after="0"/>
              <w:rPr>
                <w:sz w:val="21"/>
                <w:szCs w:val="21"/>
                <w:color w:val="auto"/>
              </w:rPr>
            </w:pPr>
          </w:p>
        </w:tc>
      </w:tr>
      <w:tr>
        <w:trPr>
          <w:trHeight w:val="233"/>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Corporate bonds</w:t>
            </w:r>
          </w:p>
        </w:tc>
        <w:tc>
          <w:tcPr>
            <w:tcW w:w="300" w:type="dxa"/>
            <w:vAlign w:val="bottom"/>
          </w:tcPr>
          <w:p>
            <w:pPr>
              <w:spacing w:after="0"/>
              <w:rPr>
                <w:sz w:val="20"/>
                <w:szCs w:val="20"/>
                <w:color w:val="auto"/>
              </w:rPr>
            </w:pP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24,516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ind w:right="62"/>
              <w:spacing w:after="0"/>
              <w:rPr>
                <w:sz w:val="20"/>
                <w:szCs w:val="20"/>
                <w:color w:val="auto"/>
              </w:rPr>
            </w:pPr>
            <w:r>
              <w:rPr>
                <w:rFonts w:ascii="Arial" w:cs="Arial" w:eastAsia="Arial" w:hAnsi="Arial"/>
                <w:sz w:val="16"/>
                <w:szCs w:val="16"/>
                <w:color w:val="auto"/>
              </w:rPr>
              <w:t>24,506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ind w:right="20"/>
              <w:spacing w:after="0"/>
              <w:rPr>
                <w:sz w:val="20"/>
                <w:szCs w:val="20"/>
                <w:color w:val="auto"/>
              </w:rPr>
            </w:pPr>
            <w:r>
              <w:rPr>
                <w:rFonts w:ascii="Arial" w:cs="Arial" w:eastAsia="Arial" w:hAnsi="Arial"/>
                <w:sz w:val="16"/>
                <w:szCs w:val="16"/>
                <w:color w:val="auto"/>
              </w:rPr>
              <w:t>21,102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70,124</w:t>
            </w:r>
          </w:p>
        </w:tc>
        <w:tc>
          <w:tcPr>
            <w:tcW w:w="40" w:type="dxa"/>
            <w:vAlign w:val="bottom"/>
          </w:tcPr>
          <w:p>
            <w:pPr>
              <w:spacing w:after="0"/>
              <w:rPr>
                <w:sz w:val="20"/>
                <w:szCs w:val="20"/>
                <w:color w:val="auto"/>
              </w:rPr>
            </w:pPr>
          </w:p>
        </w:tc>
      </w:tr>
      <w:tr>
        <w:trPr>
          <w:trHeight w:val="246"/>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3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6,563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18,270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17,578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42,411</w:t>
            </w:r>
          </w:p>
        </w:tc>
        <w:tc>
          <w:tcPr>
            <w:tcW w:w="40" w:type="dxa"/>
            <w:vAlign w:val="bottom"/>
            <w:tcBorders>
              <w:bottom w:val="single" w:sz="8" w:color="auto"/>
            </w:tcBorders>
            <w:shd w:val="clear" w:color="auto" w:fill="CCEEFF"/>
          </w:tcPr>
          <w:p>
            <w:pPr>
              <w:spacing w:after="0"/>
              <w:rPr>
                <w:sz w:val="21"/>
                <w:szCs w:val="21"/>
                <w:color w:val="auto"/>
              </w:rPr>
            </w:pPr>
          </w:p>
        </w:tc>
      </w:tr>
      <w:tr>
        <w:trPr>
          <w:trHeight w:val="243"/>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235,921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62"/>
              <w:spacing w:after="0"/>
              <w:rPr>
                <w:sz w:val="20"/>
                <w:szCs w:val="20"/>
                <w:color w:val="auto"/>
              </w:rPr>
            </w:pPr>
            <w:r>
              <w:rPr>
                <w:rFonts w:ascii="Arial" w:cs="Arial" w:eastAsia="Arial" w:hAnsi="Arial"/>
                <w:sz w:val="16"/>
                <w:szCs w:val="16"/>
                <w:color w:val="auto"/>
              </w:rPr>
              <w:t>57,764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0"/>
              <w:spacing w:after="0"/>
              <w:rPr>
                <w:sz w:val="20"/>
                <w:szCs w:val="20"/>
                <w:color w:val="auto"/>
              </w:rPr>
            </w:pPr>
            <w:r>
              <w:rPr>
                <w:rFonts w:ascii="Arial" w:cs="Arial" w:eastAsia="Arial" w:hAnsi="Arial"/>
                <w:sz w:val="16"/>
                <w:szCs w:val="16"/>
                <w:color w:val="auto"/>
              </w:rPr>
              <w:t>39,719</w:t>
            </w:r>
          </w:p>
        </w:tc>
        <w:tc>
          <w:tcPr>
            <w:tcW w:w="40" w:type="dxa"/>
            <w:vAlign w:val="bottom"/>
          </w:tcPr>
          <w:p>
            <w:pPr>
              <w:spacing w:after="0"/>
              <w:rPr>
                <w:sz w:val="21"/>
                <w:szCs w:val="21"/>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333,404</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649"/>
        </w:trPr>
        <w:tc>
          <w:tcPr>
            <w:tcW w:w="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Mature within</w:t>
            </w:r>
          </w:p>
        </w:tc>
        <w:tc>
          <w:tcPr>
            <w:tcW w:w="22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Mature after One Year through</w:t>
            </w:r>
          </w:p>
        </w:tc>
        <w:tc>
          <w:tcPr>
            <w:tcW w:w="1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One Year</w:t>
            </w:r>
          </w:p>
        </w:tc>
        <w:tc>
          <w:tcPr>
            <w:tcW w:w="420" w:type="dxa"/>
            <w:vAlign w:val="bottom"/>
          </w:tcPr>
          <w:p>
            <w:pPr>
              <w:spacing w:after="0"/>
              <w:rPr>
                <w:sz w:val="17"/>
                <w:szCs w:val="17"/>
                <w:color w:val="auto"/>
              </w:rPr>
            </w:pPr>
          </w:p>
        </w:tc>
        <w:tc>
          <w:tcPr>
            <w:tcW w:w="18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Two Years</w:t>
            </w:r>
          </w:p>
        </w:tc>
        <w:tc>
          <w:tcPr>
            <w:tcW w:w="180" w:type="dxa"/>
            <w:vAlign w:val="bottom"/>
          </w:tcPr>
          <w:p>
            <w:pPr>
              <w:spacing w:after="0"/>
              <w:rPr>
                <w:sz w:val="17"/>
                <w:szCs w:val="17"/>
                <w:color w:val="auto"/>
              </w:rPr>
            </w:pPr>
          </w:p>
        </w:tc>
        <w:tc>
          <w:tcPr>
            <w:tcW w:w="1900" w:type="dxa"/>
            <w:vAlign w:val="bottom"/>
            <w:gridSpan w:val="2"/>
          </w:tcPr>
          <w:p>
            <w:pPr>
              <w:ind w:left="60"/>
              <w:spacing w:after="0"/>
              <w:rPr>
                <w:sz w:val="20"/>
                <w:szCs w:val="20"/>
                <w:color w:val="auto"/>
              </w:rPr>
            </w:pPr>
            <w:r>
              <w:rPr>
                <w:rFonts w:ascii="Arial" w:cs="Arial" w:eastAsia="Arial" w:hAnsi="Arial"/>
                <w:sz w:val="14"/>
                <w:szCs w:val="14"/>
                <w:b w:val="1"/>
                <w:bCs w:val="1"/>
                <w:color w:val="auto"/>
              </w:rPr>
              <w:t>Mature over Two Years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gridSpan w:val="2"/>
          </w:tcPr>
          <w:p>
            <w:pPr>
              <w:ind w:left="24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gridSpan w:val="6"/>
          </w:tcPr>
          <w:p>
            <w:pPr>
              <w:jc w:val="center"/>
              <w:ind w:right="4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49"/>
        </w:trPr>
        <w:tc>
          <w:tcPr>
            <w:tcW w:w="40" w:type="dxa"/>
            <w:vAlign w:val="bottom"/>
          </w:tcPr>
          <w:p>
            <w:pPr>
              <w:spacing w:after="0"/>
              <w:rPr>
                <w:sz w:val="21"/>
                <w:szCs w:val="21"/>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5,638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8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5,638</w:t>
            </w:r>
          </w:p>
        </w:tc>
        <w:tc>
          <w:tcPr>
            <w:tcW w:w="40" w:type="dxa"/>
            <w:vAlign w:val="bottom"/>
          </w:tcPr>
          <w:p>
            <w:pPr>
              <w:spacing w:after="0"/>
              <w:rPr>
                <w:sz w:val="21"/>
                <w:szCs w:val="21"/>
                <w:color w:val="auto"/>
              </w:rPr>
            </w:pPr>
          </w:p>
        </w:tc>
      </w:tr>
      <w:tr>
        <w:trPr>
          <w:trHeight w:val="233"/>
        </w:trPr>
        <w:tc>
          <w:tcPr>
            <w:tcW w:w="40" w:type="dxa"/>
            <w:vAlign w:val="bottom"/>
          </w:tcPr>
          <w:p>
            <w:pPr>
              <w:spacing w:after="0"/>
              <w:rPr>
                <w:sz w:val="20"/>
                <w:szCs w:val="20"/>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U.S. government agencies</w:t>
            </w:r>
          </w:p>
        </w:tc>
        <w:tc>
          <w:tcPr>
            <w:tcW w:w="300" w:type="dxa"/>
            <w:vAlign w:val="bottom"/>
          </w:tcPr>
          <w:p>
            <w:pPr>
              <w:spacing w:after="0"/>
              <w:rPr>
                <w:sz w:val="20"/>
                <w:szCs w:val="20"/>
                <w:color w:val="auto"/>
              </w:rPr>
            </w:pP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173,546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ind w:right="62"/>
              <w:spacing w:after="0"/>
              <w:rPr>
                <w:sz w:val="20"/>
                <w:szCs w:val="20"/>
                <w:color w:val="auto"/>
              </w:rPr>
            </w:pPr>
            <w:r>
              <w:rPr>
                <w:rFonts w:ascii="Arial" w:cs="Arial" w:eastAsia="Arial" w:hAnsi="Arial"/>
                <w:sz w:val="16"/>
                <w:szCs w:val="16"/>
                <w:color w:val="auto"/>
              </w:rPr>
              <w:t>46,816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220,362</w:t>
            </w:r>
          </w:p>
        </w:tc>
        <w:tc>
          <w:tcPr>
            <w:tcW w:w="40" w:type="dxa"/>
            <w:vAlign w:val="bottom"/>
          </w:tcPr>
          <w:p>
            <w:pPr>
              <w:spacing w:after="0"/>
              <w:rPr>
                <w:sz w:val="20"/>
                <w:szCs w:val="20"/>
                <w:color w:val="auto"/>
              </w:rPr>
            </w:pPr>
          </w:p>
        </w:tc>
      </w:tr>
      <w:tr>
        <w:trPr>
          <w:trHeight w:val="253"/>
        </w:trPr>
        <w:tc>
          <w:tcPr>
            <w:tcW w:w="40" w:type="dxa"/>
            <w:vAlign w:val="bottom"/>
          </w:tcPr>
          <w:p>
            <w:pPr>
              <w:spacing w:after="0"/>
              <w:rPr>
                <w:sz w:val="21"/>
                <w:szCs w:val="21"/>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3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33,098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23,251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9,247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65,596</w:t>
            </w:r>
          </w:p>
        </w:tc>
        <w:tc>
          <w:tcPr>
            <w:tcW w:w="4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2,449</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15,550</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24,643</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42,642</w:t>
            </w:r>
          </w:p>
        </w:tc>
        <w:tc>
          <w:tcPr>
            <w:tcW w:w="40" w:type="dxa"/>
            <w:vAlign w:val="bottom"/>
          </w:tcPr>
          <w:p>
            <w:pPr>
              <w:spacing w:after="0"/>
              <w:rPr>
                <w:sz w:val="20"/>
                <w:szCs w:val="20"/>
                <w:color w:val="auto"/>
              </w:rPr>
            </w:pPr>
          </w:p>
        </w:tc>
      </w:tr>
      <w:tr>
        <w:trPr>
          <w:trHeight w:val="263"/>
        </w:trPr>
        <w:tc>
          <w:tcPr>
            <w:tcW w:w="40" w:type="dxa"/>
            <w:vAlign w:val="bottom"/>
          </w:tcPr>
          <w:p>
            <w:pPr>
              <w:spacing w:after="0"/>
              <w:rPr>
                <w:sz w:val="22"/>
                <w:szCs w:val="22"/>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214,731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85,617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33,890</w:t>
            </w:r>
          </w:p>
        </w:tc>
        <w:tc>
          <w:tcPr>
            <w:tcW w:w="4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334,238</w:t>
            </w:r>
          </w:p>
        </w:tc>
        <w:tc>
          <w:tcPr>
            <w:tcW w:w="4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231F20"/>
        </w:rPr>
        <w:t>Designated cash flow hedges</w:t>
      </w:r>
    </w:p>
    <w:p>
      <w:pPr>
        <w:spacing w:after="0" w:line="13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The Company uses a hedging strategy to reduce its exposure to foreign currency exchange rate fluctuations for forecasted subscription renewals and new orders in British Pound ("GBP") and Euro. </w:t>
      </w:r>
      <w:r>
        <w:rPr>
          <w:rFonts w:ascii="Arial" w:cs="Arial" w:eastAsia="Arial" w:hAnsi="Arial"/>
          <w:sz w:val="18"/>
          <w:szCs w:val="18"/>
          <w:color w:val="231F20"/>
        </w:rPr>
        <w:t>The Company uses forward currency contracts accounted for as cash flow</w:t>
      </w:r>
      <w:r>
        <w:rPr>
          <w:rFonts w:ascii="Arial" w:cs="Arial" w:eastAsia="Arial" w:hAnsi="Arial"/>
          <w:sz w:val="18"/>
          <w:szCs w:val="18"/>
          <w:color w:val="auto"/>
        </w:rPr>
        <w:t xml:space="preserve"> </w:t>
      </w:r>
      <w:r>
        <w:rPr>
          <w:rFonts w:ascii="Arial" w:cs="Arial" w:eastAsia="Arial" w:hAnsi="Arial"/>
          <w:sz w:val="18"/>
          <w:szCs w:val="18"/>
          <w:color w:val="231F20"/>
        </w:rPr>
        <w:t xml:space="preserve">hedges against a designated portion of forecasted </w:t>
      </w:r>
      <w:r>
        <w:rPr>
          <w:rFonts w:ascii="Arial" w:cs="Arial" w:eastAsia="Arial" w:hAnsi="Arial"/>
          <w:sz w:val="18"/>
          <w:szCs w:val="18"/>
          <w:color w:val="000000"/>
        </w:rPr>
        <w:t>subscription renewals and new orders</w:t>
      </w:r>
      <w:r>
        <w:rPr>
          <w:rFonts w:ascii="Arial" w:cs="Arial" w:eastAsia="Arial" w:hAnsi="Arial"/>
          <w:sz w:val="18"/>
          <w:szCs w:val="18"/>
          <w:color w:val="231F20"/>
        </w:rPr>
        <w:t>. U</w:t>
      </w:r>
      <w:r>
        <w:rPr>
          <w:rFonts w:ascii="Arial" w:cs="Arial" w:eastAsia="Arial" w:hAnsi="Arial"/>
          <w:sz w:val="18"/>
          <w:szCs w:val="18"/>
          <w:color w:val="000000"/>
        </w:rPr>
        <w:t>nrealized foreign exchange gains or losses</w:t>
      </w:r>
      <w:r>
        <w:rPr>
          <w:rFonts w:ascii="Arial" w:cs="Arial" w:eastAsia="Arial" w:hAnsi="Arial"/>
          <w:sz w:val="18"/>
          <w:szCs w:val="18"/>
          <w:color w:val="231F20"/>
        </w:rPr>
        <w:t xml:space="preserve"> </w:t>
      </w:r>
      <w:r>
        <w:rPr>
          <w:rFonts w:ascii="Arial" w:cs="Arial" w:eastAsia="Arial" w:hAnsi="Arial"/>
          <w:sz w:val="18"/>
          <w:szCs w:val="18"/>
          <w:color w:val="000000"/>
        </w:rPr>
        <w:t>related to those designated cash flow hedge contracts are recorded in AOCI and will be reclassified into revenues in the same periods when the hedged contracts are recognized into revenues.</w:t>
      </w:r>
    </w:p>
    <w:p>
      <w:pPr>
        <w:spacing w:after="0" w:line="9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In addition, the Company uses a hedging strategy to reduce its exposure associated with costs incurred in </w:t>
      </w:r>
      <w:r>
        <w:rPr>
          <w:rFonts w:ascii="Arial" w:cs="Arial" w:eastAsia="Arial" w:hAnsi="Arial"/>
          <w:sz w:val="18"/>
          <w:szCs w:val="18"/>
          <w:color w:val="000000"/>
        </w:rPr>
        <w:t>Indian Rupee ("INR").</w:t>
      </w:r>
      <w:r>
        <w:rPr>
          <w:rFonts w:ascii="Arial" w:cs="Arial" w:eastAsia="Arial" w:hAnsi="Arial"/>
          <w:sz w:val="18"/>
          <w:szCs w:val="18"/>
          <w:color w:val="231F20"/>
        </w:rPr>
        <w:t xml:space="preserve"> </w:t>
      </w:r>
      <w:r>
        <w:rPr>
          <w:rFonts w:ascii="Arial" w:cs="Arial" w:eastAsia="Arial" w:hAnsi="Arial"/>
          <w:sz w:val="18"/>
          <w:szCs w:val="18"/>
          <w:color w:val="000000"/>
        </w:rPr>
        <w:t>Unrealized foreign exchange gains or losses related to those designated cash flow hedge contracts are recorded in AOCI and will be reclassified into operating expenses when the associated hedged expenses are incurred.</w:t>
      </w:r>
    </w:p>
    <w:p>
      <w:pPr>
        <w:spacing w:after="0" w:line="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At June 30, 2020, the Company had 39 open designated cash flow hedge contracts with notional amounts of €21.8 million, £9.2 million and Rs.1,590 million. At December 31, 2019, the Company had 26 open designated cash flow hedge contracts with notional amounts of €24.2 million and £9.7 million.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gains and losses, before tax, of the Company's derivative instruments designated as cash flow hedges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AOCI and the condensed consolidated statements of operation for the three and six months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Derivative instruments designated as cash flow hedges:</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auto"/>
        </w:rPr>
        <w:t>Net unrealized (losses) gains recognized in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19050</wp:posOffset>
            </wp:positionV>
            <wp:extent cx="705485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Foreign currency forward contracts (GBP, Euro and INR)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182245</wp:posOffset>
            </wp:positionV>
            <wp:extent cx="705485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pacing w:after="0" w:line="296"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auto"/>
        </w:rPr>
        <w:t>Net unrealized (gains) losses reclassified from AOCI into income:</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Foreign currency forward contracts (GBP and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19050</wp:posOffset>
            </wp:positionV>
            <wp:extent cx="705485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Foreign currency forward contracts (INR)</w:t>
      </w:r>
    </w:p>
    <w:p>
      <w:pPr>
        <w:spacing w:after="0" w:line="8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Net change in AOCI before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Pr>
          <w:p>
            <w:pPr>
              <w:spacing w:after="0"/>
              <w:rPr>
                <w:sz w:val="17"/>
                <w:szCs w:val="17"/>
                <w:color w:val="auto"/>
              </w:rPr>
            </w:pPr>
          </w:p>
        </w:tc>
        <w:tc>
          <w:tcPr>
            <w:tcW w:w="22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7"/>
                <w:szCs w:val="17"/>
                <w:color w:val="auto"/>
              </w:rPr>
            </w:pPr>
          </w:p>
        </w:tc>
        <w:tc>
          <w:tcPr>
            <w:tcW w:w="2100" w:type="dxa"/>
            <w:vAlign w:val="bottom"/>
            <w:gridSpan w:val="4"/>
          </w:tcPr>
          <w:p>
            <w:pPr>
              <w:jc w:val="right"/>
              <w:ind w:right="121"/>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r>
      <w:tr>
        <w:trPr>
          <w:trHeight w:val="217"/>
        </w:trPr>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ind w:left="3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6"/>
        </w:trPr>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left="302"/>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269</w:t>
            </w:r>
          </w:p>
        </w:tc>
        <w:tc>
          <w:tcPr>
            <w:tcW w:w="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442</w:t>
            </w:r>
          </w:p>
        </w:tc>
      </w:tr>
      <w:tr>
        <w:trPr>
          <w:trHeight w:val="743"/>
        </w:trPr>
        <w:tc>
          <w:tcPr>
            <w:tcW w:w="120" w:type="dxa"/>
            <w:vAlign w:val="bottom"/>
          </w:tcPr>
          <w:p>
            <w:pPr>
              <w:spacing w:after="0"/>
              <w:rPr>
                <w:sz w:val="24"/>
                <w:szCs w:val="24"/>
                <w:color w:val="auto"/>
              </w:rPr>
            </w:pPr>
          </w:p>
        </w:tc>
        <w:tc>
          <w:tcPr>
            <w:tcW w:w="960" w:type="dxa"/>
            <w:vAlign w:val="bottom"/>
          </w:tcPr>
          <w:p>
            <w:pPr>
              <w:jc w:val="center"/>
              <w:ind w:left="302"/>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(576)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69</w:t>
            </w:r>
          </w:p>
        </w:tc>
      </w:tr>
      <w:tr>
        <w:trPr>
          <w:trHeight w:val="256"/>
        </w:trPr>
        <w:tc>
          <w:tcPr>
            <w:tcW w:w="120" w:type="dxa"/>
            <w:vAlign w:val="bottom"/>
          </w:tcPr>
          <w:p>
            <w:pPr>
              <w:spacing w:after="0"/>
              <w:rPr>
                <w:sz w:val="22"/>
                <w:szCs w:val="22"/>
                <w:color w:val="auto"/>
              </w:rPr>
            </w:pPr>
          </w:p>
        </w:tc>
        <w:tc>
          <w:tcPr>
            <w:tcW w:w="960" w:type="dxa"/>
            <w:vAlign w:val="bottom"/>
          </w:tcPr>
          <w:p>
            <w:pPr>
              <w:jc w:val="center"/>
              <w:ind w:left="302"/>
              <w:spacing w:after="0"/>
              <w:rPr>
                <w:sz w:val="20"/>
                <w:szCs w:val="20"/>
                <w:color w:val="auto"/>
              </w:rPr>
            </w:pPr>
            <w:r>
              <w:rPr>
                <w:rFonts w:ascii="Arial" w:cs="Arial" w:eastAsia="Arial" w:hAnsi="Arial"/>
                <w:sz w:val="16"/>
                <w:szCs w:val="16"/>
                <w:color w:val="auto"/>
                <w:w w:val="97"/>
              </w:rPr>
              <w:t>215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236"/>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center"/>
              <w:ind w:left="302"/>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511</w:t>
            </w:r>
          </w:p>
        </w:tc>
      </w:tr>
      <w:tr>
        <w:trPr>
          <w:trHeight w:val="27"/>
        </w:trPr>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sectPr>
          <w:pgSz w:w="11900" w:h="16838" w:orient="portrait"/>
          <w:cols w:equalWidth="0" w:num="2">
            <w:col w:w="5840" w:space="720"/>
            <w:col w:w="4680"/>
          </w:cols>
          <w:pgMar w:left="320" w:top="141" w:right="339" w:bottom="1440" w:gutter="0" w:footer="0" w:header="0"/>
          <w:type w:val="continuous"/>
        </w:sectPr>
      </w:pPr>
    </w:p>
    <w:p>
      <w:pPr>
        <w:jc w:val="both"/>
        <w:ind w:firstLine="405"/>
        <w:spacing w:after="0" w:line="254" w:lineRule="auto"/>
        <w:rPr>
          <w:sz w:val="20"/>
          <w:szCs w:val="20"/>
          <w:color w:val="auto"/>
        </w:rPr>
      </w:pPr>
      <w:r>
        <w:rPr>
          <w:rFonts w:ascii="Arial" w:cs="Arial" w:eastAsia="Arial" w:hAnsi="Arial"/>
          <w:sz w:val="18"/>
          <w:szCs w:val="18"/>
          <w:color w:val="auto"/>
        </w:rPr>
        <w:t>As of June 30, 2020, the net amount of unrealized gains and losses on the foreign currency forward contracts for GBP and Euro reported in AOCI that is expected to be reclassified into revenue within the next 12 months is a gain of $0.9 million (before tax). As of June 30, 2020, the net amount of unrealized gains and losses on the foreign currency forward contracts for INR reported in AOCI that is expected to be reclassified into operating expenses is a loss of $0.6 million (before tax).</w:t>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353132"/>
        </w:rPr>
        <w:t>Non-designated forward contracts</w:t>
      </w:r>
    </w:p>
    <w:p>
      <w:pPr>
        <w:spacing w:after="0" w:line="13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At June 30, 2020, the Company </w:t>
      </w:r>
      <w:r>
        <w:rPr>
          <w:rFonts w:ascii="Arial" w:cs="Arial" w:eastAsia="Arial" w:hAnsi="Arial"/>
          <w:sz w:val="18"/>
          <w:szCs w:val="18"/>
          <w:color w:val="222222"/>
        </w:rPr>
        <w:t>had 15</w:t>
      </w:r>
      <w:r>
        <w:rPr>
          <w:rFonts w:ascii="Arial" w:cs="Arial" w:eastAsia="Arial" w:hAnsi="Arial"/>
          <w:sz w:val="18"/>
          <w:szCs w:val="18"/>
          <w:color w:val="auto"/>
        </w:rPr>
        <w:t xml:space="preserve"> </w:t>
      </w:r>
      <w:r>
        <w:rPr>
          <w:rFonts w:ascii="Arial" w:cs="Arial" w:eastAsia="Arial" w:hAnsi="Arial"/>
          <w:sz w:val="18"/>
          <w:szCs w:val="18"/>
          <w:color w:val="231F20"/>
        </w:rPr>
        <w:t>outstanding non-designated forward contracts</w:t>
      </w:r>
      <w:r>
        <w:rPr>
          <w:rFonts w:ascii="Arial" w:cs="Arial" w:eastAsia="Arial" w:hAnsi="Arial"/>
          <w:sz w:val="18"/>
          <w:szCs w:val="18"/>
          <w:color w:val="auto"/>
        </w:rPr>
        <w:t xml:space="preserve"> with notional amounts of €12.5 million, £7.9 million and Rs.351.7 million. At December 31, 2019, the Company had 15 outstanding non-designated forward contracts with notional amounts of €20.0 million, £5.6 million and Rs.756.0 million.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derivative financial instruments as of June 30, 2020 and December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8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2"/>
        </w:trPr>
        <w:tc>
          <w:tcPr>
            <w:tcW w:w="8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9"/>
                <w:szCs w:val="19"/>
                <w:color w:val="auto"/>
              </w:rPr>
            </w:pPr>
          </w:p>
        </w:tc>
        <w:tc>
          <w:tcPr>
            <w:tcW w:w="2720" w:type="dxa"/>
            <w:vAlign w:val="bottom"/>
            <w:gridSpan w:val="4"/>
          </w:tcPr>
          <w:p>
            <w:pPr>
              <w:jc w:val="right"/>
              <w:ind w:right="92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forward contracts designated as cash flow hedge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453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forward contracts not designated as hedging instruments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68"/>
        </w:trPr>
        <w:tc>
          <w:tcPr>
            <w:tcW w:w="8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862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forward contracts designated as cash flow hedge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(802)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forward contracts not designated as hedging instruments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68"/>
        </w:trPr>
        <w:tc>
          <w:tcPr>
            <w:tcW w:w="8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All foreign currency forward contracts were valued at fair value using Level 2 inputs.</w:t>
      </w:r>
    </w:p>
    <w:p>
      <w:pPr>
        <w:spacing w:after="0" w:line="11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31F20"/>
        </w:rPr>
        <w:t>The following summarizes the gains (losses) recognized from forward contracts and other foreign currency transactions in other income, net on the condensed consolidated statement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08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2420" w:type="dxa"/>
            <w:vAlign w:val="bottom"/>
            <w:gridSpan w:val="4"/>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222"/>
        </w:trPr>
        <w:tc>
          <w:tcPr>
            <w:tcW w:w="52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10"/>
        </w:trPr>
        <w:tc>
          <w:tcPr>
            <w:tcW w:w="5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(losses) gains from non-designated forward contracts</w:t>
            </w:r>
          </w:p>
        </w:tc>
        <w:tc>
          <w:tcPr>
            <w:tcW w:w="92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580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66</w:t>
            </w:r>
          </w:p>
        </w:tc>
      </w:tr>
      <w:tr>
        <w:trPr>
          <w:trHeight w:val="23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foreign currency transactions gains (losses)</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66</w:t>
            </w:r>
          </w:p>
        </w:tc>
      </w:tr>
      <w:tr>
        <w:trPr>
          <w:trHeight w:val="237"/>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foreign exchange gains, net</w:t>
            </w:r>
          </w:p>
        </w:tc>
        <w:tc>
          <w:tcPr>
            <w:tcW w:w="9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132</w:t>
            </w:r>
          </w:p>
        </w:tc>
      </w:tr>
      <w:tr>
        <w:trPr>
          <w:trHeight w:val="23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(125)</w:t>
            </w:r>
          </w:p>
        </w:tc>
      </w:tr>
      <w:tr>
        <w:trPr>
          <w:trHeight w:val="268"/>
        </w:trPr>
        <w:tc>
          <w:tcPr>
            <w:tcW w:w="5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income, net</w:t>
            </w:r>
          </w:p>
        </w:tc>
        <w:tc>
          <w:tcPr>
            <w:tcW w:w="92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8</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Accumulated Other Comprehensive Income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and changes in accumulated other comprehensive income, net of taxes, for the six months ended June 30,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2019 were as follows:</w:t>
      </w:r>
    </w:p>
    <w:p>
      <w:pPr>
        <w:sectPr>
          <w:pgSz w:w="11900" w:h="16838" w:orient="portrait"/>
          <w:cols w:equalWidth="0" w:num="1">
            <w:col w:w="11240"/>
          </w:cols>
          <w:pgMar w:left="320" w:top="1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 gains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 on AFS</w:t>
            </w:r>
          </w:p>
        </w:tc>
        <w:tc>
          <w:tcPr>
            <w:tcW w:w="1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 on cash</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debt securities</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flow hedges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209"/>
        </w:trPr>
        <w:tc>
          <w:tcPr>
            <w:tcW w:w="4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December 31, 2019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822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1,162</w:t>
            </w:r>
          </w:p>
        </w:tc>
      </w:tr>
      <w:tr>
        <w:trPr>
          <w:trHeight w:val="233"/>
        </w:trPr>
        <w:tc>
          <w:tcPr>
            <w:tcW w:w="40" w:type="dxa"/>
            <w:vAlign w:val="bottom"/>
          </w:tcPr>
          <w:p>
            <w:pPr>
              <w:spacing w:after="0"/>
              <w:rPr>
                <w:sz w:val="20"/>
                <w:szCs w:val="20"/>
                <w:color w:val="auto"/>
              </w:rPr>
            </w:pPr>
          </w:p>
        </w:tc>
        <w:tc>
          <w:tcPr>
            <w:tcW w:w="6660" w:type="dxa"/>
            <w:vAlign w:val="bottom"/>
          </w:tcPr>
          <w:p>
            <w:pPr>
              <w:ind w:left="180"/>
              <w:spacing w:after="0"/>
              <w:rPr>
                <w:sz w:val="20"/>
                <w:szCs w:val="20"/>
                <w:color w:val="auto"/>
              </w:rPr>
            </w:pPr>
            <w:r>
              <w:rPr>
                <w:rFonts w:ascii="Arial" w:cs="Arial" w:eastAsia="Arial" w:hAnsi="Arial"/>
                <w:sz w:val="16"/>
                <w:szCs w:val="16"/>
                <w:color w:val="auto"/>
              </w:rPr>
              <w:t>Other comprehensive income before reclassification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1,444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83"/>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1,652</w:t>
            </w:r>
          </w:p>
        </w:tc>
      </w:tr>
      <w:tr>
        <w:trPr>
          <w:trHeight w:val="246"/>
        </w:trPr>
        <w:tc>
          <w:tcPr>
            <w:tcW w:w="40" w:type="dxa"/>
            <w:vAlign w:val="bottom"/>
            <w:shd w:val="clear" w:color="auto" w:fill="CCEEFF"/>
          </w:tcPr>
          <w:p>
            <w:pPr>
              <w:spacing w:after="0"/>
              <w:rPr>
                <w:sz w:val="21"/>
                <w:szCs w:val="21"/>
                <w:color w:val="auto"/>
              </w:rPr>
            </w:pPr>
          </w:p>
        </w:tc>
        <w:tc>
          <w:tcPr>
            <w:tcW w:w="6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Reclassification of gains from Other comprehensive income</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(379)</w:t>
            </w:r>
          </w:p>
        </w:tc>
      </w:tr>
      <w:tr>
        <w:trPr>
          <w:trHeight w:val="237"/>
        </w:trPr>
        <w:tc>
          <w:tcPr>
            <w:tcW w:w="40" w:type="dxa"/>
            <w:vAlign w:val="bottom"/>
            <w:tcBorders>
              <w:bottom w:val="single" w:sz="8" w:color="CCEEFF"/>
            </w:tcBorders>
          </w:tcPr>
          <w:p>
            <w:pPr>
              <w:spacing w:after="0"/>
              <w:rPr>
                <w:sz w:val="20"/>
                <w:szCs w:val="20"/>
                <w:color w:val="auto"/>
              </w:rPr>
            </w:pPr>
          </w:p>
        </w:tc>
        <w:tc>
          <w:tcPr>
            <w:tcW w:w="66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change in unrealized gains (losses), net of tax</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1,344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1,273</w:t>
            </w:r>
          </w:p>
        </w:tc>
      </w:tr>
      <w:tr>
        <w:trPr>
          <w:trHeight w:val="262"/>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June 30, 2020</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2,166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2,435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642"/>
        </w:trPr>
        <w:tc>
          <w:tcPr>
            <w:tcW w:w="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 gains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 on AFS</w:t>
            </w: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 on cash</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debt securities</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flow hedges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209"/>
        </w:trPr>
        <w:tc>
          <w:tcPr>
            <w:tcW w:w="4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40" w:type="dxa"/>
            <w:vAlign w:val="bottom"/>
          </w:tcPr>
          <w:p>
            <w:pPr>
              <w:spacing w:after="0"/>
              <w:rPr>
                <w:sz w:val="21"/>
                <w:szCs w:val="21"/>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December 31, 2018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(586)</w:t>
            </w:r>
          </w:p>
        </w:tc>
      </w:tr>
      <w:tr>
        <w:trPr>
          <w:trHeight w:val="233"/>
        </w:trPr>
        <w:tc>
          <w:tcPr>
            <w:tcW w:w="40" w:type="dxa"/>
            <w:vAlign w:val="bottom"/>
          </w:tcPr>
          <w:p>
            <w:pPr>
              <w:spacing w:after="0"/>
              <w:rPr>
                <w:sz w:val="20"/>
                <w:szCs w:val="20"/>
                <w:color w:val="auto"/>
              </w:rPr>
            </w:pPr>
          </w:p>
        </w:tc>
        <w:tc>
          <w:tcPr>
            <w:tcW w:w="6660" w:type="dxa"/>
            <w:vAlign w:val="bottom"/>
          </w:tcPr>
          <w:p>
            <w:pPr>
              <w:ind w:left="200"/>
              <w:spacing w:after="0"/>
              <w:rPr>
                <w:sz w:val="20"/>
                <w:szCs w:val="20"/>
                <w:color w:val="auto"/>
              </w:rPr>
            </w:pPr>
            <w:r>
              <w:rPr>
                <w:rFonts w:ascii="Arial" w:cs="Arial" w:eastAsia="Arial" w:hAnsi="Arial"/>
                <w:sz w:val="16"/>
                <w:szCs w:val="16"/>
                <w:color w:val="auto"/>
              </w:rPr>
              <w:t>Other comprehensive income before reclassification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1,379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83"/>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1,730</w:t>
            </w:r>
          </w:p>
        </w:tc>
      </w:tr>
      <w:tr>
        <w:trPr>
          <w:trHeight w:val="246"/>
        </w:trPr>
        <w:tc>
          <w:tcPr>
            <w:tcW w:w="40" w:type="dxa"/>
            <w:vAlign w:val="bottom"/>
          </w:tcPr>
          <w:p>
            <w:pPr>
              <w:spacing w:after="0"/>
              <w:rPr>
                <w:sz w:val="21"/>
                <w:szCs w:val="21"/>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Reclassification of losses from Other comprehensive income</w:t>
            </w:r>
          </w:p>
        </w:tc>
        <w:tc>
          <w:tcPr>
            <w:tcW w:w="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96</w:t>
            </w:r>
          </w:p>
        </w:tc>
      </w:tr>
      <w:tr>
        <w:trPr>
          <w:trHeight w:val="237"/>
        </w:trPr>
        <w:tc>
          <w:tcPr>
            <w:tcW w:w="40" w:type="dxa"/>
            <w:vAlign w:val="bottom"/>
          </w:tcPr>
          <w:p>
            <w:pPr>
              <w:spacing w:after="0"/>
              <w:rPr>
                <w:sz w:val="20"/>
                <w:szCs w:val="20"/>
                <w:color w:val="auto"/>
              </w:rPr>
            </w:pPr>
          </w:p>
        </w:tc>
        <w:tc>
          <w:tcPr>
            <w:tcW w:w="66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change in unrealized gains, net of tax</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1,422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1,826</w:t>
            </w:r>
          </w:p>
        </w:tc>
      </w:tr>
      <w:tr>
        <w:trPr>
          <w:trHeight w:val="256"/>
        </w:trPr>
        <w:tc>
          <w:tcPr>
            <w:tcW w:w="40" w:type="dxa"/>
            <w:vAlign w:val="bottom"/>
          </w:tcPr>
          <w:p>
            <w:pPr>
              <w:spacing w:after="0"/>
              <w:rPr>
                <w:sz w:val="22"/>
                <w:szCs w:val="22"/>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June 30, 2019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877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1,240</w:t>
            </w:r>
          </w:p>
        </w:tc>
      </w:tr>
      <w:tr>
        <w:trPr>
          <w:trHeight w:val="20"/>
        </w:trPr>
        <w:tc>
          <w:tcPr>
            <w:tcW w:w="40" w:type="dxa"/>
            <w:vAlign w:val="bottom"/>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color w:val="231F20"/>
        </w:rPr>
        <w:t>Property and Equipment, Net</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which includes assets under finance lease, consists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32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r>
      <w:tr>
        <w:trPr>
          <w:trHeight w:val="222"/>
        </w:trPr>
        <w:tc>
          <w:tcPr>
            <w:tcW w:w="80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r>
      <w:tr>
        <w:trPr>
          <w:trHeight w:val="209"/>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4"/>
          </w:tcPr>
          <w:p>
            <w:pPr>
              <w:jc w:val="right"/>
              <w:ind w:right="1021"/>
              <w:spacing w:after="0"/>
              <w:rPr>
                <w:sz w:val="20"/>
                <w:szCs w:val="20"/>
                <w:color w:val="auto"/>
              </w:rPr>
            </w:pPr>
            <w:r>
              <w:rPr>
                <w:rFonts w:ascii="Arial" w:cs="Arial" w:eastAsia="Arial" w:hAnsi="Arial"/>
                <w:sz w:val="14"/>
                <w:szCs w:val="14"/>
                <w:b w:val="1"/>
                <w:bCs w:val="1"/>
                <w:color w:val="auto"/>
              </w:rPr>
              <w:t>(in thousands)</w:t>
            </w:r>
          </w:p>
        </w:tc>
      </w:tr>
      <w:tr>
        <w:trPr>
          <w:trHeight w:val="24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124,021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112,599</w:t>
            </w:r>
          </w:p>
        </w:tc>
      </w:tr>
      <w:tr>
        <w:trPr>
          <w:trHeight w:val="233"/>
        </w:trPr>
        <w:tc>
          <w:tcPr>
            <w:tcW w:w="8060" w:type="dxa"/>
            <w:vAlign w:val="bottom"/>
          </w:tcPr>
          <w:p>
            <w:pPr>
              <w:ind w:left="20"/>
              <w:spacing w:after="0"/>
              <w:rPr>
                <w:sz w:val="20"/>
                <w:szCs w:val="20"/>
                <w:color w:val="auto"/>
              </w:rPr>
            </w:pPr>
            <w:r>
              <w:rPr>
                <w:rFonts w:ascii="Arial" w:cs="Arial" w:eastAsia="Arial" w:hAnsi="Arial"/>
                <w:sz w:val="16"/>
                <w:szCs w:val="16"/>
                <w:color w:val="auto"/>
              </w:rPr>
              <w:t>Computer software</w:t>
            </w:r>
          </w:p>
        </w:tc>
        <w:tc>
          <w:tcPr>
            <w:tcW w:w="300" w:type="dxa"/>
            <w:vAlign w:val="bottom"/>
          </w:tcPr>
          <w:p>
            <w:pPr>
              <w:spacing w:after="0"/>
              <w:rPr>
                <w:sz w:val="20"/>
                <w:szCs w:val="20"/>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26,241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26,137</w:t>
            </w:r>
          </w:p>
        </w:tc>
      </w:tr>
      <w:tr>
        <w:trPr>
          <w:trHeight w:val="25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fixtures and equipment</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8,140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6,973</w:t>
            </w:r>
          </w:p>
        </w:tc>
      </w:tr>
      <w:tr>
        <w:trPr>
          <w:trHeight w:val="233"/>
        </w:trPr>
        <w:tc>
          <w:tcPr>
            <w:tcW w:w="8060" w:type="dxa"/>
            <w:vAlign w:val="bottom"/>
          </w:tcPr>
          <w:p>
            <w:pPr>
              <w:ind w:left="20"/>
              <w:spacing w:after="0"/>
              <w:rPr>
                <w:sz w:val="20"/>
                <w:szCs w:val="20"/>
                <w:color w:val="auto"/>
              </w:rPr>
            </w:pPr>
            <w:r>
              <w:rPr>
                <w:rFonts w:ascii="Arial" w:cs="Arial" w:eastAsia="Arial" w:hAnsi="Arial"/>
                <w:sz w:val="16"/>
                <w:szCs w:val="16"/>
                <w:color w:val="auto"/>
              </w:rPr>
              <w:t>Finance leases - right of use asset</w:t>
            </w:r>
          </w:p>
        </w:tc>
        <w:tc>
          <w:tcPr>
            <w:tcW w:w="300" w:type="dxa"/>
            <w:vAlign w:val="bottom"/>
          </w:tcPr>
          <w:p>
            <w:pPr>
              <w:spacing w:after="0"/>
              <w:rPr>
                <w:sz w:val="20"/>
                <w:szCs w:val="20"/>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3,503</w:t>
            </w:r>
          </w:p>
        </w:tc>
      </w:tr>
      <w:tr>
        <w:trPr>
          <w:trHeight w:val="25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Scanner appliances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16,366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15,864</w:t>
            </w:r>
          </w:p>
        </w:tc>
      </w:tr>
      <w:tr>
        <w:trPr>
          <w:trHeight w:val="23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Leasehold improvements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20,311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18,817</w:t>
            </w:r>
          </w:p>
        </w:tc>
      </w:tr>
      <w:tr>
        <w:trPr>
          <w:trHeight w:val="243"/>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property and equipment</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198,582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183,893</w:t>
            </w:r>
          </w:p>
        </w:tc>
      </w:tr>
      <w:tr>
        <w:trPr>
          <w:trHeight w:val="236"/>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(135,484)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(123,314)</w:t>
            </w:r>
          </w:p>
        </w:tc>
      </w:tr>
      <w:tr>
        <w:trPr>
          <w:trHeight w:val="268"/>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63,098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60,579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Physical scanner appliances and other computer equipment had a net carrying value </w:t>
      </w:r>
      <w:r>
        <w:rPr>
          <w:rFonts w:ascii="Arial" w:cs="Arial" w:eastAsia="Arial" w:hAnsi="Arial"/>
          <w:sz w:val="18"/>
          <w:szCs w:val="18"/>
          <w:color w:val="000000"/>
        </w:rPr>
        <w:t>of</w:t>
      </w:r>
      <w:r>
        <w:rPr>
          <w:rFonts w:ascii="Arial" w:cs="Arial" w:eastAsia="Arial" w:hAnsi="Arial"/>
          <w:sz w:val="18"/>
          <w:szCs w:val="18"/>
          <w:color w:val="231F20"/>
        </w:rPr>
        <w:t xml:space="preserve"> $8.2 million </w:t>
      </w:r>
      <w:r>
        <w:rPr>
          <w:rFonts w:ascii="Arial" w:cs="Arial" w:eastAsia="Arial" w:hAnsi="Arial"/>
          <w:sz w:val="18"/>
          <w:szCs w:val="18"/>
          <w:color w:val="000000"/>
        </w:rPr>
        <w:t>and $4.9 million at June 30, 2020</w:t>
      </w:r>
      <w:r>
        <w:rPr>
          <w:rFonts w:ascii="Arial" w:cs="Arial" w:eastAsia="Arial" w:hAnsi="Arial"/>
          <w:sz w:val="18"/>
          <w:szCs w:val="18"/>
          <w:color w:val="231F20"/>
        </w:rPr>
        <w:t xml:space="preserve"> </w:t>
      </w:r>
      <w:r>
        <w:rPr>
          <w:rFonts w:ascii="Arial" w:cs="Arial" w:eastAsia="Arial" w:hAnsi="Arial"/>
          <w:sz w:val="18"/>
          <w:szCs w:val="18"/>
          <w:color w:val="000000"/>
        </w:rPr>
        <w:t xml:space="preserve">and December 31, 2019, respectively, including assets that had not been placed in service of </w:t>
      </w:r>
      <w:r>
        <w:rPr>
          <w:rFonts w:ascii="Arial" w:cs="Arial" w:eastAsia="Arial" w:hAnsi="Arial"/>
          <w:sz w:val="18"/>
          <w:szCs w:val="18"/>
          <w:color w:val="231F20"/>
        </w:rPr>
        <w:t>$ 4.5 million</w:t>
      </w:r>
      <w:r>
        <w:rPr>
          <w:rFonts w:ascii="Arial" w:cs="Arial" w:eastAsia="Arial" w:hAnsi="Arial"/>
          <w:sz w:val="18"/>
          <w:szCs w:val="18"/>
          <w:color w:val="000000"/>
        </w:rPr>
        <w:t xml:space="preserve"> and $0.9 million, respectively. </w:t>
      </w:r>
      <w:r>
        <w:rPr>
          <w:rFonts w:ascii="Arial" w:cs="Arial" w:eastAsia="Arial" w:hAnsi="Arial"/>
          <w:sz w:val="18"/>
          <w:szCs w:val="18"/>
          <w:color w:val="231F20"/>
        </w:rPr>
        <w:t xml:space="preserve">Depreciation and amortization expense relating to property and equipment, including assets under finance leases, </w:t>
      </w:r>
      <w:r>
        <w:rPr>
          <w:rFonts w:ascii="Arial" w:cs="Arial" w:eastAsia="Arial" w:hAnsi="Arial"/>
          <w:sz w:val="18"/>
          <w:szCs w:val="18"/>
          <w:color w:val="000000"/>
        </w:rPr>
        <w:t>was</w:t>
      </w:r>
      <w:r>
        <w:rPr>
          <w:rFonts w:ascii="Arial" w:cs="Arial" w:eastAsia="Arial" w:hAnsi="Arial"/>
          <w:sz w:val="18"/>
          <w:szCs w:val="18"/>
          <w:color w:val="231F20"/>
        </w:rPr>
        <w:t xml:space="preserve"> $6.4 million </w:t>
      </w:r>
      <w:r>
        <w:rPr>
          <w:rFonts w:ascii="Arial" w:cs="Arial" w:eastAsia="Arial" w:hAnsi="Arial"/>
          <w:sz w:val="18"/>
          <w:szCs w:val="18"/>
          <w:color w:val="000000"/>
        </w:rPr>
        <w:t>and $6.3</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for the three months ended June 30, 2020 and 2019, respectively, and $12.6 million </w:t>
      </w:r>
      <w:r>
        <w:rPr>
          <w:rFonts w:ascii="Arial" w:cs="Arial" w:eastAsia="Arial" w:hAnsi="Arial"/>
          <w:sz w:val="18"/>
          <w:szCs w:val="18"/>
          <w:color w:val="231F20"/>
        </w:rPr>
        <w:t>and $12.8 million for the</w:t>
      </w:r>
      <w:r>
        <w:rPr>
          <w:rFonts w:ascii="Arial" w:cs="Arial" w:eastAsia="Arial" w:hAnsi="Arial"/>
          <w:sz w:val="18"/>
          <w:szCs w:val="18"/>
          <w:color w:val="000000"/>
        </w:rPr>
        <w:t xml:space="preserve"> six months ended June 30, 2020 and 2019,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color w:val="231F20"/>
        </w:rPr>
        <w:t>Revenue from Contracts with Customers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Company's subscription contracts are typically satisfied ratably over the subscription term as its cloud-based offerings are delivered to customers electronically and over time. In addition, the Company recognizes revenues for certain limited scan arrangements on an as-used basis. The Company recognizes revenue related to professional services based on time and materials or completion of milestones stated in the contracts.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76"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As the vast majority of the Company’s offerings are subscription based, the Company rarely needs to allocate the transaction price to separate performance obligations. In the rare case that allocation of the transaction price is needed, the Company recognizes revenue in proportion to the standalone selling prices ("SSP") of the underlying services at contract inception. If an SSP is not directly observable, the Company determines the SSP using information that may include market conditions and other observable inputs. The Company's transaction prices typically do not include variable consideration and are a fixed amount for a specific period of time, and the majority of contracts are twelve months with certain customers signing longer term deals. In general, the Company does not offer rights of return, performance bonuses, customer loyalty programs, payments via non-cash methods, refunds, volume rebates, incentive payments, penalties, price concessions or payments or discounts contingent on future events and the Company does not grant its customers any material rights. For contracts that include leased scanners and PCPs, the Company applies the lease and non-lease component practical expedient under ASC 842 to account for non-lease components and lease components as combined components under the revenue recognition guidance in ASU 2014-09, "Revenue from Contracts with Customers" (Topic 606) as the subscriptions are the predominant components in the arrangements.</w:t>
      </w:r>
    </w:p>
    <w:p>
      <w:pPr>
        <w:spacing w:after="0" w:line="103"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auto"/>
        </w:rPr>
        <w:t>Costs of shipping and handling charges associated with physical scanner appliances and other computer equipment are included in cost of revenues. Sales taxes and other taxes collected from customers to be remitted to government authorities are excluded from revenues.</w:t>
      </w:r>
    </w:p>
    <w:p>
      <w:pPr>
        <w:spacing w:after="0" w:line="9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12529"/>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elected the practical expedient to expense commissions on renewals where the specific anticipated contract term amortization period is one year or less.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condensed consolidated balance sheets.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Capitalized costs to obtain contracts, current and noncurrent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June 30, 2020</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r>
      <w:tr>
        <w:trPr>
          <w:trHeight w:val="209"/>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8"/>
                <w:szCs w:val="18"/>
                <w:color w:val="auto"/>
              </w:rPr>
            </w:pPr>
          </w:p>
        </w:tc>
      </w:tr>
      <w:tr>
        <w:trPr>
          <w:trHeight w:val="24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 asset, 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2,968</w:t>
            </w:r>
          </w:p>
        </w:tc>
        <w:tc>
          <w:tcPr>
            <w:tcW w:w="78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2,568</w:t>
            </w: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color w:val="auto"/>
              </w:rPr>
              <w:t>Commission asset, noncurrent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4"/>
              <w:spacing w:after="0"/>
              <w:rPr>
                <w:sz w:val="20"/>
                <w:szCs w:val="20"/>
                <w:color w:val="auto"/>
              </w:rPr>
            </w:pPr>
            <w:r>
              <w:rPr>
                <w:rFonts w:ascii="Arial" w:cs="Arial" w:eastAsia="Arial" w:hAnsi="Arial"/>
                <w:sz w:val="16"/>
                <w:szCs w:val="16"/>
                <w:color w:val="auto"/>
              </w:rPr>
              <w:t>6,604</w:t>
            </w:r>
          </w:p>
        </w:tc>
        <w:tc>
          <w:tcPr>
            <w:tcW w:w="78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6,454</w:t>
            </w:r>
          </w:p>
        </w:tc>
      </w:tr>
    </w:tbl>
    <w:p>
      <w:pPr>
        <w:spacing w:after="0" w:line="23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For the three months ended June 30, 2020 and 2019, the Company recognized $0.7 million and $0.5 million, respectively, of commission expense from amortization of its commission assets. For the six months ended June 30, 2020 and 2019, the Company recognized $1.4 million and $0.9 million, respectively, of commission expense from amortization of its commission assets. During the same periods, there was no impairment loss related to capitalized costs.</w:t>
      </w:r>
    </w:p>
    <w:p>
      <w:pPr>
        <w:spacing w:after="0" w:line="9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 records deferred revenue when cash payments are received or due in advance of its performance offset by revenue recognized in the period. Revenue of $55.9 million and $ 49.1 million was recognized during the three months ended June 30, 2020 and 2019, respectively, which amounts were included in the deferred revenue balances as of December 31, 2019 and 2018, respectively. Revenue of $129.7 million and $113.3 million was recognized during the six months ended June 30, 2020 and 2019, respectively, which amounts were included in the deferred revenue balances as of December 31, 2019 and 2018, respectively.</w:t>
      </w:r>
    </w:p>
    <w:p>
      <w:pPr>
        <w:spacing w:after="0" w:line="9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Company's payment terms vary by the type and location of its customer and the products or services offered. For certain products or services and customer types, the Company requires payment before the products or services are delivered to the customer.</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expected revenue from all remaining performance obligations as of June 30,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7660" w:type="dxa"/>
            <w:vAlign w:val="bottom"/>
            <w:gridSpan w:val="2"/>
          </w:tcPr>
          <w:p>
            <w:pPr>
              <w:jc w:val="center"/>
              <w:ind w:right="588"/>
              <w:spacing w:after="0" w:line="196" w:lineRule="exact"/>
              <w:rPr>
                <w:sz w:val="20"/>
                <w:szCs w:val="20"/>
                <w:color w:val="auto"/>
              </w:rPr>
            </w:pPr>
            <w:r>
              <w:rPr>
                <w:rFonts w:ascii="Arial" w:cs="Arial" w:eastAsia="Arial" w:hAnsi="Arial"/>
                <w:sz w:val="18"/>
                <w:szCs w:val="18"/>
                <w:b w:val="1"/>
                <w:bCs w:val="1"/>
                <w:color w:val="231F20"/>
                <w:w w:val="98"/>
              </w:rPr>
              <w:t>Qualys, Inc.</w:t>
            </w:r>
          </w:p>
        </w:tc>
        <w:tc>
          <w:tcPr>
            <w:tcW w:w="1460" w:type="dxa"/>
            <w:vAlign w:val="bottom"/>
          </w:tcPr>
          <w:p>
            <w:pPr>
              <w:spacing w:after="0"/>
              <w:rPr>
                <w:sz w:val="17"/>
                <w:szCs w:val="17"/>
                <w:color w:val="auto"/>
              </w:rPr>
            </w:pPr>
          </w:p>
        </w:tc>
      </w:tr>
      <w:tr>
        <w:trPr>
          <w:trHeight w:val="216"/>
        </w:trPr>
        <w:tc>
          <w:tcPr>
            <w:tcW w:w="2120" w:type="dxa"/>
            <w:vAlign w:val="bottom"/>
          </w:tcPr>
          <w:p>
            <w:pPr>
              <w:spacing w:after="0"/>
              <w:rPr>
                <w:sz w:val="18"/>
                <w:szCs w:val="18"/>
                <w:color w:val="auto"/>
              </w:rPr>
            </w:pPr>
          </w:p>
        </w:tc>
        <w:tc>
          <w:tcPr>
            <w:tcW w:w="7660" w:type="dxa"/>
            <w:vAlign w:val="bottom"/>
            <w:gridSpan w:val="2"/>
          </w:tcPr>
          <w:p>
            <w:pPr>
              <w:jc w:val="center"/>
              <w:ind w:right="588"/>
              <w:spacing w:after="0"/>
              <w:rPr>
                <w:sz w:val="20"/>
                <w:szCs w:val="20"/>
                <w:color w:val="auto"/>
              </w:rPr>
            </w:pPr>
            <w:r>
              <w:rPr>
                <w:rFonts w:ascii="Arial" w:cs="Arial" w:eastAsia="Arial" w:hAnsi="Arial"/>
                <w:sz w:val="18"/>
                <w:szCs w:val="18"/>
                <w:b w:val="1"/>
                <w:bCs w:val="1"/>
                <w:color w:val="231F20"/>
                <w:w w:val="99"/>
              </w:rPr>
              <w:t>NOTES TO CONDENSED CONSOLIDATED FINANCIAL STATEMENTS (Continued)</w:t>
            </w:r>
          </w:p>
        </w:tc>
        <w:tc>
          <w:tcPr>
            <w:tcW w:w="1460" w:type="dxa"/>
            <w:vAlign w:val="bottom"/>
          </w:tcPr>
          <w:p>
            <w:pPr>
              <w:spacing w:after="0"/>
              <w:rPr>
                <w:sz w:val="18"/>
                <w:szCs w:val="18"/>
                <w:color w:val="auto"/>
              </w:rPr>
            </w:pPr>
          </w:p>
        </w:tc>
      </w:tr>
      <w:tr>
        <w:trPr>
          <w:trHeight w:val="239"/>
        </w:trPr>
        <w:tc>
          <w:tcPr>
            <w:tcW w:w="2120" w:type="dxa"/>
            <w:vAlign w:val="bottom"/>
          </w:tcPr>
          <w:p>
            <w:pPr>
              <w:spacing w:after="0"/>
              <w:rPr>
                <w:sz w:val="20"/>
                <w:szCs w:val="20"/>
                <w:color w:val="auto"/>
              </w:rPr>
            </w:pPr>
          </w:p>
        </w:tc>
        <w:tc>
          <w:tcPr>
            <w:tcW w:w="7660" w:type="dxa"/>
            <w:vAlign w:val="bottom"/>
            <w:gridSpan w:val="2"/>
          </w:tcPr>
          <w:p>
            <w:pPr>
              <w:jc w:val="center"/>
              <w:ind w:right="568"/>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tc>
        <w:tc>
          <w:tcPr>
            <w:tcW w:w="1460" w:type="dxa"/>
            <w:vAlign w:val="bottom"/>
          </w:tcPr>
          <w:p>
            <w:pPr>
              <w:spacing w:after="0"/>
              <w:rPr>
                <w:sz w:val="20"/>
                <w:szCs w:val="20"/>
                <w:color w:val="auto"/>
              </w:rPr>
            </w:pPr>
          </w:p>
        </w:tc>
      </w:tr>
      <w:tr>
        <w:trPr>
          <w:trHeight w:val="791"/>
        </w:trPr>
        <w:tc>
          <w:tcPr>
            <w:tcW w:w="21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 Expected Revenue</w:t>
            </w:r>
          </w:p>
        </w:tc>
      </w:tr>
      <w:tr>
        <w:trPr>
          <w:trHeight w:val="209"/>
        </w:trPr>
        <w:tc>
          <w:tcPr>
            <w:tcW w:w="21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80"/>
              <w:spacing w:after="0"/>
              <w:rPr>
                <w:sz w:val="20"/>
                <w:szCs w:val="20"/>
                <w:color w:val="auto"/>
              </w:rPr>
            </w:pPr>
            <w:r>
              <w:rPr>
                <w:rFonts w:ascii="Arial" w:cs="Arial" w:eastAsia="Arial" w:hAnsi="Arial"/>
                <w:sz w:val="14"/>
                <w:szCs w:val="14"/>
                <w:b w:val="1"/>
                <w:bCs w:val="1"/>
                <w:color w:val="auto"/>
              </w:rPr>
              <w:t>(in thousands)</w:t>
            </w:r>
          </w:p>
        </w:tc>
      </w:tr>
      <w:tr>
        <w:trPr>
          <w:trHeight w:val="249"/>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 (remaining six months)</w:t>
            </w:r>
          </w:p>
        </w:tc>
        <w:tc>
          <w:tcPr>
            <w:tcW w:w="7660" w:type="dxa"/>
            <w:vAlign w:val="bottom"/>
            <w:gridSpan w:val="2"/>
            <w:shd w:val="clear" w:color="auto" w:fill="CCEEFF"/>
          </w:tcPr>
          <w:p>
            <w:pPr>
              <w:ind w:left="74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46,130</w:t>
            </w:r>
          </w:p>
        </w:tc>
      </w:tr>
      <w:tr>
        <w:trPr>
          <w:trHeight w:val="233"/>
        </w:trPr>
        <w:tc>
          <w:tcPr>
            <w:tcW w:w="2120" w:type="dxa"/>
            <w:vAlign w:val="bottom"/>
          </w:tcPr>
          <w:p>
            <w:pPr>
              <w:ind w:left="20"/>
              <w:spacing w:after="0"/>
              <w:rPr>
                <w:sz w:val="20"/>
                <w:szCs w:val="20"/>
                <w:color w:val="auto"/>
              </w:rPr>
            </w:pPr>
            <w:r>
              <w:rPr>
                <w:rFonts w:ascii="Arial" w:cs="Arial" w:eastAsia="Arial" w:hAnsi="Arial"/>
                <w:sz w:val="16"/>
                <w:szCs w:val="16"/>
                <w:color w:val="auto"/>
              </w:rPr>
              <w:t>2021</w:t>
            </w: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62,693</w:t>
            </w:r>
          </w:p>
        </w:tc>
      </w:tr>
      <w:tr>
        <w:trPr>
          <w:trHeight w:val="253"/>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7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34,525</w:t>
            </w:r>
          </w:p>
        </w:tc>
      </w:tr>
      <w:tr>
        <w:trPr>
          <w:trHeight w:val="233"/>
        </w:trPr>
        <w:tc>
          <w:tcPr>
            <w:tcW w:w="2120" w:type="dxa"/>
            <w:vAlign w:val="bottom"/>
          </w:tcPr>
          <w:p>
            <w:pPr>
              <w:ind w:left="20"/>
              <w:spacing w:after="0"/>
              <w:rPr>
                <w:sz w:val="20"/>
                <w:szCs w:val="20"/>
                <w:color w:val="auto"/>
              </w:rPr>
            </w:pPr>
            <w:r>
              <w:rPr>
                <w:rFonts w:ascii="Arial" w:cs="Arial" w:eastAsia="Arial" w:hAnsi="Arial"/>
                <w:sz w:val="16"/>
                <w:szCs w:val="16"/>
                <w:color w:val="auto"/>
              </w:rPr>
              <w:t>2023</w:t>
            </w: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8,533</w:t>
            </w:r>
          </w:p>
        </w:tc>
      </w:tr>
      <w:tr>
        <w:trPr>
          <w:trHeight w:val="253"/>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7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610</w:t>
            </w:r>
          </w:p>
        </w:tc>
      </w:tr>
      <w:tr>
        <w:trPr>
          <w:trHeight w:val="237"/>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2025 and thereafter</w:t>
            </w:r>
          </w:p>
        </w:tc>
        <w:tc>
          <w:tcPr>
            <w:tcW w:w="74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184</w:t>
            </w:r>
          </w:p>
        </w:tc>
      </w:tr>
      <w:tr>
        <w:trPr>
          <w:trHeight w:val="263"/>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660" w:type="dxa"/>
            <w:vAlign w:val="bottom"/>
            <w:gridSpan w:val="2"/>
            <w:shd w:val="clear" w:color="auto" w:fill="CCEEFF"/>
          </w:tcPr>
          <w:p>
            <w:pPr>
              <w:ind w:left="74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152,675</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Revenues allocated to remaining performance obligations represents contracted revenues that have not yet been recognized, which include deferred revenue and the amounts that will be invoiced and recognized as revenues in future periods from open contracts. Remaining performance obligations represent the transaction price of noncancelable orders for which service has not been performed and excludes unexercised renewals. The Company applied the short-term contract exemption to exclude the remaining performance obligations that are part of a contract that has an original expected duration of one year or less.</w:t>
      </w:r>
    </w:p>
    <w:p>
      <w:pPr>
        <w:spacing w:after="0" w:line="97"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auto"/>
        </w:rPr>
        <w:t>From time to time, the Company enters into contracts with customers that extend beyond one year, with certain of its customers electing to pay for more than one year of services upon contract execution. For any discounts associated with these multiple year contracts, the Company concluded its contracts did not contain a financing component.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Revenues by sales channel are as follows: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2380" w:type="dxa"/>
            <w:vAlign w:val="bottom"/>
            <w:gridSpan w:val="4"/>
          </w:tcPr>
          <w:p>
            <w:pPr>
              <w:jc w:val="right"/>
              <w:ind w:right="719"/>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37"/>
        </w:trPr>
        <w:tc>
          <w:tcPr>
            <w:tcW w:w="5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209"/>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51,805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45,672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101,810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88,711</w:t>
            </w:r>
          </w:p>
        </w:tc>
      </w:tr>
      <w:tr>
        <w:trPr>
          <w:trHeight w:val="237"/>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Partner</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37,025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33,257</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73,283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65,561</w:t>
            </w:r>
          </w:p>
        </w:tc>
      </w:tr>
      <w:tr>
        <w:trPr>
          <w:trHeight w:val="26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88,830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78,929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175,093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154,272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13, "Segment Information and Information about Geographic Area" for disaggregation of revenue by geographic area.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Acquisitions</w:t>
      </w:r>
    </w:p>
    <w:p>
      <w:pPr>
        <w:spacing w:after="0" w:line="13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On January 10, 2019, the Company acquired the assets of Adya, Inc. ("Adya"), an India-based company. The acquisition included a cloud application management platform, which enables security and compliance audits of SaaS applications.</w:t>
      </w:r>
    </w:p>
    <w:p>
      <w:pPr>
        <w:spacing w:after="0" w:line="9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Total purchase consideration was $1.0 million, including $0.2 million of deferred consideration due eighteen months from the closing date of the acquisition, subject to potential adjustment from possible indemnity claims. Pro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7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forma financial information for this acquisition has not been presented because it is not material to the Company's condensed consolidated financial statements.</w:t>
      </w:r>
    </w:p>
    <w:p>
      <w:pPr>
        <w:spacing w:after="0" w:line="9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accounted for this transaction as a business combination and allocated $0.9 million of the purchase price to technology-based intangible assets and $0.1 million to goodwill. The acquired intangible assets relating to Adya's developed technology are being amortized over the estimated useful lives of approximately four years. Goodwill arising from the Adya acquisition is deductible for tax purposes over 15 years.</w:t>
      </w:r>
    </w:p>
    <w:p>
      <w:pPr>
        <w:spacing w:after="0" w:line="9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July 24, 2020, the Company acquired certain intangible assets of Spell Security Private Limited ("Spell Security"), a privately held company incorporated in India. Spell Security’s technology expands the Company's endpoint behavior detection, threat hunting, malware research and multi-layered response capabilities for its EDR application. The purchase consideration related to the acquisition was $1.5 million in cash, including $0.2 million of deferred consideration due fifteen months from the closing date of the acquisition, subject to potential adjustment from possible indemnity claims.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Intangible Assets, Net</w:t>
      </w:r>
    </w:p>
    <w:p>
      <w:pPr>
        <w:spacing w:after="0" w:line="27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231F20"/>
        </w:rPr>
        <w:t>Intangible assets consist primarily of developed technology and patent licenses from business combinations. Acquired intangibles are amortized on a straight-line basis over the respective estimated useful lives of the assets.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carrying values of intangible assets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840" w:type="dxa"/>
            <w:vAlign w:val="bottom"/>
            <w:gridSpan w:val="2"/>
          </w:tcPr>
          <w:p>
            <w:pPr>
              <w:jc w:val="center"/>
              <w:ind w:left="204"/>
              <w:spacing w:after="0"/>
              <w:rPr>
                <w:sz w:val="20"/>
                <w:szCs w:val="20"/>
                <w:color w:val="auto"/>
              </w:rPr>
            </w:pPr>
            <w:r>
              <w:rPr>
                <w:rFonts w:ascii="Arial" w:cs="Arial" w:eastAsia="Arial" w:hAnsi="Arial"/>
                <w:sz w:val="14"/>
                <w:szCs w:val="14"/>
                <w:b w:val="1"/>
                <w:bCs w:val="1"/>
                <w:color w:val="auto"/>
              </w:rPr>
              <w:t>Weighted Average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 Life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920"/>
              <w:spacing w:after="0"/>
              <w:rPr>
                <w:sz w:val="20"/>
                <w:szCs w:val="20"/>
                <w:color w:val="auto"/>
              </w:rPr>
            </w:pPr>
            <w:r>
              <w:rPr>
                <w:rFonts w:ascii="Arial" w:cs="Arial" w:eastAsia="Arial" w:hAnsi="Arial"/>
                <w:sz w:val="14"/>
                <w:szCs w:val="14"/>
                <w:b w:val="1"/>
                <w:bCs w:val="1"/>
                <w:color w:val="auto"/>
              </w:rPr>
              <w:t xml:space="preserve">(in </w:t>
            </w:r>
            <w:r>
              <w:rPr>
                <w:rFonts w:ascii="Arial" w:cs="Arial" w:eastAsia="Arial" w:hAnsi="Arial"/>
                <w:sz w:val="14"/>
                <w:szCs w:val="14"/>
                <w:b w:val="1"/>
                <w:bCs w:val="1"/>
                <w:color w:val="231F20"/>
              </w:rPr>
              <w:t>thousands, except for years)</w:t>
            </w:r>
          </w:p>
        </w:tc>
        <w:tc>
          <w:tcPr>
            <w:tcW w:w="1840" w:type="dxa"/>
            <w:vAlign w:val="bottom"/>
            <w:gridSpan w:val="2"/>
          </w:tcPr>
          <w:p>
            <w:pPr>
              <w:jc w:val="center"/>
              <w:ind w:left="204"/>
              <w:spacing w:after="0"/>
              <w:rPr>
                <w:sz w:val="20"/>
                <w:szCs w:val="20"/>
                <w:color w:val="auto"/>
              </w:rPr>
            </w:pPr>
            <w:r>
              <w:rPr>
                <w:rFonts w:ascii="Arial" w:cs="Arial" w:eastAsia="Arial" w:hAnsi="Arial"/>
                <w:sz w:val="14"/>
                <w:szCs w:val="14"/>
                <w:b w:val="1"/>
                <w:bCs w:val="1"/>
                <w:color w:val="auto"/>
                <w:w w:val="99"/>
              </w:rPr>
              <w:t>Life (Years)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1240" w:type="dxa"/>
            <w:vAlign w:val="bottom"/>
          </w:tcPr>
          <w:p>
            <w:pPr>
              <w:jc w:val="right"/>
              <w:ind w:right="81"/>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237"/>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720" w:type="dxa"/>
            <w:vAlign w:val="bottom"/>
            <w:tcBorders>
              <w:top w:val="single" w:sz="8" w:color="auto"/>
            </w:tcBorders>
            <w:shd w:val="clear" w:color="auto" w:fill="CCEEFF"/>
          </w:tcPr>
          <w:p>
            <w:pPr>
              <w:jc w:val="center"/>
              <w:ind w:left="324"/>
              <w:spacing w:after="0"/>
              <w:rPr>
                <w:sz w:val="20"/>
                <w:szCs w:val="20"/>
                <w:color w:val="auto"/>
              </w:rPr>
            </w:pPr>
            <w:r>
              <w:rPr>
                <w:rFonts w:ascii="Arial" w:cs="Arial" w:eastAsia="Arial" w:hAnsi="Arial"/>
                <w:sz w:val="16"/>
                <w:szCs w:val="16"/>
                <w:color w:val="auto"/>
              </w:rPr>
              <w:t>4.6</w:t>
            </w:r>
          </w:p>
        </w:tc>
        <w:tc>
          <w:tcPr>
            <w:tcW w:w="12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2.2</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26,356</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(13,056)</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13,300</w:t>
            </w: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Patent licenses</w:t>
            </w:r>
          </w:p>
        </w:tc>
        <w:tc>
          <w:tcPr>
            <w:tcW w:w="1720" w:type="dxa"/>
            <w:vAlign w:val="bottom"/>
            <w:tcBorders>
              <w:bottom w:val="single" w:sz="8" w:color="CCEEFF"/>
            </w:tcBorders>
          </w:tcPr>
          <w:p>
            <w:pPr>
              <w:jc w:val="center"/>
              <w:ind w:left="324"/>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4.2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1,387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(972)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68"/>
        </w:trPr>
        <w:tc>
          <w:tcPr>
            <w:tcW w:w="3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intangibles subject to amortization</w:t>
            </w: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27,743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(14,028)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13,715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Intangible assets not subject to amortization</w:t>
            </w: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187"/>
        </w:trPr>
        <w:tc>
          <w:tcPr>
            <w:tcW w:w="360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intangible assets, net</w:t>
            </w: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13,755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840" w:type="dxa"/>
            <w:vAlign w:val="bottom"/>
            <w:gridSpan w:val="2"/>
          </w:tcPr>
          <w:p>
            <w:pPr>
              <w:jc w:val="center"/>
              <w:ind w:left="204"/>
              <w:spacing w:after="0"/>
              <w:rPr>
                <w:sz w:val="20"/>
                <w:szCs w:val="20"/>
                <w:color w:val="auto"/>
              </w:rPr>
            </w:pPr>
            <w:r>
              <w:rPr>
                <w:rFonts w:ascii="Arial" w:cs="Arial" w:eastAsia="Arial" w:hAnsi="Arial"/>
                <w:sz w:val="14"/>
                <w:szCs w:val="14"/>
                <w:b w:val="1"/>
                <w:bCs w:val="1"/>
                <w:color w:val="auto"/>
              </w:rPr>
              <w:t>Weighted Average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 Life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920"/>
              <w:spacing w:after="0"/>
              <w:rPr>
                <w:sz w:val="20"/>
                <w:szCs w:val="20"/>
                <w:color w:val="auto"/>
              </w:rPr>
            </w:pPr>
            <w:r>
              <w:rPr>
                <w:rFonts w:ascii="Arial" w:cs="Arial" w:eastAsia="Arial" w:hAnsi="Arial"/>
                <w:sz w:val="14"/>
                <w:szCs w:val="14"/>
                <w:b w:val="1"/>
                <w:bCs w:val="1"/>
                <w:color w:val="auto"/>
              </w:rPr>
              <w:t xml:space="preserve">(in </w:t>
            </w:r>
            <w:r>
              <w:rPr>
                <w:rFonts w:ascii="Arial" w:cs="Arial" w:eastAsia="Arial" w:hAnsi="Arial"/>
                <w:sz w:val="14"/>
                <w:szCs w:val="14"/>
                <w:b w:val="1"/>
                <w:bCs w:val="1"/>
                <w:color w:val="231F20"/>
              </w:rPr>
              <w:t>thousands, except for years)</w:t>
            </w:r>
          </w:p>
        </w:tc>
        <w:tc>
          <w:tcPr>
            <w:tcW w:w="1840" w:type="dxa"/>
            <w:vAlign w:val="bottom"/>
            <w:gridSpan w:val="2"/>
          </w:tcPr>
          <w:p>
            <w:pPr>
              <w:jc w:val="center"/>
              <w:ind w:left="204"/>
              <w:spacing w:after="0"/>
              <w:rPr>
                <w:sz w:val="20"/>
                <w:szCs w:val="20"/>
                <w:color w:val="auto"/>
              </w:rPr>
            </w:pPr>
            <w:r>
              <w:rPr>
                <w:rFonts w:ascii="Arial" w:cs="Arial" w:eastAsia="Arial" w:hAnsi="Arial"/>
                <w:sz w:val="14"/>
                <w:szCs w:val="14"/>
                <w:b w:val="1"/>
                <w:bCs w:val="1"/>
                <w:color w:val="auto"/>
                <w:w w:val="99"/>
              </w:rPr>
              <w:t>Life (Years)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1240" w:type="dxa"/>
            <w:vAlign w:val="bottom"/>
          </w:tcPr>
          <w:p>
            <w:pPr>
              <w:jc w:val="right"/>
              <w:ind w:right="81"/>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237"/>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720" w:type="dxa"/>
            <w:vAlign w:val="bottom"/>
            <w:tcBorders>
              <w:top w:val="single" w:sz="8" w:color="auto"/>
            </w:tcBorders>
            <w:shd w:val="clear" w:color="auto" w:fill="CCEEFF"/>
          </w:tcPr>
          <w:p>
            <w:pPr>
              <w:jc w:val="center"/>
              <w:ind w:left="324"/>
              <w:spacing w:after="0"/>
              <w:rPr>
                <w:sz w:val="20"/>
                <w:szCs w:val="20"/>
                <w:color w:val="auto"/>
              </w:rPr>
            </w:pPr>
            <w:r>
              <w:rPr>
                <w:rFonts w:ascii="Arial" w:cs="Arial" w:eastAsia="Arial" w:hAnsi="Arial"/>
                <w:sz w:val="16"/>
                <w:szCs w:val="16"/>
                <w:color w:val="auto"/>
              </w:rPr>
              <w:t>4.6</w:t>
            </w:r>
          </w:p>
        </w:tc>
        <w:tc>
          <w:tcPr>
            <w:tcW w:w="12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2.7</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26,356</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(10,066)</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16,290</w:t>
            </w:r>
          </w:p>
        </w:tc>
        <w:tc>
          <w:tcPr>
            <w:tcW w:w="0" w:type="dxa"/>
            <w:vAlign w:val="bottom"/>
          </w:tcPr>
          <w:p>
            <w:pPr>
              <w:spacing w:after="0"/>
              <w:rPr>
                <w:sz w:val="1"/>
                <w:szCs w:val="1"/>
                <w:color w:val="auto"/>
              </w:rPr>
            </w:pPr>
          </w:p>
        </w:tc>
      </w:tr>
      <w:tr>
        <w:trPr>
          <w:trHeight w:val="236"/>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Patent licenses</w:t>
            </w:r>
          </w:p>
        </w:tc>
        <w:tc>
          <w:tcPr>
            <w:tcW w:w="1720" w:type="dxa"/>
            <w:vAlign w:val="bottom"/>
            <w:tcBorders>
              <w:bottom w:val="single" w:sz="8" w:color="CCEEFF"/>
            </w:tcBorders>
          </w:tcPr>
          <w:p>
            <w:pPr>
              <w:jc w:val="center"/>
              <w:ind w:left="324"/>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4.7</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1,387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(922)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68"/>
        </w:trPr>
        <w:tc>
          <w:tcPr>
            <w:tcW w:w="3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intangibles subject to amortization</w:t>
            </w: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27,743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(10,988)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16,755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Intangible assets not subject to amortization</w:t>
            </w: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187"/>
        </w:trPr>
        <w:tc>
          <w:tcPr>
            <w:tcW w:w="360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intangible assets, net</w:t>
            </w: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16,795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231F20"/>
        </w:rPr>
        <w:t>Intangible asset amortization expense wa</w:t>
      </w:r>
      <w:r>
        <w:rPr>
          <w:rFonts w:ascii="Arial" w:cs="Arial" w:eastAsia="Arial" w:hAnsi="Arial"/>
          <w:sz w:val="18"/>
          <w:szCs w:val="18"/>
          <w:color w:val="000000"/>
        </w:rPr>
        <w:t>s</w:t>
      </w:r>
      <w:r>
        <w:rPr>
          <w:rFonts w:ascii="Arial" w:cs="Arial" w:eastAsia="Arial" w:hAnsi="Arial"/>
          <w:sz w:val="18"/>
          <w:szCs w:val="18"/>
          <w:color w:val="231F20"/>
        </w:rPr>
        <w:t xml:space="preserve"> $1.5 million </w:t>
      </w:r>
      <w:r>
        <w:rPr>
          <w:rFonts w:ascii="Arial" w:cs="Arial" w:eastAsia="Arial" w:hAnsi="Arial"/>
          <w:sz w:val="18"/>
          <w:szCs w:val="18"/>
          <w:color w:val="000000"/>
        </w:rPr>
        <w:t>for each of the three months ended June 30, 2020 and 2019, and $3.0 million</w:t>
      </w:r>
      <w:r>
        <w:rPr>
          <w:rFonts w:ascii="Arial" w:cs="Arial" w:eastAsia="Arial" w:hAnsi="Arial"/>
          <w:sz w:val="18"/>
          <w:szCs w:val="18"/>
          <w:color w:val="231F20"/>
        </w:rPr>
        <w:t xml:space="preserve"> </w:t>
      </w:r>
      <w:r>
        <w:rPr>
          <w:rFonts w:ascii="Arial" w:cs="Arial" w:eastAsia="Arial" w:hAnsi="Arial"/>
          <w:sz w:val="18"/>
          <w:szCs w:val="18"/>
          <w:color w:val="000000"/>
        </w:rPr>
        <w:t>for each of the six months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tbl>
      <w:tblPr>
        <w:tblLayout w:type="fixed"/>
        <w:tblInd w:w="0" w:type="dxa"/>
        <w:tblCellMar>
          <w:top w:w="0" w:type="dxa"/>
          <w:left w:w="0" w:type="dxa"/>
          <w:bottom w:w="0" w:type="dxa"/>
          <w:right w:w="0" w:type="dxa"/>
        </w:tblCellMar>
      </w:tblPr>
      <w:tr>
        <w:trPr>
          <w:trHeight w:val="196"/>
        </w:trPr>
        <w:tc>
          <w:tcPr>
            <w:tcW w:w="9880" w:type="dxa"/>
            <w:vAlign w:val="bottom"/>
          </w:tcPr>
          <w:p>
            <w:pPr>
              <w:jc w:val="center"/>
              <w:ind w:left="1275"/>
              <w:spacing w:after="0" w:line="196" w:lineRule="exact"/>
              <w:rPr>
                <w:sz w:val="20"/>
                <w:szCs w:val="20"/>
                <w:color w:val="auto"/>
              </w:rPr>
            </w:pPr>
            <w:r>
              <w:rPr>
                <w:rFonts w:ascii="Arial" w:cs="Arial" w:eastAsia="Arial" w:hAnsi="Arial"/>
                <w:sz w:val="18"/>
                <w:szCs w:val="18"/>
                <w:b w:val="1"/>
                <w:bCs w:val="1"/>
                <w:color w:val="231F20"/>
                <w:w w:val="98"/>
              </w:rPr>
              <w:t>Qualys, Inc.</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9880" w:type="dxa"/>
            <w:vAlign w:val="bottom"/>
          </w:tcPr>
          <w:p>
            <w:pPr>
              <w:jc w:val="center"/>
              <w:ind w:left="1275"/>
              <w:spacing w:after="0"/>
              <w:rPr>
                <w:sz w:val="20"/>
                <w:szCs w:val="20"/>
                <w:color w:val="auto"/>
              </w:rPr>
            </w:pPr>
            <w:r>
              <w:rPr>
                <w:rFonts w:ascii="Arial" w:cs="Arial" w:eastAsia="Arial" w:hAnsi="Arial"/>
                <w:sz w:val="18"/>
                <w:szCs w:val="18"/>
                <w:b w:val="1"/>
                <w:bCs w:val="1"/>
                <w:color w:val="231F20"/>
                <w:w w:val="99"/>
              </w:rPr>
              <w:t>NOTES TO CONDENSED CONSOLIDATED FINANCIAL STATEMENTS (Continued)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9"/>
        </w:trPr>
        <w:tc>
          <w:tcPr>
            <w:tcW w:w="9880" w:type="dxa"/>
            <w:vAlign w:val="bottom"/>
          </w:tcPr>
          <w:p>
            <w:pPr>
              <w:jc w:val="center"/>
              <w:ind w:left="1295"/>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716"/>
        </w:trPr>
        <w:tc>
          <w:tcPr>
            <w:tcW w:w="9880" w:type="dxa"/>
            <w:vAlign w:val="bottom"/>
          </w:tcPr>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2020</w:t>
            </w:r>
            <w:r>
              <w:rPr>
                <w:rFonts w:ascii="Arial" w:cs="Arial" w:eastAsia="Arial" w:hAnsi="Arial"/>
                <w:sz w:val="18"/>
                <w:szCs w:val="18"/>
                <w:color w:val="231F20"/>
              </w:rPr>
              <w:t>, the Company expects amortization expense in future periods to be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9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82"/>
              <w:spacing w:after="0"/>
              <w:rPr>
                <w:sz w:val="20"/>
                <w:szCs w:val="20"/>
                <w:color w:val="auto"/>
              </w:rPr>
            </w:pPr>
            <w:r>
              <w:rPr>
                <w:rFonts w:ascii="Arial" w:cs="Arial" w:eastAsia="Arial" w:hAnsi="Arial"/>
                <w:sz w:val="14"/>
                <w:szCs w:val="14"/>
                <w:b w:val="1"/>
                <w:bCs w:val="1"/>
                <w:color w:val="auto"/>
              </w:rPr>
              <w:t>Amortization</w:t>
            </w:r>
          </w:p>
        </w:tc>
      </w:tr>
      <w:tr>
        <w:trPr>
          <w:trHeight w:val="196"/>
        </w:trPr>
        <w:tc>
          <w:tcPr>
            <w:tcW w:w="9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Expense</w:t>
            </w:r>
          </w:p>
        </w:tc>
      </w:tr>
      <w:tr>
        <w:trPr>
          <w:trHeight w:val="210"/>
        </w:trPr>
        <w:tc>
          <w:tcPr>
            <w:tcW w:w="9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82"/>
              <w:spacing w:after="0"/>
              <w:rPr>
                <w:sz w:val="20"/>
                <w:szCs w:val="20"/>
                <w:color w:val="auto"/>
              </w:rPr>
            </w:pPr>
            <w:r>
              <w:rPr>
                <w:rFonts w:ascii="Arial" w:cs="Arial" w:eastAsia="Arial" w:hAnsi="Arial"/>
                <w:sz w:val="14"/>
                <w:szCs w:val="14"/>
                <w:b w:val="1"/>
                <w:bCs w:val="1"/>
                <w:color w:val="auto"/>
              </w:rPr>
              <w:t>(in thousands)</w:t>
            </w:r>
          </w:p>
        </w:tc>
      </w:tr>
      <w:tr>
        <w:trPr>
          <w:trHeight w:val="249"/>
        </w:trPr>
        <w:tc>
          <w:tcPr>
            <w:tcW w:w="9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 (remaining six months)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3,041</w:t>
            </w:r>
          </w:p>
        </w:tc>
      </w:tr>
      <w:tr>
        <w:trPr>
          <w:trHeight w:val="233"/>
        </w:trPr>
        <w:tc>
          <w:tcPr>
            <w:tcW w:w="9880" w:type="dxa"/>
            <w:vAlign w:val="bottom"/>
          </w:tcPr>
          <w:p>
            <w:pPr>
              <w:ind w:left="2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0"/>
                <w:szCs w:val="20"/>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6,081</w:t>
            </w:r>
          </w:p>
        </w:tc>
      </w:tr>
      <w:tr>
        <w:trPr>
          <w:trHeight w:val="253"/>
        </w:trPr>
        <w:tc>
          <w:tcPr>
            <w:tcW w:w="9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4,427</w:t>
            </w:r>
          </w:p>
        </w:tc>
      </w:tr>
      <w:tr>
        <w:trPr>
          <w:trHeight w:val="233"/>
        </w:trPr>
        <w:tc>
          <w:tcPr>
            <w:tcW w:w="9880" w:type="dxa"/>
            <w:vAlign w:val="bottom"/>
          </w:tcPr>
          <w:p>
            <w:pPr>
              <w:ind w:left="20"/>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20"/>
                <w:szCs w:val="20"/>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100</w:t>
            </w:r>
          </w:p>
        </w:tc>
      </w:tr>
      <w:tr>
        <w:trPr>
          <w:trHeight w:val="246"/>
        </w:trPr>
        <w:tc>
          <w:tcPr>
            <w:tcW w:w="9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66</w:t>
            </w:r>
          </w:p>
        </w:tc>
      </w:tr>
      <w:tr>
        <w:trPr>
          <w:trHeight w:val="243"/>
        </w:trPr>
        <w:tc>
          <w:tcPr>
            <w:tcW w:w="9880" w:type="dxa"/>
            <w:vAlign w:val="bottom"/>
          </w:tcPr>
          <w:p>
            <w:pPr>
              <w:ind w:left="120"/>
              <w:spacing w:after="0"/>
              <w:rPr>
                <w:sz w:val="20"/>
                <w:szCs w:val="20"/>
                <w:color w:val="auto"/>
              </w:rPr>
            </w:pPr>
            <w:r>
              <w:rPr>
                <w:rFonts w:ascii="Arial" w:cs="Arial" w:eastAsia="Arial" w:hAnsi="Arial"/>
                <w:sz w:val="16"/>
                <w:szCs w:val="16"/>
                <w:color w:val="auto"/>
              </w:rPr>
              <w:t>Total expected future amortization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13,715</w:t>
            </w:r>
          </w:p>
        </w:tc>
      </w:tr>
      <w:tr>
        <w:trPr>
          <w:trHeight w:val="21"/>
        </w:trPr>
        <w:tc>
          <w:tcPr>
            <w:tcW w:w="9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Leases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On January 1, 2019, the Company adopted ASU No. 2016-02, “Leases (Topic 842),” which requires leases with durations greater than twelve months to be recognized on the balance sheet. We adopted the standard using the current period adjustment method with an effective date of January 1, 2019. For both operating and finance leases, we recognize a right-of-use asset, which represents our right to use the underlying asset for the lease term, and a lease liability, which represents the present value of our obligation to make payments arising over the lease term. The present value of the lease payments is calculated using the incremental borrowing rate for operating and finance leases. The incremental borrowing rate is determined using a portfolio approach based on the rate of interest that the Company would have to pay to borrow an amount equal to the lease payments on a collateralized basis over a similar term.</w:t>
      </w:r>
    </w:p>
    <w:p>
      <w:pPr>
        <w:spacing w:after="0" w:line="9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Where the Company is the lessee, the Company elected to account for non-lease components associated with its leases (e.g., common area maintenance costs) and lease components separately for substantially all of its asset classes, except for data centers, for which the Company elected to combine lease and non-lease components. In arrangements where the Company is the lessor, the Company elected to apply the practical expedient which allows the Company to account for lease components (e.g., customer premise equipment) and non-lease components (e.g., service revenue) as combined components under the revenue recognition guidance in Topic 606 as service revenues are the predominant components in the arrangements.</w:t>
      </w:r>
    </w:p>
    <w:p>
      <w:pPr>
        <w:spacing w:after="0" w:line="10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Company leases property and equipment under finance and operating leases. For leases with terms greater than 12 months, the Company records the related asset and obligation at the present value of lease payments over the term. Many of its leases include rental escalation clauses, renewal options and/or termination options that are factored into our determination of lease payments when appropriate.</w:t>
      </w:r>
    </w:p>
    <w:p>
      <w:pPr>
        <w:spacing w:after="0" w:line="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When available, the Company uses the rate implicit in the lease to discount lease payments to present value; however, most of the leases do not provide a readily determinable implicit rate. Therefore, the Company must estimate an incremental borrowing rate to discount the lease payments based on information available at lease commencement.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lease-related assets and liabilities recorded on the balance sheet.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81"/>
              <w:spacing w:after="0"/>
              <w:rPr>
                <w:sz w:val="20"/>
                <w:szCs w:val="20"/>
                <w:color w:val="auto"/>
              </w:rPr>
            </w:pPr>
            <w:r>
              <w:rPr>
                <w:rFonts w:ascii="Arial" w:cs="Arial" w:eastAsia="Arial" w:hAnsi="Arial"/>
                <w:sz w:val="14"/>
                <w:szCs w:val="14"/>
                <w:b w:val="1"/>
                <w:bCs w:val="1"/>
                <w:color w:val="auto"/>
              </w:rPr>
              <w:t>December 31,</w:t>
            </w:r>
          </w:p>
        </w:tc>
      </w:tr>
      <w:tr>
        <w:trPr>
          <w:trHeight w:val="222"/>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5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Classification on the Balance Sheet</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3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5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3"/>
        </w:trPr>
        <w:tc>
          <w:tcPr>
            <w:tcW w:w="2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assets</w:t>
            </w:r>
          </w:p>
        </w:tc>
        <w:tc>
          <w:tcPr>
            <w:tcW w:w="5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 - right of use asset</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42,930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40,551</w:t>
            </w:r>
          </w:p>
        </w:tc>
      </w:tr>
      <w:tr>
        <w:trPr>
          <w:trHeight w:val="237"/>
        </w:trPr>
        <w:tc>
          <w:tcPr>
            <w:tcW w:w="24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Finance lease assets</w:t>
            </w:r>
          </w:p>
        </w:tc>
        <w:tc>
          <w:tcPr>
            <w:tcW w:w="55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Property and equipment, net</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715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1,299</w:t>
            </w:r>
          </w:p>
        </w:tc>
      </w:tr>
      <w:tr>
        <w:trPr>
          <w:trHeight w:val="268"/>
        </w:trPr>
        <w:tc>
          <w:tcPr>
            <w:tcW w:w="2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lease assets</w:t>
            </w:r>
          </w:p>
        </w:tc>
        <w:tc>
          <w:tcPr>
            <w:tcW w:w="55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43,645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41,850</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4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3"/>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55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2480" w:type="dxa"/>
            <w:vAlign w:val="bottom"/>
          </w:tcPr>
          <w:p>
            <w:pPr>
              <w:ind w:left="20"/>
              <w:spacing w:after="0"/>
              <w:rPr>
                <w:sz w:val="20"/>
                <w:szCs w:val="20"/>
                <w:color w:val="auto"/>
              </w:rPr>
            </w:pPr>
            <w:r>
              <w:rPr>
                <w:rFonts w:ascii="Arial" w:cs="Arial" w:eastAsia="Arial" w:hAnsi="Arial"/>
                <w:sz w:val="16"/>
                <w:szCs w:val="16"/>
                <w:color w:val="auto"/>
              </w:rPr>
              <w:t>Current</w:t>
            </w:r>
          </w:p>
        </w:tc>
        <w:tc>
          <w:tcPr>
            <w:tcW w:w="5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3"/>
        </w:trPr>
        <w:tc>
          <w:tcPr>
            <w:tcW w:w="2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w:t>
            </w:r>
          </w:p>
        </w:tc>
        <w:tc>
          <w:tcPr>
            <w:tcW w:w="5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 liabilities, current</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9,161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7,663</w:t>
            </w:r>
          </w:p>
        </w:tc>
      </w:tr>
      <w:tr>
        <w:trPr>
          <w:trHeight w:val="233"/>
        </w:trPr>
        <w:tc>
          <w:tcPr>
            <w:tcW w:w="2480" w:type="dxa"/>
            <w:vAlign w:val="bottom"/>
          </w:tcPr>
          <w:p>
            <w:pPr>
              <w:ind w:left="120"/>
              <w:spacing w:after="0"/>
              <w:rPr>
                <w:sz w:val="20"/>
                <w:szCs w:val="20"/>
                <w:color w:val="auto"/>
              </w:rPr>
            </w:pPr>
            <w:r>
              <w:rPr>
                <w:rFonts w:ascii="Arial" w:cs="Arial" w:eastAsia="Arial" w:hAnsi="Arial"/>
                <w:sz w:val="16"/>
                <w:szCs w:val="16"/>
                <w:color w:val="auto"/>
              </w:rPr>
              <w:t>Finance</w:t>
            </w:r>
          </w:p>
        </w:tc>
        <w:tc>
          <w:tcPr>
            <w:tcW w:w="5540" w:type="dxa"/>
            <w:vAlign w:val="bottom"/>
          </w:tcPr>
          <w:p>
            <w:pPr>
              <w:ind w:left="680"/>
              <w:spacing w:after="0"/>
              <w:rPr>
                <w:sz w:val="20"/>
                <w:szCs w:val="20"/>
                <w:color w:val="auto"/>
              </w:rPr>
            </w:pPr>
            <w:r>
              <w:rPr>
                <w:rFonts w:ascii="Arial" w:cs="Arial" w:eastAsia="Arial" w:hAnsi="Arial"/>
                <w:sz w:val="16"/>
                <w:szCs w:val="16"/>
                <w:color w:val="auto"/>
              </w:rPr>
              <w:t>Accrued liabilities</w:t>
            </w:r>
          </w:p>
        </w:tc>
        <w:tc>
          <w:tcPr>
            <w:tcW w:w="380" w:type="dxa"/>
            <w:vAlign w:val="bottom"/>
          </w:tcPr>
          <w:p>
            <w:pPr>
              <w:spacing w:after="0"/>
              <w:rPr>
                <w:sz w:val="20"/>
                <w:szCs w:val="20"/>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124</w:t>
            </w:r>
          </w:p>
        </w:tc>
      </w:tr>
      <w:tr>
        <w:trPr>
          <w:trHeight w:val="253"/>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55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2480" w:type="dxa"/>
            <w:vAlign w:val="bottom"/>
          </w:tcPr>
          <w:p>
            <w:pPr>
              <w:ind w:left="120"/>
              <w:spacing w:after="0"/>
              <w:rPr>
                <w:sz w:val="20"/>
                <w:szCs w:val="20"/>
                <w:color w:val="auto"/>
              </w:rPr>
            </w:pPr>
            <w:r>
              <w:rPr>
                <w:rFonts w:ascii="Arial" w:cs="Arial" w:eastAsia="Arial" w:hAnsi="Arial"/>
                <w:sz w:val="16"/>
                <w:szCs w:val="16"/>
                <w:color w:val="auto"/>
              </w:rPr>
              <w:t>Operating</w:t>
            </w:r>
          </w:p>
        </w:tc>
        <w:tc>
          <w:tcPr>
            <w:tcW w:w="5540" w:type="dxa"/>
            <w:vAlign w:val="bottom"/>
          </w:tcPr>
          <w:p>
            <w:pPr>
              <w:ind w:left="680"/>
              <w:spacing w:after="0"/>
              <w:rPr>
                <w:sz w:val="20"/>
                <w:szCs w:val="20"/>
                <w:color w:val="auto"/>
              </w:rPr>
            </w:pPr>
            <w:r>
              <w:rPr>
                <w:rFonts w:ascii="Arial" w:cs="Arial" w:eastAsia="Arial" w:hAnsi="Arial"/>
                <w:sz w:val="16"/>
                <w:szCs w:val="16"/>
                <w:color w:val="auto"/>
              </w:rPr>
              <w:t>Operating lease liabilities, noncurrent</w:t>
            </w:r>
          </w:p>
        </w:tc>
        <w:tc>
          <w:tcPr>
            <w:tcW w:w="380" w:type="dxa"/>
            <w:vAlign w:val="bottom"/>
          </w:tcPr>
          <w:p>
            <w:pPr>
              <w:spacing w:after="0"/>
              <w:rPr>
                <w:sz w:val="20"/>
                <w:szCs w:val="20"/>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45,050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44,015</w:t>
            </w:r>
          </w:p>
        </w:tc>
      </w:tr>
      <w:tr>
        <w:trPr>
          <w:trHeight w:val="246"/>
        </w:trPr>
        <w:tc>
          <w:tcPr>
            <w:tcW w:w="2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w:t>
            </w:r>
          </w:p>
        </w:tc>
        <w:tc>
          <w:tcPr>
            <w:tcW w:w="5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noncurrent liabilities</w:t>
            </w:r>
          </w:p>
        </w:tc>
        <w:tc>
          <w:tcPr>
            <w:tcW w:w="3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54</w:t>
            </w:r>
          </w:p>
        </w:tc>
      </w:tr>
      <w:tr>
        <w:trPr>
          <w:trHeight w:val="243"/>
        </w:trPr>
        <w:tc>
          <w:tcPr>
            <w:tcW w:w="2480" w:type="dxa"/>
            <w:vAlign w:val="bottom"/>
          </w:tcPr>
          <w:p>
            <w:pPr>
              <w:ind w:left="220"/>
              <w:spacing w:after="0"/>
              <w:rPr>
                <w:sz w:val="20"/>
                <w:szCs w:val="20"/>
                <w:color w:val="auto"/>
              </w:rPr>
            </w:pPr>
            <w:r>
              <w:rPr>
                <w:rFonts w:ascii="Arial" w:cs="Arial" w:eastAsia="Arial" w:hAnsi="Arial"/>
                <w:sz w:val="16"/>
                <w:szCs w:val="16"/>
                <w:color w:val="auto"/>
              </w:rPr>
              <w:t>Total lease liabilities</w:t>
            </w:r>
          </w:p>
        </w:tc>
        <w:tc>
          <w:tcPr>
            <w:tcW w:w="554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54,328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51,856</w:t>
            </w:r>
          </w:p>
        </w:tc>
      </w:tr>
      <w:tr>
        <w:trPr>
          <w:trHeight w:val="21"/>
        </w:trPr>
        <w:tc>
          <w:tcPr>
            <w:tcW w:w="24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The Company leases certain offices, computer equipment and its </w:t>
      </w:r>
      <w:r>
        <w:rPr>
          <w:rFonts w:ascii="Arial" w:cs="Arial" w:eastAsia="Arial" w:hAnsi="Arial"/>
          <w:sz w:val="18"/>
          <w:szCs w:val="18"/>
          <w:color w:val="000000"/>
        </w:rPr>
        <w:t>data center facilities under non-cancelable operating leases for</w:t>
      </w:r>
      <w:r>
        <w:rPr>
          <w:rFonts w:ascii="Arial" w:cs="Arial" w:eastAsia="Arial" w:hAnsi="Arial"/>
          <w:sz w:val="18"/>
          <w:szCs w:val="18"/>
          <w:color w:val="231F20"/>
        </w:rPr>
        <w:t xml:space="preserve"> </w:t>
      </w:r>
      <w:r>
        <w:rPr>
          <w:rFonts w:ascii="Arial" w:cs="Arial" w:eastAsia="Arial" w:hAnsi="Arial"/>
          <w:sz w:val="18"/>
          <w:szCs w:val="18"/>
          <w:color w:val="000000"/>
        </w:rPr>
        <w:t>varying periods through 2028. Lease expense was $4.5 million and $3.4 million for the three months ended June 30, 2020 and 2019, respectively, and $8.9 million and $6.4 million for the six months ended June 30, 2020 and 2019, respectively.</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40"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Six Months Ended</w:t>
      </w:r>
    </w:p>
    <w:p>
      <w:pPr>
        <w:spacing w:after="0" w:line="55" w:lineRule="exact"/>
        <w:rPr>
          <w:sz w:val="20"/>
          <w:szCs w:val="20"/>
          <w:color w:val="auto"/>
        </w:rPr>
      </w:pPr>
    </w:p>
    <w:p>
      <w:pPr>
        <w:ind w:left="8400"/>
        <w:spacing w:after="0"/>
        <w:tabs>
          <w:tab w:leader="none" w:pos="9920" w:val="left"/>
        </w:tabs>
        <w:rPr>
          <w:sz w:val="20"/>
          <w:szCs w:val="20"/>
          <w:color w:val="auto"/>
        </w:rPr>
      </w:pPr>
      <w:r>
        <w:rPr>
          <w:rFonts w:ascii="Arial" w:cs="Arial" w:eastAsia="Arial" w:hAnsi="Arial"/>
          <w:sz w:val="14"/>
          <w:szCs w:val="14"/>
          <w:b w:val="1"/>
          <w:bCs w:val="1"/>
          <w:color w:val="auto"/>
        </w:rPr>
        <w:t>June 30, 2020</w:t>
      </w:r>
      <w:r>
        <w:rPr>
          <w:sz w:val="20"/>
          <w:szCs w:val="20"/>
          <w:color w:val="auto"/>
        </w:rPr>
        <w:tab/>
      </w:r>
      <w:r>
        <w:rPr>
          <w:rFonts w:ascii="Arial" w:cs="Arial" w:eastAsia="Arial" w:hAnsi="Arial"/>
          <w:sz w:val="14"/>
          <w:szCs w:val="14"/>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26035</wp:posOffset>
            </wp:positionV>
            <wp:extent cx="18942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4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Cash paid for amounts included in the measurement of lease liabilities:</w:t>
      </w:r>
    </w:p>
    <w:p>
      <w:pPr>
        <w:spacing w:after="0" w:line="79" w:lineRule="exact"/>
        <w:rPr>
          <w:sz w:val="20"/>
          <w:szCs w:val="20"/>
          <w:color w:val="auto"/>
        </w:rPr>
      </w:pPr>
    </w:p>
    <w:p>
      <w:pPr>
        <w:ind w:left="240"/>
        <w:spacing w:after="0"/>
        <w:tabs>
          <w:tab w:leader="none" w:pos="8140" w:val="left"/>
          <w:tab w:leader="none" w:pos="9020" w:val="left"/>
          <w:tab w:leader="none" w:pos="9680" w:val="left"/>
          <w:tab w:leader="none" w:pos="10560" w:val="left"/>
        </w:tabs>
        <w:rPr>
          <w:sz w:val="20"/>
          <w:szCs w:val="20"/>
          <w:color w:val="auto"/>
        </w:rPr>
      </w:pPr>
      <w:r>
        <w:rPr>
          <w:rFonts w:ascii="Arial" w:cs="Arial" w:eastAsia="Arial" w:hAnsi="Arial"/>
          <w:sz w:val="16"/>
          <w:szCs w:val="16"/>
          <w:color w:val="auto"/>
        </w:rPr>
        <w:t>Operating cash flows from operating leases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5,106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4,200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699516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Lease liabilities arising from obtaining right-of-use assets:</w:t>
      </w:r>
    </w:p>
    <w:p>
      <w:pPr>
        <w:spacing w:after="0" w:line="79" w:lineRule="exact"/>
        <w:rPr>
          <w:sz w:val="20"/>
          <w:szCs w:val="20"/>
          <w:color w:val="auto"/>
        </w:rPr>
      </w:pPr>
    </w:p>
    <w:p>
      <w:pPr>
        <w:ind w:left="240"/>
        <w:spacing w:after="0"/>
        <w:tabs>
          <w:tab w:leader="none" w:pos="8140" w:val="left"/>
          <w:tab w:leader="none" w:pos="9020" w:val="left"/>
          <w:tab w:leader="none" w:pos="9680" w:val="left"/>
          <w:tab w:leader="none" w:pos="10560" w:val="left"/>
        </w:tabs>
        <w:rPr>
          <w:sz w:val="20"/>
          <w:szCs w:val="20"/>
          <w:color w:val="auto"/>
        </w:rPr>
      </w:pPr>
      <w:r>
        <w:rPr>
          <w:rFonts w:ascii="Arial" w:cs="Arial" w:eastAsia="Arial" w:hAnsi="Arial"/>
          <w:sz w:val="16"/>
          <w:szCs w:val="16"/>
          <w:color w:val="auto"/>
        </w:rPr>
        <w:t>Operating leases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7,033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1,525</w:t>
      </w: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Operating and financing cash flows from finance leases were immaterial during the six months ended June 30, 2020.</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remaining lease term and the weighted average discount rate of the Company's leases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16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June 30, 2020</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June 30, 2019</w:t>
            </w:r>
          </w:p>
        </w:tc>
      </w:tr>
      <w:tr>
        <w:trPr>
          <w:trHeight w:val="220"/>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Weighted average remaining lease term (years)</w:t>
            </w:r>
          </w:p>
        </w:tc>
        <w:tc>
          <w:tcPr>
            <w:tcW w:w="1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53"/>
        </w:trPr>
        <w:tc>
          <w:tcPr>
            <w:tcW w:w="8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21"/>
                <w:szCs w:val="21"/>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33"/>
        </w:trPr>
        <w:tc>
          <w:tcPr>
            <w:tcW w:w="8320" w:type="dxa"/>
            <w:vAlign w:val="bottom"/>
            <w:gridSpan w:val="2"/>
          </w:tcPr>
          <w:p>
            <w:pPr>
              <w:ind w:left="120"/>
              <w:spacing w:after="0"/>
              <w:rPr>
                <w:sz w:val="20"/>
                <w:szCs w:val="20"/>
                <w:color w:val="auto"/>
              </w:rPr>
            </w:pPr>
            <w:r>
              <w:rPr>
                <w:rFonts w:ascii="Arial" w:cs="Arial" w:eastAsia="Arial" w:hAnsi="Arial"/>
                <w:sz w:val="16"/>
                <w:szCs w:val="16"/>
                <w:color w:val="auto"/>
              </w:rPr>
              <w:t>Finance leases</w:t>
            </w:r>
          </w:p>
        </w:tc>
        <w:tc>
          <w:tcPr>
            <w:tcW w:w="54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53"/>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discount rates</w:t>
            </w: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r>
      <w:tr>
        <w:trPr>
          <w:trHeight w:val="233"/>
        </w:trPr>
        <w:tc>
          <w:tcPr>
            <w:tcW w:w="8320" w:type="dxa"/>
            <w:vAlign w:val="bottom"/>
            <w:gridSpan w:val="2"/>
          </w:tcPr>
          <w:p>
            <w:pPr>
              <w:ind w:left="120"/>
              <w:spacing w:after="0"/>
              <w:rPr>
                <w:sz w:val="20"/>
                <w:szCs w:val="20"/>
                <w:color w:val="auto"/>
              </w:rPr>
            </w:pPr>
            <w:r>
              <w:rPr>
                <w:rFonts w:ascii="Arial" w:cs="Arial" w:eastAsia="Arial" w:hAnsi="Arial"/>
                <w:sz w:val="16"/>
                <w:szCs w:val="16"/>
                <w:color w:val="auto"/>
              </w:rPr>
              <w:t>Operating leases</w:t>
            </w:r>
          </w:p>
        </w:tc>
        <w:tc>
          <w:tcPr>
            <w:tcW w:w="540" w:type="dxa"/>
            <w:vAlign w:val="bottom"/>
          </w:tcPr>
          <w:p>
            <w:pPr>
              <w:jc w:val="right"/>
              <w:spacing w:after="0"/>
              <w:rPr>
                <w:sz w:val="20"/>
                <w:szCs w:val="20"/>
                <w:color w:val="auto"/>
              </w:rPr>
            </w:pPr>
            <w:r>
              <w:rPr>
                <w:rFonts w:ascii="Arial" w:cs="Arial" w:eastAsia="Arial" w:hAnsi="Arial"/>
                <w:sz w:val="16"/>
                <w:szCs w:val="16"/>
                <w:color w:val="auto"/>
              </w:rPr>
              <w:t>4.9 %</w:t>
            </w:r>
          </w:p>
        </w:tc>
        <w:tc>
          <w:tcPr>
            <w:tcW w:w="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53"/>
        </w:trPr>
        <w:tc>
          <w:tcPr>
            <w:tcW w:w="8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Finance leases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CCEEFF"/>
          </w:tcPr>
          <w:p>
            <w:pPr>
              <w:spacing w:after="0"/>
              <w:rPr>
                <w:sz w:val="21"/>
                <w:szCs w:val="21"/>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9. Commitments and Contingencies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9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10.Stockholders' Equity and Stock-Based Compensation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Equity Incentive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2012 Equity Incentive Plan</w:t>
      </w:r>
    </w:p>
    <w:p>
      <w:pPr>
        <w:spacing w:after="0" w:line="13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15.7 million shares of common stock as of June 30, 2020. Options may be granted with an exercise price that is at least equal to the fair market value of the Company's stock at the date of grant and are exercisable when vested. As of June 30, 2020, 7.2 million shares were available for grant under the 2012 Plan.</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231F20"/>
        </w:rPr>
        <w:t>2000 Equity Incentive Plan</w:t>
      </w:r>
    </w:p>
    <w:p>
      <w:pPr>
        <w:spacing w:after="0" w:line="13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Company's initial public offering, and accordingly, no shares are currently available for grant under the 2000 Plan. The 2000 Plan continues to govern outstanding awards granted thereunder.</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3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31F20"/>
        </w:rPr>
        <w:t>The following table shows a summary of the stock-based compensation expense included in the condensed consolidated statements of operations for the three and six months ended June 30, 2020 and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2420" w:type="dxa"/>
            <w:vAlign w:val="bottom"/>
            <w:gridSpan w:val="4"/>
          </w:tcPr>
          <w:p>
            <w:pPr>
              <w:jc w:val="right"/>
              <w:ind w:right="741"/>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9"/>
                <w:szCs w:val="19"/>
                <w:color w:val="auto"/>
              </w:rPr>
            </w:pPr>
          </w:p>
        </w:tc>
      </w:tr>
      <w:tr>
        <w:trPr>
          <w:trHeight w:val="210"/>
        </w:trPr>
        <w:tc>
          <w:tcPr>
            <w:tcW w:w="5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10"/>
        </w:trPr>
        <w:tc>
          <w:tcPr>
            <w:tcW w:w="5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1,197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1,097</w:t>
            </w:r>
          </w:p>
        </w:tc>
      </w:tr>
      <w:tr>
        <w:trPr>
          <w:trHeight w:val="233"/>
        </w:trPr>
        <w:tc>
          <w:tcPr>
            <w:tcW w:w="52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20"/>
                <w:szCs w:val="20"/>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3,253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2,704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6,690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5,044</w:t>
            </w:r>
          </w:p>
        </w:tc>
      </w:tr>
      <w:tr>
        <w:trPr>
          <w:trHeight w:val="25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1,513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1,063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3,073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2,131</w:t>
            </w:r>
          </w:p>
        </w:tc>
      </w:tr>
      <w:tr>
        <w:trPr>
          <w:trHeight w:val="23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4,095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4,016</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8,481</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8,508</w:t>
            </w:r>
          </w:p>
        </w:tc>
      </w:tr>
      <w:tr>
        <w:trPr>
          <w:trHeight w:val="26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stock-based compensation</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9,444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8,335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19,441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16,780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2020</w:t>
      </w:r>
      <w:r>
        <w:rPr>
          <w:rFonts w:ascii="Arial" w:cs="Arial" w:eastAsia="Arial" w:hAnsi="Arial"/>
          <w:sz w:val="18"/>
          <w:szCs w:val="18"/>
          <w:color w:val="231F20"/>
        </w:rPr>
        <w:t xml:space="preserve">, the Company had $16.7 million of total unrecognized stock-based compensation cost related to unvested options which was expected to be recognized over a weighted-average period of 2.2 years, and $54.3 million </w:t>
      </w:r>
      <w:r>
        <w:rPr>
          <w:rFonts w:ascii="Arial" w:cs="Arial" w:eastAsia="Arial" w:hAnsi="Arial"/>
          <w:sz w:val="18"/>
          <w:szCs w:val="18"/>
          <w:color w:val="000000"/>
        </w:rPr>
        <w:t>of unrecognized stock-based</w:t>
      </w:r>
      <w:r>
        <w:rPr>
          <w:rFonts w:ascii="Arial" w:cs="Arial" w:eastAsia="Arial" w:hAnsi="Arial"/>
          <w:sz w:val="18"/>
          <w:szCs w:val="18"/>
          <w:color w:val="231F20"/>
        </w:rPr>
        <w:t xml:space="preserve"> </w:t>
      </w:r>
      <w:r>
        <w:rPr>
          <w:rFonts w:ascii="Arial" w:cs="Arial" w:eastAsia="Arial" w:hAnsi="Arial"/>
          <w:sz w:val="18"/>
          <w:szCs w:val="18"/>
          <w:color w:val="000000"/>
        </w:rPr>
        <w:t xml:space="preserve">compensation cost related to unvested RSUs which was expected to be recognized over a weighted-average period of 2.5 years. </w:t>
      </w:r>
      <w:r>
        <w:rPr>
          <w:rFonts w:ascii="Arial" w:cs="Arial" w:eastAsia="Arial" w:hAnsi="Arial"/>
          <w:sz w:val="18"/>
          <w:szCs w:val="18"/>
          <w:color w:val="231F20"/>
        </w:rPr>
        <w:t>Compensation cost is recognized over the service period. Forfeitures are estimated at the time of grant and revised in subsequent periods, if actual forfeitures differ from those estimates.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 Plan Activity</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1420" w:type="dxa"/>
            <w:vAlign w:val="bottom"/>
          </w:tcPr>
          <w:p>
            <w:pPr>
              <w:jc w:val="right"/>
              <w:ind w:right="201"/>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 Life</w:t>
            </w: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Aggregate Intrinsic</w:t>
            </w:r>
          </w:p>
        </w:tc>
      </w:tr>
      <w:tr>
        <w:trPr>
          <w:trHeight w:val="196"/>
        </w:trPr>
        <w:tc>
          <w:tcPr>
            <w:tcW w:w="5240" w:type="dxa"/>
            <w:vAlign w:val="bottom"/>
          </w:tcPr>
          <w:p>
            <w:pPr>
              <w:spacing w:after="0"/>
              <w:rPr>
                <w:sz w:val="17"/>
                <w:szCs w:val="17"/>
                <w:color w:val="auto"/>
              </w:rPr>
            </w:pPr>
          </w:p>
        </w:tc>
        <w:tc>
          <w:tcPr>
            <w:tcW w:w="1420" w:type="dxa"/>
            <w:vAlign w:val="bottom"/>
          </w:tcPr>
          <w:p>
            <w:pPr>
              <w:jc w:val="right"/>
              <w:ind w:right="361"/>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Exercise Price</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7"/>
                <w:szCs w:val="17"/>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Value</w:t>
            </w:r>
          </w:p>
        </w:tc>
      </w:tr>
      <w:tr>
        <w:trPr>
          <w:trHeight w:val="209"/>
        </w:trPr>
        <w:tc>
          <w:tcPr>
            <w:tcW w:w="52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(in thousands)</w:t>
            </w:r>
          </w:p>
        </w:tc>
      </w:tr>
      <w:tr>
        <w:trPr>
          <w:trHeight w:val="24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2019</w:t>
            </w:r>
          </w:p>
        </w:tc>
        <w:tc>
          <w:tcPr>
            <w:tcW w:w="14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2,866,675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40.54</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125,647</w:t>
            </w:r>
          </w:p>
        </w:tc>
      </w:tr>
      <w:tr>
        <w:trPr>
          <w:trHeight w:val="233"/>
        </w:trPr>
        <w:tc>
          <w:tcPr>
            <w:tcW w:w="524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ind w:right="61"/>
              <w:spacing w:after="0"/>
              <w:rPr>
                <w:sz w:val="20"/>
                <w:szCs w:val="20"/>
                <w:color w:val="auto"/>
              </w:rPr>
            </w:pPr>
            <w:r>
              <w:rPr>
                <w:rFonts w:ascii="Arial" w:cs="Arial" w:eastAsia="Arial" w:hAnsi="Arial"/>
                <w:sz w:val="16"/>
                <w:szCs w:val="16"/>
                <w:color w:val="auto"/>
              </w:rPr>
              <w:t>155,300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96.20</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5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(593,045)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34.45</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7"/>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(26,083)</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82.61</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r>
      <w:tr>
        <w:trPr>
          <w:trHeight w:val="26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2020</w:t>
            </w:r>
          </w:p>
        </w:tc>
        <w:tc>
          <w:tcPr>
            <w:tcW w:w="14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2,402,847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45.19</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141,415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color w:val="auto"/>
              </w:rPr>
              <w:t>Vested and expected to vest - June 30, 2020</w:t>
            </w:r>
          </w:p>
        </w:tc>
        <w:tc>
          <w:tcPr>
            <w:tcW w:w="1420" w:type="dxa"/>
            <w:vAlign w:val="bottom"/>
          </w:tcPr>
          <w:p>
            <w:pPr>
              <w:jc w:val="right"/>
              <w:ind w:right="61"/>
              <w:spacing w:after="0"/>
              <w:rPr>
                <w:sz w:val="20"/>
                <w:szCs w:val="20"/>
                <w:color w:val="auto"/>
              </w:rPr>
            </w:pPr>
            <w:r>
              <w:rPr>
                <w:rFonts w:ascii="Arial" w:cs="Arial" w:eastAsia="Arial" w:hAnsi="Arial"/>
                <w:sz w:val="16"/>
                <w:szCs w:val="16"/>
                <w:color w:val="auto"/>
              </w:rPr>
              <w:t>2,246,671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42.27</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8"/>
              </w:rPr>
              <w:t>5.8</w:t>
            </w:r>
          </w:p>
        </w:tc>
        <w:tc>
          <w:tcPr>
            <w:tcW w:w="10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82"/>
              <w:spacing w:after="0"/>
              <w:rPr>
                <w:sz w:val="20"/>
                <w:szCs w:val="20"/>
                <w:color w:val="auto"/>
              </w:rPr>
            </w:pPr>
            <w:r>
              <w:rPr>
                <w:rFonts w:ascii="Arial" w:cs="Arial" w:eastAsia="Arial" w:hAnsi="Arial"/>
                <w:sz w:val="16"/>
                <w:szCs w:val="16"/>
                <w:color w:val="auto"/>
              </w:rPr>
              <w:t>138,778</w:t>
            </w:r>
          </w:p>
        </w:tc>
      </w:tr>
      <w:tr>
        <w:trPr>
          <w:trHeight w:val="25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 June 30, 2020</w:t>
            </w:r>
          </w:p>
        </w:tc>
        <w:tc>
          <w:tcPr>
            <w:tcW w:w="14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1,704,504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29.13</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127,656</w:t>
            </w:r>
          </w:p>
        </w:tc>
      </w:tr>
    </w:tbl>
    <w:p>
      <w:pPr>
        <w:spacing w:after="0" w:line="3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 summary of the Company’s RSU activity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8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61"/>
              <w:spacing w:after="0"/>
              <w:rPr>
                <w:sz w:val="20"/>
                <w:szCs w:val="20"/>
                <w:color w:val="auto"/>
              </w:rPr>
            </w:pPr>
            <w:r>
              <w:rPr>
                <w:rFonts w:ascii="Arial" w:cs="Arial" w:eastAsia="Arial" w:hAnsi="Arial"/>
                <w:sz w:val="14"/>
                <w:szCs w:val="14"/>
                <w:b w:val="1"/>
                <w:bCs w:val="1"/>
                <w:color w:val="auto"/>
              </w:rPr>
              <w:t>Grant Date Fair</w:t>
            </w:r>
          </w:p>
        </w:tc>
      </w:tr>
      <w:tr>
        <w:trPr>
          <w:trHeight w:val="196"/>
        </w:trPr>
        <w:tc>
          <w:tcPr>
            <w:tcW w:w="826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Outstanding RSUs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Value Per Share</w:t>
            </w:r>
          </w:p>
        </w:tc>
      </w:tr>
      <w:tr>
        <w:trPr>
          <w:trHeight w:val="202"/>
        </w:trPr>
        <w:tc>
          <w:tcPr>
            <w:tcW w:w="8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2019</w:t>
            </w: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1,214,818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67.99</w:t>
            </w:r>
          </w:p>
        </w:tc>
      </w:tr>
      <w:tr>
        <w:trPr>
          <w:trHeight w:val="233"/>
        </w:trPr>
        <w:tc>
          <w:tcPr>
            <w:tcW w:w="82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124,633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95.96</w:t>
            </w:r>
          </w:p>
        </w:tc>
      </w:tr>
      <w:tr>
        <w:trPr>
          <w:trHeight w:val="253"/>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(284,603)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61.04</w:t>
            </w:r>
          </w:p>
        </w:tc>
      </w:tr>
      <w:tr>
        <w:trPr>
          <w:trHeight w:val="237"/>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(154,670)</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rPr>
              <w:t>71.00</w:t>
            </w:r>
          </w:p>
        </w:tc>
      </w:tr>
      <w:tr>
        <w:trPr>
          <w:trHeight w:val="26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2020</w:t>
            </w: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900,178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75.99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98"/>
        </w:trPr>
        <w:tc>
          <w:tcPr>
            <w:tcW w:w="8260" w:type="dxa"/>
            <w:vAlign w:val="bottom"/>
          </w:tcPr>
          <w:p>
            <w:pPr>
              <w:ind w:left="20"/>
              <w:spacing w:after="0"/>
              <w:rPr>
                <w:sz w:val="20"/>
                <w:szCs w:val="20"/>
                <w:color w:val="auto"/>
              </w:rPr>
            </w:pPr>
            <w:r>
              <w:rPr>
                <w:rFonts w:ascii="Arial" w:cs="Arial" w:eastAsia="Arial" w:hAnsi="Arial"/>
                <w:sz w:val="16"/>
                <w:szCs w:val="16"/>
                <w:color w:val="auto"/>
              </w:rPr>
              <w:t>Outstanding and expected to vest - June 30, 2020</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668,594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74.20</w:t>
            </w:r>
          </w:p>
        </w:tc>
      </w:tr>
    </w:tbl>
    <w:p>
      <w:pPr>
        <w:spacing w:after="0" w:line="3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Performance-Based Stock Options and Restricted Stock Units</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November 2, 2019, the Compensation Committee of the Company's board of directors granted the equity award for 2020, which consisted of time-based RSUs and performance-based non-statutory stock options ("NSOs"), to the Company’s Chairman and Chief Executive Officer, Philippe Courtot. The Compensation Committee, in consultation with its independent compensation consultant, designed these awards so that greater than 50% of this compensation was based on the achievement of performance goals linked to metrics designed to drive the creation of shareholder value.</w:t>
      </w:r>
    </w:p>
    <w:p>
      <w:pPr>
        <w:spacing w:after="0" w:line="9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first portion of the award consists of 48,683 time-based RSUs that will vest in 16 quarterly installments beginning on December 1, 2019, assuming continued service through each applicable vesting date. The second portion of the award consists of 123,856 NSOs that will vest at the end of the performance period based on achievement of goals related to revenue growth and free cash flow per share growth during the three-year period from January 2020 through December 2022, generally conditioned on Mr. Courtot’s continued status as a service provider through the date that performance is certified. If Mr. Courtot’s employment (a) is terminated by reason of death or disability or (b) is terminated by the Company for reasons other than cause within 12 months following a change in control, then 100% of any unvested portions of the award will vest, with any vesting in connection with change in control terminations conditioned upon the effectiveness of a release of claims in favor of the Company (2019 performance-based NSOs).</w:t>
      </w:r>
    </w:p>
    <w:p>
      <w:pPr>
        <w:spacing w:after="0" w:line="97"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On December 21, 2018, the Compensation Committee granted the equity award for 2019, which consisted of time-based and performance-based RSUs, to Mr. Courtot. The Compensation Committee, in consultation with its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independent compensation consultant, designed these awards so that greater than 50% of this compensation was based on the achievement of performance goals linked to metrics designed to drive the creation of shareholder value.</w:t>
      </w:r>
    </w:p>
    <w:p>
      <w:pPr>
        <w:spacing w:after="0" w:line="90"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first portion of the award consists of 56,250 time-based RSUs that will vest in 16 quarterly increments beginning on January 1, 2019, assuming continued service through each applicable vesting date. The second portion of the award consists of 33,089 performance-based RSUs that will vest based on achievement of goals related to revenue growth for a three-year period from January 2019 through December 2021 and Adjusted EBITDA margin for the 2021 fiscal year, generally conditioned on Mr. Courtot’s continued status as a service provider through the date that performance is certified. The third portion of the award consists of 33,088 performance-based RSUs that will vest in three increments based on the achievement of goals related to revenue growth and Adjusted EBITDA margin for each of the 2019, 2020 and 2021 fiscal years, generally conditioned on Mr. Courtot’s continued status as a service provider through the date that performance is certified for the relevant increment. If Mr. Courtot’s employment (a) is terminated by reason of death or disability or (b) is terminated by the Company for reasons other than cause or good reason within 12 months following a change in control, then 100% of any unvested portions of the award will vest, with any vesting in connection with change in control terminations conditioned upon the effectiveness of a release of claims in favor of the Company (2018 performance-based RSUs).</w:t>
      </w:r>
    </w:p>
    <w:p>
      <w:pPr>
        <w:spacing w:after="0" w:line="103"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During the six months ended June 30, 2020, 14,864 shares, which represent 135% of the target number of 11,030 shares under the 2018 performance-based RSUs, vested as a result of the Company achieving the performance goals for fiscal 2019.</w:t>
      </w:r>
    </w:p>
    <w:p>
      <w:pPr>
        <w:spacing w:after="0" w:line="9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June 10, 2020, the board of directors approved changes in the performance targets for the 2019 and 2018 performance-based awards. Based on the current projected performance levels expected to be achieved for those awards, the modification resulted in an incremental expense of $7.5 million, which is expected to be recognized over 12 quarters. This amount may change based upon actual performance achieved and updates to estimates of future performance during the remainder of the performance periods. The modifications did not have a material impact on the condensed consolidated statement of operations for the three or six months ended June 30, 2020.</w:t>
      </w:r>
    </w:p>
    <w:p>
      <w:pPr>
        <w:spacing w:after="0" w:line="9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During the three months ended June 30, 2020 and 2019, stock-based compensation costs of $0.5 million, including changes due to modifications, and $ 0.3 million, respectively, were recognized for the performance-based NSOs and RSUs. During the six months ended June 30, 2020 and 2019, stock-based compensation costs of $0.6 million, including changes due to modifications, and $0.5 million, respectively, were recognized for the performance-based NSOs and RSUs.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Share Repurchase Program</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On February 5, 2018, the Company's board of directors authorized a $ 100.0 million two-year share repurchase program, which was announced on February 12, 2018. On October 30, 2018, October 30, 2019 and May 7, 2020, the Company announced that its board of directors had authorized an increase of $100.0 million, $100.0 million and $100.0 million, respectively, to the original share repurchase program authorization, resulting in an aggregate authorization of $400.0 million. Shares may be repurchased from time to time on the open market in accordance with Rule 10b-18 of the Exchange Act of 1934, including pursuant to a pre-set trading plan adopted in accordance with Rule 10b5-1 under the Exchange Act ("Rule 10b5-1"), until April 28, 2022.</w:t>
      </w:r>
    </w:p>
    <w:p>
      <w:pPr>
        <w:spacing w:after="0" w:line="10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w:t>
      </w:r>
      <w:r>
        <w:rPr>
          <w:rFonts w:ascii="Arial" w:cs="Arial" w:eastAsia="Arial" w:hAnsi="Arial"/>
          <w:sz w:val="18"/>
          <w:szCs w:val="18"/>
          <w:color w:val="212529"/>
        </w:rPr>
        <w:t>capital based on the initial public offering</w:t>
      </w:r>
      <w:r>
        <w:rPr>
          <w:rFonts w:ascii="Arial" w:cs="Arial" w:eastAsia="Arial" w:hAnsi="Arial"/>
          <w:sz w:val="18"/>
          <w:szCs w:val="18"/>
          <w:color w:val="auto"/>
        </w:rPr>
        <w:t xml:space="preserve"> </w:t>
      </w:r>
      <w:r>
        <w:rPr>
          <w:rFonts w:ascii="Arial" w:cs="Arial" w:eastAsia="Arial" w:hAnsi="Arial"/>
          <w:sz w:val="18"/>
          <w:szCs w:val="18"/>
          <w:color w:val="212529"/>
        </w:rPr>
        <w:t>price of the stock, with the remaining excess to retained earnings.</w:t>
      </w:r>
    </w:p>
    <w:p>
      <w:pPr>
        <w:spacing w:after="0" w:line="9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During the six months ended June 30, 2020, the Company repurchased 588,750 shares of its common stock for approximately $54.2 million. All share repurchases were made using cash resources. As of June 30, 2020, approximately $174.4 million remained available for share repurchases pursuant to the Company's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11. Net income Per Share</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8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222"/>
        </w:trPr>
        <w:tc>
          <w:tcPr>
            <w:tcW w:w="5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209"/>
        </w:trPr>
        <w:tc>
          <w:tcPr>
            <w:tcW w:w="5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7"/>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26,319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16,232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45,013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29,498</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280" w:type="dxa"/>
            <w:vAlign w:val="bottom"/>
          </w:tcPr>
          <w:p>
            <w:pPr>
              <w:ind w:left="220"/>
              <w:spacing w:after="0"/>
              <w:rPr>
                <w:sz w:val="20"/>
                <w:szCs w:val="20"/>
                <w:color w:val="auto"/>
              </w:rPr>
            </w:pPr>
            <w:r>
              <w:rPr>
                <w:rFonts w:ascii="Arial" w:cs="Arial" w:eastAsia="Arial" w:hAnsi="Arial"/>
                <w:sz w:val="16"/>
                <w:szCs w:val="16"/>
                <w:color w:val="auto"/>
              </w:rPr>
              <w:t>Weighted-average shares used in computing net income per share: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6"/>
        </w:trPr>
        <w:tc>
          <w:tcPr>
            <w:tcW w:w="5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39,161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39,198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39,137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39,143</w:t>
            </w:r>
          </w:p>
        </w:tc>
      </w:tr>
      <w:tr>
        <w:trPr>
          <w:trHeight w:val="233"/>
        </w:trPr>
        <w:tc>
          <w:tcPr>
            <w:tcW w:w="5280" w:type="dxa"/>
            <w:vAlign w:val="bottom"/>
          </w:tcPr>
          <w:p>
            <w:pPr>
              <w:ind w:left="460"/>
              <w:spacing w:after="0"/>
              <w:rPr>
                <w:sz w:val="20"/>
                <w:szCs w:val="20"/>
                <w:color w:val="auto"/>
              </w:rPr>
            </w:pPr>
            <w:r>
              <w:rPr>
                <w:rFonts w:ascii="Arial" w:cs="Arial" w:eastAsia="Arial" w:hAnsi="Arial"/>
                <w:sz w:val="16"/>
                <w:szCs w:val="16"/>
                <w:color w:val="auto"/>
              </w:rPr>
              <w:t>Effect of potentially dilutive securities: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52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Common stock options</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1,382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1,890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1,410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1,950</w:t>
            </w:r>
          </w:p>
        </w:tc>
      </w:tr>
      <w:tr>
        <w:trPr>
          <w:trHeight w:val="237"/>
        </w:trPr>
        <w:tc>
          <w:tcPr>
            <w:tcW w:w="5280" w:type="dxa"/>
            <w:vAlign w:val="bottom"/>
            <w:tcBorders>
              <w:bottom w:val="single" w:sz="8" w:color="CCEEFF"/>
            </w:tcBorders>
          </w:tcPr>
          <w:p>
            <w:pPr>
              <w:ind w:left="580"/>
              <w:spacing w:after="0"/>
              <w:rPr>
                <w:sz w:val="20"/>
                <w:szCs w:val="20"/>
                <w:color w:val="auto"/>
              </w:rPr>
            </w:pPr>
            <w:r>
              <w:rPr>
                <w:rFonts w:ascii="Arial" w:cs="Arial" w:eastAsia="Arial" w:hAnsi="Arial"/>
                <w:sz w:val="16"/>
                <w:szCs w:val="16"/>
                <w:color w:val="auto"/>
              </w:rPr>
              <w:t>Restricted stock units</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442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477</w:t>
            </w:r>
          </w:p>
        </w:tc>
      </w:tr>
      <w:tr>
        <w:trPr>
          <w:trHeight w:val="243"/>
        </w:trPr>
        <w:tc>
          <w:tcPr>
            <w:tcW w:w="5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40,919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41,530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40,928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41,570</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Net income per share: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8"/>
        </w:trPr>
        <w:tc>
          <w:tcPr>
            <w:tcW w:w="5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0.75</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80" w:type="dxa"/>
            <w:vAlign w:val="bottom"/>
          </w:tcPr>
          <w:p>
            <w:pPr>
              <w:ind w:left="22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0.39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0.71</w:t>
            </w:r>
          </w:p>
        </w:tc>
      </w:tr>
      <w:tr>
        <w:trPr>
          <w:trHeight w:val="21"/>
        </w:trPr>
        <w:tc>
          <w:tcPr>
            <w:tcW w:w="5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140" w:firstLine="405"/>
        <w:spacing w:after="0" w:line="261"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48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 June 30,</w:t>
            </w:r>
          </w:p>
        </w:tc>
        <w:tc>
          <w:tcPr>
            <w:tcW w:w="2400" w:type="dxa"/>
            <w:vAlign w:val="bottom"/>
            <w:gridSpan w:val="3"/>
          </w:tcPr>
          <w:p>
            <w:pPr>
              <w:jc w:val="right"/>
              <w:ind w:right="401"/>
              <w:spacing w:after="0"/>
              <w:rPr>
                <w:sz w:val="20"/>
                <w:szCs w:val="20"/>
                <w:color w:val="auto"/>
              </w:rPr>
            </w:pPr>
            <w:r>
              <w:rPr>
                <w:rFonts w:ascii="Arial" w:cs="Arial" w:eastAsia="Arial" w:hAnsi="Arial"/>
                <w:sz w:val="14"/>
                <w:szCs w:val="14"/>
                <w:b w:val="1"/>
                <w:bCs w:val="1"/>
                <w:color w:val="auto"/>
              </w:rPr>
              <w:t>Six Months Ended June 30,</w:t>
            </w:r>
          </w:p>
        </w:tc>
      </w:tr>
      <w:tr>
        <w:trPr>
          <w:trHeight w:val="222"/>
        </w:trPr>
        <w:tc>
          <w:tcPr>
            <w:tcW w:w="5360" w:type="dxa"/>
            <w:vAlign w:val="bottom"/>
          </w:tcPr>
          <w:p>
            <w:pPr>
              <w:spacing w:after="0"/>
              <w:rPr>
                <w:sz w:val="19"/>
                <w:szCs w:val="19"/>
                <w:color w:val="auto"/>
              </w:rPr>
            </w:pPr>
          </w:p>
        </w:tc>
        <w:tc>
          <w:tcPr>
            <w:tcW w:w="14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r>
      <w:tr>
        <w:trPr>
          <w:trHeight w:val="210"/>
        </w:trPr>
        <w:tc>
          <w:tcPr>
            <w:tcW w:w="5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ind w:left="90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options</w:t>
            </w:r>
          </w:p>
        </w:tc>
        <w:tc>
          <w:tcPr>
            <w:tcW w:w="14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452</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381</w:t>
            </w:r>
          </w:p>
        </w:tc>
      </w:tr>
      <w:tr>
        <w:trPr>
          <w:trHeight w:val="237"/>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stock units</w:t>
            </w:r>
          </w:p>
        </w:tc>
        <w:tc>
          <w:tcPr>
            <w:tcW w:w="14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62</w:t>
            </w:r>
          </w:p>
        </w:tc>
      </w:tr>
      <w:tr>
        <w:trPr>
          <w:trHeight w:val="261"/>
        </w:trPr>
        <w:tc>
          <w:tcPr>
            <w:tcW w:w="53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454</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603</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443</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39" w:lineRule="exact"/>
        <w:rPr>
          <w:sz w:val="20"/>
          <w:szCs w:val="20"/>
          <w:color w:val="auto"/>
        </w:rPr>
      </w:pPr>
    </w:p>
    <w:p>
      <w:pPr>
        <w:jc w:val="both"/>
        <w:ind w:firstLine="953"/>
        <w:spacing w:after="0" w:line="256" w:lineRule="auto"/>
        <w:rPr>
          <w:sz w:val="20"/>
          <w:szCs w:val="20"/>
          <w:color w:val="auto"/>
        </w:rPr>
      </w:pPr>
      <w:r>
        <w:rPr>
          <w:rFonts w:ascii="Arial" w:cs="Arial" w:eastAsia="Arial" w:hAnsi="Arial"/>
          <w:sz w:val="18"/>
          <w:szCs w:val="18"/>
          <w:color w:val="231F20"/>
        </w:rPr>
        <w:t>The Company's provision for income taxes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9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and tax law developments. The Company's estimated effective tax rate for the year differs from the U.S. statutory rate of 21% primarily due to non-deductible stock-based compensation expense, state taxes, and the benefit of U.S. federal income tax credits and foreign-derived intangible income deduction.</w:t>
      </w:r>
    </w:p>
    <w:p>
      <w:pPr>
        <w:spacing w:after="0" w:line="97" w:lineRule="exact"/>
        <w:rPr>
          <w:sz w:val="20"/>
          <w:szCs w:val="20"/>
          <w:color w:val="auto"/>
        </w:rPr>
      </w:pPr>
    </w:p>
    <w:p>
      <w:pPr>
        <w:jc w:val="both"/>
        <w:ind w:firstLine="906"/>
        <w:spacing w:after="0" w:line="254" w:lineRule="auto"/>
        <w:rPr>
          <w:sz w:val="20"/>
          <w:szCs w:val="20"/>
          <w:color w:val="auto"/>
        </w:rPr>
      </w:pPr>
      <w:r>
        <w:rPr>
          <w:rFonts w:ascii="Arial" w:cs="Arial" w:eastAsia="Arial" w:hAnsi="Arial"/>
          <w:sz w:val="18"/>
          <w:szCs w:val="18"/>
          <w:color w:val="auto"/>
        </w:rPr>
        <w:t xml:space="preserve">The Company recorded an income tax provision of $0.8 million and $2.3 million for the three months ended June 30, 2020 and 2019, respectively, resulting in an effective tax rate of 2.9% and 12.3%, respectively. The tax provision for the three months ended June 30, 2020 as compared to the tax provision for the three months ended June 30, 2019 </w:t>
      </w:r>
      <w:r>
        <w:rPr>
          <w:rFonts w:ascii="Arial" w:cs="Arial" w:eastAsia="Arial" w:hAnsi="Arial"/>
          <w:sz w:val="18"/>
          <w:szCs w:val="18"/>
          <w:color w:val="231F20"/>
        </w:rPr>
        <w:t>changed primarily due to higher excess tax benefits from</w:t>
      </w:r>
      <w:r>
        <w:rPr>
          <w:rFonts w:ascii="Arial" w:cs="Arial" w:eastAsia="Arial" w:hAnsi="Arial"/>
          <w:sz w:val="18"/>
          <w:szCs w:val="18"/>
          <w:color w:val="auto"/>
        </w:rPr>
        <w:t xml:space="preserve"> </w:t>
      </w:r>
      <w:r>
        <w:rPr>
          <w:rFonts w:ascii="Arial" w:cs="Arial" w:eastAsia="Arial" w:hAnsi="Arial"/>
          <w:sz w:val="18"/>
          <w:szCs w:val="18"/>
          <w:color w:val="231F20"/>
        </w:rPr>
        <w:t>stock-based compensation in the current period.</w:t>
      </w:r>
    </w:p>
    <w:p>
      <w:pPr>
        <w:spacing w:after="0" w:line="82" w:lineRule="exact"/>
        <w:rPr>
          <w:sz w:val="20"/>
          <w:szCs w:val="20"/>
          <w:color w:val="auto"/>
        </w:rPr>
      </w:pPr>
    </w:p>
    <w:p>
      <w:pPr>
        <w:jc w:val="both"/>
        <w:ind w:firstLine="405"/>
        <w:spacing w:after="0" w:line="215" w:lineRule="auto"/>
        <w:rPr>
          <w:sz w:val="20"/>
          <w:szCs w:val="20"/>
          <w:color w:val="auto"/>
        </w:rPr>
      </w:pPr>
      <w:r>
        <w:rPr>
          <w:rFonts w:ascii="Arial" w:cs="Arial" w:eastAsia="Arial" w:hAnsi="Arial"/>
          <w:sz w:val="18"/>
          <w:szCs w:val="18"/>
          <w:color w:val="auto"/>
        </w:rPr>
        <w:t>The Company recorded an income tax provision of $4.3 million and $4.8 million for the six months ended June 30, 2020 and 2019, respectively, resulting in an effective tax rate of 8.7% and 14.1%, respectively. The tax provision for the six months ended June 30, 2020 as compared to the tax provision for the six months ended June 30, 2019 changed primarily due to higher excess tax benefits from stock-based compensation in the current period.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7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2020</w:t>
      </w:r>
      <w:r>
        <w:rPr>
          <w:rFonts w:ascii="Arial" w:cs="Arial" w:eastAsia="Arial" w:hAnsi="Arial"/>
          <w:sz w:val="18"/>
          <w:szCs w:val="18"/>
          <w:color w:val="231F20"/>
        </w:rPr>
        <w:t>, the Company had unrecognized tax bene</w:t>
      </w:r>
      <w:r>
        <w:rPr>
          <w:rFonts w:ascii="Arial" w:cs="Arial" w:eastAsia="Arial" w:hAnsi="Arial"/>
          <w:sz w:val="18"/>
          <w:szCs w:val="18"/>
          <w:color w:val="000000"/>
        </w:rPr>
        <w:t>fits of $8.4 million, of which $4.2 million</w:t>
      </w:r>
      <w:r>
        <w:rPr>
          <w:rFonts w:ascii="Arial" w:cs="Arial" w:eastAsia="Arial" w:hAnsi="Arial"/>
          <w:sz w:val="18"/>
          <w:szCs w:val="18"/>
          <w:color w:val="231F20"/>
        </w:rPr>
        <w:t>, if recognized, would favorably impact the Company's effective ta</w:t>
      </w:r>
      <w:r>
        <w:rPr>
          <w:rFonts w:ascii="Arial" w:cs="Arial" w:eastAsia="Arial" w:hAnsi="Arial"/>
          <w:sz w:val="18"/>
          <w:szCs w:val="18"/>
          <w:color w:val="000000"/>
        </w:rPr>
        <w:t>x rate. As of December 31, 2019, the Company had unrecognized tax benefits of $ 7.8 million, of which $4.2</w:t>
      </w:r>
      <w:r>
        <w:rPr>
          <w:rFonts w:ascii="Arial" w:cs="Arial" w:eastAsia="Arial" w:hAnsi="Arial"/>
          <w:sz w:val="18"/>
          <w:szCs w:val="18"/>
          <w:color w:val="231F20"/>
        </w:rPr>
        <w:t xml:space="preserve"> </w:t>
      </w:r>
      <w:r>
        <w:rPr>
          <w:rFonts w:ascii="Arial" w:cs="Arial" w:eastAsia="Arial" w:hAnsi="Arial"/>
          <w:sz w:val="18"/>
          <w:szCs w:val="18"/>
          <w:color w:val="000000"/>
        </w:rPr>
        <w:t>million, if recognized, would favorably impact the Company's effective tax rate. The Company does not anticipate a mate</w:t>
      </w:r>
      <w:r>
        <w:rPr>
          <w:rFonts w:ascii="Arial" w:cs="Arial" w:eastAsia="Arial" w:hAnsi="Arial"/>
          <w:sz w:val="18"/>
          <w:szCs w:val="18"/>
          <w:color w:val="231F20"/>
        </w:rPr>
        <w:t>rial change in its</w:t>
      </w:r>
      <w:r>
        <w:rPr>
          <w:rFonts w:ascii="Arial" w:cs="Arial" w:eastAsia="Arial" w:hAnsi="Arial"/>
          <w:sz w:val="18"/>
          <w:szCs w:val="18"/>
          <w:color w:val="000000"/>
        </w:rPr>
        <w:t xml:space="preserve"> </w:t>
      </w:r>
      <w:r>
        <w:rPr>
          <w:rFonts w:ascii="Arial" w:cs="Arial" w:eastAsia="Arial" w:hAnsi="Arial"/>
          <w:sz w:val="18"/>
          <w:szCs w:val="18"/>
          <w:color w:val="231F20"/>
        </w:rPr>
        <w:t>unrecognized tax benefits in the next 12 months.</w:t>
      </w:r>
    </w:p>
    <w:p>
      <w:pPr>
        <w:spacing w:after="0" w:line="9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On June 29, 2020, the California governor signed into law the 2020 Budget Act, which temporarily suspends the utilization of net operating losses and limits the utilization of the research credit to $5 million annually for 2020, 2021 and 2022. The Company is continuing to assess the 2020 Budget Act, but currently does not expect any material impact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 and Information about Geographic Area</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 </w:t>
      </w:r>
      <w:r>
        <w:rPr>
          <w:rFonts w:ascii="Arial" w:cs="Arial" w:eastAsia="Arial" w:hAnsi="Arial"/>
          <w:sz w:val="18"/>
          <w:szCs w:val="18"/>
          <w:color w:val="212529"/>
        </w:rPr>
        <w:t>determines its reportable operating segments in accordance with the provisions</w:t>
      </w:r>
      <w:r>
        <w:rPr>
          <w:rFonts w:ascii="Arial" w:cs="Arial" w:eastAsia="Arial" w:hAnsi="Arial"/>
          <w:sz w:val="18"/>
          <w:szCs w:val="18"/>
          <w:color w:val="231F20"/>
        </w:rPr>
        <w:t xml:space="preserve"> </w:t>
      </w:r>
      <w:r>
        <w:rPr>
          <w:rFonts w:ascii="Arial" w:cs="Arial" w:eastAsia="Arial" w:hAnsi="Arial"/>
          <w:sz w:val="18"/>
          <w:szCs w:val="18"/>
          <w:color w:val="212529"/>
        </w:rPr>
        <w:t xml:space="preserve">in the FASB guidance on segment reporting, which establishes standards for, and requires disclosure of, certain financial information related to reportable operating segments and geographic regions. </w:t>
      </w:r>
      <w:r>
        <w:rPr>
          <w:rFonts w:ascii="Arial" w:cs="Arial" w:eastAsia="Arial" w:hAnsi="Arial"/>
          <w:sz w:val="18"/>
          <w:szCs w:val="18"/>
          <w:color w:val="231F20"/>
        </w:rPr>
        <w:t>The Company’s chief operating decision maker is the Chairman and Chief</w:t>
      </w:r>
      <w:r>
        <w:rPr>
          <w:rFonts w:ascii="Arial" w:cs="Arial" w:eastAsia="Arial" w:hAnsi="Arial"/>
          <w:sz w:val="18"/>
          <w:szCs w:val="18"/>
          <w:color w:val="212529"/>
        </w:rPr>
        <w:t xml:space="preserve"> </w:t>
      </w:r>
      <w:r>
        <w:rPr>
          <w:rFonts w:ascii="Arial" w:cs="Arial" w:eastAsia="Arial" w:hAnsi="Arial"/>
          <w:sz w:val="18"/>
          <w:szCs w:val="18"/>
          <w:color w:val="231F20"/>
        </w:rPr>
        <w:t>Executive Officer, who makes operating decisions, assesses performance and allocates resources on a consolidated basis. The Company’s principal operating and decision-making functions are located in the United States.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Revenue by geographic area, based on the customer's billing address,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80" w:type="dxa"/>
            <w:vAlign w:val="bottom"/>
            <w:gridSpan w:val="4"/>
          </w:tcPr>
          <w:p>
            <w:pPr>
              <w:jc w:val="right"/>
              <w:ind w:right="281"/>
              <w:spacing w:after="0"/>
              <w:rPr>
                <w:sz w:val="20"/>
                <w:szCs w:val="20"/>
                <w:color w:val="auto"/>
              </w:rPr>
            </w:pPr>
            <w:r>
              <w:rPr>
                <w:rFonts w:ascii="Arial" w:cs="Arial" w:eastAsia="Arial" w:hAnsi="Arial"/>
                <w:sz w:val="14"/>
                <w:szCs w:val="14"/>
                <w:b w:val="1"/>
                <w:bCs w:val="1"/>
                <w:color w:val="auto"/>
              </w:rPr>
              <w:t>Six Months Ended June 30,</w:t>
            </w:r>
          </w:p>
        </w:tc>
      </w:tr>
      <w:tr>
        <w:trPr>
          <w:trHeight w:val="222"/>
        </w:trPr>
        <w:tc>
          <w:tcPr>
            <w:tcW w:w="5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09"/>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ind w:left="46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57,015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50,704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111,978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99,325</w:t>
            </w:r>
          </w:p>
        </w:tc>
      </w:tr>
      <w:tr>
        <w:trPr>
          <w:trHeight w:val="236"/>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31,815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28,225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63,115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54,947</w:t>
            </w:r>
          </w:p>
        </w:tc>
      </w:tr>
      <w:tr>
        <w:trPr>
          <w:trHeight w:val="26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88,830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78,929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175,093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154,272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82"/>
              <w:spacing w:after="0"/>
              <w:rPr>
                <w:sz w:val="20"/>
                <w:szCs w:val="20"/>
                <w:color w:val="auto"/>
              </w:rPr>
            </w:pPr>
            <w:r>
              <w:rPr>
                <w:rFonts w:ascii="Arial" w:cs="Arial" w:eastAsia="Arial" w:hAnsi="Arial"/>
                <w:sz w:val="14"/>
                <w:szCs w:val="14"/>
                <w:b w:val="1"/>
                <w:bCs w:val="1"/>
                <w:color w:val="auto"/>
              </w:rPr>
              <w:t>December 31,</w:t>
            </w:r>
          </w:p>
        </w:tc>
      </w:tr>
      <w:tr>
        <w:trPr>
          <w:trHeight w:val="222"/>
        </w:trPr>
        <w:tc>
          <w:tcPr>
            <w:tcW w:w="8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r>
      <w:tr>
        <w:trPr>
          <w:trHeight w:val="209"/>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4"/>
          </w:tcPr>
          <w:p>
            <w:pPr>
              <w:jc w:val="right"/>
              <w:ind w:right="922"/>
              <w:spacing w:after="0"/>
              <w:rPr>
                <w:sz w:val="20"/>
                <w:szCs w:val="20"/>
                <w:color w:val="auto"/>
              </w:rPr>
            </w:pPr>
            <w:r>
              <w:rPr>
                <w:rFonts w:ascii="Arial" w:cs="Arial" w:eastAsia="Arial" w:hAnsi="Arial"/>
                <w:sz w:val="14"/>
                <w:szCs w:val="14"/>
                <w:b w:val="1"/>
                <w:bCs w:val="1"/>
                <w:color w:val="auto"/>
              </w:rPr>
              <w:t>(in thousands)</w:t>
            </w:r>
          </w:p>
        </w:tc>
      </w:tr>
      <w:tr>
        <w:trPr>
          <w:trHeight w:val="24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46,283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46,100</w:t>
            </w:r>
          </w:p>
        </w:tc>
      </w:tr>
      <w:tr>
        <w:trPr>
          <w:trHeight w:val="233"/>
        </w:trPr>
        <w:tc>
          <w:tcPr>
            <w:tcW w:w="8240" w:type="dxa"/>
            <w:vAlign w:val="bottom"/>
          </w:tcPr>
          <w:p>
            <w:pPr>
              <w:ind w:left="20"/>
              <w:spacing w:after="0"/>
              <w:rPr>
                <w:sz w:val="20"/>
                <w:szCs w:val="20"/>
                <w:color w:val="auto"/>
              </w:rPr>
            </w:pPr>
            <w:r>
              <w:rPr>
                <w:rFonts w:ascii="Arial" w:cs="Arial" w:eastAsia="Arial" w:hAnsi="Arial"/>
                <w:sz w:val="16"/>
                <w:szCs w:val="16"/>
                <w:color w:val="auto"/>
              </w:rPr>
              <w:t>India</w:t>
            </w:r>
          </w:p>
        </w:tc>
        <w:tc>
          <w:tcPr>
            <w:tcW w:w="280" w:type="dxa"/>
            <w:vAlign w:val="bottom"/>
          </w:tcPr>
          <w:p>
            <w:pPr>
              <w:spacing w:after="0"/>
              <w:rPr>
                <w:sz w:val="20"/>
                <w:szCs w:val="20"/>
                <w:color w:val="auto"/>
              </w:rPr>
            </w:pPr>
          </w:p>
        </w:tc>
        <w:tc>
          <w:tcPr>
            <w:tcW w:w="1160" w:type="dxa"/>
            <w:vAlign w:val="bottom"/>
          </w:tcPr>
          <w:p>
            <w:pPr>
              <w:jc w:val="right"/>
              <w:ind w:right="63"/>
              <w:spacing w:after="0"/>
              <w:rPr>
                <w:sz w:val="20"/>
                <w:szCs w:val="20"/>
                <w:color w:val="auto"/>
              </w:rPr>
            </w:pPr>
            <w:r>
              <w:rPr>
                <w:rFonts w:ascii="Arial" w:cs="Arial" w:eastAsia="Arial" w:hAnsi="Arial"/>
                <w:sz w:val="16"/>
                <w:szCs w:val="16"/>
                <w:color w:val="auto"/>
              </w:rPr>
              <w:t>11,255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82"/>
              <w:spacing w:after="0"/>
              <w:rPr>
                <w:sz w:val="20"/>
                <w:szCs w:val="20"/>
                <w:color w:val="auto"/>
              </w:rPr>
            </w:pPr>
            <w:r>
              <w:rPr>
                <w:rFonts w:ascii="Arial" w:cs="Arial" w:eastAsia="Arial" w:hAnsi="Arial"/>
                <w:sz w:val="16"/>
                <w:szCs w:val="16"/>
                <w:color w:val="auto"/>
              </w:rPr>
              <w:t>9,221</w:t>
            </w:r>
          </w:p>
        </w:tc>
      </w:tr>
      <w:tr>
        <w:trPr>
          <w:trHeight w:val="24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5,560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5,258</w:t>
            </w:r>
          </w:p>
        </w:tc>
      </w:tr>
      <w:tr>
        <w:trPr>
          <w:trHeight w:val="243"/>
        </w:trPr>
        <w:tc>
          <w:tcPr>
            <w:tcW w:w="8240" w:type="dxa"/>
            <w:vAlign w:val="bottom"/>
          </w:tcPr>
          <w:p>
            <w:pPr>
              <w:ind w:left="20"/>
              <w:spacing w:after="0"/>
              <w:rPr>
                <w:sz w:val="20"/>
                <w:szCs w:val="20"/>
                <w:color w:val="auto"/>
              </w:rPr>
            </w:pPr>
            <w:r>
              <w:rPr>
                <w:rFonts w:ascii="Arial" w:cs="Arial" w:eastAsia="Arial" w:hAnsi="Arial"/>
                <w:sz w:val="16"/>
                <w:szCs w:val="16"/>
                <w:color w:val="auto"/>
              </w:rPr>
              <w:t>Total property and equipment,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63,098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60,579</w:t>
            </w: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56"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unaudited condensed consolidated financial statements and the related notes included elsewhere in this report, and (2) the audited consolidated financial statements and the related notes and section titled "Management’s Discussion and Analysis of Financial Condition and Results of Operations" included in our Annual Report on Form 10-K for the fiscal year ended December 31, 2019, filed with the Securities and Exchange Commission, or SEC, on February 21, 2020.</w:t>
      </w:r>
    </w:p>
    <w:p>
      <w:pPr>
        <w:spacing w:after="0" w:line="21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16" w:lineRule="exact"/>
        <w:rPr>
          <w:sz w:val="20"/>
          <w:szCs w:val="20"/>
          <w:color w:val="auto"/>
        </w:rPr>
      </w:pPr>
    </w:p>
    <w:p>
      <w:pPr>
        <w:ind w:left="1060" w:right="20" w:hanging="323"/>
        <w:spacing w:after="0" w:line="260" w:lineRule="auto"/>
        <w:tabs>
          <w:tab w:leader="none" w:pos="1055" w:val="left"/>
        </w:tabs>
        <w:numPr>
          <w:ilvl w:val="0"/>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the impact of the ongoing COVID-19 pandemic and related public health measures on our business;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hanging="323"/>
        <w:spacing w:after="0" w:line="250" w:lineRule="auto"/>
        <w:tabs>
          <w:tab w:leader="none" w:pos="10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and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 and acquisitions;</w:t>
      </w: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1060" w:hanging="323"/>
        <w:spacing w:after="0" w:line="250" w:lineRule="auto"/>
        <w:tabs>
          <w:tab w:leader="none" w:pos="1055" w:val="left"/>
        </w:tabs>
        <w:numPr>
          <w:ilvl w:val="0"/>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hanging="323"/>
        <w:spacing w:after="0" w:line="261" w:lineRule="auto"/>
        <w:tabs>
          <w:tab w:leader="none" w:pos="10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Quarterly Report on Form 10-Q in the sections titled “Risk Factors” and “Management's Discussion and Analysis of Financial Condition and Results of Operations.”</w:t>
      </w:r>
    </w:p>
    <w:p>
      <w:pPr>
        <w:spacing w:after="0" w:line="20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We </w:t>
      </w:r>
      <w:r>
        <w:rPr>
          <w:rFonts w:ascii="Arial" w:cs="Arial" w:eastAsia="Arial" w:hAnsi="Arial"/>
          <w:sz w:val="18"/>
          <w:szCs w:val="18"/>
          <w:color w:val="000000"/>
        </w:rPr>
        <w:t>are a pioneer and leading provider of a cloud-based platform delivering IT, security and compliance solutions that enable</w:t>
      </w:r>
      <w:r>
        <w:rPr>
          <w:rFonts w:ascii="Arial" w:cs="Arial" w:eastAsia="Arial" w:hAnsi="Arial"/>
          <w:sz w:val="18"/>
          <w:szCs w:val="18"/>
          <w:color w:val="231F20"/>
        </w:rPr>
        <w:t xml:space="preserve"> </w:t>
      </w:r>
      <w:r>
        <w:rPr>
          <w:rFonts w:ascii="Arial" w:cs="Arial" w:eastAsia="Arial" w:hAnsi="Arial"/>
          <w:sz w:val="18"/>
          <w:szCs w:val="18"/>
          <w:color w:val="000000"/>
        </w:rPr>
        <w:t>organizations to identify security risks to their IT infrastructures, help protect their IT systems and a</w:t>
      </w:r>
      <w:r>
        <w:rPr>
          <w:rFonts w:ascii="Arial" w:cs="Arial" w:eastAsia="Arial" w:hAnsi="Arial"/>
          <w:sz w:val="18"/>
          <w:szCs w:val="18"/>
          <w:color w:val="231F20"/>
        </w:rPr>
        <w:t>pplications from ever-evolving cyber-attacks and achieve compliance with internal policies and external</w:t>
      </w:r>
    </w:p>
    <w:p>
      <w:pPr>
        <w:sectPr>
          <w:pgSz w:w="11900" w:h="16838" w:orient="portrait"/>
          <w:cols w:equalWidth="0" w:num="1">
            <w:col w:w="11240"/>
          </w:cols>
          <w:pgMar w:left="320" w:top="2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9" w:right="3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IT, security and compliance solutions delivered on our Qualys Cloud Platform enables our customers to identify and manage their IT assets, collect and analyze large amounts of IT security data, discover and prioritize vulnerabilities, recommend remediation actions and verify the implementati</w:t>
      </w:r>
      <w:r>
        <w:rPr>
          <w:rFonts w:ascii="Arial" w:cs="Arial" w:eastAsia="Arial" w:hAnsi="Arial"/>
          <w:sz w:val="18"/>
          <w:szCs w:val="18"/>
          <w:color w:val="000000"/>
        </w:rPr>
        <w:t>on of such actions.</w:t>
      </w:r>
      <w:r>
        <w:rPr>
          <w:rFonts w:ascii="Arial" w:cs="Arial" w:eastAsia="Arial" w:hAnsi="Arial"/>
          <w:sz w:val="18"/>
          <w:szCs w:val="18"/>
          <w:color w:val="231F20"/>
        </w:rPr>
        <w:t xml:space="preserve"> </w:t>
      </w:r>
      <w:r>
        <w:rPr>
          <w:rFonts w:ascii="Arial" w:cs="Arial" w:eastAsia="Arial" w:hAnsi="Arial"/>
          <w:sz w:val="18"/>
          <w:szCs w:val="18"/>
          <w:color w:val="000000"/>
        </w:rPr>
        <w:t>Organizations use our integrated suite of solutions delivered on our Qualys Cloud Platform to cost-effectively obtain a unified view of their IT asset inventory as well as security and compliance posture across globally distributed IT infrastructures as our solution offers a single platform for information technology, information security, application security, endpoint, developer security and cloud teams.</w:t>
      </w:r>
    </w:p>
    <w:p>
      <w:pPr>
        <w:spacing w:after="0" w:line="9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w:t>
      </w:r>
      <w:r>
        <w:rPr>
          <w:rFonts w:ascii="Arial" w:cs="Arial" w:eastAsia="Arial" w:hAnsi="Arial"/>
          <w:sz w:val="18"/>
          <w:szCs w:val="18"/>
          <w:color w:val="000000"/>
        </w:rPr>
        <w:t>Today, the</w:t>
      </w:r>
      <w:r>
        <w:rPr>
          <w:rFonts w:ascii="Arial" w:cs="Arial" w:eastAsia="Arial" w:hAnsi="Arial"/>
          <w:sz w:val="18"/>
          <w:szCs w:val="18"/>
          <w:color w:val="231F20"/>
        </w:rPr>
        <w:t xml:space="preserve"> </w:t>
      </w:r>
      <w:r>
        <w:rPr>
          <w:rFonts w:ascii="Arial" w:cs="Arial" w:eastAsia="Arial" w:hAnsi="Arial"/>
          <w:sz w:val="18"/>
          <w:szCs w:val="18"/>
          <w:color w:val="000000"/>
        </w:rPr>
        <w:t>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376" w:lineRule="exact"/>
        <w:rPr>
          <w:sz w:val="20"/>
          <w:szCs w:val="20"/>
          <w:color w:val="auto"/>
        </w:rPr>
      </w:pPr>
    </w:p>
    <w:p>
      <w:pPr>
        <w:ind w:left="1300" w:right="860" w:hanging="320"/>
        <w:spacing w:after="0" w:line="360"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231F20"/>
        </w:rPr>
        <w:t xml:space="preserve">IT Security: </w:t>
      </w:r>
      <w:r>
        <w:rPr>
          <w:rFonts w:ascii="Arial" w:cs="Arial" w:eastAsia="Arial" w:hAnsi="Arial"/>
          <w:sz w:val="18"/>
          <w:szCs w:val="18"/>
          <w:color w:val="231F20"/>
        </w:rPr>
        <w:t>Vulnerability Management (VM), Vulnerability Management, Detection, and Response (VMDR); Threat</w:t>
      </w:r>
      <w:r>
        <w:rPr>
          <w:rFonts w:ascii="Arial" w:cs="Arial" w:eastAsia="Arial" w:hAnsi="Arial"/>
          <w:sz w:val="18"/>
          <w:szCs w:val="18"/>
          <w:i w:val="1"/>
          <w:iCs w:val="1"/>
          <w:color w:val="231F20"/>
        </w:rPr>
        <w:t xml:space="preserve"> </w:t>
      </w:r>
      <w:r>
        <w:rPr>
          <w:rFonts w:ascii="Arial" w:cs="Arial" w:eastAsia="Arial" w:hAnsi="Arial"/>
          <w:sz w:val="18"/>
          <w:szCs w:val="18"/>
          <w:color w:val="231F20"/>
        </w:rPr>
        <w:t>Protection (TP), Continuous Monitoring (CM), Patch Management (PM), Indication of Compromise (IOC);</w:t>
      </w:r>
    </w:p>
    <w:p>
      <w:pPr>
        <w:ind w:left="1300" w:right="580" w:hanging="320"/>
        <w:spacing w:after="0" w:line="360"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231F20"/>
        </w:rPr>
        <w:t xml:space="preserve">Compliance Monitoring: </w:t>
      </w:r>
      <w:r>
        <w:rPr>
          <w:rFonts w:ascii="Arial" w:cs="Arial" w:eastAsia="Arial" w:hAnsi="Arial"/>
          <w:sz w:val="18"/>
          <w:szCs w:val="18"/>
          <w:color w:val="231F20"/>
        </w:rPr>
        <w:t>Policy Compliance (PC), PCI Compliance (PCI), File Integrity Monitoring (FIM), Security</w:t>
      </w:r>
      <w:r>
        <w:rPr>
          <w:rFonts w:ascii="Arial" w:cs="Arial" w:eastAsia="Arial" w:hAnsi="Arial"/>
          <w:sz w:val="18"/>
          <w:szCs w:val="18"/>
          <w:i w:val="1"/>
          <w:iCs w:val="1"/>
          <w:color w:val="231F20"/>
        </w:rPr>
        <w:t xml:space="preserve"> </w:t>
      </w:r>
      <w:r>
        <w:rPr>
          <w:rFonts w:ascii="Arial" w:cs="Arial" w:eastAsia="Arial" w:hAnsi="Arial"/>
          <w:sz w:val="18"/>
          <w:szCs w:val="18"/>
          <w:color w:val="231F20"/>
        </w:rPr>
        <w:t>Configuration Assessment (SCA), Security Assessment Questionnaire (SAQ), Out of-Band Configuration Assessment (OCA);</w:t>
      </w:r>
    </w:p>
    <w:p>
      <w:pPr>
        <w:ind w:left="1300" w:hanging="320"/>
        <w:spacing w:after="0"/>
        <w:tabs>
          <w:tab w:leader="none" w:pos="1300" w:val="left"/>
        </w:tabs>
        <w:numPr>
          <w:ilvl w:val="0"/>
          <w:numId w:val="5"/>
        </w:numPr>
        <w:rPr>
          <w:rFonts w:ascii="Arial" w:cs="Arial" w:eastAsia="Arial" w:hAnsi="Arial"/>
          <w:sz w:val="18"/>
          <w:szCs w:val="18"/>
          <w:i w:val="1"/>
          <w:iCs w:val="1"/>
          <w:color w:val="231F20"/>
        </w:rPr>
      </w:pPr>
      <w:r>
        <w:rPr>
          <w:rFonts w:ascii="Arial" w:cs="Arial" w:eastAsia="Arial" w:hAnsi="Arial"/>
          <w:sz w:val="18"/>
          <w:szCs w:val="18"/>
          <w:i w:val="1"/>
          <w:iCs w:val="1"/>
          <w:color w:val="231F20"/>
        </w:rPr>
        <w:t xml:space="preserve">Web Application Security: </w:t>
      </w:r>
      <w:r>
        <w:rPr>
          <w:rFonts w:ascii="Arial" w:cs="Arial" w:eastAsia="Arial" w:hAnsi="Arial"/>
          <w:sz w:val="18"/>
          <w:szCs w:val="18"/>
          <w:color w:val="231F20"/>
        </w:rPr>
        <w:t>Web Application Scanning (WAS), Web Application Firewall (WAF);</w:t>
      </w:r>
    </w:p>
    <w:p>
      <w:pPr>
        <w:spacing w:after="0" w:line="103" w:lineRule="exact"/>
        <w:rPr>
          <w:rFonts w:ascii="Arial" w:cs="Arial" w:eastAsia="Arial" w:hAnsi="Arial"/>
          <w:sz w:val="18"/>
          <w:szCs w:val="18"/>
          <w:i w:val="1"/>
          <w:iCs w:val="1"/>
          <w:color w:val="231F20"/>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231F20"/>
        </w:rPr>
        <w:t xml:space="preserve">Global IT Asset Management: </w:t>
      </w:r>
      <w:r>
        <w:rPr>
          <w:rFonts w:ascii="Arial" w:cs="Arial" w:eastAsia="Arial" w:hAnsi="Arial"/>
          <w:sz w:val="18"/>
          <w:szCs w:val="18"/>
          <w:color w:val="231F20"/>
        </w:rPr>
        <w:t>Asset Inventory (AI), CMDB Sync (SYN), Certificate Inventory (CRI); and,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231F20"/>
        </w:rPr>
        <w:t xml:space="preserve">Cloud/Container Security: </w:t>
      </w:r>
      <w:r>
        <w:rPr>
          <w:rFonts w:ascii="Arial" w:cs="Arial" w:eastAsia="Arial" w:hAnsi="Arial"/>
          <w:sz w:val="18"/>
          <w:szCs w:val="18"/>
          <w:color w:val="231F20"/>
        </w:rPr>
        <w:t>Cloud Inventory (CI), Cloud Security Assessment (CSA), Container Security (CS).</w:t>
      </w:r>
    </w:p>
    <w:p>
      <w:pPr>
        <w:spacing w:after="0" w:line="17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Our VM solutions (including </w:t>
      </w:r>
      <w:r>
        <w:rPr>
          <w:rFonts w:ascii="Arial" w:cs="Arial" w:eastAsia="Arial" w:hAnsi="Arial"/>
          <w:sz w:val="18"/>
          <w:szCs w:val="18"/>
          <w:color w:val="231F20"/>
        </w:rPr>
        <w:t>VM, VMDR, CM, TP, Cloud Agent for VM</w:t>
      </w:r>
      <w:r>
        <w:rPr>
          <w:rFonts w:ascii="Arial" w:cs="Arial" w:eastAsia="Arial" w:hAnsi="Arial"/>
          <w:sz w:val="18"/>
          <w:szCs w:val="18"/>
          <w:color w:val="auto"/>
        </w:rPr>
        <w:t xml:space="preserve">, CS, allocated scanner revenue and Qualys Private Cloud Platform) have provided a substantial majority of our revenues to date, representing 72% and 73% of our revenues for the </w:t>
      </w:r>
      <w:r>
        <w:rPr>
          <w:rFonts w:ascii="Arial" w:cs="Arial" w:eastAsia="Arial" w:hAnsi="Arial"/>
          <w:sz w:val="18"/>
          <w:szCs w:val="18"/>
          <w:color w:val="231F20"/>
        </w:rPr>
        <w:t>six months ended</w:t>
      </w:r>
      <w:r>
        <w:rPr>
          <w:rFonts w:ascii="Arial" w:cs="Arial" w:eastAsia="Arial" w:hAnsi="Arial"/>
          <w:sz w:val="18"/>
          <w:szCs w:val="18"/>
          <w:color w:val="auto"/>
        </w:rPr>
        <w:t xml:space="preserve"> </w:t>
      </w:r>
      <w:r>
        <w:rPr>
          <w:rFonts w:ascii="Arial" w:cs="Arial" w:eastAsia="Arial" w:hAnsi="Arial"/>
          <w:sz w:val="18"/>
          <w:szCs w:val="18"/>
          <w:color w:val="231F20"/>
        </w:rPr>
        <w:t xml:space="preserve">June 30, 2020 </w:t>
      </w:r>
      <w:r>
        <w:rPr>
          <w:rFonts w:ascii="Arial" w:cs="Arial" w:eastAsia="Arial" w:hAnsi="Arial"/>
          <w:sz w:val="18"/>
          <w:szCs w:val="18"/>
          <w:color w:val="000000"/>
        </w:rPr>
        <w:t>and 2019, respectively.</w:t>
      </w:r>
    </w:p>
    <w:p>
      <w:pPr>
        <w:spacing w:after="0" w:line="9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significant revenue growth from our existing customers as they renew and purchase additional subscriptions</w:t>
      </w:r>
      <w:r>
        <w:rPr>
          <w:rFonts w:ascii="Arial" w:cs="Arial" w:eastAsia="Arial" w:hAnsi="Arial"/>
          <w:sz w:val="18"/>
          <w:szCs w:val="18"/>
          <w:color w:val="000000"/>
        </w:rPr>
        <w:t>.</w:t>
      </w:r>
    </w:p>
    <w:p>
      <w:pPr>
        <w:spacing w:after="0" w:line="9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We market and sell our solutions to enterprises, government entities and small and medium-sized businesses across a broad range of industries, including education, financial services, government, healthcare, insurance, manufacturing, media, retail, technology and utilities. In each of the </w:t>
      </w:r>
      <w:r>
        <w:rPr>
          <w:rFonts w:ascii="Arial" w:cs="Arial" w:eastAsia="Arial" w:hAnsi="Arial"/>
          <w:sz w:val="18"/>
          <w:szCs w:val="18"/>
          <w:color w:val="231F20"/>
        </w:rPr>
        <w:t>six months ended June 30, 2020</w:t>
      </w:r>
      <w:r>
        <w:rPr>
          <w:rFonts w:ascii="Arial" w:cs="Arial" w:eastAsia="Arial" w:hAnsi="Arial"/>
          <w:sz w:val="18"/>
          <w:szCs w:val="18"/>
          <w:color w:val="auto"/>
        </w:rPr>
        <w:t xml:space="preserve"> and 2019, approximately 64%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12529"/>
        </w:rPr>
        <w:t>Impacts of COVID-19</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In March 2020, the World Health Organization declared the outbreak of </w:t>
      </w:r>
      <w:r>
        <w:rPr>
          <w:rFonts w:ascii="Arial" w:cs="Arial" w:eastAsia="Arial" w:hAnsi="Arial"/>
          <w:sz w:val="18"/>
          <w:szCs w:val="18"/>
          <w:color w:val="231F20"/>
        </w:rPr>
        <w:t>COVID-19</w:t>
      </w:r>
      <w:r>
        <w:rPr>
          <w:rFonts w:ascii="Arial" w:cs="Arial" w:eastAsia="Arial" w:hAnsi="Arial"/>
          <w:sz w:val="18"/>
          <w:szCs w:val="18"/>
          <w:color w:val="auto"/>
        </w:rPr>
        <w:t xml:space="preserve"> as a pandemic. As a result of COVID-19, we have modified certain aspects of our business, including restricting </w:t>
      </w:r>
      <w:r>
        <w:rPr>
          <w:rFonts w:ascii="Arial" w:cs="Arial" w:eastAsia="Arial" w:hAnsi="Arial"/>
          <w:sz w:val="18"/>
          <w:szCs w:val="18"/>
          <w:color w:val="212529"/>
        </w:rPr>
        <w:t>employee travel, requiring employees to work from home, and canceling certain</w:t>
      </w:r>
      <w:r>
        <w:rPr>
          <w:rFonts w:ascii="Arial" w:cs="Arial" w:eastAsia="Arial" w:hAnsi="Arial"/>
          <w:sz w:val="18"/>
          <w:szCs w:val="18"/>
          <w:color w:val="auto"/>
        </w:rPr>
        <w:t xml:space="preserve"> </w:t>
      </w:r>
      <w:r>
        <w:rPr>
          <w:rFonts w:ascii="Arial" w:cs="Arial" w:eastAsia="Arial" w:hAnsi="Arial"/>
          <w:sz w:val="18"/>
          <w:szCs w:val="18"/>
          <w:color w:val="212529"/>
        </w:rPr>
        <w:t>events and meetings, among other modifications. We will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 xml:space="preserve">continue to actively monitor the situation and may take further actions that alter our business operations as may be required by federal, state or local authorities or that we determine are in the best interests of our employees, customers, partners, suppliers and stockholders. </w:t>
      </w:r>
      <w:r>
        <w:rPr>
          <w:rFonts w:ascii="Arial" w:cs="Arial" w:eastAsia="Arial" w:hAnsi="Arial"/>
          <w:sz w:val="18"/>
          <w:szCs w:val="18"/>
          <w:color w:val="000000"/>
        </w:rPr>
        <w:t>While</w:t>
      </w:r>
      <w:r>
        <w:rPr>
          <w:rFonts w:ascii="Arial" w:cs="Arial" w:eastAsia="Arial" w:hAnsi="Arial"/>
          <w:sz w:val="18"/>
          <w:szCs w:val="18"/>
          <w:color w:val="212529"/>
        </w:rPr>
        <w:t xml:space="preserve"> </w:t>
      </w:r>
      <w:r>
        <w:rPr>
          <w:rFonts w:ascii="Arial" w:cs="Arial" w:eastAsia="Arial" w:hAnsi="Arial"/>
          <w:sz w:val="18"/>
          <w:szCs w:val="18"/>
          <w:color w:val="000000"/>
        </w:rPr>
        <w:t>we have not incurred significant disruptions from the COVID-19 outbreak, we are unable to accurately predict the full impact that COVID-19 will have due to numerous uncertainties, including the duration of the outbreak, actions that may be taken by governmental authorities and the impact to the business of our customers and partners. We will continue to evaluate the nature and extent of the impact to our business, financial position, results of operations and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Revenues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We derive revenues from the sale of subscriptions to our IT, security and compliance solutions, which are delivered on our cloud platform. Subscriptions to our solutions allow customers to access our cloud-based IT,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w:t>
      </w:r>
      <w:r>
        <w:rPr>
          <w:rFonts w:ascii="Arial" w:cs="Arial" w:eastAsia="Arial" w:hAnsi="Arial"/>
          <w:sz w:val="18"/>
          <w:szCs w:val="18"/>
          <w:color w:val="000000"/>
        </w:rPr>
        <w:t>solutions. In some limited cases, we also provide certain computer equipment used to extend our Qualys Cloud</w:t>
      </w:r>
      <w:r>
        <w:rPr>
          <w:rFonts w:ascii="Arial" w:cs="Arial" w:eastAsia="Arial" w:hAnsi="Arial"/>
          <w:sz w:val="18"/>
          <w:szCs w:val="18"/>
          <w:color w:val="231F20"/>
        </w:rPr>
        <w:t xml:space="preserve"> </w:t>
      </w:r>
      <w:r>
        <w:rPr>
          <w:rFonts w:ascii="Arial" w:cs="Arial" w:eastAsia="Arial" w:hAnsi="Arial"/>
          <w:sz w:val="18"/>
          <w:szCs w:val="18"/>
          <w:color w:val="000000"/>
        </w:rPr>
        <w:t>Platform into our customers' private cloud environment. Customers are required to return physical scanner appliances and computer equipment if they do not renew their subscript</w:t>
      </w:r>
      <w:r>
        <w:rPr>
          <w:rFonts w:ascii="Arial" w:cs="Arial" w:eastAsia="Arial" w:hAnsi="Arial"/>
          <w:sz w:val="18"/>
          <w:szCs w:val="18"/>
          <w:color w:val="231F20"/>
        </w:rPr>
        <w:t>ions.</w:t>
      </w:r>
    </w:p>
    <w:p>
      <w:pPr>
        <w:spacing w:after="0" w:line="10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amortization of capitalized internal-use software,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amortization of intangibles related to acquisitions,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212" w:lineRule="exact"/>
        <w:rPr>
          <w:sz w:val="20"/>
          <w:szCs w:val="20"/>
          <w:color w:val="auto"/>
        </w:rPr>
      </w:pPr>
    </w:p>
    <w:p>
      <w:pPr>
        <w:jc w:val="center"/>
        <w:ind w:right="900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21" w:lineRule="exact"/>
        <w:rPr>
          <w:sz w:val="20"/>
          <w:szCs w:val="20"/>
          <w:color w:val="auto"/>
        </w:rPr>
      </w:pPr>
    </w:p>
    <w:p>
      <w:pPr>
        <w:jc w:val="center"/>
        <w:ind w:right="9000"/>
        <w:spacing w:after="0"/>
        <w:rPr>
          <w:sz w:val="20"/>
          <w:szCs w:val="20"/>
          <w:color w:val="auto"/>
        </w:rPr>
      </w:pPr>
      <w:r>
        <w:rPr>
          <w:rFonts w:ascii="Arial" w:cs="Arial" w:eastAsia="Arial" w:hAnsi="Arial"/>
          <w:sz w:val="18"/>
          <w:szCs w:val="18"/>
          <w:i w:val="1"/>
          <w:iCs w:val="1"/>
          <w:color w:val="231F20"/>
        </w:rPr>
        <w:t>Research and Development</w:t>
      </w:r>
    </w:p>
    <w:p>
      <w:pPr>
        <w:spacing w:after="0" w:line="13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amortization of intangibles related to acquisitions and overhead allocations.</w:t>
      </w:r>
    </w:p>
    <w:p>
      <w:pPr>
        <w:spacing w:after="0" w:line="9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capitalize certain research and development costs related to new products' internal-use software development efforts. Capitalized costs include salaries, benefits, and stock-based compensation charges for employees that are directly involved in developing new products for our cloud security platform during the application development stage. Capitalized costs related to internally developed software under development are treated as construction in progress until the program, feature or functionality is ready for its intended use, at which time amortization commences.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Sales and Marketing</w:t>
      </w:r>
    </w:p>
    <w:p>
      <w:pPr>
        <w:spacing w:after="0" w:line="13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General and Administrative</w:t>
      </w:r>
    </w:p>
    <w:p>
      <w:pPr>
        <w:spacing w:after="0" w:line="13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IT, legal and human resources teams, as well as professional services, fees, software licenses and overhead allocations. We expect that general and administrative expenses will increase in absolute dollars, as we continue to add personnel and incur professional services to support our growth and compliance with legal requirements.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marketable securities; foreign exchange gains and losses, the majority of which result from fluctuations between the U.S. Dollar and the Euro, British Pound and Indian Rupee; and gains and losses from disposal of property and equipment.</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12529"/>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countries at rates which were generally similar to the U.S. statutory tax rate.</w:t>
      </w:r>
    </w:p>
    <w:p>
      <w:pPr>
        <w:spacing w:after="0" w:line="9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12529"/>
        </w:rPr>
        <w:t>Our provision for income taxes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such period. Our effective tax rate differs from the U.S. statutory rate of 21% primarily due to non-deductible stock-based compensation expense, state taxes, and the benefit of U.S. federal income tax credits and foreign-derived intangible income deduction.</w:t>
      </w:r>
    </w:p>
    <w:p>
      <w:pPr>
        <w:spacing w:after="0" w:line="9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12529"/>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9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12529"/>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440" w:type="dxa"/>
            <w:vAlign w:val="bottom"/>
            <w:gridSpan w:val="4"/>
          </w:tcPr>
          <w:p>
            <w:pPr>
              <w:jc w:val="center"/>
              <w:ind w:left="42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2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308"/>
              <w:spacing w:after="0"/>
              <w:rPr>
                <w:sz w:val="20"/>
                <w:szCs w:val="20"/>
                <w:color w:val="auto"/>
              </w:rPr>
            </w:pPr>
            <w:r>
              <w:rPr>
                <w:rFonts w:ascii="Arial" w:cs="Arial" w:eastAsia="Arial" w:hAnsi="Arial"/>
                <w:sz w:val="14"/>
                <w:szCs w:val="14"/>
                <w:b w:val="1"/>
                <w:bCs w:val="1"/>
                <w:color w:val="auto"/>
                <w:w w:val="99"/>
              </w:rPr>
              <w:t>June 30,</w:t>
            </w: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Borders>
              <w:bottom w:val="single" w:sz="8" w:color="auto"/>
            </w:tcBorders>
            <w:gridSpan w:val="3"/>
          </w:tcPr>
          <w:p>
            <w:pPr>
              <w:jc w:val="center"/>
              <w:ind w:left="921"/>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0"/>
        </w:trPr>
        <w:tc>
          <w:tcPr>
            <w:tcW w:w="52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24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3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revenues</w:t>
            </w: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w:t>
            </w:r>
          </w:p>
        </w:tc>
        <w:tc>
          <w:tcPr>
            <w:tcW w:w="1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23</w:t>
            </w:r>
          </w:p>
        </w:tc>
      </w:tr>
      <w:tr>
        <w:trPr>
          <w:trHeight w:val="243"/>
        </w:trPr>
        <w:tc>
          <w:tcPr>
            <w:tcW w:w="6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Gross profit</w:t>
            </w:r>
          </w:p>
        </w:tc>
        <w:tc>
          <w:tcPr>
            <w:tcW w:w="5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78</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77</w:t>
            </w:r>
          </w:p>
        </w:tc>
      </w:tr>
      <w:tr>
        <w:trPr>
          <w:trHeight w:val="233"/>
        </w:trPr>
        <w:tc>
          <w:tcPr>
            <w:tcW w:w="618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3"/>
        </w:trPr>
        <w:tc>
          <w:tcPr>
            <w:tcW w:w="6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5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22</w:t>
            </w:r>
          </w:p>
        </w:tc>
      </w:tr>
      <w:tr>
        <w:trPr>
          <w:trHeight w:val="233"/>
        </w:trPr>
        <w:tc>
          <w:tcPr>
            <w:tcW w:w="6180" w:type="dxa"/>
            <w:vAlign w:val="bottom"/>
            <w:gridSpan w:val="2"/>
          </w:tcPr>
          <w:p>
            <w:pPr>
              <w:ind w:left="220"/>
              <w:spacing w:after="0"/>
              <w:rPr>
                <w:sz w:val="20"/>
                <w:szCs w:val="20"/>
                <w:color w:val="auto"/>
              </w:rPr>
            </w:pPr>
            <w:r>
              <w:rPr>
                <w:rFonts w:ascii="Arial" w:cs="Arial" w:eastAsia="Arial" w:hAnsi="Arial"/>
                <w:sz w:val="16"/>
                <w:szCs w:val="16"/>
                <w:color w:val="auto"/>
              </w:rPr>
              <w:t>Sales and marketing</w:t>
            </w:r>
          </w:p>
        </w:tc>
        <w:tc>
          <w:tcPr>
            <w:tcW w:w="520" w:type="dxa"/>
            <w:vAlign w:val="bottom"/>
          </w:tcPr>
          <w:p>
            <w:pPr>
              <w:jc w:val="right"/>
              <w:ind w:right="1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20"/>
                <w:szCs w:val="20"/>
                <w:color w:val="auto"/>
              </w:rPr>
            </w:pP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22</w:t>
            </w:r>
          </w:p>
        </w:tc>
      </w:tr>
      <w:tr>
        <w:trPr>
          <w:trHeight w:val="246"/>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13</w:t>
            </w:r>
          </w:p>
        </w:tc>
      </w:tr>
      <w:tr>
        <w:trPr>
          <w:trHeight w:val="237"/>
        </w:trPr>
        <w:tc>
          <w:tcPr>
            <w:tcW w:w="5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57</w:t>
            </w:r>
          </w:p>
        </w:tc>
        <w:tc>
          <w:tcPr>
            <w:tcW w:w="1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57</w:t>
            </w:r>
          </w:p>
        </w:tc>
      </w:tr>
      <w:tr>
        <w:trPr>
          <w:trHeight w:val="24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5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20</w:t>
            </w:r>
          </w:p>
        </w:tc>
      </w:tr>
      <w:tr>
        <w:trPr>
          <w:trHeight w:val="23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w:t>
            </w:r>
          </w:p>
        </w:tc>
      </w:tr>
      <w:tr>
        <w:trPr>
          <w:trHeight w:val="24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5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23</w:t>
            </w:r>
          </w:p>
        </w:tc>
      </w:tr>
      <w:tr>
        <w:trPr>
          <w:trHeight w:val="23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w:t>
            </w:r>
          </w:p>
        </w:tc>
      </w:tr>
      <w:tr>
        <w:trPr>
          <w:trHeight w:val="26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Three and Six </w:t>
      </w:r>
      <w:r>
        <w:rPr>
          <w:rFonts w:ascii="Arial" w:cs="Arial" w:eastAsia="Arial" w:hAnsi="Arial"/>
          <w:sz w:val="18"/>
          <w:szCs w:val="18"/>
          <w:b w:val="1"/>
          <w:bCs w:val="1"/>
          <w:color w:val="000000"/>
        </w:rPr>
        <w:t>Months Ended June 30, 2020</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2019</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2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 June</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2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jc w:val="right"/>
              <w:ind w:right="845"/>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26"/>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4"/>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1420" w:type="dxa"/>
            <w:vAlign w:val="bottom"/>
          </w:tcPr>
          <w:p>
            <w:pPr>
              <w:jc w:val="right"/>
              <w:ind w:right="45"/>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7"/>
                <w:szCs w:val="17"/>
                <w:color w:val="auto"/>
              </w:rPr>
            </w:pPr>
          </w:p>
        </w:tc>
      </w:tr>
      <w:tr>
        <w:trPr>
          <w:trHeight w:val="209"/>
        </w:trPr>
        <w:tc>
          <w:tcPr>
            <w:tcW w:w="26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r>
      <w:tr>
        <w:trPr>
          <w:trHeight w:val="210"/>
        </w:trPr>
        <w:tc>
          <w:tcPr>
            <w:tcW w:w="2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4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88,830</w:t>
            </w:r>
          </w:p>
        </w:tc>
        <w:tc>
          <w:tcPr>
            <w:tcW w:w="118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   78,929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506"/>
              <w:spacing w:after="0"/>
              <w:rPr>
                <w:sz w:val="20"/>
                <w:szCs w:val="20"/>
                <w:color w:val="auto"/>
              </w:rPr>
            </w:pPr>
            <w:r>
              <w:rPr>
                <w:rFonts w:ascii="Arial" w:cs="Arial" w:eastAsia="Arial" w:hAnsi="Arial"/>
                <w:sz w:val="16"/>
                <w:szCs w:val="16"/>
                <w:color w:val="auto"/>
              </w:rPr>
              <w:t>9,901</w:t>
            </w:r>
          </w:p>
        </w:tc>
        <w:tc>
          <w:tcPr>
            <w:tcW w:w="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12.5 %</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  175,093</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154,272</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rPr>
              <w:t>$   20,821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r>
    </w:tbl>
    <w:p>
      <w:pPr>
        <w:spacing w:after="0" w:line="2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Revenues increased $9.9 million for the three months ended June 30, 2020 compared to the three months ended June 30, 2019, due to an increase in the purchase of subscriptions from existing customers and new customer subscriptions entered into after June 30, 2019</w:t>
      </w:r>
      <w:r>
        <w:rPr>
          <w:rFonts w:ascii="Arial" w:cs="Arial" w:eastAsia="Arial" w:hAnsi="Arial"/>
          <w:sz w:val="18"/>
          <w:szCs w:val="18"/>
          <w:color w:val="BF2115"/>
        </w:rPr>
        <w:t>.</w:t>
      </w:r>
      <w:r>
        <w:rPr>
          <w:rFonts w:ascii="Arial" w:cs="Arial" w:eastAsia="Arial" w:hAnsi="Arial"/>
          <w:sz w:val="18"/>
          <w:szCs w:val="18"/>
          <w:color w:val="auto"/>
        </w:rPr>
        <w:t xml:space="preserve"> Of the total increase of $9.9 million, $6.3 million was from customers in the United States and the remaining $3.6 million was from customers in foreign countries.</w:t>
      </w:r>
    </w:p>
    <w:p>
      <w:pPr>
        <w:spacing w:after="0" w:line="3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Revenues increased $20.8 million for the six months ended June 30, 2020 compared to the six months ended June 30, 2019, due to an increase in the purchase of subscriptions from existing customers and new customer subscriptions entered into after June 30, 2019. Of the total increase of $20.8 million, $12.6 million was from customers in the United States and the remaining $8.2 million was from customers in foreign countries. We expect revenue growth from existing and new customers to continue. The growth in revenues reflects the continued demand for our solutions.</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2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 June</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2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jc w:val="right"/>
              <w:ind w:right="865"/>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26"/>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4"/>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7"/>
                <w:szCs w:val="17"/>
                <w:color w:val="auto"/>
              </w:rPr>
            </w:pPr>
          </w:p>
        </w:tc>
        <w:tc>
          <w:tcPr>
            <w:tcW w:w="1160" w:type="dxa"/>
            <w:vAlign w:val="bottom"/>
          </w:tcPr>
          <w:p>
            <w:pPr>
              <w:jc w:val="right"/>
              <w:ind w:right="45"/>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7"/>
                <w:szCs w:val="17"/>
                <w:color w:val="auto"/>
              </w:rPr>
            </w:pPr>
          </w:p>
        </w:tc>
      </w:tr>
      <w:tr>
        <w:trPr>
          <w:trHeight w:val="210"/>
        </w:trPr>
        <w:tc>
          <w:tcPr>
            <w:tcW w:w="26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r>
      <w:tr>
        <w:trPr>
          <w:trHeight w:val="210"/>
        </w:trPr>
        <w:tc>
          <w:tcPr>
            <w:tcW w:w="2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5"/>
          </w:tcPr>
          <w:p>
            <w:pPr>
              <w:jc w:val="right"/>
              <w:ind w:right="59"/>
              <w:spacing w:after="0"/>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49"/>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18,891</w:t>
            </w:r>
          </w:p>
        </w:tc>
        <w:tc>
          <w:tcPr>
            <w:tcW w:w="11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   17,537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506"/>
              <w:spacing w:after="0"/>
              <w:rPr>
                <w:sz w:val="20"/>
                <w:szCs w:val="20"/>
                <w:color w:val="auto"/>
              </w:rPr>
            </w:pPr>
            <w:r>
              <w:rPr>
                <w:rFonts w:ascii="Arial" w:cs="Arial" w:eastAsia="Arial" w:hAnsi="Arial"/>
                <w:sz w:val="16"/>
                <w:szCs w:val="16"/>
                <w:color w:val="auto"/>
              </w:rPr>
              <w:t>1,354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   37,386</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35,246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rPr>
              <w:t>2,140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Cost of revenues increased $1.4 million for the three months ended June 30, 2020 compared to the three months ended June 30, 2019. The increase was primarily due to an increase in licenses and software services of $0.5 million, an increase in data center costs of $0.3 million to meet growing demand, an increase in personnel expenses of $0.3 million due to our continued business growth and a $0.3 million increase in allocation of overhead costs to the cost of revenue department related to increased leasing expenses for our new office in India.</w:t>
      </w:r>
    </w:p>
    <w:p>
      <w:pPr>
        <w:spacing w:after="0" w:line="21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Cost of revenues increased $2.1 million for the six months ended June 30, 2020 compared to the six months ended June 30, 2019. The increase was primarily due to an increase in licenses and software services of $0.9 million, an increase in data center costs of $0.8 million and an increase in equipment repair and maintenance expense of $0.6 million.</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 June</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2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jc w:val="right"/>
              <w:ind w:right="845"/>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26"/>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4"/>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7"/>
                <w:szCs w:val="17"/>
                <w:color w:val="auto"/>
              </w:rPr>
            </w:pPr>
          </w:p>
        </w:tc>
        <w:tc>
          <w:tcPr>
            <w:tcW w:w="1160" w:type="dxa"/>
            <w:vAlign w:val="bottom"/>
          </w:tcPr>
          <w:p>
            <w:pPr>
              <w:jc w:val="right"/>
              <w:ind w:right="45"/>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7"/>
                <w:szCs w:val="17"/>
                <w:color w:val="auto"/>
              </w:rPr>
            </w:pPr>
          </w:p>
        </w:tc>
      </w:tr>
      <w:tr>
        <w:trPr>
          <w:trHeight w:val="210"/>
        </w:trPr>
        <w:tc>
          <w:tcPr>
            <w:tcW w:w="27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r>
      <w:tr>
        <w:trPr>
          <w:trHeight w:val="209"/>
        </w:trPr>
        <w:tc>
          <w:tcPr>
            <w:tcW w:w="2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5"/>
          </w:tcPr>
          <w:p>
            <w:pPr>
              <w:jc w:val="right"/>
              <w:ind w:right="39"/>
              <w:spacing w:after="0"/>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4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18,058</w:t>
            </w:r>
          </w:p>
        </w:tc>
        <w:tc>
          <w:tcPr>
            <w:tcW w:w="118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   17,695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526"/>
              <w:spacing w:after="0"/>
              <w:rPr>
                <w:sz w:val="20"/>
                <w:szCs w:val="20"/>
                <w:color w:val="auto"/>
              </w:rPr>
            </w:pPr>
            <w:r>
              <w:rPr>
                <w:rFonts w:ascii="Arial" w:cs="Arial" w:eastAsia="Arial" w:hAnsi="Arial"/>
                <w:sz w:val="16"/>
                <w:szCs w:val="16"/>
                <w:color w:val="auto"/>
              </w:rPr>
              <w:t>363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   36,041</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33,532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rPr>
              <w:t>2,509</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r>
    </w:tbl>
    <w:p>
      <w:pPr>
        <w:spacing w:after="0" w:line="21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Research and development expenses increased $0.4 million for the three months ended June 30, 2020 compared to the three months ended June 30, 2019, primarily due to a $0.7 million increase in allocation of overhead costs to the research and development department mainly caused by an increase in leasing expenses for our new office in India, an increase in stock-based compensation expense of $0.6 million driven by additional employees hired to support the growth of our business and an increase in depreciation and amortization expenses of $0.2 million as a result of increased purchase of computer equipment. These increases were partially offset by a decrease in acquisition-related expense of $1.1 million.</w:t>
      </w:r>
    </w:p>
    <w:p>
      <w:pPr>
        <w:spacing w:after="0" w:line="10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Research and development expenses increased $2.5 million for the six months ended June 30, 2020 compared to the six months ended June 30, 2019, primarily due to an increase in stock-based compensation expense of $1.7 million driven by the headcount increase to support the growth of our business, an increase in allocation of overhead costs to the research and development department of $1.5 million mainly caused by an increase in leasing expenses for our new office in India and an increase in depreciation and amortization expenses as a result of increased purchase of computer equipment of $0.4 million. These increases were partially offset by a decrease in acquisition-related expense of $1.2 million.</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2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Three Months Ended June</w:t>
            </w: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2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jc w:val="right"/>
              <w:ind w:right="845"/>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7"/>
                <w:szCs w:val="17"/>
                <w:color w:val="auto"/>
              </w:rPr>
            </w:pPr>
          </w:p>
        </w:tc>
        <w:tc>
          <w:tcPr>
            <w:tcW w:w="1420" w:type="dxa"/>
            <w:vAlign w:val="bottom"/>
          </w:tcPr>
          <w:p>
            <w:pPr>
              <w:jc w:val="right"/>
              <w:ind w:right="26"/>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4"/>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7"/>
                <w:szCs w:val="17"/>
                <w:color w:val="auto"/>
              </w:rPr>
            </w:pPr>
          </w:p>
        </w:tc>
        <w:tc>
          <w:tcPr>
            <w:tcW w:w="1140" w:type="dxa"/>
            <w:vAlign w:val="bottom"/>
          </w:tcPr>
          <w:p>
            <w:pPr>
              <w:jc w:val="right"/>
              <w:ind w:right="25"/>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7"/>
                <w:szCs w:val="17"/>
                <w:color w:val="auto"/>
              </w:rPr>
            </w:pPr>
          </w:p>
        </w:tc>
      </w:tr>
      <w:tr>
        <w:trPr>
          <w:trHeight w:val="209"/>
        </w:trPr>
        <w:tc>
          <w:tcPr>
            <w:tcW w:w="26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r>
      <w:tr>
        <w:trPr>
          <w:trHeight w:val="210"/>
        </w:trPr>
        <w:tc>
          <w:tcPr>
            <w:tcW w:w="2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gridSpan w:val="5"/>
          </w:tcPr>
          <w:p>
            <w:pPr>
              <w:jc w:val="right"/>
              <w:ind w:right="79"/>
              <w:spacing w:after="0"/>
              <w:rPr>
                <w:sz w:val="20"/>
                <w:szCs w:val="20"/>
                <w:color w:val="auto"/>
              </w:rPr>
            </w:pPr>
            <w:r>
              <w:rPr>
                <w:rFonts w:ascii="Arial" w:cs="Arial" w:eastAsia="Arial" w:hAnsi="Arial"/>
                <w:sz w:val="14"/>
                <w:szCs w:val="14"/>
                <w:b w:val="1"/>
                <w:bCs w:val="1"/>
                <w:color w:val="auto"/>
              </w:rPr>
              <w:t>(in thousands, except percentages)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4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15,783</w:t>
            </w:r>
          </w:p>
        </w:tc>
        <w:tc>
          <w:tcPr>
            <w:tcW w:w="11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   17,165</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466"/>
              <w:spacing w:after="0"/>
              <w:rPr>
                <w:sz w:val="20"/>
                <w:szCs w:val="20"/>
                <w:color w:val="auto"/>
              </w:rPr>
            </w:pPr>
            <w:r>
              <w:rPr>
                <w:rFonts w:ascii="Arial" w:cs="Arial" w:eastAsia="Arial" w:hAnsi="Arial"/>
                <w:sz w:val="16"/>
                <w:szCs w:val="16"/>
                <w:color w:val="auto"/>
              </w:rPr>
              <w:t>$   (1,382)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   34,013</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34,480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85"/>
              <w:spacing w:after="0"/>
              <w:rPr>
                <w:sz w:val="20"/>
                <w:szCs w:val="20"/>
                <w:color w:val="auto"/>
              </w:rPr>
            </w:pPr>
            <w:r>
              <w:rPr>
                <w:rFonts w:ascii="Arial" w:cs="Arial" w:eastAsia="Arial" w:hAnsi="Arial"/>
                <w:sz w:val="16"/>
                <w:szCs w:val="16"/>
                <w:color w:val="auto"/>
              </w:rPr>
              <w:t>(467)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bl>
    <w:p>
      <w:pPr>
        <w:spacing w:after="0" w:line="21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Sales and marketing expenses decreased $1.4 million for the three months ended June 30, 2020 compared to the three months ended June 30, 2019, primarily due to a decrease in trade show costs of $1.3 million driven by rescheduling or cancellation of events or changing to online events and a decrease in travel related expenses of $1.0 million due to the COVID-19 pandemic, partially offset by an increase in commission expense of $0.6 million and an increase in stock-based compensation expense of $0.5 million due to additional employees hired to support the growth of our business.</w:t>
      </w:r>
    </w:p>
    <w:p>
      <w:pPr>
        <w:spacing w:after="0" w:line="9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Sales and marketing expenses decreased $0.5 million for the six months ended June 30, 2020 compared to the six months ended June 30, 2019, primarily due to a decrease in trade show costs of $1.0 million driven by rescheduling or cancellation of events or changing to online events, a decrease in travel related expenses of $0.8 million and a decrease in customer acquisition costs of $0.2 million. These decreases were partially offset by an increase in stock-based compensation expense of $0.9 million and an increase in personnel costs of $0.5 million, driven by additional employees hired to support the growth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 June</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2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jc w:val="right"/>
              <w:ind w:right="845"/>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26"/>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4"/>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7"/>
                <w:szCs w:val="17"/>
                <w:color w:val="auto"/>
              </w:rPr>
            </w:pPr>
          </w:p>
        </w:tc>
        <w:tc>
          <w:tcPr>
            <w:tcW w:w="1140" w:type="dxa"/>
            <w:vAlign w:val="bottom"/>
          </w:tcPr>
          <w:p>
            <w:pPr>
              <w:jc w:val="right"/>
              <w:ind w:right="25"/>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7"/>
                <w:szCs w:val="17"/>
                <w:color w:val="auto"/>
              </w:rPr>
            </w:pPr>
          </w:p>
        </w:tc>
      </w:tr>
      <w:tr>
        <w:trPr>
          <w:trHeight w:val="209"/>
        </w:trPr>
        <w:tc>
          <w:tcPr>
            <w:tcW w:w="27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r>
      <w:tr>
        <w:trPr>
          <w:trHeight w:val="209"/>
        </w:trPr>
        <w:tc>
          <w:tcPr>
            <w:tcW w:w="2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5"/>
          </w:tcPr>
          <w:p>
            <w:pPr>
              <w:jc w:val="right"/>
              <w:ind w:right="59"/>
              <w:spacing w:after="0"/>
              <w:rPr>
                <w:sz w:val="20"/>
                <w:szCs w:val="20"/>
                <w:color w:val="auto"/>
              </w:rPr>
            </w:pPr>
            <w:r>
              <w:rPr>
                <w:rFonts w:ascii="Arial" w:cs="Arial" w:eastAsia="Arial" w:hAnsi="Arial"/>
                <w:sz w:val="14"/>
                <w:szCs w:val="14"/>
                <w:b w:val="1"/>
                <w:bCs w:val="1"/>
                <w:color w:val="auto"/>
              </w:rPr>
              <w:t>(in thousands, except percentages)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4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10,590</w:t>
            </w:r>
          </w:p>
        </w:tc>
        <w:tc>
          <w:tcPr>
            <w:tcW w:w="118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   10,424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506"/>
              <w:spacing w:after="0"/>
              <w:rPr>
                <w:sz w:val="20"/>
                <w:szCs w:val="20"/>
                <w:color w:val="auto"/>
              </w:rPr>
            </w:pPr>
            <w:r>
              <w:rPr>
                <w:rFonts w:ascii="Arial" w:cs="Arial" w:eastAsia="Arial" w:hAnsi="Arial"/>
                <w:sz w:val="16"/>
                <w:szCs w:val="16"/>
                <w:color w:val="auto"/>
              </w:rPr>
              <w:t>166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   21,714</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20,855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rPr>
              <w:t>859</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r>
    </w:tbl>
    <w:p>
      <w:pPr>
        <w:spacing w:after="0" w:line="21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General and administrative expenses increased $0.2 million for the </w:t>
      </w:r>
      <w:r>
        <w:rPr>
          <w:rFonts w:ascii="Arial" w:cs="Arial" w:eastAsia="Arial" w:hAnsi="Arial"/>
          <w:sz w:val="18"/>
          <w:szCs w:val="18"/>
          <w:color w:val="000000"/>
        </w:rPr>
        <w:t>three months ended June 30, 2020 compared to the three months</w:t>
      </w:r>
      <w:r>
        <w:rPr>
          <w:rFonts w:ascii="Arial" w:cs="Arial" w:eastAsia="Arial" w:hAnsi="Arial"/>
          <w:sz w:val="18"/>
          <w:szCs w:val="18"/>
          <w:color w:val="231F20"/>
        </w:rPr>
        <w:t xml:space="preserve"> </w:t>
      </w:r>
      <w:r>
        <w:rPr>
          <w:rFonts w:ascii="Arial" w:cs="Arial" w:eastAsia="Arial" w:hAnsi="Arial"/>
          <w:sz w:val="18"/>
          <w:szCs w:val="18"/>
          <w:color w:val="000000"/>
        </w:rPr>
        <w:t>ended June 30, 2019, primarily due to an increase in legal fees of $0.3 million and $0.3 million increase in personnel costs due to additional employees hired to support the growth of our business, partially offset by a decrease in miscellaneous expense of $0.3 million.</w:t>
      </w:r>
    </w:p>
    <w:p>
      <w:pPr>
        <w:spacing w:after="0" w:line="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General and administrative expenses increased by $0.9 million for the six months ended June 30, 2020 compared to the six months ended June 30, 2019, primarily due to an increase in legal fees of $0.7 million and an increase in personnel costs of $0.5 million driven by an increase in headcount, partially offset by a decrease in miscellaneous expense of $0.3 million.</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Total Other Income,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Three Months Ended June</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jc w:val="right"/>
              <w:ind w:right="104"/>
              <w:spacing w:after="0"/>
              <w:rPr>
                <w:sz w:val="20"/>
                <w:szCs w:val="20"/>
                <w:color w:val="auto"/>
              </w:rPr>
            </w:pPr>
            <w:r>
              <w:rPr>
                <w:rFonts w:ascii="Arial" w:cs="Arial" w:eastAsia="Arial" w:hAnsi="Arial"/>
                <w:sz w:val="14"/>
                <w:szCs w:val="14"/>
                <w:b w:val="1"/>
                <w:bCs w:val="1"/>
                <w:color w:val="auto"/>
              </w:rPr>
              <w:t>30,</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6"/>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7"/>
                <w:szCs w:val="17"/>
                <w:color w:val="auto"/>
              </w:rPr>
            </w:pPr>
          </w:p>
        </w:tc>
      </w:tr>
      <w:tr>
        <w:trPr>
          <w:trHeight w:val="209"/>
        </w:trPr>
        <w:tc>
          <w:tcPr>
            <w:tcW w:w="26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785"/>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r>
      <w:tr>
        <w:trPr>
          <w:trHeight w:val="209"/>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6"/>
          </w:tcPr>
          <w:p>
            <w:pPr>
              <w:jc w:val="right"/>
              <w:ind w:right="39"/>
              <w:spacing w:after="0"/>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4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4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2,401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66"/>
              <w:spacing w:after="0"/>
              <w:rPr>
                <w:sz w:val="20"/>
                <w:szCs w:val="20"/>
                <w:color w:val="auto"/>
              </w:rPr>
            </w:pPr>
            <w:r>
              <w:rPr>
                <w:rFonts w:ascii="Arial" w:cs="Arial" w:eastAsia="Arial" w:hAnsi="Arial"/>
                <w:sz w:val="16"/>
                <w:szCs w:val="16"/>
                <w:color w:val="auto"/>
              </w:rPr>
              <w:t>(815)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3,372</w:t>
            </w:r>
          </w:p>
        </w:tc>
        <w:tc>
          <w:tcPr>
            <w:tcW w:w="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4,187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45"/>
              <w:spacing w:after="0"/>
              <w:rPr>
                <w:sz w:val="20"/>
                <w:szCs w:val="20"/>
                <w:color w:val="auto"/>
              </w:rPr>
            </w:pPr>
            <w:r>
              <w:rPr>
                <w:rFonts w:ascii="Arial" w:cs="Arial" w:eastAsia="Arial" w:hAnsi="Arial"/>
                <w:sz w:val="16"/>
                <w:szCs w:val="16"/>
                <w:color w:val="auto"/>
              </w:rPr>
              <w:t>(815)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r>
    </w:tbl>
    <w:p>
      <w:pPr>
        <w:spacing w:after="0" w:line="21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T</w:t>
      </w:r>
      <w:r>
        <w:rPr>
          <w:rFonts w:ascii="Arial" w:cs="Arial" w:eastAsia="Arial" w:hAnsi="Arial"/>
          <w:sz w:val="18"/>
          <w:szCs w:val="18"/>
          <w:color w:val="000000"/>
        </w:rPr>
        <w:t>otal other income, net decreased by $0.8 million for each of the three and six months ended June 30, 2020 compared to the same</w:t>
      </w:r>
      <w:r>
        <w:rPr>
          <w:rFonts w:ascii="Arial" w:cs="Arial" w:eastAsia="Arial" w:hAnsi="Arial"/>
          <w:sz w:val="18"/>
          <w:szCs w:val="18"/>
          <w:color w:val="231F20"/>
        </w:rPr>
        <w:t xml:space="preserve"> </w:t>
      </w:r>
      <w:r>
        <w:rPr>
          <w:rFonts w:ascii="Arial" w:cs="Arial" w:eastAsia="Arial" w:hAnsi="Arial"/>
          <w:sz w:val="18"/>
          <w:szCs w:val="18"/>
          <w:color w:val="000000"/>
        </w:rPr>
        <w:t>periods ended June 30, 2019, primarily due to a decrease in interest income and accretion of discount from our marketable securities portfolio.</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60" w:type="dxa"/>
            <w:vAlign w:val="bottom"/>
          </w:tcPr>
          <w:p>
            <w:pPr>
              <w:spacing w:after="0"/>
              <w:rPr>
                <w:sz w:val="17"/>
                <w:szCs w:val="17"/>
                <w:color w:val="auto"/>
              </w:rPr>
            </w:pPr>
          </w:p>
        </w:tc>
        <w:tc>
          <w:tcPr>
            <w:tcW w:w="22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380" w:type="dxa"/>
            <w:vAlign w:val="bottom"/>
          </w:tcPr>
          <w:p>
            <w:pPr>
              <w:jc w:val="right"/>
              <w:ind w:right="6"/>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4"/>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7"/>
                <w:szCs w:val="17"/>
                <w:color w:val="auto"/>
              </w:rPr>
            </w:pPr>
          </w:p>
        </w:tc>
        <w:tc>
          <w:tcPr>
            <w:tcW w:w="1120" w:type="dxa"/>
            <w:vAlign w:val="bottom"/>
          </w:tcPr>
          <w:p>
            <w:pPr>
              <w:jc w:val="right"/>
              <w:ind w:right="25"/>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7"/>
                <w:szCs w:val="17"/>
                <w:color w:val="auto"/>
              </w:rPr>
            </w:pPr>
          </w:p>
        </w:tc>
      </w:tr>
      <w:tr>
        <w:trPr>
          <w:trHeight w:val="210"/>
        </w:trPr>
        <w:tc>
          <w:tcPr>
            <w:tcW w:w="25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t>
            </w:r>
          </w:p>
        </w:tc>
      </w:tr>
      <w:tr>
        <w:trPr>
          <w:trHeight w:val="209"/>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gridSpan w:val="6"/>
          </w:tcPr>
          <w:p>
            <w:pPr>
              <w:jc w:val="right"/>
              <w:ind w:right="139"/>
              <w:spacing w:after="0"/>
              <w:rPr>
                <w:sz w:val="20"/>
                <w:szCs w:val="20"/>
                <w:color w:val="auto"/>
              </w:rPr>
            </w:pPr>
            <w:r>
              <w:rPr>
                <w:rFonts w:ascii="Arial" w:cs="Arial" w:eastAsia="Arial" w:hAnsi="Arial"/>
                <w:sz w:val="14"/>
                <w:szCs w:val="14"/>
                <w:b w:val="1"/>
                <w:bCs w:val="1"/>
                <w:color w:val="auto"/>
              </w:rPr>
              <w:t>(in thousands, except percentages)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4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775</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2,277</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446"/>
              <w:spacing w:after="0"/>
              <w:rPr>
                <w:sz w:val="20"/>
                <w:szCs w:val="20"/>
                <w:color w:val="auto"/>
              </w:rPr>
            </w:pPr>
            <w:r>
              <w:rPr>
                <w:rFonts w:ascii="Arial" w:cs="Arial" w:eastAsia="Arial" w:hAnsi="Arial"/>
                <w:sz w:val="16"/>
                <w:szCs w:val="16"/>
                <w:color w:val="auto"/>
              </w:rPr>
              <w:t>$   (1,502)</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(66.0)%  $</w:t>
            </w:r>
          </w:p>
        </w:tc>
        <w:tc>
          <w:tcPr>
            <w:tcW w:w="94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4,298</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4,848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65"/>
              <w:spacing w:after="0"/>
              <w:rPr>
                <w:sz w:val="20"/>
                <w:szCs w:val="20"/>
                <w:color w:val="auto"/>
              </w:rPr>
            </w:pPr>
            <w:r>
              <w:rPr>
                <w:rFonts w:ascii="Arial" w:cs="Arial" w:eastAsia="Arial" w:hAnsi="Arial"/>
                <w:sz w:val="16"/>
                <w:szCs w:val="16"/>
                <w:color w:val="auto"/>
              </w:rPr>
              <w:t>(550)</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3"/>
        </w:trPr>
        <w:tc>
          <w:tcPr>
            <w:tcW w:w="256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22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2.9 %</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8.7 %</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23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recorded an income tax provision of $0.8 million and $2.3 million for the three months ended June 30, 2020 and 2019, respectively, and $4.3 million and $4.8 million for the six months ended June 30, 2020 and 2019, respectively. The decreases in income tax provision for the three and six months ended June 30, 2020 compared to the same periods ended June 30, 2019 were primarily due to higher excess tax benefits from stock-based compensation in the current period.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Non-GAAP Metric</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Non-GAAP key metric set forth below to help us evaluate growth trends, establish budgets, measure the effectiveness of our sales and marketing efforts and assess operational efficiencies.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provides an additional tool for investors to use in comparing our recurring core business operating results over multiple periods with other companies in our industry.</w:t>
      </w:r>
    </w:p>
    <w:p>
      <w:pPr>
        <w:spacing w:after="0" w:line="9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Adjusted EBITDA should not be considered in isolation from, or as a substitute for, financial information prepared in accordance with U.S. GAAP. </w:t>
      </w:r>
      <w:r>
        <w:rPr>
          <w:rFonts w:ascii="Arial" w:cs="Arial" w:eastAsia="Arial" w:hAnsi="Arial"/>
          <w:sz w:val="18"/>
          <w:szCs w:val="18"/>
          <w:color w:val="231F20"/>
        </w:rPr>
        <w:t>We calculate Adjusted EBITDA as net income before (1) other (income) expense, net, which includes interest income, interest</w:t>
      </w:r>
      <w:r>
        <w:rPr>
          <w:rFonts w:ascii="Arial" w:cs="Arial" w:eastAsia="Arial" w:hAnsi="Arial"/>
          <w:sz w:val="18"/>
          <w:szCs w:val="18"/>
          <w:color w:val="auto"/>
        </w:rPr>
        <w:t xml:space="preserve"> </w:t>
      </w:r>
      <w:r>
        <w:rPr>
          <w:rFonts w:ascii="Arial" w:cs="Arial" w:eastAsia="Arial" w:hAnsi="Arial"/>
          <w:sz w:val="18"/>
          <w:szCs w:val="18"/>
          <w:color w:val="231F20"/>
        </w:rPr>
        <w:t>expense and other income and expense, (2) provision for (benefit from) income taxes, (3) depreciation of property and equipment, (4) amortization of intangible assets, (5) stock-based compensation, (6) non-recurring expenses and (7) cash acquisition-related expense that do not reflect ongoing costs of operating the business.</w:t>
      </w:r>
    </w:p>
    <w:p>
      <w:pPr>
        <w:spacing w:after="0" w:line="97"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Adjusted EBITDA has limitations as an analytical tool and should not be considered in isolation from or as a substitute for the measures presented in accordance with U.S. GAAP. Some of these limitations are:</w:t>
      </w:r>
    </w:p>
    <w:p>
      <w:pPr>
        <w:spacing w:after="0" w:line="9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 and</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90"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840" w:type="dxa"/>
            <w:vAlign w:val="bottom"/>
            <w:gridSpan w:val="3"/>
          </w:tcPr>
          <w:p>
            <w:pPr>
              <w:jc w:val="center"/>
              <w:ind w:left="484"/>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22"/>
        </w:trPr>
        <w:tc>
          <w:tcPr>
            <w:tcW w:w="48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744"/>
              <w:spacing w:after="0"/>
              <w:rPr>
                <w:sz w:val="20"/>
                <w:szCs w:val="20"/>
                <w:color w:val="auto"/>
              </w:rPr>
            </w:pPr>
            <w:r>
              <w:rPr>
                <w:rFonts w:ascii="Arial" w:cs="Arial" w:eastAsia="Arial" w:hAnsi="Arial"/>
                <w:sz w:val="14"/>
                <w:szCs w:val="14"/>
                <w:b w:val="1"/>
                <w:bCs w:val="1"/>
                <w:color w:val="auto"/>
                <w:w w:val="99"/>
              </w:rPr>
              <w:t>June 30,</w:t>
            </w:r>
          </w:p>
        </w:tc>
        <w:tc>
          <w:tcPr>
            <w:tcW w:w="11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center"/>
              <w:ind w:left="484"/>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tcBorders>
              <w:bottom w:val="single" w:sz="8" w:color="auto"/>
            </w:tcBorders>
          </w:tcPr>
          <w:p>
            <w:pPr>
              <w:spacing w:after="0"/>
              <w:rPr>
                <w:sz w:val="19"/>
                <w:szCs w:val="19"/>
                <w:color w:val="auto"/>
              </w:rPr>
            </w:pPr>
          </w:p>
        </w:tc>
      </w:tr>
      <w:tr>
        <w:trPr>
          <w:trHeight w:val="210"/>
        </w:trPr>
        <w:tc>
          <w:tcPr>
            <w:tcW w:w="4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w w:val="96"/>
              </w:rPr>
              <w:t>2019</w:t>
            </w:r>
          </w:p>
        </w:tc>
      </w:tr>
      <w:tr>
        <w:trPr>
          <w:trHeight w:val="210"/>
        </w:trPr>
        <w:tc>
          <w:tcPr>
            <w:tcW w:w="4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percentages)</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42,838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33,376</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81,033</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64,001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48 %</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42 %</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41 %</w:t>
            </w: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unaudited table presents the reconciliation of net income to Adjusted EBITDA for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24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9"/>
                <w:szCs w:val="19"/>
                <w:color w:val="auto"/>
              </w:rPr>
            </w:pPr>
          </w:p>
        </w:tc>
      </w:tr>
      <w:tr>
        <w:trPr>
          <w:trHeight w:val="210"/>
        </w:trPr>
        <w:tc>
          <w:tcPr>
            <w:tcW w:w="5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209"/>
        </w:trPr>
        <w:tc>
          <w:tcPr>
            <w:tcW w:w="5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26,319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16,232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45,013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29,498</w:t>
            </w:r>
          </w:p>
        </w:tc>
      </w:tr>
      <w:tr>
        <w:trPr>
          <w:trHeight w:val="233"/>
        </w:trPr>
        <w:tc>
          <w:tcPr>
            <w:tcW w:w="5280" w:type="dxa"/>
            <w:vAlign w:val="bottom"/>
          </w:tcPr>
          <w:p>
            <w:pPr>
              <w:ind w:left="220"/>
              <w:spacing w:after="0"/>
              <w:rPr>
                <w:sz w:val="20"/>
                <w:szCs w:val="20"/>
                <w:color w:val="auto"/>
              </w:rPr>
            </w:pPr>
            <w:r>
              <w:rPr>
                <w:rFonts w:ascii="Arial" w:cs="Arial" w:eastAsia="Arial" w:hAnsi="Arial"/>
                <w:sz w:val="16"/>
                <w:szCs w:val="16"/>
                <w:color w:val="auto"/>
              </w:rPr>
              <w:t>Depreciation and amortization of property and equipment</w:t>
            </w:r>
          </w:p>
        </w:tc>
        <w:tc>
          <w:tcPr>
            <w:tcW w:w="340" w:type="dxa"/>
            <w:vAlign w:val="bottom"/>
          </w:tcPr>
          <w:p>
            <w:pPr>
              <w:spacing w:after="0"/>
              <w:rPr>
                <w:sz w:val="20"/>
                <w:szCs w:val="20"/>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6,366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6,354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12,593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12,769</w:t>
            </w:r>
          </w:p>
        </w:tc>
      </w:tr>
      <w:tr>
        <w:trPr>
          <w:trHeight w:val="253"/>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1,520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1,520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3,040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3,040</w:t>
            </w:r>
          </w:p>
        </w:tc>
      </w:tr>
      <w:tr>
        <w:trPr>
          <w:trHeight w:val="233"/>
        </w:trPr>
        <w:tc>
          <w:tcPr>
            <w:tcW w:w="5280" w:type="dxa"/>
            <w:vAlign w:val="bottom"/>
          </w:tcPr>
          <w:p>
            <w:pPr>
              <w:ind w:left="220"/>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20"/>
                <w:szCs w:val="20"/>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2,277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4,298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4,848</w:t>
            </w:r>
          </w:p>
        </w:tc>
      </w:tr>
      <w:tr>
        <w:trPr>
          <w:trHeight w:val="253"/>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9,444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8,335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19,441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16,780</w:t>
            </w:r>
          </w:p>
        </w:tc>
      </w:tr>
      <w:tr>
        <w:trPr>
          <w:trHeight w:val="233"/>
        </w:trPr>
        <w:tc>
          <w:tcPr>
            <w:tcW w:w="52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3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(1,586)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(2,401)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(3,372)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(4,187)</w:t>
            </w:r>
          </w:p>
        </w:tc>
      </w:tr>
      <w:tr>
        <w:trPr>
          <w:trHeight w:val="253"/>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Acquisition-related expenses </w:t>
            </w:r>
            <w:r>
              <w:rPr>
                <w:rFonts w:ascii="Arial" w:cs="Arial" w:eastAsia="Arial" w:hAnsi="Arial"/>
                <w:sz w:val="21"/>
                <w:szCs w:val="21"/>
                <w:color w:val="auto"/>
                <w:vertAlign w:val="superscript"/>
              </w:rPr>
              <w:t>(1) (2) (3)</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1,059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1,253</w:t>
            </w:r>
          </w:p>
        </w:tc>
      </w:tr>
      <w:tr>
        <w:trPr>
          <w:trHeight w:val="237"/>
        </w:trPr>
        <w:tc>
          <w:tcPr>
            <w:tcW w:w="52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42,838</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33,376</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81,033</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64,001</w:t>
            </w:r>
          </w:p>
        </w:tc>
      </w:tr>
      <w:tr>
        <w:trPr>
          <w:trHeight w:val="20"/>
        </w:trPr>
        <w:tc>
          <w:tcPr>
            <w:tcW w:w="5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For six months ended June 30, 2020, includes $0.02 million of compensation related to acquisitions in 2019 and 2018.</w:t>
      </w:r>
    </w:p>
    <w:p>
      <w:pPr>
        <w:spacing w:after="0" w:line="21" w:lineRule="exact"/>
        <w:rPr>
          <w:rFonts w:ascii="Arial" w:cs="Arial" w:eastAsia="Arial" w:hAnsi="Arial"/>
          <w:sz w:val="16"/>
          <w:szCs w:val="16"/>
          <w:i w:val="1"/>
          <w:iCs w:val="1"/>
          <w:color w:val="auto"/>
        </w:rPr>
      </w:pPr>
    </w:p>
    <w:p>
      <w:pPr>
        <w:ind w:right="280" w:firstLine="8"/>
        <w:spacing w:after="0" w:line="246" w:lineRule="auto"/>
        <w:tabs>
          <w:tab w:leader="none" w:pos="243"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For three months ended June 30, 2019, includes $0.1 million, $0.9 million and $0.04 million of compensation related to acquisitions in 2019, 2018 and 2017, respectively.</w:t>
      </w:r>
    </w:p>
    <w:p>
      <w:pPr>
        <w:ind w:right="80" w:firstLine="8"/>
        <w:spacing w:after="0" w:line="260" w:lineRule="auto"/>
        <w:tabs>
          <w:tab w:leader="none" w:pos="243"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For six months ended June 30, 2019, includes $0.5 million, $2.1 million and $0.1 million of compensation related to acquisitions in 2019, 2018 and 2017, respectively, offset by $1.4 million of reversals of previous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74"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June 30, 2020</w:t>
      </w:r>
      <w:r>
        <w:rPr>
          <w:rFonts w:ascii="Arial" w:cs="Arial" w:eastAsia="Arial" w:hAnsi="Arial"/>
          <w:sz w:val="18"/>
          <w:szCs w:val="18"/>
          <w:color w:val="231F20"/>
        </w:rPr>
        <w:t xml:space="preserve">, our principal source of liquidity was cash, cash equivalents, and marketable securities of $445.3 million, including </w:t>
      </w:r>
      <w:r>
        <w:rPr>
          <w:rFonts w:ascii="Arial" w:cs="Arial" w:eastAsia="Arial" w:hAnsi="Arial"/>
          <w:sz w:val="18"/>
          <w:szCs w:val="18"/>
          <w:color w:val="000000"/>
        </w:rPr>
        <w:t xml:space="preserve">$29.3 million </w:t>
      </w:r>
      <w:r>
        <w:rPr>
          <w:rFonts w:ascii="Arial" w:cs="Arial" w:eastAsia="Arial" w:hAnsi="Arial"/>
          <w:sz w:val="18"/>
          <w:szCs w:val="18"/>
          <w:color w:val="231F20"/>
        </w:rPr>
        <w:t>held outside of the United States. We do not anticipate that we will need</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funds generated from foreign operations to fund our domestic operations. However, if we repatriate these funds, we could be subject to foreign withholding taxes.</w:t>
      </w:r>
    </w:p>
    <w:p>
      <w:pPr>
        <w:spacing w:after="0" w:line="9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generated positive cash flows from operations during each of the six months ended June 30, 2020 and 2019. We believe our existing cash, cash equivalents, marketable securities, and cash from operations will be sufficient to fund our operations for at least the next twelve months. Our future capital requirements will depend on many factors, including our rate of revenue growth, the expansion of our sales and marketing activities, the timing, type and extent of our spending on research and development efforts, international expansion and investment in data centers. We may also seek to invest in or acquire complementary businesses or technologies. While the COVID-19 pandemic has not had a material adverse financial impact on our operations to date, the future impact of the pandemic cannot be predicted with certainty and may increase our costs of capital and otherwise adversely affect our business, result of operations, financial condition and liquidity.</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139"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3"/>
          </w:tcPr>
          <w:p>
            <w:pPr>
              <w:jc w:val="center"/>
              <w:ind w:right="261"/>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8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9"/>
                <w:szCs w:val="19"/>
                <w:color w:val="auto"/>
              </w:rPr>
            </w:pPr>
          </w:p>
        </w:tc>
      </w:tr>
      <w:tr>
        <w:trPr>
          <w:trHeight w:val="210"/>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10"/>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left="524"/>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r>
      <w:tr>
        <w:trPr>
          <w:trHeight w:val="24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224"/>
              <w:spacing w:after="0"/>
              <w:rPr>
                <w:sz w:val="20"/>
                <w:szCs w:val="20"/>
                <w:color w:val="auto"/>
              </w:rPr>
            </w:pPr>
            <w:r>
              <w:rPr>
                <w:rFonts w:ascii="Arial" w:cs="Arial" w:eastAsia="Arial" w:hAnsi="Arial"/>
                <w:sz w:val="16"/>
                <w:szCs w:val="16"/>
                <w:color w:val="auto"/>
                <w:w w:val="98"/>
              </w:rPr>
              <w:t>81,649</w:t>
            </w:r>
          </w:p>
        </w:tc>
        <w:tc>
          <w:tcPr>
            <w:tcW w:w="6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81,275</w:t>
            </w:r>
          </w:p>
        </w:tc>
      </w:tr>
      <w:tr>
        <w:trPr>
          <w:trHeight w:val="233"/>
        </w:trPr>
        <w:tc>
          <w:tcPr>
            <w:tcW w:w="822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ind w:left="204"/>
              <w:spacing w:after="0"/>
              <w:rPr>
                <w:sz w:val="20"/>
                <w:szCs w:val="20"/>
                <w:color w:val="auto"/>
              </w:rPr>
            </w:pPr>
            <w:r>
              <w:rPr>
                <w:rFonts w:ascii="Arial" w:cs="Arial" w:eastAsia="Arial" w:hAnsi="Arial"/>
                <w:sz w:val="16"/>
                <w:szCs w:val="16"/>
                <w:color w:val="auto"/>
              </w:rPr>
              <w:t>(10,371)</w:t>
            </w:r>
          </w:p>
        </w:tc>
        <w:tc>
          <w:tcPr>
            <w:tcW w:w="6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(7,547)</w:t>
            </w:r>
          </w:p>
        </w:tc>
      </w:tr>
      <w:tr>
        <w:trPr>
          <w:trHeight w:val="25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204"/>
              <w:spacing w:after="0"/>
              <w:rPr>
                <w:sz w:val="20"/>
                <w:szCs w:val="20"/>
                <w:color w:val="auto"/>
              </w:rPr>
            </w:pPr>
            <w:r>
              <w:rPr>
                <w:rFonts w:ascii="Arial" w:cs="Arial" w:eastAsia="Arial" w:hAnsi="Arial"/>
                <w:sz w:val="16"/>
                <w:szCs w:val="16"/>
                <w:color w:val="auto"/>
              </w:rPr>
              <w:t>(44,928)</w:t>
            </w:r>
          </w:p>
        </w:tc>
        <w:tc>
          <w:tcPr>
            <w:tcW w:w="6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(23,373)</w:t>
            </w:r>
          </w:p>
        </w:tc>
      </w:tr>
    </w:tbl>
    <w:p>
      <w:pPr>
        <w:spacing w:after="0" w:line="3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For the six months ended June 30, 2020, cash flows from operating activities of $81.6 million primarily resulted from our net income of approximately $45.0 million, as adjusted for non-cash items including stock-based compensation of $19.4 million and depreciation and amortization expense of $15.6 million. Net working capital changes were not material during the six months ended June 30, 2020.</w:t>
      </w:r>
    </w:p>
    <w:p>
      <w:pPr>
        <w:spacing w:after="0" w:line="9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For the six months ended June 30, 2019, cash flows from operating activities of $81.3 million primarily resulted from our net income of approximately $29.5 million, as adjusted for non-cash items including stock-based compensation of $16.8 million and depreciation and amortization expense of $15.8 million, and cash flows from working capital of $16.9 million mainly attributable to the continued growth in our deferred revenues and the timing of customer payments.</w:t>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six months ended June 30, 2020</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$10.4 million was mainly attributable to $ 11.6 million of</w:t>
      </w:r>
      <w:r>
        <w:rPr>
          <w:rFonts w:ascii="Arial" w:cs="Arial" w:eastAsia="Arial" w:hAnsi="Arial"/>
          <w:sz w:val="18"/>
          <w:szCs w:val="18"/>
          <w:color w:val="231F20"/>
        </w:rPr>
        <w:t xml:space="preserve"> </w:t>
      </w:r>
      <w:r>
        <w:rPr>
          <w:rFonts w:ascii="Arial" w:cs="Arial" w:eastAsia="Arial" w:hAnsi="Arial"/>
          <w:sz w:val="18"/>
          <w:szCs w:val="18"/>
          <w:color w:val="000000"/>
        </w:rPr>
        <w:t>cash used for capital expenditures, including computer equipment and leasehold improvements to support our growth and development, slightly offset by an increase of $1.2 million from sales and maturities of marketable securities, net of purchases.</w:t>
      </w:r>
    </w:p>
    <w:p>
      <w:pPr>
        <w:spacing w:after="0" w:line="9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For the six months ended June 30, 2019, cash used in investing activities of $7.5 million was mainly attributable to $14.1 million of cash used for capital expenditures, including computer hardware and software for our data centers to support our growth and development and the purchase of physical scanner appliances and computer hardware provided to certain customers as part of their subscriptions, and $1.9 million cash paid in connection with our acquisition of the assets of Adya and acquisition-related holdback payment. These decreases were partially offset by $8.4 million cash obtained from sales and maturities of marketable securities, net of purchases.</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six months ended June 30, 2020</w:t>
      </w:r>
      <w:r>
        <w:rPr>
          <w:rFonts w:ascii="Arial" w:cs="Arial" w:eastAsia="Arial" w:hAnsi="Arial"/>
          <w:sz w:val="18"/>
          <w:szCs w:val="18"/>
          <w:color w:val="231F20"/>
        </w:rPr>
        <w:t xml:space="preserve">, cash used in financing activities of </w:t>
      </w:r>
      <w:r>
        <w:rPr>
          <w:rFonts w:ascii="Arial" w:cs="Arial" w:eastAsia="Arial" w:hAnsi="Arial"/>
          <w:sz w:val="18"/>
          <w:szCs w:val="18"/>
          <w:color w:val="000000"/>
        </w:rPr>
        <w:t>$44.9 million</w:t>
      </w:r>
      <w:r>
        <w:rPr>
          <w:rFonts w:ascii="Arial" w:cs="Arial" w:eastAsia="Arial" w:hAnsi="Arial"/>
          <w:sz w:val="18"/>
          <w:szCs w:val="18"/>
          <w:color w:val="231F20"/>
        </w:rPr>
        <w:t xml:space="preserve"> was attributable to share repurchases of $54.2 million </w:t>
      </w:r>
      <w:r>
        <w:rPr>
          <w:rFonts w:ascii="Arial" w:cs="Arial" w:eastAsia="Arial" w:hAnsi="Arial"/>
          <w:sz w:val="18"/>
          <w:szCs w:val="18"/>
          <w:color w:val="000000"/>
        </w:rPr>
        <w:t>and the payment of employee payroll taxes related to the net share settlement of equity awards of</w:t>
      </w:r>
      <w:r>
        <w:rPr>
          <w:rFonts w:ascii="Arial" w:cs="Arial" w:eastAsia="Arial" w:hAnsi="Arial"/>
          <w:sz w:val="18"/>
          <w:szCs w:val="18"/>
          <w:color w:val="231F20"/>
        </w:rPr>
        <w:t xml:space="preserve"> $11.1 million, which were partially offset by the proceeds from the exercise of stock options of $20.4 million.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For the six months ended June 30, 2019, cash used in financing activities of $23.4 million was attributable to share repurchases of $24.1 million, the payment of employee payroll taxes related to the net share settlement of equity awards of $7.4 million, and principal payments under finance lease obligations of $0.8 million. These decreases were partially offset by the proceeds from the exercise of stock options of $9.0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w:t>
      </w:r>
      <w:r>
        <w:rPr>
          <w:rFonts w:ascii="Arial" w:cs="Arial" w:eastAsia="Arial" w:hAnsi="Arial"/>
          <w:sz w:val="18"/>
          <w:szCs w:val="18"/>
          <w:b w:val="1"/>
          <w:bCs w:val="1"/>
          <w:color w:val="000000"/>
        </w:rPr>
        <w:t>ontractual Obligation and Commitments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presented our contractual obligations in our Annual Report on Form 10-K for the fiscal year ended December 31, 2019. Our contractual obligations consist of operating leases, purchase commitments, and other contractual obligations. During the six months ended June 30, 2020, we recorded lease liabilities of approximately $7.0 million related to leasing of new data center space. There have been no material changes to these obligations outside the ordinary course of business during the six months ended June 30, 2020 as compared to the contractual obligations disclosed in the “Management’s Discussion and Analysis of Financial Condition and Results of Operations” section of our Annual Report on Form 10-K for the year ended December 31, 2019.</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7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9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2019, filed with the SEC on February 21, 2020, the accounting policies related to revenue recognition, leases, derivative instruments,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color w:val="231F20"/>
        </w:rPr>
        <w:t>Quantitative and Qualitative Disclosures about Market Risk</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results of operations and cash flows have been and will continue to be subject to fluctuations because of changes in foreign currency exchange rates, particularly changes in exchange rates between the U.S. dollar and the Euro, GBP, and INR, the currencies of countries where we currently have our most significant international operations. A portion of our invoicing is denominated in the Euro, GBP, Canadian Dollar and Japanese Yen. Our expenses in international locations are generally denominated in the currencies of the countries in which our operations are located.</w:t>
      </w:r>
    </w:p>
    <w:p>
      <w:pPr>
        <w:spacing w:after="0" w:line="9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The cash flow effects of our derivative contracts for the six months ended June 30, 2020 and 2019 were included within net cash provided by operating activities on our condensed consolidated statements of cash flows. As of June 30, 2020, we had 39 open designated cash flow hedge contracts with notional amounts of </w:t>
      </w:r>
      <w:r>
        <w:rPr>
          <w:rFonts w:ascii="Arial" w:cs="Arial" w:eastAsia="Arial" w:hAnsi="Arial"/>
          <w:sz w:val="18"/>
          <w:szCs w:val="18"/>
          <w:color w:val="231F20"/>
        </w:rPr>
        <w:t>€21.8 million</w:t>
      </w:r>
      <w:r>
        <w:rPr>
          <w:rFonts w:ascii="Arial" w:cs="Arial" w:eastAsia="Arial" w:hAnsi="Arial"/>
          <w:sz w:val="18"/>
          <w:szCs w:val="18"/>
          <w:color w:val="auto"/>
        </w:rPr>
        <w:t xml:space="preserve">, </w:t>
      </w:r>
      <w:r>
        <w:rPr>
          <w:rFonts w:ascii="Arial" w:cs="Arial" w:eastAsia="Arial" w:hAnsi="Arial"/>
          <w:sz w:val="18"/>
          <w:szCs w:val="18"/>
          <w:color w:val="231F20"/>
        </w:rPr>
        <w:t>£9.2 million</w:t>
      </w:r>
      <w:r>
        <w:rPr>
          <w:rFonts w:ascii="Arial" w:cs="Arial" w:eastAsia="Arial" w:hAnsi="Arial"/>
          <w:sz w:val="18"/>
          <w:szCs w:val="18"/>
          <w:color w:val="auto"/>
        </w:rPr>
        <w:t xml:space="preserve"> and Rs.1,590 million</w:t>
      </w:r>
      <w:r>
        <w:rPr>
          <w:rFonts w:ascii="Arial" w:cs="Arial" w:eastAsia="Arial" w:hAnsi="Arial"/>
          <w:sz w:val="18"/>
          <w:szCs w:val="18"/>
          <w:color w:val="231F20"/>
        </w:rPr>
        <w:t>. During the</w:t>
      </w:r>
      <w:r>
        <w:rPr>
          <w:rFonts w:ascii="Arial" w:cs="Arial" w:eastAsia="Arial" w:hAnsi="Arial"/>
          <w:sz w:val="18"/>
          <w:szCs w:val="18"/>
          <w:color w:val="auto"/>
        </w:rPr>
        <w:t xml:space="preserve"> six months ended June 30, 2020 </w:t>
      </w:r>
      <w:r>
        <w:rPr>
          <w:rFonts w:ascii="Arial" w:cs="Arial" w:eastAsia="Arial" w:hAnsi="Arial"/>
          <w:sz w:val="18"/>
          <w:szCs w:val="18"/>
          <w:color w:val="231F20"/>
        </w:rPr>
        <w:t>and 2019, we recorded unrealized foreign currency translation gains of</w:t>
      </w:r>
      <w:r>
        <w:rPr>
          <w:rFonts w:ascii="Arial" w:cs="Arial" w:eastAsia="Arial" w:hAnsi="Arial"/>
          <w:sz w:val="18"/>
          <w:szCs w:val="18"/>
          <w:color w:val="auto"/>
        </w:rPr>
        <w:t xml:space="preserve"> $0.1 million </w:t>
      </w:r>
      <w:r>
        <w:rPr>
          <w:rFonts w:ascii="Arial" w:cs="Arial" w:eastAsia="Arial" w:hAnsi="Arial"/>
          <w:sz w:val="18"/>
          <w:szCs w:val="18"/>
          <w:color w:val="231F20"/>
        </w:rPr>
        <w:t>and unrealized foreign currency translation losses</w:t>
      </w:r>
      <w:r>
        <w:rPr>
          <w:rFonts w:ascii="Arial" w:cs="Arial" w:eastAsia="Arial" w:hAnsi="Arial"/>
          <w:sz w:val="18"/>
          <w:szCs w:val="18"/>
          <w:color w:val="auto"/>
        </w:rPr>
        <w:t xml:space="preserve"> </w:t>
      </w:r>
      <w:r>
        <w:rPr>
          <w:rFonts w:ascii="Arial" w:cs="Arial" w:eastAsia="Arial" w:hAnsi="Arial"/>
          <w:sz w:val="18"/>
          <w:szCs w:val="18"/>
          <w:color w:val="231F20"/>
        </w:rPr>
        <w:t xml:space="preserve">of $0.2 million (before taxes), respectively, in AOCI related to these contracts. </w:t>
      </w:r>
      <w:r>
        <w:rPr>
          <w:rFonts w:ascii="Arial" w:cs="Arial" w:eastAsia="Arial" w:hAnsi="Arial"/>
          <w:sz w:val="18"/>
          <w:szCs w:val="18"/>
          <w:color w:val="000000"/>
        </w:rPr>
        <w:t>As of December 31, 2019, we had 26 open designated cash</w:t>
      </w:r>
      <w:r>
        <w:rPr>
          <w:rFonts w:ascii="Arial" w:cs="Arial" w:eastAsia="Arial" w:hAnsi="Arial"/>
          <w:sz w:val="18"/>
          <w:szCs w:val="18"/>
          <w:color w:val="231F20"/>
        </w:rPr>
        <w:t xml:space="preserve"> </w:t>
      </w:r>
      <w:r>
        <w:rPr>
          <w:rFonts w:ascii="Arial" w:cs="Arial" w:eastAsia="Arial" w:hAnsi="Arial"/>
          <w:sz w:val="18"/>
          <w:szCs w:val="18"/>
          <w:color w:val="000000"/>
        </w:rPr>
        <w:t>flow hedge contracts with notional amounts of €24.2 million and £9.7 million.</w:t>
      </w:r>
    </w:p>
    <w:p>
      <w:pPr>
        <w:spacing w:after="0" w:line="10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effect of an immediate 10% adverse change in foreign exchange rates would not be material to our financial condition, operating results or cash flows.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had $445.3 million in cash, cash equivalents and short-term and long-term marketable securities at June 30, 2020. Cash and cash equivalents include cash held in banks, highly liquid money market funds and commercial paper. Marketable securities consist of fixed-income U.S. and foreign government agency securities, corporate bonds, asset-backed securities and commercial paper. We determine the appropriate balance sheet classification of our marketable securities at the time of purchase and reevaluate such designation at each balance sheet date. We classify our marketable securities as either short-term or long-term based on each instrument's underlying contractual maturity date.</w:t>
      </w:r>
    </w:p>
    <w:p>
      <w:pPr>
        <w:spacing w:after="0" w:line="10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invest for trading or speculative purposes. Our marketable securities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June 30,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2020, our Chief Executive Officer and Chief Financial Officer concluded that, as of such date, our disclosure controls and procedures were effective at the reasonable assurance level.</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The continued spread of COVID-19, or any similar widespread infectious disease outbreak, could harm our business, financial condition and results of operations.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In December 2019, an outbreak of COVID-19 originated in Wuhan, China and has since spread to countries around the world. On March 11, 2020, the World Health Organization characterized COVID-19 as a pandemic. The spread of COVID-19 has resulted in authorities imposing, and businesses and individuals implementing, numerous unprecedented measures to try to contain the virus, such as travel bans and restrictions, quarantines, shelter-in-place/stay-at-home and social distancing orders, and shutdowns. These measures have impacted and may further impact our workforce and operations, the operations of our customers, and those of our respective vendors, suppliers, and partners. The pandemic has significantly increased economic and demand uncertainty. It is likely that the current outbreak and continued spread of COVID-19 will cause an economic slowdown, and it is possible that it could cause a global recession, which could decrease demand for our solutions and negatively impact our operating results. There is a significant degree of uncertainty and lack of visibility as to the extent and duration of any such slowdown or recession.</w:t>
      </w:r>
    </w:p>
    <w:p>
      <w:pPr>
        <w:spacing w:after="0" w:line="1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ultimate extent of the impact of COVID-19 on our business, financial position, results of operations and cash flows will depend on future developments, which are highly uncertain and cannot be predicted at this time. These impacts, individually or in the aggregate, could have a material and adverse effect on our business, financial position, results of operations and cash flows. Such effect may be exacerbated in the event the pandemic and the measures taken in response to it persist for an extended period of time. Under any of these circumstances, the resumption of normal business operations may be delayed or hampered by lingering effects of COVID-19 on our operations, partners, and customers.</w:t>
      </w:r>
    </w:p>
    <w:p>
      <w:pPr>
        <w:spacing w:after="0" w:line="21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Subscriptions to our Vulnerability Management solutions generate most of our revenues, and if we are unable to continue to renew and grow subscriptions for these solutions, our operating results would suffer.</w:t>
      </w:r>
    </w:p>
    <w:p>
      <w:pPr>
        <w:spacing w:after="0" w:line="67"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231F20"/>
        </w:rPr>
        <w:t>We derived approximately 72% and 73% of our revenues from subscriptions to our VM solutions for the six months ended June 30, 2020 and 2019, respectively.</w:t>
      </w:r>
    </w:p>
    <w:p>
      <w:pPr>
        <w:spacing w:after="0" w:line="9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expect to continue to derive a significant majority of our revenues from subscriptions to our VM solutions. As a result, the market demand for our VM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67"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3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perceived security breaches, technical difficulties or interruptions with our service;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03" w:lineRule="exact"/>
        <w:rPr>
          <w:rFonts w:ascii="Arial" w:cs="Arial" w:eastAsia="Arial" w:hAnsi="Arial"/>
          <w:sz w:val="18"/>
          <w:szCs w:val="18"/>
          <w:color w:val="auto"/>
        </w:rPr>
      </w:pPr>
    </w:p>
    <w:p>
      <w:pPr>
        <w:ind w:left="660" w:right="20" w:hanging="328"/>
        <w:spacing w:after="0" w:line="35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03" w:lineRule="exact"/>
        <w:rPr>
          <w:rFonts w:ascii="Arial" w:cs="Arial" w:eastAsia="Arial" w:hAnsi="Arial"/>
          <w:sz w:val="18"/>
          <w:szCs w:val="18"/>
          <w:color w:val="auto"/>
        </w:rPr>
      </w:pPr>
    </w:p>
    <w:p>
      <w:pPr>
        <w:ind w:left="660" w:right="20" w:hanging="328"/>
        <w:spacing w:after="0" w:line="35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03" w:lineRule="exact"/>
        <w:rPr>
          <w:rFonts w:ascii="Arial" w:cs="Arial" w:eastAsia="Arial" w:hAnsi="Arial"/>
          <w:sz w:val="18"/>
          <w:szCs w:val="18"/>
          <w:color w:val="auto"/>
        </w:rPr>
      </w:pPr>
    </w:p>
    <w:p>
      <w:pPr>
        <w:ind w:left="660" w:hanging="328"/>
        <w:spacing w:after="0" w:line="37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income tax benefits that we recognize resulting from excess tax benefits related to stock-based compensation;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15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9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For example, a Data Protection Act that substantially implements the European Union’s General Data Protection Regulation ("GDPR") was implemented in the United Kingdom in May 2018, and "Brexit" could also lead to further legislative and regulatory changes. It is unclear, however, how United Kingdom data protection laws or regulations will develop in the medium to longer term, and how data transfers to and from the United Kingdom will be regulated.</w:t>
      </w:r>
    </w:p>
    <w:p>
      <w:pPr>
        <w:spacing w:after="0" w:line="9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8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9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11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9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for our business and revenues to grow as we expect. Revenues from our other solutions such as Policy Compliance, PCI Compliance, Web Application Scanning, Web Application Firewall, CMDB Sync, Security Assessment Questionnaire, File Integrity Monitoring, Indication of Compromise, Global IT Asset Inventory, Security Configuration Assessment, Cloud Security Assessment, Certificate Inventory, Container Security and Patch Management have been relatively modest compared to revenues from our VM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spacing w:after="0" w:line="10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current research and development efforts may not produce successful products or enhancements to our platform that result in significant revenue, cost savings or other benefits in the near future.</w:t>
      </w:r>
    </w:p>
    <w:p>
      <w:pPr>
        <w:spacing w:after="0" w:line="6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We and our service providers face threats from a variety of sources, including attacks on our networks and systems from numerous sources, including traditional “hackers,” sophisticated nation-state and nation-state supported actors, other sources of malicious code (such as viruses and worms), and phishing attempts. 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and those of our service providers, may also suffer security incidents as a result of non-technical issues, including intentional or inadvertent acts or omissions by our employees or service providers. With the increase in personnel working remotely during the current COVID-19 pandemic, we and our service providers are at increased risk for security breaches. We are taking steps to monitor and enhance the security of our solutions, cloud platform, and other relevant systems, IT infrastructure, networks, and data; however, the unprecedented scale of remote work may require additional personnel and resources, which nevertheless cannot be guaranteed to fully safeguard our solutions, our cloud platform, or any systems, IT infrastructure networks, or data upon which we rely.</w:t>
      </w:r>
    </w:p>
    <w:p>
      <w:pPr>
        <w:spacing w:after="0" w:line="10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Further, because our operations involve providing IT security solutions to our customers, we may be targeted for cyber-attacks and other security incidents. A breach in our data security or an attack against our service availability, or that of our third-party service providers, could impact our networks or networks secured by our solutions, creating system disruptions or slowdowns and exploiting security vulnerabilities of our solutions, and the information stored on our networks or those of our third-party service providers could be accessed, publicly disclosed, altered, lost, or stolen, which could subject us to liability and cause us financial harm. If an actual or perceived disruption in the availability of our solutions or the breach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or alteration of information, litigation, regulatory actions and investigations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possible liability. Any such actual or perceived security breach or disruption could also divert the efforts of our technical and management personnel. We also may incur significant costs and operational consequences of investigating, remediating, eliminating and putting in place additional tools and devices designed to prevent actual or perceived security incidents, as well as the costs to comply with any notification obligations resulting from any security incidents.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0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67" w:lineRule="exact"/>
        <w:rPr>
          <w:sz w:val="20"/>
          <w:szCs w:val="20"/>
          <w:color w:val="auto"/>
        </w:rPr>
      </w:pPr>
    </w:p>
    <w:p>
      <w:pPr>
        <w:jc w:val="both"/>
        <w:ind w:right="20" w:firstLine="405"/>
        <w:spacing w:after="0" w:line="254"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timing of sales of subscriptions for our solutions can be difficult to forecast because of the length and unpredictability of our sales cycle, particularly with large transactions.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139"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Economic weakness, customer financial difficulties, and constrained spending on IT security may result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9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Additionally, concerns regarding the effects of the "Brexit" decision, uncertainties related to changes in public policies such as domestic and international regulations, taxes or international trade agreements as well as geopolitical turmoil and other disruptions to global and regional economies and markets in many parts of the world, have and may continue to put pressure on global economic conditions and overall spending on IT security. We have operations, as well as current and potential customers, throughout most of Europe. If economic conditions in Europe and other key markets for our platform continue to remain uncertain or deteriorate further, many customers may delay or reduce their IT spending.</w:t>
      </w:r>
    </w:p>
    <w:p>
      <w:pPr>
        <w:spacing w:after="0" w:line="10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Our IT, security and compliance solutions are delivered from six data centers, and any disruption of service at these facilities would interrupt or delay our ability to deliver our solutions to our customers which could reduce our revenues and harm our operating results.</w:t>
      </w:r>
    </w:p>
    <w:p>
      <w:pPr>
        <w:spacing w:after="0" w:line="8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Canada, Switzerland, the Netherlands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0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Some of our data centers are not currently redundant and we may not be able to rapidly move our customers from one data center to another, which may increase delays in the restoration of our service for our customers if an adverse event occurs. </w:t>
      </w:r>
      <w:r>
        <w:rPr>
          <w:rFonts w:ascii="Arial" w:cs="Arial" w:eastAsia="Arial" w:hAnsi="Arial"/>
          <w:sz w:val="18"/>
          <w:szCs w:val="18"/>
          <w:color w:val="231F20"/>
        </w:rPr>
        <w:t>We have added data</w:t>
      </w:r>
      <w:r>
        <w:rPr>
          <w:rFonts w:ascii="Arial" w:cs="Arial" w:eastAsia="Arial" w:hAnsi="Arial"/>
          <w:sz w:val="18"/>
          <w:szCs w:val="18"/>
          <w:color w:val="auto"/>
        </w:rPr>
        <w:t xml:space="preserve"> </w:t>
      </w:r>
      <w:r>
        <w:rPr>
          <w:rFonts w:ascii="Arial" w:cs="Arial" w:eastAsia="Arial" w:hAnsi="Arial"/>
          <w:sz w:val="18"/>
          <w:szCs w:val="18"/>
          <w:color w:val="231F20"/>
        </w:rPr>
        <w:t>center facilities to provide additional capacity for our cloud platform and to enable disaster recovery. We continue to build out these facilities; however, these additional facilities may not be operational in the anticipated time frame and we may incur unplanned expenses.</w:t>
      </w:r>
    </w:p>
    <w:p>
      <w:pPr>
        <w:spacing w:after="0" w:line="9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9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6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231F20"/>
        </w:rPr>
        <w:t>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6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9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compete with large and small public companies, such as Belden (Tripwire), Broadcom (Symantec Enterprise Security), CrowdStrike, F5 Networks, FireEye, Forescout Technologies, International Business Machines, Micro Focus International, Rapid7, Palo Alto Networks, Tenable Holdings and VMware, as well as privately held security providers including Barracuda Networks, BeyondTrust Software, Flexera, Imperva, McAfee, Tanium, Trustwave Holdings, Venafi, and Veracode.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9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4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15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9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0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31F20"/>
        </w:rPr>
        <w:t>more readily or develop and expand their product and service offerings more quickly than we do. For all of these reasons, we may not be able to compete successfully against our current or future competitors.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10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maintain profitability in the future.</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GBP, Canadian Dollars, Japanese Yen and INR,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6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0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spacing w:after="0" w:line="9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9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solutions could harm our reputation, decrease market acceptance of our solutions or result in liability.</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IT,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67"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w:t>
      </w:r>
    </w:p>
    <w:p>
      <w:pPr>
        <w:spacing w:after="0" w:line="4"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color w:val="231F20"/>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GDPR. This regulation, which took effect in May 2018, causes EU data protection requirements to be more stringent and provides for greater penalties. The GDPR may be subject to new or changing interpretations by courts, and our interpretation of the law and efforts to comply with the rules and regulations of the law may be ruled invalid. Noncompliance with the GDPR can trigger fines of up to €20 million or 4% of global annual revenues, whichever is higher. Similarly, California recently enacted the California Consumer Privacy Act (“CCPA”), which, among other things, requires covered companies to provide new disclosures to California consumers and afford such consumers new rights to opt-out of certain sales of personal information. The CCPA creates a private right of action for statutory damages for certain breaches of information. Aspects of the CCPA and its interpretation remain unclear. Additionally, a new privacy law, the California Privacy Rights Act (CPRA), recently was certified by the California Secretary of State to appear on the ballot for the November 3, 2020 election. If this initiative is approved by California voters, the CPRA would significantly modify the CCPA, potentially resulting in further uncertainty and requiring us to incur additional costs and expenses. In addition, other states have enacted or proposed legislation that regulates the collection, use, and sale of personal information, and such regimes might not be compatible with either the GDPR or the CCPA, or may require us to undertake additional practices. We cannot yet predict the impact of the CCPA or impending legislation on our business or operations, but it may require us to modify our data processing practices and policies and incur substantial costs and expenses in an effort to comply.</w:t>
      </w:r>
    </w:p>
    <w:p>
      <w:pPr>
        <w:spacing w:after="0" w:line="10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The privacy, data protection, and information security laws and regulations we must comply with also are subject to change. For example, the United Kingdom enacted a Data Protection Act in May 2018 that substantially implements the GDPR, but the United Kingdom's exit from the European Union, commonly referred to as “Brexit,” could lead to further legislative and regulatory changes. It remains unclear how United Kingdom data protection laws or regulations will develop in the medium to longer term and how data transfers to and from the United Kingdom will be regulated. Additionally, we have joined the EU-U.S. Privacy Shield Framework and a related program, the Swiss-U.S. Privacy Shield Framework, and make use of certain model clauses approved by the European Commission (the “SCCs”), with regard to certain transfers of personal data from the European Economic Area (“EEA”) to the U.S. Both the EU-U.S. Privacy Shield Framework and SCCs have been subject to legal challenge, however, and on July 16, 2020, the Court of Justice of the European Union (“CJEU”) issued a decision that invalidated the EU-U.S. Privacy Shield and imposed additional obligations on companies when relying on the SCCs. This CJEU decision may result in European data protection regulators applying differing standards for, and requiring ad hoc verification of, transfers of personal data from Europe to the U.S. We are analyzing the impacts 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this decision, and we may find it necessary or appropriate to take different or additional steps with respect to transfers of personal data, which may result in increased costs of compliance and limitations on our customers and us We may be unsuccessful in maintaining legitimate means for our transfer and receipt of personal data from the EEA or Switzerland. We may experience reluctance or refusal by current or prospective European customers to use our products, and we and our customers may face a risk of enforcement actions by data protection authorities in the EEA relating to personal data transfers to us and by us from the EEA. Any such enforcement actions could result in substantial costs and diversion of resources, distract management and technical personnel and negatively affect our business, operating results and financial condition. Some countries also are considering or have passed legislation requiring local storage and processing of data, or similar requirements, which could increase the cost and complexity of delivering our services.</w:t>
      </w:r>
    </w:p>
    <w:p>
      <w:pPr>
        <w:spacing w:after="0" w:line="9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10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a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8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9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9" w:lineRule="exact"/>
        <w:rPr>
          <w:rFonts w:ascii="Arial" w:cs="Arial" w:eastAsia="Arial" w:hAnsi="Arial"/>
          <w:sz w:val="18"/>
          <w:szCs w:val="18"/>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economic or political instability in foreign markets, including as a result of increasing tensions between India and China;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11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as of June 30, 2020, approximately 71% of our employees were located outside of the United States, and 62% of our employees were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cloud-based IT, security and compliance solutions, thereby weakening our sales and harming our results of operations.</w:t>
      </w:r>
    </w:p>
    <w:p>
      <w:pPr>
        <w:spacing w:after="0" w:line="6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IT,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We </w:t>
      </w:r>
      <w:r>
        <w:rPr>
          <w:rFonts w:ascii="Arial" w:cs="Arial" w:eastAsia="Arial" w:hAnsi="Arial"/>
          <w:sz w:val="18"/>
          <w:szCs w:val="18"/>
          <w:color w:val="000000"/>
        </w:rPr>
        <w:t>have experienced significant growth over the last several years. From 2017 to 2019, our revenues grew from $230.8 million to</w:t>
      </w:r>
      <w:r>
        <w:rPr>
          <w:rFonts w:ascii="Arial" w:cs="Arial" w:eastAsia="Arial" w:hAnsi="Arial"/>
          <w:sz w:val="18"/>
          <w:szCs w:val="18"/>
          <w:color w:val="231F20"/>
        </w:rPr>
        <w:t xml:space="preserve"> </w:t>
      </w:r>
      <w:r>
        <w:rPr>
          <w:rFonts w:ascii="Arial" w:cs="Arial" w:eastAsia="Arial" w:hAnsi="Arial"/>
          <w:sz w:val="18"/>
          <w:szCs w:val="18"/>
          <w:color w:val="000000"/>
        </w:rPr>
        <w:t>$321.6 million and our headcount increased from 684 employees at the beginning of 2017 to 1,386 employees as of June 30, 2020. We rely on information technology systems to help manage critical functions such as or</w:t>
      </w:r>
      <w:r>
        <w:rPr>
          <w:rFonts w:ascii="Arial" w:cs="Arial" w:eastAsia="Arial" w:hAnsi="Arial"/>
          <w:sz w:val="18"/>
          <w:szCs w:val="18"/>
          <w:color w:val="231F20"/>
        </w:rPr>
        <w:t>der processing, revenue recognition and financial forecasts.</w:t>
      </w:r>
      <w:r>
        <w:rPr>
          <w:rFonts w:ascii="Arial" w:cs="Arial" w:eastAsia="Arial" w:hAnsi="Arial"/>
          <w:sz w:val="18"/>
          <w:szCs w:val="18"/>
          <w:color w:val="000000"/>
        </w:rPr>
        <w:t xml:space="preserve"> </w:t>
      </w:r>
      <w:r>
        <w:rPr>
          <w:rFonts w:ascii="Arial" w:cs="Arial" w:eastAsia="Arial" w:hAnsi="Arial"/>
          <w:sz w:val="18"/>
          <w:szCs w:val="18"/>
          <w:color w:val="231F20"/>
        </w:rPr>
        <w:t>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0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21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6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Our success significantly depends upon establishing and maintaining relationships with a variety of channel partners, and we anticipate that we will continue to depend on these partners in order to grow our business. For the six months ended June 30, 2020, we derived approximately </w:t>
      </w:r>
      <w:r>
        <w:rPr>
          <w:rFonts w:ascii="Arial" w:cs="Arial" w:eastAsia="Arial" w:hAnsi="Arial"/>
          <w:sz w:val="18"/>
          <w:szCs w:val="18"/>
          <w:color w:val="000000"/>
        </w:rPr>
        <w:t>42%</w:t>
      </w:r>
      <w:r>
        <w:rPr>
          <w:rFonts w:ascii="Arial" w:cs="Arial" w:eastAsia="Arial" w:hAnsi="Arial"/>
          <w:sz w:val="18"/>
          <w:szCs w:val="18"/>
          <w:color w:val="231F20"/>
        </w:rPr>
        <w:t xml:space="preserve">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0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31F20"/>
        </w:rPr>
        <w:t>increase our credit risk exposure. Our business could be harmed if the financial condition of some of these channel partners substantially weakened and we were unable to timely secure replacement channel partners.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0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6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21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10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21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Our reporting currency is the U.S. dollar and we generate a </w:t>
      </w:r>
      <w:r>
        <w:rPr>
          <w:rFonts w:ascii="Arial" w:cs="Arial" w:eastAsia="Arial" w:hAnsi="Arial"/>
          <w:sz w:val="18"/>
          <w:szCs w:val="18"/>
          <w:color w:val="000000"/>
        </w:rPr>
        <w:t>majority of our revenues in U.S. dollars. However, for the six months ended</w:t>
      </w:r>
      <w:r>
        <w:rPr>
          <w:rFonts w:ascii="Arial" w:cs="Arial" w:eastAsia="Arial" w:hAnsi="Arial"/>
          <w:sz w:val="18"/>
          <w:szCs w:val="18"/>
          <w:color w:val="231F20"/>
        </w:rPr>
        <w:t xml:space="preserve"> </w:t>
      </w:r>
      <w:r>
        <w:rPr>
          <w:rFonts w:ascii="Arial" w:cs="Arial" w:eastAsia="Arial" w:hAnsi="Arial"/>
          <w:sz w:val="18"/>
          <w:szCs w:val="18"/>
          <w:color w:val="000000"/>
        </w:rPr>
        <w:t>June 30, 2020, we incurred approximately 26% of our expenses in foreign currencies, primarily Euros, GBP, and INR, principally with respect to salaries and relat</w:t>
      </w:r>
      <w:r>
        <w:rPr>
          <w:rFonts w:ascii="Arial" w:cs="Arial" w:eastAsia="Arial" w:hAnsi="Arial"/>
          <w:sz w:val="18"/>
          <w:szCs w:val="18"/>
          <w:color w:val="231F20"/>
        </w:rPr>
        <w:t>ed personnel expenses associated with our European and Indian operations. Additionally, for the six months ended June</w:t>
      </w:r>
      <w:r>
        <w:rPr>
          <w:rFonts w:ascii="Arial" w:cs="Arial" w:eastAsia="Arial" w:hAnsi="Arial"/>
          <w:sz w:val="18"/>
          <w:szCs w:val="18"/>
          <w:color w:val="000000"/>
        </w:rPr>
        <w:t xml:space="preserve"> </w:t>
      </w:r>
      <w:r>
        <w:rPr>
          <w:rFonts w:ascii="Arial" w:cs="Arial" w:eastAsia="Arial" w:hAnsi="Arial"/>
          <w:sz w:val="18"/>
          <w:szCs w:val="18"/>
          <w:color w:val="231F20"/>
        </w:rPr>
        <w:t>30, 2020, approximately 20%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GBP and INR. The results of our operations may be adversely affected by foreign exchange fluctuations.</w:t>
      </w:r>
    </w:p>
    <w:p>
      <w:pPr>
        <w:spacing w:after="0" w:line="1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67"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9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9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As of June 30, 2020, we had 20 issued patents and several pending U.S. patent applications, and we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9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9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9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have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and Pune, India, locations in which we have a substantial presence and need for highly skilled personnel and we may not be able to compete for these employees.</w:t>
      </w:r>
    </w:p>
    <w:p>
      <w:pPr>
        <w:spacing w:after="0" w:line="10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are required under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6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w:t>
      </w:r>
      <w:r>
        <w:rPr>
          <w:rFonts w:ascii="Arial" w:cs="Arial" w:eastAsia="Arial" w:hAnsi="Arial"/>
          <w:sz w:val="18"/>
          <w:szCs w:val="18"/>
          <w:color w:val="231F20"/>
        </w:rPr>
        <w:t xml:space="preserve"> </w:t>
      </w:r>
      <w:r>
        <w:rPr>
          <w:rFonts w:ascii="Arial" w:cs="Arial" w:eastAsia="Arial" w:hAnsi="Arial"/>
          <w:sz w:val="18"/>
          <w:szCs w:val="18"/>
          <w:color w:val="000000"/>
        </w:rPr>
        <w:t xml:space="preserve">by the Office of Foreign Assets Control. </w:t>
      </w:r>
      <w:r>
        <w:rPr>
          <w:rFonts w:ascii="Arial" w:cs="Arial" w:eastAsia="Arial" w:hAnsi="Arial"/>
          <w:sz w:val="18"/>
          <w:szCs w:val="18"/>
          <w:color w:val="231F20"/>
        </w:rPr>
        <w:t>We incorporate encryption technology into certain of our solutions. These encryption solutions and</w:t>
      </w:r>
      <w:r>
        <w:rPr>
          <w:rFonts w:ascii="Arial" w:cs="Arial" w:eastAsia="Arial" w:hAnsi="Arial"/>
          <w:sz w:val="18"/>
          <w:szCs w:val="18"/>
          <w:color w:val="000000"/>
        </w:rPr>
        <w:t xml:space="preserve"> </w:t>
      </w:r>
      <w:r>
        <w:rPr>
          <w:rFonts w:ascii="Arial" w:cs="Arial" w:eastAsia="Arial" w:hAnsi="Arial"/>
          <w:sz w:val="18"/>
          <w:szCs w:val="18"/>
          <w:color w:val="231F20"/>
        </w:rPr>
        <w:t>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For example, we acquired 1Mobility on April 1, 2018, Layered Insight on October 16, 2018, Adya on January 10, 2019, and certain intellectual property of Spell Security on July 24, 2020. The environment for acquisitions in our industry is very competitive and acquisition candidate purchase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prices may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w:t>
      </w:r>
      <w:r>
        <w:rPr>
          <w:rFonts w:ascii="Arial" w:cs="Arial" w:eastAsia="Arial" w:hAnsi="Arial"/>
          <w:sz w:val="18"/>
          <w:szCs w:val="18"/>
          <w:color w:val="231F20"/>
        </w:rPr>
        <w:t xml:space="preserve"> </w:t>
      </w:r>
      <w:r>
        <w:rPr>
          <w:rFonts w:ascii="Arial" w:cs="Arial" w:eastAsia="Arial" w:hAnsi="Arial"/>
          <w:sz w:val="18"/>
          <w:szCs w:val="18"/>
          <w:color w:val="000000"/>
        </w:rPr>
        <w:t xml:space="preserve">benefits from acquisitions, such acquisitions may still be viewed negatively by customers, financial markets or investors. </w:t>
      </w:r>
      <w:r>
        <w:rPr>
          <w:rFonts w:ascii="Arial" w:cs="Arial" w:eastAsia="Arial" w:hAnsi="Arial"/>
          <w:sz w:val="18"/>
          <w:szCs w:val="18"/>
          <w:color w:val="231F20"/>
        </w:rPr>
        <w:t>The acquisition and</w:t>
      </w:r>
      <w:r>
        <w:rPr>
          <w:rFonts w:ascii="Arial" w:cs="Arial" w:eastAsia="Arial" w:hAnsi="Arial"/>
          <w:sz w:val="18"/>
          <w:szCs w:val="18"/>
          <w:color w:val="000000"/>
        </w:rPr>
        <w:t xml:space="preserve"> </w:t>
      </w:r>
      <w:r>
        <w:rPr>
          <w:rFonts w:ascii="Arial" w:cs="Arial" w:eastAsia="Arial" w:hAnsi="Arial"/>
          <w:sz w:val="18"/>
          <w:szCs w:val="18"/>
          <w:color w:val="231F20"/>
        </w:rPr>
        <w:t>integration process is complex, expensive and time-consuming, and may cause an interruption of, or loss of momentum in, product development and sales activities and operations of both companies</w:t>
      </w:r>
      <w:r>
        <w:rPr>
          <w:rFonts w:ascii="Arial" w:cs="Arial" w:eastAsia="Arial" w:hAnsi="Arial"/>
          <w:sz w:val="18"/>
          <w:szCs w:val="18"/>
          <w:color w:val="000000"/>
        </w:rPr>
        <w:t>, as well as divert the attention of management, and we may incur</w:t>
      </w:r>
      <w:r>
        <w:rPr>
          <w:rFonts w:ascii="Arial" w:cs="Arial" w:eastAsia="Arial" w:hAnsi="Arial"/>
          <w:sz w:val="18"/>
          <w:szCs w:val="18"/>
          <w:color w:val="231F20"/>
        </w:rPr>
        <w:t xml:space="preserve"> </w:t>
      </w:r>
      <w:r>
        <w:rPr>
          <w:rFonts w:ascii="Arial" w:cs="Arial" w:eastAsia="Arial" w:hAnsi="Arial"/>
          <w:sz w:val="18"/>
          <w:szCs w:val="18"/>
          <w:color w:val="000000"/>
        </w:rPr>
        <w:t xml:space="preserve">substantial cost and expense. We may issue equity securities which could dilute current stockholders’ ownership, incur debt, assume contingent or other liabilities and expend cash in acquisitions, which could negatively impact our financial position, stockholder equity and stock price. </w:t>
      </w:r>
      <w:r>
        <w:rPr>
          <w:rFonts w:ascii="Arial" w:cs="Arial" w:eastAsia="Arial" w:hAnsi="Arial"/>
          <w:sz w:val="18"/>
          <w:szCs w:val="18"/>
          <w:color w:val="231F20"/>
        </w:rPr>
        <w:t>We may not find suitable acquisition candidates, and acquisitions we complete may be unsuccessful. If we consummate a</w:t>
      </w:r>
      <w:r>
        <w:rPr>
          <w:rFonts w:ascii="Arial" w:cs="Arial" w:eastAsia="Arial" w:hAnsi="Arial"/>
          <w:sz w:val="18"/>
          <w:szCs w:val="18"/>
          <w:color w:val="000000"/>
        </w:rPr>
        <w:t xml:space="preserve"> </w:t>
      </w:r>
      <w:r>
        <w:rPr>
          <w:rFonts w:ascii="Arial" w:cs="Arial" w:eastAsia="Arial" w:hAnsi="Arial"/>
          <w:sz w:val="18"/>
          <w:szCs w:val="18"/>
          <w:color w:val="231F20"/>
        </w:rPr>
        <w:t>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and fair value measurement.</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w:t>
      </w:r>
      <w:r>
        <w:rPr>
          <w:rFonts w:ascii="Arial" w:cs="Arial" w:eastAsia="Arial" w:hAnsi="Arial"/>
          <w:sz w:val="18"/>
          <w:szCs w:val="18"/>
          <w:color w:val="000000"/>
        </w:rPr>
        <w:t>reported results and may even</w:t>
      </w:r>
      <w:r>
        <w:rPr>
          <w:rFonts w:ascii="Arial" w:cs="Arial" w:eastAsia="Arial" w:hAnsi="Arial"/>
          <w:sz w:val="18"/>
          <w:szCs w:val="18"/>
          <w:color w:val="231F20"/>
        </w:rPr>
        <w:t xml:space="preserve"> </w:t>
      </w:r>
      <w:r>
        <w:rPr>
          <w:rFonts w:ascii="Arial" w:cs="Arial" w:eastAsia="Arial" w:hAnsi="Arial"/>
          <w:sz w:val="18"/>
          <w:szCs w:val="18"/>
          <w:color w:val="000000"/>
        </w:rPr>
        <w:t xml:space="preserve">retroactively affect previously reported transactions. </w:t>
      </w:r>
      <w:r>
        <w:rPr>
          <w:rFonts w:ascii="Arial" w:cs="Arial" w:eastAsia="Arial" w:hAnsi="Arial"/>
          <w:sz w:val="18"/>
          <w:szCs w:val="18"/>
          <w:color w:val="231F20"/>
        </w:rPr>
        <w:t>New accounting pronouncements and varying interpretations of accounting</w:t>
      </w:r>
      <w:r>
        <w:rPr>
          <w:rFonts w:ascii="Arial" w:cs="Arial" w:eastAsia="Arial" w:hAnsi="Arial"/>
          <w:sz w:val="18"/>
          <w:szCs w:val="18"/>
          <w:color w:val="000000"/>
        </w:rPr>
        <w:t xml:space="preserve"> </w:t>
      </w:r>
      <w:r>
        <w:rPr>
          <w:rFonts w:ascii="Arial" w:cs="Arial" w:eastAsia="Arial" w:hAnsi="Arial"/>
          <w:sz w:val="18"/>
          <w:szCs w:val="18"/>
          <w:color w:val="231F20"/>
        </w:rPr>
        <w:t xml:space="preserve">pronouncements have occurred and may occur in the future. Changes to existing rules or the questioning of current practices may harm our operating results or </w:t>
      </w:r>
      <w:r>
        <w:rPr>
          <w:rFonts w:ascii="Arial" w:cs="Arial" w:eastAsia="Arial" w:hAnsi="Arial"/>
          <w:sz w:val="18"/>
          <w:szCs w:val="18"/>
          <w:color w:val="000000"/>
        </w:rPr>
        <w:t>require that we make significant changes to our systems, processes and controls</w:t>
      </w:r>
      <w:r>
        <w:rPr>
          <w:rFonts w:ascii="Arial" w:cs="Arial" w:eastAsia="Arial" w:hAnsi="Arial"/>
          <w:sz w:val="18"/>
          <w:szCs w:val="18"/>
          <w:color w:val="231F20"/>
        </w:rPr>
        <w:t xml:space="preserve"> or the way we conduct our business.</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excess tax benefits from stock-based compensation, and the valuation of deferred tax assets and liabilities, including our ability to utilize our federal and state net operating losses, which were $5.0 million and $2.1 million, respectively, as of December 31, 2019. Increases in our effective tax rate could harm our operating results.</w:t>
      </w:r>
    </w:p>
    <w:p>
      <w:pPr>
        <w:spacing w:after="0" w:line="100"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Additionally,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6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96"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Our </w:t>
      </w:r>
      <w:r>
        <w:rPr>
          <w:rFonts w:ascii="Arial" w:cs="Arial" w:eastAsia="Arial" w:hAnsi="Arial"/>
          <w:sz w:val="18"/>
          <w:szCs w:val="18"/>
          <w:color w:val="000000"/>
        </w:rPr>
        <w:t>internal control over financial reporting is a process designed to provide reasonable assurance regarding the reliability of financial</w:t>
      </w:r>
      <w:r>
        <w:rPr>
          <w:rFonts w:ascii="Arial" w:cs="Arial" w:eastAsia="Arial" w:hAnsi="Arial"/>
          <w:sz w:val="18"/>
          <w:szCs w:val="18"/>
          <w:color w:val="231F20"/>
        </w:rPr>
        <w:t xml:space="preserve"> </w:t>
      </w:r>
      <w:r>
        <w:rPr>
          <w:rFonts w:ascii="Arial" w:cs="Arial" w:eastAsia="Arial" w:hAnsi="Arial"/>
          <w:sz w:val="18"/>
          <w:szCs w:val="18"/>
          <w:color w:val="000000"/>
        </w:rPr>
        <w:t xml:space="preserve">reporting and the preparation of financial statements in accordance with U.S. GAAP. Our </w:t>
      </w:r>
      <w:r>
        <w:rPr>
          <w:rFonts w:ascii="Arial" w:cs="Arial" w:eastAsia="Arial" w:hAnsi="Arial"/>
          <w:sz w:val="18"/>
          <w:szCs w:val="18"/>
          <w:color w:val="231F20"/>
        </w:rPr>
        <w:t>current controls and any new controls that we</w:t>
      </w:r>
      <w:r>
        <w:rPr>
          <w:rFonts w:ascii="Arial" w:cs="Arial" w:eastAsia="Arial" w:hAnsi="Arial"/>
          <w:sz w:val="18"/>
          <w:szCs w:val="18"/>
          <w:color w:val="000000"/>
        </w:rPr>
        <w:t xml:space="preserve"> </w:t>
      </w:r>
      <w:r>
        <w:rPr>
          <w:rFonts w:ascii="Arial" w:cs="Arial" w:eastAsia="Arial" w:hAnsi="Arial"/>
          <w:sz w:val="18"/>
          <w:szCs w:val="18"/>
          <w:color w:val="231F20"/>
        </w:rPr>
        <w:t>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2019, we cannot predict the outcome of our testing in future periods. If we are unable to assert in any future reporting period that our internal control over financial reporting is effective (or if our independent registered public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13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36" w:lineRule="exact"/>
        <w:rPr>
          <w:sz w:val="20"/>
          <w:szCs w:val="20"/>
          <w:color w:val="auto"/>
        </w:rPr>
      </w:pPr>
    </w:p>
    <w:p>
      <w:pPr>
        <w:ind w:left="660" w:hanging="328"/>
        <w:spacing w:after="0" w:line="35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158"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0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9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As </w:t>
      </w:r>
      <w:r>
        <w:rPr>
          <w:rFonts w:ascii="Arial" w:cs="Arial" w:eastAsia="Arial" w:hAnsi="Arial"/>
          <w:sz w:val="18"/>
          <w:szCs w:val="18"/>
          <w:color w:val="000000"/>
        </w:rPr>
        <w:t>of June 30, 2020, our e</w:t>
      </w:r>
      <w:r>
        <w:rPr>
          <w:rFonts w:ascii="Arial" w:cs="Arial" w:eastAsia="Arial" w:hAnsi="Arial"/>
          <w:sz w:val="18"/>
          <w:szCs w:val="18"/>
          <w:color w:val="231F20"/>
        </w:rPr>
        <w:t>xecutive officers, directors and holders of 10% or more of our outstanding common stock beneficially owned, in the aggregate, approximately 29%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June 30, 2020, we had approximately 39.3 million shares of our common stock outstanding.</w:t>
      </w:r>
    </w:p>
    <w:p>
      <w:pPr>
        <w:spacing w:after="0" w:line="9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 addition, as of June 30, 2020, there were approximately 0.9 million restricted stock units and options to purchase approximately 2.4 million shares of our common stock outstanding. If such options are exercised and restricted stock units are released, these additional shares will become available for sale. As of June 30, 2020, we had an aggregate of 7.2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cannot guarantee that our stock repurchase program will be fully consummated or that it will enhance stockholder value, and any stock repurchases we make could affect the price of our common stock.</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In February 2018, we announced a $100.0 million stock repurchase program. In October 2018, October 2019 and May 2020, we announced that our authorization under this program had increased by $100.0 million, $100.0 million and $100.0 million, respectively.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 In the </w:t>
      </w:r>
      <w:r>
        <w:rPr>
          <w:rFonts w:ascii="Arial" w:cs="Arial" w:eastAsia="Arial" w:hAnsi="Arial"/>
          <w:sz w:val="18"/>
          <w:szCs w:val="18"/>
          <w:color w:val="000000"/>
        </w:rPr>
        <w:t>three and six months ended</w:t>
      </w:r>
      <w:r>
        <w:rPr>
          <w:rFonts w:ascii="Arial" w:cs="Arial" w:eastAsia="Arial" w:hAnsi="Arial"/>
          <w:sz w:val="18"/>
          <w:szCs w:val="18"/>
          <w:color w:val="231F20"/>
        </w:rPr>
        <w:t xml:space="preserve"> June 30, 2020, we repurchased 242,500 and 588,750 shares of our common stock, respectively, for an aggregate purch</w:t>
      </w:r>
      <w:r>
        <w:rPr>
          <w:rFonts w:ascii="Arial" w:cs="Arial" w:eastAsia="Arial" w:hAnsi="Arial"/>
          <w:sz w:val="18"/>
          <w:szCs w:val="18"/>
          <w:color w:val="000000"/>
        </w:rPr>
        <w:t>ase price of approximately $25.3 million and $54.2 million, respectively. As of June 30, 2020,</w:t>
      </w:r>
      <w:r>
        <w:rPr>
          <w:rFonts w:ascii="Arial" w:cs="Arial" w:eastAsia="Arial" w:hAnsi="Arial"/>
          <w:sz w:val="18"/>
          <w:szCs w:val="18"/>
          <w:color w:val="231F20"/>
        </w:rPr>
        <w:t xml:space="preserve"> </w:t>
      </w:r>
      <w:r>
        <w:rPr>
          <w:rFonts w:ascii="Arial" w:cs="Arial" w:eastAsia="Arial" w:hAnsi="Arial"/>
          <w:sz w:val="18"/>
          <w:szCs w:val="18"/>
          <w:color w:val="000000"/>
        </w:rPr>
        <w:t>approximately $174.4 million remained available for share repurchases pursuant to our stock repurchase program.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85"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90" w:lineRule="exact"/>
        <w:rPr>
          <w:sz w:val="20"/>
          <w:szCs w:val="20"/>
          <w:color w:val="auto"/>
        </w:rPr>
      </w:pPr>
    </w:p>
    <w:p>
      <w:pPr>
        <w:jc w:val="both"/>
        <w:ind w:left="66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11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On February 5, 2018, our board of directors authorized a $100.0 million two-year share repurchase program, which was announced on February 12, 2018. On October 30, 2018, October 30, 2019 and May 7, 2020, we announced that our board of directors had authorized an increase of $100.0 million, $100.0 million and $100.0 million, respectively, to the original share repurchase program authorization, resulting in an aggregate authorization of $400.0 million. Shares may be repurchased from time to time on the open market in accordance with Rule 10b-18 of the Exchange Act of 1934, including pursuant to a pre-set trading plan adopted in accordance with Rule 10b5-1 under the Exchange Act, until April 28, 2022.</w:t>
      </w:r>
    </w:p>
    <w:p>
      <w:pPr>
        <w:spacing w:after="0" w:line="23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During the three months ended June 30, 2020, we repurchased 242,500 shares of common stock for approximately $25.3 million. All share repurchases were made using cash resources. As of June 30, 2020, approximately $174.4 million remained available for share repurchases pursuant to our share repurchase program.</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our repurchases of common stock during the three months ended June 30, 2020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2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 of</w:t>
            </w:r>
          </w:p>
        </w:tc>
      </w:t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jc w:val="center"/>
              <w:ind w:right="103"/>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Average Price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 Plan or</w:t>
            </w:r>
          </w:p>
        </w:tc>
        <w:tc>
          <w:tcPr>
            <w:tcW w:w="100" w:type="dxa"/>
            <w:vAlign w:val="bottom"/>
          </w:tcPr>
          <w:p>
            <w:pPr>
              <w:spacing w:after="0"/>
              <w:rPr>
                <w:sz w:val="14"/>
                <w:szCs w:val="14"/>
                <w:color w:val="auto"/>
              </w:rPr>
            </w:pPr>
          </w:p>
        </w:tc>
        <w:tc>
          <w:tcPr>
            <w:tcW w:w="2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Purchased under the Plan or</w:t>
            </w:r>
          </w:p>
        </w:tc>
      </w:tr>
      <w:tr>
        <w:trPr>
          <w:trHeight w:val="196"/>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Program</w:t>
            </w: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 April 30, 2020</w:t>
            </w:r>
          </w:p>
        </w:tc>
        <w:tc>
          <w:tcPr>
            <w:tcW w:w="136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116,000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101.14</w:t>
            </w: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116,000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187,873,920</w:t>
            </w:r>
          </w:p>
        </w:tc>
      </w:tr>
      <w:tr>
        <w:trPr>
          <w:trHeight w:val="233"/>
        </w:trPr>
        <w:tc>
          <w:tcPr>
            <w:tcW w:w="4240" w:type="dxa"/>
            <w:vAlign w:val="bottom"/>
          </w:tcPr>
          <w:p>
            <w:pPr>
              <w:ind w:left="20"/>
              <w:spacing w:after="0"/>
              <w:rPr>
                <w:sz w:val="20"/>
                <w:szCs w:val="20"/>
                <w:color w:val="auto"/>
              </w:rPr>
            </w:pPr>
            <w:r>
              <w:rPr>
                <w:rFonts w:ascii="Arial" w:cs="Arial" w:eastAsia="Arial" w:hAnsi="Arial"/>
                <w:sz w:val="16"/>
                <w:szCs w:val="16"/>
                <w:color w:val="auto"/>
              </w:rPr>
              <w:t>May 1 - May 31, 2020</w:t>
            </w:r>
          </w:p>
        </w:tc>
        <w:tc>
          <w:tcPr>
            <w:tcW w:w="1360" w:type="dxa"/>
            <w:vAlign w:val="bottom"/>
            <w:gridSpan w:val="2"/>
          </w:tcPr>
          <w:p>
            <w:pPr>
              <w:jc w:val="right"/>
              <w:ind w:right="88"/>
              <w:spacing w:after="0"/>
              <w:rPr>
                <w:sz w:val="20"/>
                <w:szCs w:val="20"/>
                <w:color w:val="auto"/>
              </w:rPr>
            </w:pPr>
            <w:r>
              <w:rPr>
                <w:rFonts w:ascii="Arial" w:cs="Arial" w:eastAsia="Arial" w:hAnsi="Arial"/>
                <w:sz w:val="16"/>
                <w:szCs w:val="16"/>
                <w:color w:val="auto"/>
              </w:rPr>
              <w:t>110,000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107.63</w:t>
            </w:r>
          </w:p>
        </w:tc>
        <w:tc>
          <w:tcPr>
            <w:tcW w:w="100" w:type="dxa"/>
            <w:vAlign w:val="bottom"/>
          </w:tcPr>
          <w:p>
            <w:pPr>
              <w:spacing w:after="0"/>
              <w:rPr>
                <w:sz w:val="20"/>
                <w:szCs w:val="20"/>
                <w:color w:val="auto"/>
              </w:rPr>
            </w:pPr>
          </w:p>
        </w:tc>
        <w:tc>
          <w:tcPr>
            <w:tcW w:w="2000" w:type="dxa"/>
            <w:vAlign w:val="bottom"/>
          </w:tcPr>
          <w:p>
            <w:pPr>
              <w:jc w:val="right"/>
              <w:ind w:right="84"/>
              <w:spacing w:after="0"/>
              <w:rPr>
                <w:sz w:val="20"/>
                <w:szCs w:val="20"/>
                <w:color w:val="auto"/>
              </w:rPr>
            </w:pPr>
            <w:r>
              <w:rPr>
                <w:rFonts w:ascii="Arial" w:cs="Arial" w:eastAsia="Arial" w:hAnsi="Arial"/>
                <w:sz w:val="16"/>
                <w:szCs w:val="16"/>
                <w:color w:val="auto"/>
              </w:rPr>
              <w:t>110,000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83"/>
              <w:spacing w:after="0"/>
              <w:rPr>
                <w:sz w:val="20"/>
                <w:szCs w:val="20"/>
                <w:color w:val="auto"/>
              </w:rPr>
            </w:pPr>
            <w:r>
              <w:rPr>
                <w:rFonts w:ascii="Arial" w:cs="Arial" w:eastAsia="Arial" w:hAnsi="Arial"/>
                <w:sz w:val="16"/>
                <w:szCs w:val="16"/>
                <w:color w:val="auto"/>
              </w:rPr>
              <w:t>176,034,713</w:t>
            </w:r>
          </w:p>
        </w:tc>
      </w:tr>
      <w:tr>
        <w:trPr>
          <w:trHeight w:val="24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1 - June 30, 2020</w:t>
            </w:r>
          </w:p>
        </w:tc>
        <w:tc>
          <w:tcPr>
            <w:tcW w:w="1360" w:type="dxa"/>
            <w:vAlign w:val="bottom"/>
            <w:tcBorders>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16,500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102.10</w:t>
            </w:r>
          </w:p>
        </w:tc>
        <w:tc>
          <w:tcPr>
            <w:tcW w:w="100" w:type="dxa"/>
            <w:vAlign w:val="bottom"/>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16,500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174,350,069</w:t>
            </w:r>
          </w:p>
        </w:tc>
      </w:tr>
      <w:tr>
        <w:trPr>
          <w:trHeight w:val="243"/>
        </w:trPr>
        <w:tc>
          <w:tcPr>
            <w:tcW w:w="4240" w:type="dxa"/>
            <w:vAlign w:val="bottom"/>
          </w:tcPr>
          <w:p>
            <w:pPr>
              <w:ind w:left="2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6"/>
                <w:szCs w:val="16"/>
                <w:color w:val="auto"/>
              </w:rPr>
              <w:t>242,500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242,500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231F20"/>
        </w:rPr>
        <w:t>Item 6. Exhibits</w:t>
      </w:r>
    </w:p>
    <w:p>
      <w:pPr>
        <w:sectPr>
          <w:pgSz w:w="11900" w:h="16838" w:orient="portrait"/>
          <w:cols w:equalWidth="0" w:num="1">
            <w:col w:w="11040"/>
          </w:cols>
          <w:pgMar w:left="320" w:top="1413" w:right="539" w:bottom="1440" w:gutter="0" w:footer="0" w:header="0"/>
        </w:sect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w:t>
      </w:r>
    </w:p>
    <w:p>
      <w:pPr>
        <w:ind w:left="2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543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 INS</w:t>
      </w:r>
    </w:p>
    <w:p>
      <w:pPr>
        <w:spacing w:after="0" w:line="347" w:lineRule="exact"/>
        <w:rPr>
          <w:sz w:val="20"/>
          <w:szCs w:val="20"/>
          <w:color w:val="auto"/>
        </w:rPr>
      </w:pPr>
    </w:p>
    <w:p>
      <w:pPr>
        <w:ind w:left="380" w:hanging="354"/>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SCH</w:t>
      </w:r>
    </w:p>
    <w:p>
      <w:pPr>
        <w:spacing w:after="0" w:line="171" w:lineRule="exact"/>
        <w:rPr>
          <w:rFonts w:ascii="Arial" w:cs="Arial" w:eastAsia="Arial" w:hAnsi="Arial"/>
          <w:sz w:val="18"/>
          <w:szCs w:val="18"/>
          <w:color w:val="auto"/>
        </w:rPr>
      </w:pPr>
    </w:p>
    <w:p>
      <w:pPr>
        <w:ind w:left="380" w:hanging="354"/>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w:t>
      </w:r>
    </w:p>
    <w:p>
      <w:pPr>
        <w:spacing w:after="0" w:line="171" w:lineRule="exact"/>
        <w:rPr>
          <w:rFonts w:ascii="Arial" w:cs="Arial" w:eastAsia="Arial" w:hAnsi="Arial"/>
          <w:sz w:val="18"/>
          <w:szCs w:val="18"/>
          <w:color w:val="auto"/>
        </w:rPr>
      </w:pPr>
    </w:p>
    <w:p>
      <w:pPr>
        <w:ind w:left="380" w:hanging="354"/>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w:t>
      </w:r>
    </w:p>
    <w:p>
      <w:pPr>
        <w:spacing w:after="0" w:line="171" w:lineRule="exact"/>
        <w:rPr>
          <w:rFonts w:ascii="Arial" w:cs="Arial" w:eastAsia="Arial" w:hAnsi="Arial"/>
          <w:sz w:val="18"/>
          <w:szCs w:val="18"/>
          <w:color w:val="auto"/>
        </w:rPr>
      </w:pPr>
    </w:p>
    <w:p>
      <w:pPr>
        <w:ind w:left="380" w:hanging="354"/>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LAB</w:t>
      </w:r>
    </w:p>
    <w:p>
      <w:pPr>
        <w:spacing w:after="0" w:line="171" w:lineRule="exact"/>
        <w:rPr>
          <w:rFonts w:ascii="Arial" w:cs="Arial" w:eastAsia="Arial" w:hAnsi="Arial"/>
          <w:sz w:val="18"/>
          <w:szCs w:val="18"/>
          <w:color w:val="auto"/>
        </w:rPr>
      </w:pPr>
    </w:p>
    <w:p>
      <w:pPr>
        <w:ind w:left="380" w:hanging="354"/>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w:t>
      </w:r>
    </w:p>
    <w:p>
      <w:pPr>
        <w:spacing w:after="0" w:line="171" w:lineRule="exact"/>
        <w:rPr>
          <w:rFonts w:ascii="Arial" w:cs="Arial" w:eastAsia="Arial" w:hAnsi="Arial"/>
          <w:sz w:val="18"/>
          <w:szCs w:val="18"/>
          <w:color w:val="auto"/>
        </w:rPr>
      </w:pPr>
    </w:p>
    <w:p>
      <w:pPr>
        <w:spacing w:after="0"/>
        <w:tabs>
          <w:tab w:leader="none" w:pos="0" w:val="left"/>
        </w:tabs>
        <w:numPr>
          <w:ilvl w:val="0"/>
          <w:numId w:val="24"/>
        </w:numPr>
        <w:rPr>
          <w:rFonts w:ascii="Arial" w:cs="Arial" w:eastAsia="Arial" w:hAnsi="Arial"/>
          <w:sz w:val="18"/>
          <w:szCs w:val="18"/>
          <w:color w:val="auto"/>
        </w:rPr>
      </w:pP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59061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06135" cy="8255"/>
                    </a:xfrm>
                    <a:prstGeom prst="rect">
                      <a:avLst/>
                    </a:prstGeom>
                    <a:noFill/>
                  </pic:spPr>
                </pic:pic>
              </a:graphicData>
            </a:graphic>
          </wp:anchor>
        </w:drawing>
      </w:r>
    </w:p>
    <w:p>
      <w:pPr>
        <w:spacing w:after="0" w:line="165" w:lineRule="exact"/>
        <w:rPr>
          <w:sz w:val="20"/>
          <w:szCs w:val="20"/>
          <w:color w:val="auto"/>
        </w:rPr>
      </w:pPr>
    </w:p>
    <w:p>
      <w:pPr>
        <w:ind w:right="1160"/>
        <w:spacing w:after="0" w:line="227" w:lineRule="auto"/>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Offer Letter, between Qualys, Inc. and Joo Mi Kim, dated May 21, 2020 (incorporated herein by reference to</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Exhibit 10.1 to the registrant's Current Report on Form 8-K filed with the SEC on May 26, 2020).</w:t>
        </w:r>
      </w:hyperlink>
    </w:p>
    <w:p>
      <w:pPr>
        <w:spacing w:after="0" w:line="162" w:lineRule="exact"/>
        <w:rPr>
          <w:sz w:val="20"/>
          <w:szCs w:val="20"/>
          <w:color w:val="auto"/>
        </w:rPr>
      </w:pPr>
    </w:p>
    <w:p>
      <w:pPr>
        <w:ind w:right="1700"/>
        <w:spacing w:after="0" w:line="241" w:lineRule="auto"/>
        <w:rPr>
          <w:rFonts w:ascii="Arial" w:cs="Arial" w:eastAsia="Arial" w:hAnsi="Arial"/>
          <w:sz w:val="17"/>
          <w:szCs w:val="17"/>
          <w:u w:val="single" w:color="auto"/>
          <w:color w:val="0000FF"/>
        </w:rPr>
      </w:pPr>
      <w:hyperlink w:anchor="page66">
        <w:r>
          <w:rPr>
            <w:rFonts w:ascii="Arial" w:cs="Arial" w:eastAsia="Arial" w:hAnsi="Arial"/>
            <w:sz w:val="17"/>
            <w:szCs w:val="17"/>
            <w:u w:val="single" w:color="auto"/>
            <w:color w:val="0000FF"/>
          </w:rPr>
          <w:t>Certification of Chief Executive Officer pursuant to Rule 13a-14(a) or Rule 15d-14(a) of the Securities</w:t>
        </w:r>
      </w:hyperlink>
      <w:r>
        <w:rPr>
          <w:rFonts w:ascii="Arial" w:cs="Arial" w:eastAsia="Arial" w:hAnsi="Arial"/>
          <w:sz w:val="17"/>
          <w:szCs w:val="17"/>
          <w:u w:val="single" w:color="auto"/>
          <w:color w:val="0000FF"/>
        </w:rPr>
        <w:t xml:space="preserve"> </w:t>
      </w:r>
      <w:hyperlink w:anchor="page66">
        <w:r>
          <w:rPr>
            <w:rFonts w:ascii="Arial" w:cs="Arial" w:eastAsia="Arial" w:hAnsi="Arial"/>
            <w:sz w:val="17"/>
            <w:szCs w:val="17"/>
            <w:u w:val="single" w:color="auto"/>
            <w:color w:val="0000FF"/>
          </w:rPr>
          <w:t>Exchange Act of 1934, as adopted pursuant to Section 302 of The Sarbanes-Oxley Act of 2002</w:t>
        </w:r>
        <w:r>
          <w:rPr>
            <w:rFonts w:ascii="Arial" w:cs="Arial" w:eastAsia="Arial" w:hAnsi="Arial"/>
            <w:sz w:val="17"/>
            <w:szCs w:val="17"/>
            <w:u w:val="single" w:color="auto"/>
            <w:color w:val="000000"/>
          </w:rPr>
          <w:t>.</w:t>
        </w:r>
      </w:hyperlink>
    </w:p>
    <w:p>
      <w:pPr>
        <w:spacing w:after="0" w:line="161" w:lineRule="exact"/>
        <w:rPr>
          <w:sz w:val="20"/>
          <w:szCs w:val="20"/>
          <w:color w:val="auto"/>
        </w:rPr>
      </w:pPr>
    </w:p>
    <w:p>
      <w:pPr>
        <w:ind w:right="1760"/>
        <w:spacing w:after="0" w:line="241" w:lineRule="auto"/>
        <w:rPr>
          <w:rFonts w:ascii="Arial" w:cs="Arial" w:eastAsia="Arial" w:hAnsi="Arial"/>
          <w:sz w:val="17"/>
          <w:szCs w:val="17"/>
          <w:u w:val="single" w:color="auto"/>
          <w:color w:val="0000FF"/>
        </w:rPr>
      </w:pPr>
      <w:hyperlink w:anchor="page67">
        <w:r>
          <w:rPr>
            <w:rFonts w:ascii="Arial" w:cs="Arial" w:eastAsia="Arial" w:hAnsi="Arial"/>
            <w:sz w:val="17"/>
            <w:szCs w:val="17"/>
            <w:u w:val="single" w:color="auto"/>
            <w:color w:val="0000FF"/>
          </w:rPr>
          <w:t>Certification of Chief Financial Officer pursuant to Rule 13a-14(a) or Rule 15d-14(a) of the Securities</w:t>
        </w:r>
      </w:hyperlink>
      <w:r>
        <w:rPr>
          <w:rFonts w:ascii="Arial" w:cs="Arial" w:eastAsia="Arial" w:hAnsi="Arial"/>
          <w:sz w:val="17"/>
          <w:szCs w:val="17"/>
          <w:u w:val="single" w:color="auto"/>
          <w:color w:val="0000FF"/>
        </w:rPr>
        <w:t xml:space="preserve"> </w:t>
      </w:r>
      <w:hyperlink w:anchor="page67">
        <w:r>
          <w:rPr>
            <w:rFonts w:ascii="Arial" w:cs="Arial" w:eastAsia="Arial" w:hAnsi="Arial"/>
            <w:sz w:val="17"/>
            <w:szCs w:val="17"/>
            <w:u w:val="single" w:color="auto"/>
            <w:color w:val="0000FF"/>
          </w:rPr>
          <w:t>Exchange Act of 1934, as adopted pursuant to Section 302 of The Sarbanes-Oxley Act of 2002.</w:t>
        </w:r>
      </w:hyperlink>
    </w:p>
    <w:p>
      <w:pPr>
        <w:spacing w:after="0" w:line="161" w:lineRule="exact"/>
        <w:rPr>
          <w:sz w:val="20"/>
          <w:szCs w:val="20"/>
          <w:color w:val="auto"/>
        </w:rPr>
      </w:pPr>
    </w:p>
    <w:p>
      <w:pPr>
        <w:ind w:right="1340"/>
        <w:spacing w:after="0" w:line="219" w:lineRule="auto"/>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Certification of Chief Executive Officer pursuant to Rule 13a-14(b) or Rule 15d-14(b) of the Securities</w:t>
        </w:r>
      </w:hyperlink>
      <w:r>
        <w:rPr>
          <w:rFonts w:ascii="Arial" w:cs="Arial" w:eastAsia="Arial" w:hAnsi="Arial"/>
          <w:sz w:val="18"/>
          <w:szCs w:val="18"/>
          <w:u w:val="single" w:color="auto"/>
          <w:color w:val="0000FF"/>
        </w:rPr>
        <w:t xml:space="preserve"> </w:t>
      </w:r>
      <w:hyperlink w:anchor="page68">
        <w:r>
          <w:rPr>
            <w:rFonts w:ascii="Arial" w:cs="Arial" w:eastAsia="Arial" w:hAnsi="Arial"/>
            <w:sz w:val="18"/>
            <w:szCs w:val="18"/>
            <w:u w:val="single" w:color="auto"/>
            <w:color w:val="0000FF"/>
          </w:rPr>
          <w:t>Exchange Act of 1934 and 18 U.S.C. Section 1350 as adopted pursuant to Section 906 of The Sarbanes-</w:t>
        </w:r>
      </w:hyperlink>
      <w:hyperlink w:anchor="page68">
        <w:r>
          <w:rPr>
            <w:rFonts w:ascii="Arial" w:cs="Arial" w:eastAsia="Arial" w:hAnsi="Arial"/>
            <w:sz w:val="18"/>
            <w:szCs w:val="18"/>
            <w:u w:val="single" w:color="auto"/>
            <w:color w:val="0000FF"/>
          </w:rPr>
          <w:t>Oxley Act of 2002.</w:t>
        </w:r>
      </w:hyperlink>
    </w:p>
    <w:p>
      <w:pPr>
        <w:spacing w:after="0" w:line="216" w:lineRule="exact"/>
        <w:rPr>
          <w:rFonts w:ascii="Arial" w:cs="Arial" w:eastAsia="Arial" w:hAnsi="Arial"/>
          <w:sz w:val="18"/>
          <w:szCs w:val="18"/>
          <w:u w:val="single" w:color="auto"/>
          <w:color w:val="0000FF"/>
        </w:rPr>
      </w:pPr>
    </w:p>
    <w:p>
      <w:pPr>
        <w:ind w:right="1340"/>
        <w:spacing w:after="0" w:line="219" w:lineRule="auto"/>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Certification of Chief Financial Officer pursuant to Rule 13a-14(b) or Rule 15d-14(b) of the Securities</w:t>
        </w:r>
      </w:hyperlink>
      <w:r>
        <w:rPr>
          <w:rFonts w:ascii="Arial" w:cs="Arial" w:eastAsia="Arial" w:hAnsi="Arial"/>
          <w:sz w:val="18"/>
          <w:szCs w:val="18"/>
          <w:u w:val="single" w:color="auto"/>
          <w:color w:val="0000FF"/>
        </w:rPr>
        <w:t xml:space="preserve"> </w:t>
      </w:r>
      <w:hyperlink w:anchor="page69">
        <w:r>
          <w:rPr>
            <w:rFonts w:ascii="Arial" w:cs="Arial" w:eastAsia="Arial" w:hAnsi="Arial"/>
            <w:sz w:val="18"/>
            <w:szCs w:val="18"/>
            <w:u w:val="single" w:color="auto"/>
            <w:color w:val="0000FF"/>
          </w:rPr>
          <w:t>Exchange Act of 1934 and 18 U.S.C. Section 1350 as adopted pursuant to Section 906 of The Sarbanes-</w:t>
        </w:r>
      </w:hyperlink>
      <w:hyperlink w:anchor="page69">
        <w:r>
          <w:rPr>
            <w:rFonts w:ascii="Arial" w:cs="Arial" w:eastAsia="Arial" w:hAnsi="Arial"/>
            <w:sz w:val="18"/>
            <w:szCs w:val="18"/>
            <w:u w:val="single" w:color="auto"/>
            <w:color w:val="0000FF"/>
          </w:rPr>
          <w:t>Oxley Act of 2002.</w:t>
        </w:r>
      </w:hyperlink>
    </w:p>
    <w:p>
      <w:pPr>
        <w:spacing w:after="0" w:line="162" w:lineRule="exact"/>
        <w:rPr>
          <w:rFonts w:ascii="Arial" w:cs="Arial" w:eastAsia="Arial" w:hAnsi="Arial"/>
          <w:sz w:val="18"/>
          <w:szCs w:val="18"/>
          <w:u w:val="single" w:color="auto"/>
          <w:color w:val="0000FF"/>
        </w:rPr>
      </w:pPr>
    </w:p>
    <w:p>
      <w:pPr>
        <w:ind w:left="320" w:right="1320" w:hanging="323"/>
        <w:spacing w:after="0" w:line="227" w:lineRule="auto"/>
        <w:rPr>
          <w:sz w:val="20"/>
          <w:szCs w:val="20"/>
          <w:color w:val="auto"/>
        </w:rPr>
      </w:pPr>
      <w:r>
        <w:rPr>
          <w:rFonts w:ascii="Arial" w:cs="Arial" w:eastAsia="Arial" w:hAnsi="Arial"/>
          <w:sz w:val="18"/>
          <w:szCs w:val="18"/>
          <w:color w:val="231F20"/>
        </w:rPr>
        <w:t>XBRL Instance Document - the instance document does not appear in the interactive data file because its XBRL tags are embedded within the inline XBRL document.</w:t>
      </w:r>
    </w:p>
    <w:p>
      <w:pPr>
        <w:spacing w:after="0" w:line="16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231F20"/>
        </w:rPr>
        <w:t>XBRL Taxonomy Extension Schema Document</w:t>
      </w:r>
    </w:p>
    <w:p>
      <w:pPr>
        <w:spacing w:after="0" w:line="17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231F20"/>
        </w:rPr>
        <w:t>XBRL Taxonomy Extension Calculation Linkbase Document.</w:t>
      </w:r>
    </w:p>
    <w:p>
      <w:pPr>
        <w:spacing w:after="0" w:line="17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231F20"/>
        </w:rPr>
        <w:t>XBRL Taxonomy Extension Definition Linkbase Document.</w:t>
      </w:r>
    </w:p>
    <w:p>
      <w:pPr>
        <w:spacing w:after="0" w:line="17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231F20"/>
        </w:rPr>
        <w:t>XBRL Taxonomy Extension Labels Linkbase Document.</w:t>
      </w:r>
    </w:p>
    <w:p>
      <w:pPr>
        <w:spacing w:after="0" w:line="17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231F20"/>
        </w:rPr>
        <w:t>XBRL Taxonomy Extension Presentation Linkbase Document.</w:t>
      </w:r>
    </w:p>
    <w:p>
      <w:pPr>
        <w:spacing w:after="0" w:line="17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231F20"/>
        </w:rPr>
        <w:t>Cover Page Interactive Data File - formatted in Inline XBRL and included as Exhibit 101</w:t>
      </w:r>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760" w:space="560"/>
            <w:col w:w="9720"/>
          </w:cols>
          <w:pgMar w:left="320" w:top="1413" w:right="539" w:bottom="1440" w:gutter="0" w:footer="0" w:header="0"/>
          <w:type w:val="continuous"/>
        </w:sectPr>
      </w:pPr>
    </w:p>
    <w:p>
      <w:pPr>
        <w:spacing w:after="0" w:line="160" w:lineRule="exact"/>
        <w:rPr>
          <w:rFonts w:ascii="Arial" w:cs="Arial" w:eastAsia="Arial" w:hAnsi="Arial"/>
          <w:sz w:val="18"/>
          <w:szCs w:val="18"/>
          <w:u w:val="single" w:color="auto"/>
          <w:color w:val="0000FF"/>
        </w:rPr>
      </w:pPr>
    </w:p>
    <w:p>
      <w:pPr>
        <w:jc w:val="both"/>
        <w:ind w:hanging="107"/>
        <w:spacing w:after="0" w:line="254" w:lineRule="auto"/>
        <w:rPr>
          <w:sz w:val="20"/>
          <w:szCs w:val="20"/>
          <w:color w:val="auto"/>
        </w:rPr>
      </w:pPr>
      <w:r>
        <w:rPr>
          <w:rFonts w:ascii="Arial" w:cs="Arial" w:eastAsia="Arial" w:hAnsi="Arial"/>
          <w:sz w:val="18"/>
          <w:szCs w:val="18"/>
          <w:color w:val="231F20"/>
        </w:rPr>
        <w:t>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06" w:lineRule="exact"/>
        <w:rPr>
          <w:rFonts w:ascii="Arial" w:cs="Arial" w:eastAsia="Arial" w:hAnsi="Arial"/>
          <w:sz w:val="18"/>
          <w:szCs w:val="18"/>
          <w:u w:val="single" w:color="auto"/>
          <w:color w:val="0000FF"/>
        </w:rPr>
      </w:pPr>
    </w:p>
    <w:p>
      <w:pPr>
        <w:jc w:val="center"/>
        <w:ind w:right="-219"/>
        <w:spacing w:after="0"/>
        <w:rPr>
          <w:sz w:val="20"/>
          <w:szCs w:val="20"/>
          <w:color w:val="auto"/>
        </w:rPr>
      </w:pPr>
      <w:r>
        <w:rPr>
          <w:rFonts w:ascii="Arial" w:cs="Arial" w:eastAsia="Arial" w:hAnsi="Arial"/>
          <w:sz w:val="18"/>
          <w:szCs w:val="18"/>
          <w:color w:val="auto"/>
        </w:rPr>
        <w:t>64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413" w:right="539" w:bottom="1440" w:gutter="0" w:footer="0" w:header="0"/>
          <w:type w:val="continuous"/>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left="80" w:firstLine="445"/>
        <w:spacing w:after="0" w:line="261"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Foster City, State of California on August 10, 2020.</w:t>
      </w:r>
    </w:p>
    <w:p>
      <w:pPr>
        <w:spacing w:after="0" w:line="108"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140"/>
        <w:spacing w:after="0"/>
        <w:tabs>
          <w:tab w:leader="none" w:pos="7520" w:val="left"/>
        </w:tabs>
        <w:rPr>
          <w:sz w:val="20"/>
          <w:szCs w:val="20"/>
          <w:color w:val="auto"/>
        </w:rPr>
      </w:pPr>
      <w:r>
        <w:rPr>
          <w:rFonts w:ascii="Arial" w:cs="Arial" w:eastAsia="Arial" w:hAnsi="Arial"/>
          <w:sz w:val="14"/>
          <w:szCs w:val="14"/>
          <w:b w:val="1"/>
          <w:bCs w:val="1"/>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26035</wp:posOffset>
            </wp:positionV>
            <wp:extent cx="23571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6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Name: Philippe F. Courtot</w:t>
      </w:r>
    </w:p>
    <w:p>
      <w:pPr>
        <w:spacing w:after="0" w:line="50"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Title: Chairman and Chief Executive Officer</w:t>
      </w:r>
    </w:p>
    <w:p>
      <w:pPr>
        <w:spacing w:after="0" w:line="50"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(principal executive officer)</w:t>
      </w:r>
    </w:p>
    <w:p>
      <w:pPr>
        <w:spacing w:after="0" w:line="145" w:lineRule="exact"/>
        <w:rPr>
          <w:sz w:val="20"/>
          <w:szCs w:val="20"/>
          <w:color w:val="auto"/>
        </w:rPr>
      </w:pPr>
    </w:p>
    <w:p>
      <w:pPr>
        <w:ind w:left="7140"/>
        <w:spacing w:after="0"/>
        <w:tabs>
          <w:tab w:leader="none" w:pos="7520" w:val="left"/>
        </w:tabs>
        <w:rPr>
          <w:sz w:val="20"/>
          <w:szCs w:val="20"/>
          <w:color w:val="auto"/>
        </w:rPr>
      </w:pPr>
      <w:r>
        <w:rPr>
          <w:rFonts w:ascii="Arial" w:cs="Arial" w:eastAsia="Arial" w:hAnsi="Arial"/>
          <w:sz w:val="14"/>
          <w:szCs w:val="14"/>
          <w:b w:val="1"/>
          <w:bCs w:val="1"/>
          <w:color w:val="auto"/>
        </w:rPr>
        <w:t>By:</w:t>
      </w:r>
      <w:r>
        <w:rPr>
          <w:sz w:val="20"/>
          <w:szCs w:val="20"/>
          <w:color w:val="auto"/>
        </w:rPr>
        <w:tab/>
      </w:r>
      <w:r>
        <w:rPr>
          <w:rFonts w:ascii="Arial" w:cs="Arial" w:eastAsia="Arial" w:hAnsi="Arial"/>
          <w:sz w:val="14"/>
          <w:szCs w:val="14"/>
          <w:color w:val="auto"/>
        </w:rPr>
        <w:t>/s/ JOO MI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26035</wp:posOffset>
            </wp:positionV>
            <wp:extent cx="23571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6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Name: Joo Mi Kim</w:t>
      </w:r>
    </w:p>
    <w:p>
      <w:pPr>
        <w:spacing w:after="0" w:line="50"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Title: Chief Financial Officer</w:t>
      </w:r>
    </w:p>
    <w:p>
      <w:pPr>
        <w:spacing w:after="0" w:line="50"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60"/>
          </w:cols>
          <w:pgMar w:left="320" w:top="141" w:right="4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360"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117"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20" w:hanging="332"/>
        <w:spacing w:after="0" w:line="261"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340" w:hanging="332"/>
        <w:spacing w:after="0" w:line="250"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8"/>
          <w:szCs w:val="18"/>
          <w:color w:val="auto"/>
        </w:rPr>
      </w:pPr>
    </w:p>
    <w:p>
      <w:pPr>
        <w:jc w:val="both"/>
        <w:ind w:left="980" w:hanging="324"/>
        <w:spacing w:after="0" w:line="256" w:lineRule="auto"/>
        <w:tabs>
          <w:tab w:leader="none" w:pos="93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980" w:hanging="324"/>
        <w:spacing w:after="0" w:line="256" w:lineRule="auto"/>
        <w:tabs>
          <w:tab w:leader="none" w:pos="94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980" w:hanging="324"/>
        <w:spacing w:after="0" w:line="256" w:lineRule="auto"/>
        <w:tabs>
          <w:tab w:leader="none" w:pos="934"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980" w:hanging="324"/>
        <w:spacing w:after="0" w:line="256" w:lineRule="auto"/>
        <w:tabs>
          <w:tab w:leader="none" w:pos="9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980" w:hanging="324"/>
        <w:spacing w:after="0" w:line="256" w:lineRule="auto"/>
        <w:tabs>
          <w:tab w:leader="none" w:pos="94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980" w:right="20" w:hanging="324"/>
        <w:spacing w:after="0" w:line="261" w:lineRule="auto"/>
        <w:tabs>
          <w:tab w:leader="none" w:pos="9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Date:</w:t>
        <w:tab/>
        <w:t>August 10, 2020</w:t>
      </w:r>
    </w:p>
    <w:p>
      <w:pPr>
        <w:spacing w:after="0" w:line="1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36830</wp:posOffset>
            </wp:positionV>
            <wp:extent cx="30600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(Principal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240"/>
          </w:cols>
          <w:pgMar w:left="320" w:top="900"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Joo Mi Kim, certify that:</w:t>
      </w:r>
    </w:p>
    <w:p>
      <w:pPr>
        <w:spacing w:after="0" w:line="360"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117"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20" w:hanging="332"/>
        <w:spacing w:after="0" w:line="261"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340" w:hanging="332"/>
        <w:spacing w:after="0" w:line="250"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8"/>
          <w:szCs w:val="18"/>
          <w:color w:val="auto"/>
        </w:rPr>
      </w:pPr>
    </w:p>
    <w:p>
      <w:pPr>
        <w:jc w:val="both"/>
        <w:ind w:left="980" w:hanging="324"/>
        <w:spacing w:after="0" w:line="256" w:lineRule="auto"/>
        <w:tabs>
          <w:tab w:leader="none" w:pos="93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980" w:hanging="324"/>
        <w:spacing w:after="0" w:line="256" w:lineRule="auto"/>
        <w:tabs>
          <w:tab w:leader="none" w:pos="946"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980" w:hanging="324"/>
        <w:spacing w:after="0" w:line="256" w:lineRule="auto"/>
        <w:tabs>
          <w:tab w:leader="none" w:pos="934"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980" w:hanging="324"/>
        <w:spacing w:after="0" w:line="256" w:lineRule="auto"/>
        <w:tabs>
          <w:tab w:leader="none" w:pos="93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980" w:hanging="324"/>
        <w:spacing w:after="0" w:line="256" w:lineRule="auto"/>
        <w:tabs>
          <w:tab w:leader="none" w:pos="942"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980" w:right="20" w:hanging="324"/>
        <w:spacing w:after="0" w:line="261" w:lineRule="auto"/>
        <w:tabs>
          <w:tab w:leader="none" w:pos="93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Date:</w:t>
        <w:tab/>
        <w:t>August 10, 2020</w:t>
      </w:r>
    </w:p>
    <w:p>
      <w:pPr>
        <w:spacing w:after="0" w:line="1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JOO MI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36830</wp:posOffset>
            </wp:positionV>
            <wp:extent cx="30600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Joo Mi Kim</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(Principal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240"/>
          </w:cols>
          <w:pgMar w:left="320" w:top="900"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2020, as filed with the Securities and Exchange Commission on the date hereof (the “Report”), I, Philippe F. Courtot, Chairman and Chief Executive Officer of the Company, certify, pursuant to 18 U.S.C. § 1350, as adopted pursuant to § 906 of the Sarbanes-Oxley Act of 2002, that, to the best of my knowledge:</w:t>
      </w:r>
    </w:p>
    <w:p>
      <w:pPr>
        <w:spacing w:after="0" w:line="96" w:lineRule="exact"/>
        <w:rPr>
          <w:sz w:val="20"/>
          <w:szCs w:val="20"/>
          <w:color w:val="auto"/>
        </w:rPr>
      </w:pPr>
    </w:p>
    <w:p>
      <w:pPr>
        <w:ind w:left="780" w:hanging="272"/>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firstLine="571"/>
        <w:spacing w:after="0" w:line="261" w:lineRule="auto"/>
        <w:tabs>
          <w:tab w:leader="none" w:pos="839"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Date:</w:t>
        <w:tab/>
        <w:t>August 10, 2020</w:t>
      </w:r>
    </w:p>
    <w:p>
      <w:pPr>
        <w:spacing w:after="0" w:line="1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36830</wp:posOffset>
            </wp:positionV>
            <wp:extent cx="30600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(Principal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240"/>
          </w:cols>
          <w:pgMar w:left="320" w:top="900"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66"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39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2020, as filed with the Securities and Exchange Commission on the date hereof (the “Report”), I, Joo Mi Kim, Chief Financial Officer of the Company, certify, pursuant to 18 U.S.C. § 1350, as adopted pursuant to § 906 of the Sarbanes-Oxley Act of 2002, that, to the best of my knowledge:</w:t>
      </w:r>
    </w:p>
    <w:p>
      <w:pPr>
        <w:spacing w:after="0" w:line="94" w:lineRule="exact"/>
        <w:rPr>
          <w:sz w:val="20"/>
          <w:szCs w:val="20"/>
          <w:color w:val="auto"/>
        </w:rPr>
      </w:pPr>
    </w:p>
    <w:p>
      <w:pPr>
        <w:ind w:left="780" w:hanging="272"/>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firstLine="571"/>
        <w:spacing w:after="0" w:line="261" w:lineRule="auto"/>
        <w:tabs>
          <w:tab w:leader="none" w:pos="839"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Date:</w:t>
        <w:tab/>
        <w:t>August 10, 2020</w:t>
      </w:r>
    </w:p>
    <w:p>
      <w:pPr>
        <w:spacing w:after="0" w:line="1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JOO MI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36830</wp:posOffset>
            </wp:positionV>
            <wp:extent cx="30600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Joo Mi Kim</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(Principal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01"/>
    </w:lvl>
  </w:abstractNum>
  <w:abstractNum w:abstractNumId="19">
    <w:nsid w:val="75A2A8D4"/>
    <w:multiLevelType w:val="hybridMultilevel"/>
    <w:lvl w:ilvl="0">
      <w:lvlJc w:val="left"/>
      <w:lvlText w:val="%1"/>
      <w:numFmt w:val="decimal"/>
      <w:start w:val="101"/>
    </w:lvl>
  </w:abstractNum>
  <w:abstractNum w:abstractNumId="20">
    <w:nsid w:val="8EDBDAB"/>
    <w:multiLevelType w:val="hybridMultilevel"/>
    <w:lvl w:ilvl="0">
      <w:lvlJc w:val="left"/>
      <w:lvlText w:val="%1"/>
      <w:numFmt w:val="decimal"/>
      <w:start w:val="101"/>
    </w:lvl>
  </w:abstractNum>
  <w:abstractNum w:abstractNumId="21">
    <w:nsid w:val="79838CB2"/>
    <w:multiLevelType w:val="hybridMultilevel"/>
    <w:lvl w:ilvl="0">
      <w:lvlJc w:val="left"/>
      <w:lvlText w:val="%1"/>
      <w:numFmt w:val="decimal"/>
      <w:start w:val="101"/>
    </w:lvl>
  </w:abstractNum>
  <w:abstractNum w:abstractNumId="22">
    <w:nsid w:val="4353D0CD"/>
    <w:multiLevelType w:val="hybridMultilevel"/>
    <w:lvl w:ilvl="0">
      <w:lvlJc w:val="left"/>
      <w:lvlText w:val="%1"/>
      <w:numFmt w:val="decimal"/>
      <w:start w:val="101"/>
    </w:lvl>
  </w:abstractNum>
  <w:abstractNum w:abstractNumId="23">
    <w:nsid w:val="B03E0C6"/>
    <w:multiLevelType w:val="hybridMultilevel"/>
    <w:lvl w:ilvl="0">
      <w:lvlJc w:val="left"/>
      <w:lvlText w:val="%1"/>
      <w:numFmt w:val="decimal"/>
      <w:start w:val="104"/>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decimal"/>
      <w:start w:val="2"/>
    </w:lvl>
  </w:abstractNum>
  <w:abstractNum w:abstractNumId="27">
    <w:nsid w:val="2CA88611"/>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79" Type="http://schemas.openxmlformats.org/officeDocument/2006/relationships/hyperlink" Target="https://www.sec.gov/Archives/edgar/data/1107843/000119312520151509/d80080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2020-08-10T15:45:19Z</dcterms:created>
  <dcterms:modified xsi:type="dcterms:W3CDTF">2020-08-10T15:45:19Z</dcterms:modified>
</cp:coreProperties>
</file>