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1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3"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10, 2026</w:t>
      </w:r>
    </w:p>
    <w:p>
      <w:pPr>
        <w:spacing w:after="0" w:line="9"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QUALYS, INC.</w:t>
      </w:r>
    </w:p>
    <w:p>
      <w:pPr>
        <w:sectPr>
          <w:pgSz w:w="11900" w:h="16838" w:orient="portrait"/>
          <w:cols w:equalWidth="0" w:num="1">
            <w:col w:w="11240"/>
          </w:cols>
          <w:pgMar w:left="320" w:top="1256"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9"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ind w:left="122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1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001-35662</w:t>
      </w:r>
    </w:p>
    <w:p>
      <w:pPr>
        <w:spacing w:after="0" w:line="50"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20"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96" w:lineRule="exact"/>
        <w:rPr>
          <w:sz w:val="24"/>
          <w:szCs w:val="24"/>
          <w:color w:val="auto"/>
        </w:rPr>
      </w:pPr>
    </w:p>
    <w:p>
      <w:pPr>
        <w:jc w:val="center"/>
        <w:ind w:left="-19" w:right="140"/>
        <w:spacing w:after="0" w:line="268" w:lineRule="auto"/>
        <w:rPr>
          <w:sz w:val="20"/>
          <w:szCs w:val="20"/>
          <w:color w:val="auto"/>
        </w:rPr>
      </w:pPr>
      <w:r>
        <w:rPr>
          <w:rFonts w:ascii="Times New Roman" w:cs="Times New Roman" w:eastAsia="Times New Roman" w:hAnsi="Times New Roman"/>
          <w:sz w:val="18"/>
          <w:szCs w:val="18"/>
          <w:b w:val="1"/>
          <w:bCs w:val="1"/>
          <w:color w:val="auto"/>
        </w:rPr>
        <w:t>919 E. Hillsdale Boulevard, 4th Floor Foster City, California 94404 (Address of principal executive offices, including zip code)</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801-6100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(Former name or former address, if changed since last report)</w:t>
      </w:r>
    </w:p>
    <w:p>
      <w:pPr>
        <w:spacing w:after="0" w:line="43"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77-0534145</w:t>
      </w:r>
    </w:p>
    <w:p>
      <w:pPr>
        <w:spacing w:after="0" w:line="2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403" w:lineRule="exact"/>
        <w:rPr>
          <w:sz w:val="24"/>
          <w:szCs w:val="24"/>
          <w:color w:val="auto"/>
        </w:rPr>
      </w:pPr>
    </w:p>
    <w:p>
      <w:pPr>
        <w:sectPr>
          <w:pgSz w:w="11900" w:h="16838" w:orient="portrait"/>
          <w:cols w:equalWidth="0" w:num="3">
            <w:col w:w="2900" w:space="340"/>
            <w:col w:w="4760" w:space="660"/>
            <w:col w:w="2580"/>
          </w:cols>
          <w:pgMar w:left="320" w:top="1256" w:right="339" w:bottom="1440" w:gutter="0" w:footer="0" w:header="0"/>
          <w:type w:val="continuous"/>
        </w:sect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9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40" w:type="dxa"/>
            <w:vAlign w:val="bottom"/>
          </w:tcPr>
          <w:p>
            <w:pPr>
              <w:spacing w:after="0"/>
              <w:rPr>
                <w:sz w:val="20"/>
                <w:szCs w:val="20"/>
                <w:color w:val="auto"/>
              </w:rPr>
            </w:pPr>
          </w:p>
        </w:tc>
      </w:tr>
      <w:tr>
        <w:trPr>
          <w:trHeight w:val="452"/>
        </w:trPr>
        <w:tc>
          <w:tcPr>
            <w:tcW w:w="4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00" w:type="dxa"/>
            <w:vAlign w:val="bottom"/>
          </w:tcPr>
          <w:p>
            <w:pPr>
              <w:spacing w:after="0"/>
              <w:rPr>
                <w:sz w:val="24"/>
                <w:szCs w:val="24"/>
                <w:color w:val="auto"/>
              </w:rPr>
            </w:pP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100" w:type="dxa"/>
            <w:vAlign w:val="bottom"/>
          </w:tcPr>
          <w:p>
            <w:pPr>
              <w:spacing w:after="0"/>
              <w:rPr>
                <w:sz w:val="24"/>
                <w:szCs w:val="24"/>
                <w:color w:val="auto"/>
              </w:rPr>
            </w:pPr>
          </w:p>
        </w:tc>
        <w:tc>
          <w:tcPr>
            <w:tcW w:w="4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43"/>
        </w:trPr>
        <w:tc>
          <w:tcPr>
            <w:tcW w:w="44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Common stock, $0.001 par value per share</w:t>
            </w:r>
          </w:p>
        </w:tc>
        <w:tc>
          <w:tcPr>
            <w:tcW w:w="2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3"/>
              </w:rPr>
              <w:t>QLYS</w:t>
            </w: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65"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 of this chapter).</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98"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667385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6" w:right="339" w:bottom="1440" w:gutter="0" w:footer="0" w:header="0"/>
          <w:type w:val="continuous"/>
        </w:sectPr>
      </w:pPr>
    </w:p>
    <w:bookmarkStart w:id="1" w:name="page2"/>
    <w:bookmarkEnd w:id="1"/>
    <w:p>
      <w:pPr>
        <w:ind w:right="6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Approval of Qualys, Inc. 2012 Equity Incentive Plan, as amended and restated</w:t>
      </w:r>
    </w:p>
    <w:p>
      <w:pPr>
        <w:spacing w:after="0" w:line="106" w:lineRule="exact"/>
        <w:rPr>
          <w:sz w:val="20"/>
          <w:szCs w:val="20"/>
          <w:color w:val="auto"/>
        </w:rPr>
      </w:pPr>
    </w:p>
    <w:p>
      <w:pPr>
        <w:jc w:val="both"/>
        <w:ind w:firstLine="4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June 10, 2026, the stockholders of Qualys, Inc. (the “Company”) approved the Company’s 2012 Equity Incentive Plan, as amended and restated (the “Plan”). A description of the material terms of the Plan is incorporated herein by reference to “Proposal No. 4—Approval of the Qualys, Inc. 2012 Equity Incentive Plan, as Amended and Restated” contained in the Company’s definitive proxy statement on </w:t>
      </w:r>
      <w:hyperlink r:id="rId13">
        <w:r>
          <w:rPr>
            <w:rFonts w:ascii="Times New Roman" w:cs="Times New Roman" w:eastAsia="Times New Roman" w:hAnsi="Times New Roman"/>
            <w:sz w:val="18"/>
            <w:szCs w:val="18"/>
            <w:u w:val="single" w:color="auto"/>
            <w:color w:val="0000FF"/>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Securities and Exchange Commission on April 22, 2026 (the "Proxy Statement"). A copy of the Plan is filed as Exhibit 10.1 hereto and incorporated by reference herein.</w:t>
      </w:r>
    </w:p>
    <w:p>
      <w:pPr>
        <w:spacing w:after="0" w:line="284"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121"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On June 10, 2026, the Company held its 2026 annual meeting of stockholders (the “Annual Meeting”). Present at the Annual Meeting in person or by proxy were holders of 31,972,103 shares of the Company’s common stock, or approximately 90.60% of the shares outstanding and entitled to vote at the Annual Meeting. The voting results for each of the proposals considered at the Annual Meeting are provided below.</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One – Election of Directors</w:t>
      </w:r>
    </w:p>
    <w:p>
      <w:pPr>
        <w:spacing w:after="0" w:line="119" w:lineRule="exact"/>
        <w:rPr>
          <w:sz w:val="20"/>
          <w:szCs w:val="20"/>
          <w:color w:val="auto"/>
        </w:rPr>
      </w:pPr>
    </w:p>
    <w:p>
      <w:pPr>
        <w:jc w:val="both"/>
        <w:ind w:firstLine="440"/>
        <w:spacing w:after="0" w:line="282" w:lineRule="auto"/>
        <w:rPr>
          <w:sz w:val="20"/>
          <w:szCs w:val="20"/>
          <w:color w:val="auto"/>
        </w:rPr>
      </w:pPr>
      <w:r>
        <w:rPr>
          <w:rFonts w:ascii="Times New Roman" w:cs="Times New Roman" w:eastAsia="Times New Roman" w:hAnsi="Times New Roman"/>
          <w:sz w:val="18"/>
          <w:szCs w:val="18"/>
          <w:color w:val="auto"/>
        </w:rPr>
        <w:t>The stockholders elected each of the following nominees as Class II directors to serve on the Company’s board of directors (the “Board”) until the Company’s 2029 annual meeting of stockholders or until their respective successors are duly elected and qualified.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Nominee</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82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8"/>
        </w:trPr>
        <w:tc>
          <w:tcPr>
            <w:tcW w:w="2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Bradford L. Brooks</w:t>
            </w:r>
          </w:p>
        </w:tc>
        <w:tc>
          <w:tcPr>
            <w:tcW w:w="100" w:type="dxa"/>
            <w:vAlign w:val="bottom"/>
          </w:tcPr>
          <w:p>
            <w:pPr>
              <w:spacing w:after="0"/>
              <w:rPr>
                <w:sz w:val="18"/>
                <w:szCs w:val="18"/>
                <w:color w:val="auto"/>
              </w:rPr>
            </w:pPr>
          </w:p>
        </w:tc>
        <w:tc>
          <w:tcPr>
            <w:tcW w:w="2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28,669,493</w:t>
            </w:r>
          </w:p>
        </w:tc>
        <w:tc>
          <w:tcPr>
            <w:tcW w:w="100" w:type="dxa"/>
            <w:vAlign w:val="bottom"/>
          </w:tcPr>
          <w:p>
            <w:pPr>
              <w:spacing w:after="0"/>
              <w:rPr>
                <w:sz w:val="18"/>
                <w:szCs w:val="18"/>
                <w:color w:val="auto"/>
              </w:rPr>
            </w:pPr>
          </w:p>
        </w:tc>
        <w:tc>
          <w:tcPr>
            <w:tcW w:w="2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237,823</w:t>
            </w:r>
          </w:p>
        </w:tc>
        <w:tc>
          <w:tcPr>
            <w:tcW w:w="80" w:type="dxa"/>
            <w:vAlign w:val="bottom"/>
          </w:tcPr>
          <w:p>
            <w:pPr>
              <w:spacing w:after="0"/>
              <w:rPr>
                <w:sz w:val="18"/>
                <w:szCs w:val="18"/>
                <w:color w:val="auto"/>
              </w:rPr>
            </w:pPr>
          </w:p>
        </w:tc>
        <w:tc>
          <w:tcPr>
            <w:tcW w:w="2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3,064,787</w:t>
            </w:r>
          </w:p>
        </w:tc>
      </w:tr>
      <w:tr>
        <w:trPr>
          <w:trHeight w:val="230"/>
        </w:trPr>
        <w:tc>
          <w:tcPr>
            <w:tcW w:w="2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Wendy M. Pfeiffer</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26,419,904</w:t>
            </w:r>
          </w:p>
        </w:tc>
        <w:tc>
          <w:tcPr>
            <w:tcW w:w="100" w:type="dxa"/>
            <w:vAlign w:val="bottom"/>
          </w:tcPr>
          <w:p>
            <w:pPr>
              <w:spacing w:after="0"/>
              <w:rPr>
                <w:sz w:val="19"/>
                <w:szCs w:val="19"/>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2,487,412</w:t>
            </w:r>
          </w:p>
        </w:tc>
        <w:tc>
          <w:tcPr>
            <w:tcW w:w="80" w:type="dxa"/>
            <w:vAlign w:val="bottom"/>
          </w:tcPr>
          <w:p>
            <w:pPr>
              <w:spacing w:after="0"/>
              <w:rPr>
                <w:sz w:val="19"/>
                <w:szCs w:val="19"/>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3,064,787</w:t>
            </w:r>
          </w:p>
        </w:tc>
      </w:tr>
      <w:tr>
        <w:trPr>
          <w:trHeight w:val="234"/>
        </w:trPr>
        <w:tc>
          <w:tcPr>
            <w:tcW w:w="2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John A. Zangardi</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27,326,956</w:t>
            </w:r>
          </w:p>
        </w:tc>
        <w:tc>
          <w:tcPr>
            <w:tcW w:w="100" w:type="dxa"/>
            <w:vAlign w:val="bottom"/>
          </w:tcPr>
          <w:p>
            <w:pPr>
              <w:spacing w:after="0"/>
              <w:rPr>
                <w:sz w:val="20"/>
                <w:szCs w:val="20"/>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1,580,360</w:t>
            </w:r>
          </w:p>
        </w:tc>
        <w:tc>
          <w:tcPr>
            <w:tcW w:w="80" w:type="dxa"/>
            <w:vAlign w:val="bottom"/>
          </w:tcPr>
          <w:p>
            <w:pPr>
              <w:spacing w:after="0"/>
              <w:rPr>
                <w:sz w:val="20"/>
                <w:szCs w:val="20"/>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3,064,787</w:t>
            </w:r>
          </w:p>
        </w:tc>
      </w:tr>
    </w:tbl>
    <w:p>
      <w:pPr>
        <w:spacing w:after="0" w:line="200" w:lineRule="exact"/>
        <w:rPr>
          <w:sz w:val="20"/>
          <w:szCs w:val="20"/>
          <w:color w:val="auto"/>
        </w:rPr>
      </w:pPr>
    </w:p>
    <w:p>
      <w:pPr>
        <w:spacing w:after="0" w:line="227"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The Board is comprised of seven members who are divided into three classes with overlapping three-year terms. The term of the Company’s Class III directors, Jeffrey P. Hank, and Sumedh S. Thakar, will expire at the Company’s 2027 annual meeting of stockholders. The term of the Company’s Class I directors, Thomas P. Berquist, and Kristi M. Rogers, will expire at the Company’s 2028 annual meeting of stockholders.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Two – Ratification of the Appointment of Independent Registered Public Accounting Firm</w:t>
      </w:r>
    </w:p>
    <w:p>
      <w:pPr>
        <w:spacing w:after="0" w:line="119"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The stockholders ratified the appointment of Grant Thornton LLP as the Company’s independent registered public accounting firm for the Company’s fiscal year ending December 31, 2026.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8"/>
        </w:trPr>
        <w:tc>
          <w:tcPr>
            <w:tcW w:w="2720" w:type="dxa"/>
            <w:vAlign w:val="bottom"/>
            <w:tcBorders>
              <w:top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29,290,278</w:t>
            </w:r>
          </w:p>
        </w:tc>
        <w:tc>
          <w:tcPr>
            <w:tcW w:w="100" w:type="dxa"/>
            <w:vAlign w:val="bottom"/>
          </w:tcPr>
          <w:p>
            <w:pPr>
              <w:spacing w:after="0"/>
              <w:rPr>
                <w:sz w:val="19"/>
                <w:szCs w:val="19"/>
                <w:color w:val="auto"/>
              </w:rPr>
            </w:pPr>
          </w:p>
        </w:tc>
        <w:tc>
          <w:tcPr>
            <w:tcW w:w="2720" w:type="dxa"/>
            <w:vAlign w:val="bottom"/>
            <w:tcBorders>
              <w:top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2,666,202</w:t>
            </w:r>
          </w:p>
        </w:tc>
        <w:tc>
          <w:tcPr>
            <w:tcW w:w="100" w:type="dxa"/>
            <w:vAlign w:val="bottom"/>
          </w:tcPr>
          <w:p>
            <w:pPr>
              <w:spacing w:after="0"/>
              <w:rPr>
                <w:sz w:val="19"/>
                <w:szCs w:val="19"/>
                <w:color w:val="auto"/>
              </w:rPr>
            </w:pPr>
          </w:p>
        </w:tc>
        <w:tc>
          <w:tcPr>
            <w:tcW w:w="2760" w:type="dxa"/>
            <w:vAlign w:val="bottom"/>
            <w:tcBorders>
              <w:top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rPr>
              <w:t>15,623</w:t>
            </w:r>
          </w:p>
        </w:tc>
        <w:tc>
          <w:tcPr>
            <w:tcW w:w="100" w:type="dxa"/>
            <w:vAlign w:val="bottom"/>
          </w:tcPr>
          <w:p>
            <w:pPr>
              <w:spacing w:after="0"/>
              <w:rPr>
                <w:sz w:val="19"/>
                <w:szCs w:val="19"/>
                <w:color w:val="auto"/>
              </w:rPr>
            </w:pPr>
          </w:p>
        </w:tc>
        <w:tc>
          <w:tcPr>
            <w:tcW w:w="2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Three – Advisory Approval of Executive Compensation</w:t>
      </w:r>
    </w:p>
    <w:p>
      <w:pPr>
        <w:spacing w:after="0" w:line="11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stockholders cast their votes with respect to the advisory vote to approve the compensation of the Company’s named executive officers as described in the Company’s Proxy Statement,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8"/>
        </w:trPr>
        <w:tc>
          <w:tcPr>
            <w:tcW w:w="2740" w:type="dxa"/>
            <w:vAlign w:val="bottom"/>
            <w:tcBorders>
              <w:top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26,459,418</w:t>
            </w:r>
          </w:p>
        </w:tc>
        <w:tc>
          <w:tcPr>
            <w:tcW w:w="80" w:type="dxa"/>
            <w:vAlign w:val="bottom"/>
          </w:tcPr>
          <w:p>
            <w:pPr>
              <w:spacing w:after="0"/>
              <w:rPr>
                <w:sz w:val="19"/>
                <w:szCs w:val="19"/>
                <w:color w:val="auto"/>
              </w:rPr>
            </w:pPr>
          </w:p>
        </w:tc>
        <w:tc>
          <w:tcPr>
            <w:tcW w:w="2740" w:type="dxa"/>
            <w:vAlign w:val="bottom"/>
            <w:tcBorders>
              <w:top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2,401,828</w:t>
            </w:r>
          </w:p>
        </w:tc>
        <w:tc>
          <w:tcPr>
            <w:tcW w:w="100" w:type="dxa"/>
            <w:vAlign w:val="bottom"/>
          </w:tcPr>
          <w:p>
            <w:pPr>
              <w:spacing w:after="0"/>
              <w:rPr>
                <w:sz w:val="19"/>
                <w:szCs w:val="19"/>
                <w:color w:val="auto"/>
              </w:rPr>
            </w:pPr>
          </w:p>
        </w:tc>
        <w:tc>
          <w:tcPr>
            <w:tcW w:w="2740" w:type="dxa"/>
            <w:vAlign w:val="bottom"/>
            <w:tcBorders>
              <w:top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rPr>
              <w:t>46,070</w:t>
            </w:r>
          </w:p>
        </w:tc>
        <w:tc>
          <w:tcPr>
            <w:tcW w:w="100" w:type="dxa"/>
            <w:vAlign w:val="bottom"/>
          </w:tcPr>
          <w:p>
            <w:pPr>
              <w:spacing w:after="0"/>
              <w:rPr>
                <w:sz w:val="19"/>
                <w:szCs w:val="19"/>
                <w:color w:val="auto"/>
              </w:rPr>
            </w:pPr>
          </w:p>
        </w:tc>
        <w:tc>
          <w:tcPr>
            <w:tcW w:w="2740" w:type="dxa"/>
            <w:vAlign w:val="bottom"/>
            <w:tcBorders>
              <w:top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3,064,787</w:t>
            </w:r>
          </w:p>
        </w:tc>
      </w:tr>
      <w:tr>
        <w:trPr>
          <w:trHeight w:val="1258"/>
        </w:trPr>
        <w:tc>
          <w:tcPr>
            <w:tcW w:w="2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6"/>
        </w:trPr>
        <w:tc>
          <w:tcPr>
            <w:tcW w:w="6280" w:type="dxa"/>
            <w:vAlign w:val="bottom"/>
            <w:gridSpan w:val="10"/>
          </w:tcPr>
          <w:p>
            <w:pPr>
              <w:spacing w:after="0"/>
              <w:rPr>
                <w:sz w:val="20"/>
                <w:szCs w:val="20"/>
                <w:color w:val="auto"/>
              </w:rPr>
            </w:pPr>
            <w:r>
              <w:rPr>
                <w:rFonts w:ascii="Times New Roman" w:cs="Times New Roman" w:eastAsia="Times New Roman" w:hAnsi="Times New Roman"/>
                <w:sz w:val="18"/>
                <w:szCs w:val="18"/>
                <w:i w:val="1"/>
                <w:iCs w:val="1"/>
                <w:color w:val="auto"/>
              </w:rPr>
              <w:t>Proposal Four – Approval of 2012 Equity Incentive Plan, as amended and restated</w:t>
            </w: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567"/>
        </w:trPr>
        <w:tc>
          <w:tcPr>
            <w:tcW w:w="6280" w:type="dxa"/>
            <w:vAlign w:val="bottom"/>
            <w:gridSpan w:val="10"/>
          </w:tcPr>
          <w:p>
            <w:pPr>
              <w:ind w:left="440"/>
              <w:spacing w:after="0"/>
              <w:rPr>
                <w:sz w:val="20"/>
                <w:szCs w:val="20"/>
                <w:color w:val="auto"/>
              </w:rPr>
            </w:pPr>
            <w:r>
              <w:rPr>
                <w:rFonts w:ascii="Times New Roman" w:cs="Times New Roman" w:eastAsia="Times New Roman" w:hAnsi="Times New Roman"/>
                <w:sz w:val="18"/>
                <w:szCs w:val="18"/>
                <w:color w:val="auto"/>
              </w:rPr>
              <w:t>The stockholders approved the Plan, as amended and restated.</w:t>
            </w: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364"/>
        </w:trPr>
        <w:tc>
          <w:tcPr>
            <w:tcW w:w="920" w:type="dxa"/>
            <w:vAlign w:val="bottom"/>
          </w:tcPr>
          <w:p>
            <w:pPr>
              <w:spacing w:after="0"/>
              <w:rPr>
                <w:sz w:val="24"/>
                <w:szCs w:val="24"/>
                <w:color w:val="auto"/>
              </w:rPr>
            </w:pPr>
          </w:p>
        </w:tc>
        <w:tc>
          <w:tcPr>
            <w:tcW w:w="1900" w:type="dxa"/>
            <w:vAlign w:val="bottom"/>
            <w:gridSpan w:val="5"/>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3460" w:type="dxa"/>
            <w:vAlign w:val="bottom"/>
            <w:gridSpan w:val="4"/>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880" w:type="dxa"/>
            <w:vAlign w:val="bottom"/>
            <w:gridSpan w:val="3"/>
          </w:tcPr>
          <w:p>
            <w:pPr>
              <w:jc w:val="center"/>
              <w:ind w:right="138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08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8"/>
        </w:trPr>
        <w:tc>
          <w:tcPr>
            <w:tcW w:w="92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gridSpan w:val="4"/>
          </w:tcPr>
          <w:p>
            <w:pPr>
              <w:jc w:val="right"/>
              <w:ind w:right="870"/>
              <w:spacing w:after="0"/>
              <w:rPr>
                <w:sz w:val="20"/>
                <w:szCs w:val="20"/>
                <w:color w:val="auto"/>
              </w:rPr>
            </w:pPr>
            <w:r>
              <w:rPr>
                <w:rFonts w:ascii="Times New Roman" w:cs="Times New Roman" w:eastAsia="Times New Roman" w:hAnsi="Times New Roman"/>
                <w:sz w:val="18"/>
                <w:szCs w:val="18"/>
                <w:color w:val="auto"/>
              </w:rPr>
              <w:t>26,727,299</w:t>
            </w:r>
          </w:p>
        </w:tc>
        <w:tc>
          <w:tcPr>
            <w:tcW w:w="80" w:type="dxa"/>
            <w:vAlign w:val="bottom"/>
          </w:tcPr>
          <w:p>
            <w:pPr>
              <w:spacing w:after="0"/>
              <w:rPr>
                <w:sz w:val="19"/>
                <w:szCs w:val="19"/>
                <w:color w:val="auto"/>
              </w:rPr>
            </w:pPr>
          </w:p>
        </w:tc>
        <w:tc>
          <w:tcPr>
            <w:tcW w:w="2740" w:type="dxa"/>
            <w:vAlign w:val="bottom"/>
            <w:tcBorders>
              <w:top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2,143,322</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120" w:type="dxa"/>
            <w:vAlign w:val="bottom"/>
            <w:tcBorders>
              <w:top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rPr>
              <w:t>36,695</w:t>
            </w:r>
          </w:p>
        </w:tc>
        <w:tc>
          <w:tcPr>
            <w:tcW w:w="1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80" w:type="dxa"/>
            <w:vAlign w:val="bottom"/>
            <w:tcBorders>
              <w:top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3,064,787</w:t>
            </w:r>
          </w:p>
        </w:tc>
      </w:tr>
      <w:tr>
        <w:trPr>
          <w:trHeight w:val="630"/>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w w:val="99"/>
              </w:rPr>
              <w:t>(d) Exhibits.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493"/>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c>
          <w:tcPr>
            <w:tcW w:w="2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r>
      <w:tr>
        <w:trPr>
          <w:trHeight w:val="24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7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Qualys, Inc. 2012 Equity Incentive Plan, as amended and restated</w:t>
            </w:r>
          </w:p>
        </w:tc>
        <w:tc>
          <w:tcPr>
            <w:tcW w:w="4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80" w:type="dxa"/>
            <w:vAlign w:val="bottom"/>
          </w:tcPr>
          <w:p>
            <w:pPr>
              <w:spacing w:after="0"/>
              <w:rPr>
                <w:sz w:val="21"/>
                <w:szCs w:val="21"/>
                <w:color w:val="auto"/>
              </w:rPr>
            </w:pPr>
          </w:p>
        </w:tc>
      </w:tr>
      <w:tr>
        <w:trPr>
          <w:trHeight w:val="331"/>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within the Inline XBRL document)</w:t>
            </w:r>
          </w:p>
        </w:tc>
        <w:tc>
          <w:tcPr>
            <w:tcW w:w="2080" w:type="dxa"/>
            <w:vAlign w:val="bottom"/>
          </w:tcPr>
          <w:p>
            <w:pPr>
              <w:spacing w:after="0"/>
              <w:rPr>
                <w:sz w:val="24"/>
                <w:szCs w:val="24"/>
                <w:color w:val="auto"/>
              </w:rPr>
            </w:pPr>
          </w:p>
        </w:tc>
      </w:tr>
      <w:tr>
        <w:trPr>
          <w:trHeight w:val="1020"/>
        </w:trPr>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QUALYS, INC.</w:t>
      </w:r>
    </w:p>
    <w:p>
      <w:pPr>
        <w:spacing w:after="0" w:line="324" w:lineRule="exact"/>
        <w:rPr>
          <w:sz w:val="20"/>
          <w:szCs w:val="20"/>
          <w:color w:val="auto"/>
        </w:rPr>
      </w:pPr>
    </w:p>
    <w:p>
      <w:pPr>
        <w:ind w:left="20"/>
        <w:spacing w:after="0"/>
        <w:tabs>
          <w:tab w:leader="none" w:pos="4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JOO MI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26035</wp:posOffset>
            </wp:positionV>
            <wp:extent cx="17741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1774190" cy="8890"/>
                    </a:xfrm>
                    <a:prstGeom prst="rect">
                      <a:avLst/>
                    </a:prstGeom>
                    <a:noFill/>
                  </pic:spPr>
                </pic:pic>
              </a:graphicData>
            </a:graphic>
          </wp:anchor>
        </w:drawing>
      </w:r>
    </w:p>
    <w:p>
      <w:pPr>
        <w:spacing w:after="0" w:line="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Name: Joo Mi Kim</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11, 2026</w:t>
      </w:r>
    </w:p>
    <w:p>
      <w:pPr>
        <w:sectPr>
          <w:pgSz w:w="11900" w:h="16838" w:orient="portrait"/>
          <w:cols w:equalWidth="0" w:num="1">
            <w:col w:w="11240"/>
          </w:cols>
          <w:pgMar w:left="320" w:top="1143"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QUALYS,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2012 EQUITY INCENTIVE PLAN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(as amended and restated at the 2026 Annual General Meeting)</w:t>
      </w:r>
    </w:p>
    <w:p>
      <w:pPr>
        <w:spacing w:after="0" w:line="210" w:lineRule="exact"/>
        <w:rPr>
          <w:sz w:val="20"/>
          <w:szCs w:val="20"/>
          <w:color w:val="auto"/>
        </w:rPr>
      </w:pPr>
    </w:p>
    <w:p>
      <w:pPr>
        <w:ind w:left="640" w:hanging="308"/>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Purposes of the Plan</w:t>
      </w:r>
      <w:r>
        <w:rPr>
          <w:rFonts w:ascii="Arial" w:cs="Arial" w:eastAsia="Arial" w:hAnsi="Arial"/>
          <w:sz w:val="18"/>
          <w:szCs w:val="18"/>
          <w:color w:val="auto"/>
        </w:rPr>
        <w:t>. The purposes of this Plan are: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 attract and retain the best available personnel for positions of substantial responsibility,</w:t>
      </w:r>
    </w:p>
    <w:p>
      <w:pPr>
        <w:spacing w:after="0" w:line="211" w:lineRule="exact"/>
        <w:rPr>
          <w:rFonts w:ascii="Arial" w:cs="Arial" w:eastAsia="Arial" w:hAnsi="Arial"/>
          <w:sz w:val="18"/>
          <w:szCs w:val="18"/>
          <w:color w:val="auto"/>
        </w:rPr>
      </w:pP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 provide additional incentive to Employees, Directors and Consultants, and</w:t>
      </w:r>
    </w:p>
    <w:p>
      <w:pPr>
        <w:spacing w:after="0" w:line="211" w:lineRule="exact"/>
        <w:rPr>
          <w:rFonts w:ascii="Arial" w:cs="Arial" w:eastAsia="Arial" w:hAnsi="Arial"/>
          <w:sz w:val="18"/>
          <w:szCs w:val="18"/>
          <w:color w:val="auto"/>
        </w:rPr>
      </w:pP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 promote the success of the Company’s business.</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The Plan permits the grant of Incentive Stock Options, Nonstatutory Stock Options, Restricted Stock, Restricted Stock Units, Stock Appreciation Rights, Performance Units and Performance Shares.</w:t>
      </w:r>
    </w:p>
    <w:p>
      <w:pPr>
        <w:spacing w:after="0" w:line="154"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herein, the following definitions will apply:</w:t>
      </w:r>
    </w:p>
    <w:p>
      <w:pPr>
        <w:spacing w:after="0" w:line="225" w:lineRule="exact"/>
        <w:rPr>
          <w:rFonts w:ascii="Arial" w:cs="Arial" w:eastAsia="Arial" w:hAnsi="Arial"/>
          <w:sz w:val="18"/>
          <w:szCs w:val="18"/>
          <w:color w:val="auto"/>
        </w:rPr>
      </w:pPr>
    </w:p>
    <w:p>
      <w:pPr>
        <w:ind w:left="1300" w:hanging="320"/>
        <w:spacing w:after="0" w:line="271" w:lineRule="auto"/>
        <w:tabs>
          <w:tab w:leader="none" w:pos="129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2022 Restatement</w:t>
      </w:r>
      <w:r>
        <w:rPr>
          <w:rFonts w:ascii="Arial" w:cs="Arial" w:eastAsia="Arial" w:hAnsi="Arial"/>
          <w:sz w:val="18"/>
          <w:szCs w:val="18"/>
          <w:color w:val="auto"/>
        </w:rPr>
        <w:t>” means the amendment and restatement of the Plan that became effective on the date of the 2022 Annual General Meeting of the Company’s stockholders (such date, the “</w:t>
      </w:r>
      <w:r>
        <w:rPr>
          <w:rFonts w:ascii="Arial" w:cs="Arial" w:eastAsia="Arial" w:hAnsi="Arial"/>
          <w:sz w:val="18"/>
          <w:szCs w:val="18"/>
          <w:u w:val="single" w:color="auto"/>
          <w:color w:val="auto"/>
        </w:rPr>
        <w:t>2022 Restatement Date</w:t>
      </w:r>
      <w:r>
        <w:rPr>
          <w:rFonts w:ascii="Arial" w:cs="Arial" w:eastAsia="Arial" w:hAnsi="Arial"/>
          <w:sz w:val="18"/>
          <w:szCs w:val="18"/>
          <w:color w:val="auto"/>
        </w:rPr>
        <w:t>”).</w:t>
      </w:r>
    </w:p>
    <w:p>
      <w:pPr>
        <w:spacing w:after="0" w:line="153" w:lineRule="exact"/>
        <w:rPr>
          <w:rFonts w:ascii="Arial" w:cs="Arial" w:eastAsia="Arial" w:hAnsi="Arial"/>
          <w:sz w:val="18"/>
          <w:szCs w:val="18"/>
          <w:color w:val="auto"/>
        </w:rPr>
      </w:pPr>
    </w:p>
    <w:p>
      <w:pPr>
        <w:ind w:left="1300" w:right="20" w:hanging="320"/>
        <w:spacing w:after="0" w:line="287" w:lineRule="auto"/>
        <w:tabs>
          <w:tab w:leader="none" w:pos="129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Administrator</w:t>
      </w:r>
      <w:r>
        <w:rPr>
          <w:rFonts w:ascii="Arial" w:cs="Arial" w:eastAsia="Arial" w:hAnsi="Arial"/>
          <w:sz w:val="18"/>
          <w:szCs w:val="18"/>
          <w:color w:val="auto"/>
        </w:rPr>
        <w:t>” means the Board or any of its Committees as will be administering the Plan, in accordance with Section 4 of the Plan.</w:t>
      </w:r>
    </w:p>
    <w:p>
      <w:pPr>
        <w:spacing w:after="0" w:line="139" w:lineRule="exact"/>
        <w:rPr>
          <w:rFonts w:ascii="Arial" w:cs="Arial" w:eastAsia="Arial" w:hAnsi="Arial"/>
          <w:sz w:val="18"/>
          <w:szCs w:val="18"/>
          <w:color w:val="auto"/>
        </w:rPr>
      </w:pPr>
    </w:p>
    <w:p>
      <w:pPr>
        <w:jc w:val="both"/>
        <w:ind w:left="1300" w:hanging="320"/>
        <w:spacing w:after="0" w:line="252" w:lineRule="auto"/>
        <w:tabs>
          <w:tab w:leader="none" w:pos="1294"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Laws</w:t>
      </w:r>
      <w:r>
        <w:rPr>
          <w:rFonts w:ascii="Arial" w:cs="Arial" w:eastAsia="Arial" w:hAnsi="Arial"/>
          <w:sz w:val="18"/>
          <w:szCs w:val="18"/>
          <w:color w:val="auto"/>
        </w:rPr>
        <w:t>” means the requirements relating to the administration of equity-based awards under U.S. state corporate laws, U.S. federal and state securities laws, the Code, any stock exchange or quotation system on which the Common Stock is listed or quoted and the applicable laws of any foreign country or jurisdiction where Awards are, or will be, granted under the Plan.</w:t>
      </w:r>
    </w:p>
    <w:p>
      <w:pPr>
        <w:spacing w:after="0" w:line="170" w:lineRule="exact"/>
        <w:rPr>
          <w:rFonts w:ascii="Arial" w:cs="Arial" w:eastAsia="Arial" w:hAnsi="Arial"/>
          <w:sz w:val="18"/>
          <w:szCs w:val="18"/>
          <w:color w:val="auto"/>
        </w:rPr>
      </w:pPr>
    </w:p>
    <w:p>
      <w:pPr>
        <w:ind w:left="1300" w:hanging="320"/>
        <w:spacing w:after="0" w:line="287" w:lineRule="auto"/>
        <w:tabs>
          <w:tab w:leader="none" w:pos="129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individually or collectively, a grant under the Plan of Options, Stock Appreciation Rights, Restricted Stock, Restricted Stock Units, Performance Units or Performance Shares.</w:t>
      </w:r>
    </w:p>
    <w:p>
      <w:pPr>
        <w:spacing w:after="0" w:line="139" w:lineRule="exact"/>
        <w:rPr>
          <w:rFonts w:ascii="Arial" w:cs="Arial" w:eastAsia="Arial" w:hAnsi="Arial"/>
          <w:sz w:val="18"/>
          <w:szCs w:val="18"/>
          <w:color w:val="auto"/>
        </w:rPr>
      </w:pPr>
    </w:p>
    <w:p>
      <w:pPr>
        <w:ind w:left="1300" w:hanging="320"/>
        <w:spacing w:after="0" w:line="271" w:lineRule="auto"/>
        <w:tabs>
          <w:tab w:leader="none" w:pos="129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 Agreement</w:t>
      </w:r>
      <w:r>
        <w:rPr>
          <w:rFonts w:ascii="Arial" w:cs="Arial" w:eastAsia="Arial" w:hAnsi="Arial"/>
          <w:sz w:val="18"/>
          <w:szCs w:val="18"/>
          <w:color w:val="auto"/>
        </w:rPr>
        <w:t>” means the written or electronic agreement setting forth the terms and provisions applicable to each Award granted under the Plan. The Award Agreement is subject to the terms and conditions of the Plan.</w:t>
      </w:r>
    </w:p>
    <w:p>
      <w:pPr>
        <w:spacing w:after="0" w:line="167"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11"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occurrence of any of the following events:</w:t>
      </w:r>
    </w:p>
    <w:p>
      <w:pPr>
        <w:spacing w:after="0" w:line="211" w:lineRule="exact"/>
        <w:rPr>
          <w:rFonts w:ascii="Arial" w:cs="Arial" w:eastAsia="Arial" w:hAnsi="Arial"/>
          <w:sz w:val="18"/>
          <w:szCs w:val="18"/>
          <w:color w:val="auto"/>
        </w:rPr>
      </w:pPr>
    </w:p>
    <w:p>
      <w:pPr>
        <w:jc w:val="both"/>
        <w:ind w:left="1960" w:hanging="492"/>
        <w:spacing w:after="0" w:line="248" w:lineRule="auto"/>
        <w:tabs>
          <w:tab w:leader="none" w:pos="1960" w:val="left"/>
        </w:tabs>
        <w:numPr>
          <w:ilvl w:val="2"/>
          <w:numId w:val="3"/>
        </w:numPr>
        <w:rPr>
          <w:rFonts w:ascii="Arial" w:cs="Arial" w:eastAsia="Arial" w:hAnsi="Arial"/>
          <w:sz w:val="18"/>
          <w:szCs w:val="18"/>
          <w:color w:val="auto"/>
        </w:rPr>
      </w:pPr>
      <w:r>
        <w:rPr>
          <w:rFonts w:ascii="Arial" w:cs="Arial" w:eastAsia="Arial" w:hAnsi="Arial"/>
          <w:sz w:val="18"/>
          <w:szCs w:val="18"/>
          <w:color w:val="auto"/>
        </w:rPr>
        <w:t>A change in the ownership of the Company which occurs on the date that any one person, or more than one person acting as a group (“</w:t>
      </w:r>
      <w:r>
        <w:rPr>
          <w:rFonts w:ascii="Arial" w:cs="Arial" w:eastAsia="Arial" w:hAnsi="Arial"/>
          <w:sz w:val="18"/>
          <w:szCs w:val="18"/>
          <w:u w:val="single" w:color="auto"/>
          <w:color w:val="auto"/>
        </w:rPr>
        <w:t>Person</w:t>
      </w:r>
      <w:r>
        <w:rPr>
          <w:rFonts w:ascii="Arial" w:cs="Arial" w:eastAsia="Arial" w:hAnsi="Arial"/>
          <w:sz w:val="18"/>
          <w:szCs w:val="18"/>
          <w:color w:val="auto"/>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in Control; or</w:t>
      </w:r>
    </w:p>
    <w:p>
      <w:pPr>
        <w:spacing w:after="0" w:line="174" w:lineRule="exact"/>
        <w:rPr>
          <w:rFonts w:ascii="Arial" w:cs="Arial" w:eastAsia="Arial" w:hAnsi="Arial"/>
          <w:sz w:val="18"/>
          <w:szCs w:val="18"/>
          <w:color w:val="auto"/>
        </w:rPr>
      </w:pPr>
    </w:p>
    <w:p>
      <w:pPr>
        <w:jc w:val="both"/>
        <w:ind w:left="1960" w:hanging="532"/>
        <w:spacing w:after="0" w:line="252" w:lineRule="auto"/>
        <w:tabs>
          <w:tab w:leader="none" w:pos="1960" w:val="left"/>
        </w:tabs>
        <w:numPr>
          <w:ilvl w:val="2"/>
          <w:numId w:val="3"/>
        </w:numPr>
        <w:rPr>
          <w:rFonts w:ascii="Arial" w:cs="Arial" w:eastAsia="Arial" w:hAnsi="Arial"/>
          <w:sz w:val="18"/>
          <w:szCs w:val="18"/>
          <w:color w:val="auto"/>
        </w:rPr>
      </w:pPr>
      <w:r>
        <w:rPr>
          <w:rFonts w:ascii="Arial" w:cs="Arial" w:eastAsia="Arial" w:hAnsi="Arial"/>
          <w:sz w:val="18"/>
          <w:szCs w:val="18"/>
          <w:color w:val="auto"/>
        </w:rPr>
        <w:t>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(ii), if any Person is considered to be in effective control of the Company, the</w:t>
      </w:r>
    </w:p>
    <w:p>
      <w:pPr>
        <w:sectPr>
          <w:pgSz w:w="11900" w:h="16838" w:orient="portrait"/>
          <w:cols w:equalWidth="0" w:num="1">
            <w:col w:w="11240"/>
          </w:cols>
          <w:pgMar w:left="320" w:top="1147" w:right="339" w:bottom="1440" w:gutter="0" w:footer="0" w:header="0"/>
        </w:sectPr>
      </w:pPr>
    </w:p>
    <w:bookmarkStart w:id="5" w:name="page6"/>
    <w:bookmarkEnd w:id="5"/>
    <w:p>
      <w:pPr>
        <w:ind w:left="980"/>
        <w:spacing w:after="0"/>
        <w:rPr>
          <w:sz w:val="20"/>
          <w:szCs w:val="20"/>
          <w:color w:val="auto"/>
        </w:rPr>
      </w:pPr>
      <w:r>
        <w:rPr>
          <w:rFonts w:ascii="Arial" w:cs="Arial" w:eastAsia="Arial" w:hAnsi="Arial"/>
          <w:sz w:val="18"/>
          <w:szCs w:val="18"/>
          <w:color w:val="auto"/>
        </w:rPr>
        <w:t>acquisition of additional control of the Company by the same Person will not be considered a Change in Control; or</w:t>
      </w:r>
    </w:p>
    <w:p>
      <w:pPr>
        <w:spacing w:after="0" w:line="212" w:lineRule="exact"/>
        <w:rPr>
          <w:sz w:val="20"/>
          <w:szCs w:val="20"/>
          <w:color w:val="auto"/>
        </w:rPr>
      </w:pPr>
    </w:p>
    <w:p>
      <w:pPr>
        <w:jc w:val="both"/>
        <w:ind w:left="980" w:hanging="572"/>
        <w:spacing w:after="0" w:line="243"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177" w:lineRule="exact"/>
        <w:rPr>
          <w:rFonts w:ascii="Arial" w:cs="Arial" w:eastAsia="Arial" w:hAnsi="Arial"/>
          <w:sz w:val="18"/>
          <w:szCs w:val="18"/>
          <w:color w:val="auto"/>
        </w:rPr>
      </w:pPr>
    </w:p>
    <w:p>
      <w:pPr>
        <w:jc w:val="both"/>
        <w:ind w:left="980"/>
        <w:spacing w:after="0" w:line="261" w:lineRule="auto"/>
        <w:rPr>
          <w:rFonts w:ascii="Arial" w:cs="Arial" w:eastAsia="Arial" w:hAnsi="Arial"/>
          <w:sz w:val="18"/>
          <w:szCs w:val="18"/>
          <w:color w:val="auto"/>
        </w:rPr>
      </w:pPr>
      <w:r>
        <w:rPr>
          <w:rFonts w:ascii="Arial" w:cs="Arial" w:eastAsia="Arial" w:hAnsi="Arial"/>
          <w:sz w:val="18"/>
          <w:szCs w:val="18"/>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61" w:lineRule="exact"/>
        <w:rPr>
          <w:rFonts w:ascii="Arial" w:cs="Arial" w:eastAsia="Arial" w:hAnsi="Arial"/>
          <w:sz w:val="18"/>
          <w:szCs w:val="18"/>
          <w:color w:val="auto"/>
        </w:rPr>
      </w:pPr>
    </w:p>
    <w:p>
      <w:pPr>
        <w:jc w:val="both"/>
        <w:ind w:left="980"/>
        <w:spacing w:after="0" w:line="252" w:lineRule="auto"/>
        <w:rPr>
          <w:rFonts w:ascii="Arial" w:cs="Arial" w:eastAsia="Arial" w:hAnsi="Arial"/>
          <w:sz w:val="18"/>
          <w:szCs w:val="18"/>
          <w:color w:val="auto"/>
        </w:rPr>
      </w:pPr>
      <w:r>
        <w:rPr>
          <w:rFonts w:ascii="Arial" w:cs="Arial" w:eastAsia="Arial" w:hAnsi="Arial"/>
          <w:sz w:val="18"/>
          <w:szCs w:val="18"/>
          <w:color w:val="auto"/>
        </w:rPr>
        <w:t>Notwithstanding the foregoing, a transaction will not be deemed a Change in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spacing w:after="0" w:line="183" w:lineRule="exact"/>
        <w:rPr>
          <w:rFonts w:ascii="Arial" w:cs="Arial" w:eastAsia="Arial" w:hAnsi="Arial"/>
          <w:sz w:val="18"/>
          <w:szCs w:val="18"/>
          <w:color w:val="auto"/>
        </w:rPr>
      </w:pPr>
    </w:p>
    <w:p>
      <w:pPr>
        <w:jc w:val="both"/>
        <w:ind w:left="980"/>
        <w:spacing w:after="0" w:line="252" w:lineRule="auto"/>
        <w:rPr>
          <w:rFonts w:ascii="Arial" w:cs="Arial" w:eastAsia="Arial" w:hAnsi="Arial"/>
          <w:sz w:val="18"/>
          <w:szCs w:val="18"/>
          <w:color w:val="auto"/>
        </w:rPr>
      </w:pPr>
      <w:r>
        <w:rPr>
          <w:rFonts w:ascii="Arial" w:cs="Arial" w:eastAsia="Arial" w:hAnsi="Arial"/>
          <w:sz w:val="18"/>
          <w:szCs w:val="18"/>
          <w:color w:val="auto"/>
        </w:rPr>
        <w:t>Further and for the avoidance of doubt, a transaction will not constitute a Change in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pacing w:after="0" w:line="170" w:lineRule="exact"/>
        <w:rPr>
          <w:rFonts w:ascii="Arial" w:cs="Arial" w:eastAsia="Arial" w:hAnsi="Arial"/>
          <w:sz w:val="18"/>
          <w:szCs w:val="18"/>
          <w:color w:val="auto"/>
        </w:rPr>
      </w:pPr>
    </w:p>
    <w:p>
      <w:pPr>
        <w:jc w:val="both"/>
        <w:ind w:left="320" w:hanging="320"/>
        <w:spacing w:after="0" w:line="252" w:lineRule="auto"/>
        <w:tabs>
          <w:tab w:leader="none" w:pos="31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Reference to a specific section of the Code or regulation thereunder shall include such section or regulation, any valid regulation promulgated under such section, and any comparable provision of any future legislation or regulation amending, supplementing or superseding such section or regulation.</w:t>
      </w:r>
    </w:p>
    <w:p>
      <w:pPr>
        <w:spacing w:after="0" w:line="170" w:lineRule="exact"/>
        <w:rPr>
          <w:rFonts w:ascii="Arial" w:cs="Arial" w:eastAsia="Arial" w:hAnsi="Arial"/>
          <w:sz w:val="18"/>
          <w:szCs w:val="18"/>
          <w:color w:val="auto"/>
        </w:rPr>
      </w:pPr>
    </w:p>
    <w:p>
      <w:pPr>
        <w:ind w:left="320" w:hanging="320"/>
        <w:spacing w:after="0" w:line="287" w:lineRule="auto"/>
        <w:tabs>
          <w:tab w:leader="none" w:pos="318"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a committee of Directors or of other individuals satisfying Applicable Laws appointed by the Board, or a duly authorized committee of the Board, in accordance with Section 4 hereof.</w:t>
      </w:r>
    </w:p>
    <w:p>
      <w:pPr>
        <w:spacing w:after="0" w:line="139" w:lineRule="exact"/>
        <w:rPr>
          <w:rFonts w:ascii="Arial" w:cs="Arial" w:eastAsia="Arial" w:hAnsi="Arial"/>
          <w:sz w:val="18"/>
          <w:szCs w:val="18"/>
          <w:color w:val="auto"/>
        </w:rPr>
      </w:pPr>
    </w:p>
    <w:p>
      <w:pPr>
        <w:ind w:left="320" w:hanging="320"/>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w:t>
      </w:r>
    </w:p>
    <w:p>
      <w:pPr>
        <w:spacing w:after="0" w:line="211" w:lineRule="exact"/>
        <w:rPr>
          <w:rFonts w:ascii="Arial" w:cs="Arial" w:eastAsia="Arial" w:hAnsi="Arial"/>
          <w:sz w:val="18"/>
          <w:szCs w:val="18"/>
          <w:color w:val="auto"/>
        </w:rPr>
      </w:pPr>
    </w:p>
    <w:p>
      <w:pPr>
        <w:ind w:left="320" w:hanging="320"/>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Qualys, Inc., a Delaware corporation, or any successor thereto.</w:t>
      </w:r>
    </w:p>
    <w:p>
      <w:pPr>
        <w:spacing w:after="0" w:line="211" w:lineRule="exact"/>
        <w:rPr>
          <w:rFonts w:ascii="Arial" w:cs="Arial" w:eastAsia="Arial" w:hAnsi="Arial"/>
          <w:sz w:val="18"/>
          <w:szCs w:val="18"/>
          <w:color w:val="auto"/>
        </w:rPr>
      </w:pPr>
    </w:p>
    <w:p>
      <w:pPr>
        <w:ind w:left="320" w:right="20" w:hanging="320"/>
        <w:spacing w:after="0" w:line="287" w:lineRule="auto"/>
        <w:tabs>
          <w:tab w:leader="none" w:pos="318"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Consultant</w:t>
      </w:r>
      <w:r>
        <w:rPr>
          <w:rFonts w:ascii="Arial" w:cs="Arial" w:eastAsia="Arial" w:hAnsi="Arial"/>
          <w:sz w:val="18"/>
          <w:szCs w:val="18"/>
          <w:color w:val="auto"/>
        </w:rPr>
        <w:t>” means any person, including an advisor, engaged by the Company or a Parent or Subsidiary to render services to such entity.</w:t>
      </w:r>
    </w:p>
    <w:p>
      <w:pPr>
        <w:spacing w:after="0" w:line="139" w:lineRule="exact"/>
        <w:rPr>
          <w:rFonts w:ascii="Arial" w:cs="Arial" w:eastAsia="Arial" w:hAnsi="Arial"/>
          <w:sz w:val="18"/>
          <w:szCs w:val="18"/>
          <w:color w:val="auto"/>
        </w:rPr>
      </w:pPr>
    </w:p>
    <w:p>
      <w:pPr>
        <w:ind w:left="320" w:hanging="320"/>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w:t>
      </w:r>
    </w:p>
    <w:p>
      <w:pPr>
        <w:spacing w:after="0" w:line="211" w:lineRule="exact"/>
        <w:rPr>
          <w:rFonts w:ascii="Arial" w:cs="Arial" w:eastAsia="Arial" w:hAnsi="Arial"/>
          <w:sz w:val="18"/>
          <w:szCs w:val="18"/>
          <w:color w:val="auto"/>
        </w:rPr>
      </w:pPr>
    </w:p>
    <w:p>
      <w:pPr>
        <w:ind w:left="320" w:hanging="320"/>
        <w:spacing w:after="0" w:line="287" w:lineRule="auto"/>
        <w:tabs>
          <w:tab w:leader="none" w:pos="31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total and permanent disability as defined in Section 22(e)(3) of the Code, provided that in the case of Awards other than Incentive Stock Options, the Administrator in its</w:t>
      </w:r>
    </w:p>
    <w:p>
      <w:pPr>
        <w:sectPr>
          <w:pgSz w:w="11900" w:h="16838" w:orient="portrait"/>
          <w:cols w:equalWidth="0" w:num="1">
            <w:col w:w="10260"/>
          </w:cols>
          <w:pgMar w:left="1300" w:top="1147" w:right="339" w:bottom="1440" w:gutter="0" w:footer="0" w:header="0"/>
        </w:sectPr>
      </w:pPr>
    </w:p>
    <w:bookmarkStart w:id="6" w:name="page7"/>
    <w:bookmarkEnd w:id="6"/>
    <w:p>
      <w:pPr>
        <w:ind w:left="320"/>
        <w:spacing w:after="0" w:line="271" w:lineRule="auto"/>
        <w:rPr>
          <w:sz w:val="20"/>
          <w:szCs w:val="20"/>
          <w:color w:val="auto"/>
        </w:rPr>
      </w:pPr>
      <w:r>
        <w:rPr>
          <w:rFonts w:ascii="Arial" w:cs="Arial" w:eastAsia="Arial" w:hAnsi="Arial"/>
          <w:sz w:val="18"/>
          <w:szCs w:val="18"/>
          <w:color w:val="auto"/>
        </w:rPr>
        <w:t>discretion may determine whether a permanent and total disability exists in accordance with uniform and non-discriminatory standards adopted by the Administrator from time to time.</w:t>
      </w:r>
    </w:p>
    <w:p>
      <w:pPr>
        <w:spacing w:after="0" w:line="167" w:lineRule="exact"/>
        <w:rPr>
          <w:sz w:val="20"/>
          <w:szCs w:val="20"/>
          <w:color w:val="auto"/>
        </w:rPr>
      </w:pPr>
    </w:p>
    <w:p>
      <w:pPr>
        <w:jc w:val="both"/>
        <w:ind w:left="320" w:hanging="320"/>
        <w:spacing w:after="0" w:line="253" w:lineRule="auto"/>
        <w:tabs>
          <w:tab w:leader="none" w:pos="31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means any person, including Officers and Directors, employed by the Company or any Parent or Subsidiary of the Company. Neither service as a Director nor payment of a director’s fee by the Company will be sufficient to constitute “employment” by the Company.</w:t>
      </w:r>
    </w:p>
    <w:p>
      <w:pPr>
        <w:spacing w:after="0" w:line="182" w:lineRule="exact"/>
        <w:rPr>
          <w:rFonts w:ascii="Arial" w:cs="Arial" w:eastAsia="Arial" w:hAnsi="Arial"/>
          <w:sz w:val="18"/>
          <w:szCs w:val="18"/>
          <w:color w:val="auto"/>
        </w:rPr>
      </w:pPr>
    </w:p>
    <w:p>
      <w:pPr>
        <w:ind w:left="320" w:hanging="320"/>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11" w:lineRule="exact"/>
        <w:rPr>
          <w:rFonts w:ascii="Arial" w:cs="Arial" w:eastAsia="Arial" w:hAnsi="Arial"/>
          <w:sz w:val="18"/>
          <w:szCs w:val="18"/>
          <w:color w:val="auto"/>
        </w:rPr>
      </w:pPr>
    </w:p>
    <w:p>
      <w:pPr>
        <w:jc w:val="both"/>
        <w:ind w:left="320" w:hanging="320"/>
        <w:spacing w:after="0" w:line="247" w:lineRule="auto"/>
        <w:tabs>
          <w:tab w:leader="none" w:pos="31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Program</w:t>
      </w:r>
      <w:r>
        <w:rPr>
          <w:rFonts w:ascii="Arial" w:cs="Arial" w:eastAsia="Arial" w:hAnsi="Arial"/>
          <w:sz w:val="18"/>
          <w:szCs w:val="18"/>
          <w:color w:val="auto"/>
        </w:rPr>
        <w:t>” means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increased or reduced. The Administrator will determine the terms and conditions of any Exchange Program in its sole discretion.</w:t>
      </w:r>
    </w:p>
    <w:p>
      <w:pPr>
        <w:spacing w:after="0" w:line="190" w:lineRule="exact"/>
        <w:rPr>
          <w:rFonts w:ascii="Arial" w:cs="Arial" w:eastAsia="Arial" w:hAnsi="Arial"/>
          <w:sz w:val="18"/>
          <w:szCs w:val="18"/>
          <w:color w:val="auto"/>
        </w:rPr>
      </w:pPr>
    </w:p>
    <w:p>
      <w:pPr>
        <w:ind w:left="320" w:hanging="320"/>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as of any date, the value of Common Stock determined as follows:</w:t>
      </w:r>
    </w:p>
    <w:p>
      <w:pPr>
        <w:spacing w:after="0" w:line="211" w:lineRule="exact"/>
        <w:rPr>
          <w:rFonts w:ascii="Arial" w:cs="Arial" w:eastAsia="Arial" w:hAnsi="Arial"/>
          <w:sz w:val="18"/>
          <w:szCs w:val="18"/>
          <w:color w:val="auto"/>
        </w:rPr>
      </w:pPr>
    </w:p>
    <w:p>
      <w:pPr>
        <w:jc w:val="both"/>
        <w:ind w:left="980" w:hanging="492"/>
        <w:spacing w:after="0" w:line="247"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If the Common Stock is listed on any established stock exchange or a national market system, including without limitation the New York Stock Exchange, the NASDAQ Global Select Market, the NASDAQ Global Market or the NASDAQ Capital Market of The NASDAQ Stock Market, its Fair Market Value will be the closing sales price for such stock (or the closing bid, if no sales were reported) as quoted on such exchange or system on the day of determination,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Administrator deems reliable;</w:t>
      </w:r>
    </w:p>
    <w:p>
      <w:pPr>
        <w:spacing w:after="0" w:line="190" w:lineRule="exact"/>
        <w:rPr>
          <w:rFonts w:ascii="Arial" w:cs="Arial" w:eastAsia="Arial" w:hAnsi="Arial"/>
          <w:sz w:val="18"/>
          <w:szCs w:val="18"/>
          <w:color w:val="auto"/>
        </w:rPr>
      </w:pPr>
    </w:p>
    <w:p>
      <w:pPr>
        <w:jc w:val="both"/>
        <w:ind w:left="980" w:hanging="532"/>
        <w:spacing w:after="0" w:line="247"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If the Common Stock is regularly quoted by a recognized securities dealer but selling prices are not reported, the Fair Market Value of a Share will be the mean between the high bid and low asked prices for the Common Stock on the day of determination (or, if no bids and asks were reported on that date, as applicable, on the last trading date such bids and asks were reported),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Administrator deems reliable; or</w:t>
      </w:r>
    </w:p>
    <w:p>
      <w:pPr>
        <w:spacing w:after="0" w:line="176" w:lineRule="exact"/>
        <w:rPr>
          <w:rFonts w:ascii="Arial" w:cs="Arial" w:eastAsia="Arial" w:hAnsi="Arial"/>
          <w:sz w:val="18"/>
          <w:szCs w:val="18"/>
          <w:color w:val="auto"/>
        </w:rPr>
      </w:pPr>
    </w:p>
    <w:p>
      <w:pPr>
        <w:ind w:left="980" w:right="20" w:hanging="572"/>
        <w:spacing w:after="0" w:line="287"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In the absence of an established market for the Common Stock, the Fair Market Value will be determined in good faith by the Administrator.</w:t>
      </w:r>
    </w:p>
    <w:p>
      <w:pPr>
        <w:spacing w:after="0" w:line="139" w:lineRule="exact"/>
        <w:rPr>
          <w:rFonts w:ascii="Arial" w:cs="Arial" w:eastAsia="Arial" w:hAnsi="Arial"/>
          <w:sz w:val="18"/>
          <w:szCs w:val="18"/>
          <w:color w:val="auto"/>
        </w:rPr>
      </w:pPr>
    </w:p>
    <w:p>
      <w:pPr>
        <w:ind w:left="320" w:hanging="320"/>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means the fiscal year of the Company.</w:t>
      </w:r>
    </w:p>
    <w:p>
      <w:pPr>
        <w:spacing w:after="0" w:line="211" w:lineRule="exact"/>
        <w:rPr>
          <w:rFonts w:ascii="Arial" w:cs="Arial" w:eastAsia="Arial" w:hAnsi="Arial"/>
          <w:sz w:val="18"/>
          <w:szCs w:val="18"/>
          <w:color w:val="auto"/>
        </w:rPr>
      </w:pPr>
    </w:p>
    <w:p>
      <w:pPr>
        <w:ind w:left="320" w:right="20" w:hanging="320"/>
        <w:spacing w:after="0" w:line="287" w:lineRule="auto"/>
        <w:tabs>
          <w:tab w:leader="none" w:pos="314"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means an Option intended to qualify as an incentive stock option within the meaning of Section 422 of the Code and the regulations promulgated thereunder.</w:t>
      </w:r>
    </w:p>
    <w:p>
      <w:pPr>
        <w:spacing w:after="0" w:line="139" w:lineRule="exact"/>
        <w:rPr>
          <w:rFonts w:ascii="Arial" w:cs="Arial" w:eastAsia="Arial" w:hAnsi="Arial"/>
          <w:sz w:val="18"/>
          <w:szCs w:val="18"/>
          <w:color w:val="auto"/>
        </w:rPr>
      </w:pPr>
    </w:p>
    <w:p>
      <w:pPr>
        <w:ind w:left="320" w:hanging="320"/>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Inside Director</w:t>
      </w:r>
      <w:r>
        <w:rPr>
          <w:rFonts w:ascii="Arial" w:cs="Arial" w:eastAsia="Arial" w:hAnsi="Arial"/>
          <w:sz w:val="18"/>
          <w:szCs w:val="18"/>
          <w:color w:val="auto"/>
        </w:rPr>
        <w:t>” means a Director who is an Employee.</w:t>
      </w:r>
    </w:p>
    <w:p>
      <w:pPr>
        <w:spacing w:after="0" w:line="211" w:lineRule="exact"/>
        <w:rPr>
          <w:rFonts w:ascii="Arial" w:cs="Arial" w:eastAsia="Arial" w:hAnsi="Arial"/>
          <w:sz w:val="18"/>
          <w:szCs w:val="18"/>
          <w:color w:val="auto"/>
        </w:rPr>
      </w:pPr>
    </w:p>
    <w:p>
      <w:pPr>
        <w:ind w:left="320" w:hanging="320"/>
        <w:spacing w:after="0" w:line="287" w:lineRule="auto"/>
        <w:tabs>
          <w:tab w:leader="none" w:pos="314"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Nonstatutory Stock Option</w:t>
      </w:r>
      <w:r>
        <w:rPr>
          <w:rFonts w:ascii="Arial" w:cs="Arial" w:eastAsia="Arial" w:hAnsi="Arial"/>
          <w:sz w:val="18"/>
          <w:szCs w:val="18"/>
          <w:color w:val="auto"/>
        </w:rPr>
        <w:t>” means an Option that by its terms does not qualify or is not intended to qualify as an Incentive Stock Option.</w:t>
      </w:r>
    </w:p>
    <w:p>
      <w:pPr>
        <w:spacing w:after="0" w:line="139" w:lineRule="exact"/>
        <w:rPr>
          <w:rFonts w:ascii="Arial" w:cs="Arial" w:eastAsia="Arial" w:hAnsi="Arial"/>
          <w:sz w:val="18"/>
          <w:szCs w:val="18"/>
          <w:color w:val="auto"/>
        </w:rPr>
      </w:pPr>
    </w:p>
    <w:p>
      <w:pPr>
        <w:ind w:left="320" w:hanging="320"/>
        <w:spacing w:after="0" w:line="271" w:lineRule="auto"/>
        <w:tabs>
          <w:tab w:leader="none" w:pos="313"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w:t>
      </w:r>
      <w:r>
        <w:rPr>
          <w:rFonts w:ascii="Arial" w:cs="Arial" w:eastAsia="Arial" w:hAnsi="Arial"/>
          <w:sz w:val="18"/>
          <w:szCs w:val="18"/>
          <w:color w:val="auto"/>
        </w:rPr>
        <w:t>” means a person who is an officer of the Company within the meaning of Section 16 of the Exchange Act and the rules and regulations promulgated thereunder.</w:t>
      </w:r>
    </w:p>
    <w:p>
      <w:pPr>
        <w:spacing w:after="0" w:line="167" w:lineRule="exact"/>
        <w:rPr>
          <w:rFonts w:ascii="Arial" w:cs="Arial" w:eastAsia="Arial" w:hAnsi="Arial"/>
          <w:sz w:val="18"/>
          <w:szCs w:val="18"/>
          <w:color w:val="auto"/>
        </w:rPr>
      </w:pPr>
    </w:p>
    <w:p>
      <w:pPr>
        <w:ind w:left="320" w:hanging="320"/>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 stock option granted pursuant to the Plan.</w:t>
      </w:r>
    </w:p>
    <w:p>
      <w:pPr>
        <w:spacing w:after="0" w:line="211" w:lineRule="exact"/>
        <w:rPr>
          <w:rFonts w:ascii="Arial" w:cs="Arial" w:eastAsia="Arial" w:hAnsi="Arial"/>
          <w:sz w:val="18"/>
          <w:szCs w:val="18"/>
          <w:color w:val="auto"/>
        </w:rPr>
      </w:pPr>
    </w:p>
    <w:p>
      <w:pPr>
        <w:ind w:left="320" w:hanging="320"/>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Outside Director</w:t>
      </w:r>
      <w:r>
        <w:rPr>
          <w:rFonts w:ascii="Arial" w:cs="Arial" w:eastAsia="Arial" w:hAnsi="Arial"/>
          <w:sz w:val="18"/>
          <w:szCs w:val="18"/>
          <w:color w:val="auto"/>
        </w:rPr>
        <w:t>” means a Director who is not an Employee.</w:t>
      </w:r>
    </w:p>
    <w:p>
      <w:pPr>
        <w:spacing w:after="0" w:line="211" w:lineRule="exact"/>
        <w:rPr>
          <w:rFonts w:ascii="Arial" w:cs="Arial" w:eastAsia="Arial" w:hAnsi="Arial"/>
          <w:sz w:val="18"/>
          <w:szCs w:val="18"/>
          <w:color w:val="auto"/>
        </w:rPr>
      </w:pPr>
    </w:p>
    <w:p>
      <w:pPr>
        <w:ind w:left="320" w:hanging="320"/>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means a “parent corporation,” whether now or hereafter existing, as defined in Section 424(e) of the Code.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(aa)“</w:t>
      </w:r>
      <w:r>
        <w:rPr>
          <w:rFonts w:ascii="Arial" w:cs="Arial" w:eastAsia="Arial" w:hAnsi="Arial"/>
          <w:sz w:val="18"/>
          <w:szCs w:val="18"/>
          <w:u w:val="single" w:color="auto"/>
          <w:color w:val="auto"/>
        </w:rPr>
        <w:t>Participant</w:t>
      </w:r>
      <w:r>
        <w:rPr>
          <w:rFonts w:ascii="Arial" w:cs="Arial" w:eastAsia="Arial" w:hAnsi="Arial"/>
          <w:sz w:val="18"/>
          <w:szCs w:val="18"/>
          <w:color w:val="auto"/>
        </w:rPr>
        <w:t>” means the holder of an outstanding Award.</w:t>
      </w:r>
    </w:p>
    <w:p>
      <w:pPr>
        <w:sectPr>
          <w:pgSz w:w="11900" w:h="16838" w:orient="portrait"/>
          <w:cols w:equalWidth="0" w:num="1">
            <w:col w:w="10260"/>
          </w:cols>
          <w:pgMar w:left="1300" w:top="1147" w:right="339" w:bottom="1440" w:gutter="0" w:footer="0" w:header="0"/>
        </w:sectPr>
      </w:pPr>
    </w:p>
    <w:bookmarkStart w:id="7" w:name="page8"/>
    <w:bookmarkEnd w:id="7"/>
    <w:p>
      <w:pPr>
        <w:ind w:left="968" w:hanging="320"/>
        <w:spacing w:after="0" w:line="271" w:lineRule="auto"/>
        <w:tabs>
          <w:tab w:leader="none" w:pos="1014" w:val="left"/>
        </w:tabs>
        <w:numPr>
          <w:ilvl w:val="1"/>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Share</w:t>
      </w:r>
      <w:r>
        <w:rPr>
          <w:rFonts w:ascii="Arial" w:cs="Arial" w:eastAsia="Arial" w:hAnsi="Arial"/>
          <w:sz w:val="18"/>
          <w:szCs w:val="18"/>
          <w:color w:val="auto"/>
        </w:rPr>
        <w:t>” means an Award denominated in Shares which may be earned in whole or in part upon attainment of performance goals or other vesting criteria as the Administrator may determine pursuant to Section 10.</w:t>
      </w:r>
    </w:p>
    <w:p>
      <w:pPr>
        <w:spacing w:after="0" w:line="167" w:lineRule="exact"/>
        <w:rPr>
          <w:rFonts w:ascii="Arial" w:cs="Arial" w:eastAsia="Arial" w:hAnsi="Arial"/>
          <w:sz w:val="18"/>
          <w:szCs w:val="18"/>
          <w:color w:val="auto"/>
        </w:rPr>
      </w:pPr>
    </w:p>
    <w:p>
      <w:pPr>
        <w:jc w:val="both"/>
        <w:ind w:left="968" w:right="20" w:hanging="320"/>
        <w:spacing w:after="0" w:line="253" w:lineRule="auto"/>
        <w:tabs>
          <w:tab w:leader="none" w:pos="994" w:val="left"/>
        </w:tabs>
        <w:numPr>
          <w:ilvl w:val="1"/>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Unit</w:t>
      </w:r>
      <w:r>
        <w:rPr>
          <w:rFonts w:ascii="Arial" w:cs="Arial" w:eastAsia="Arial" w:hAnsi="Arial"/>
          <w:sz w:val="18"/>
          <w:szCs w:val="18"/>
          <w:color w:val="auto"/>
        </w:rPr>
        <w:t>” means an Award which may be earned in whole or in part upon attainment of performance goals or other vesting criteria as the Administrator may determine and which may be settled for cash, Shares or other securities or a combination of the foregoing pursuant to Section 10.</w:t>
      </w:r>
    </w:p>
    <w:p>
      <w:pPr>
        <w:spacing w:after="0" w:line="182" w:lineRule="exact"/>
        <w:rPr>
          <w:rFonts w:ascii="Arial" w:cs="Arial" w:eastAsia="Arial" w:hAnsi="Arial"/>
          <w:sz w:val="18"/>
          <w:szCs w:val="18"/>
          <w:color w:val="auto"/>
        </w:rPr>
      </w:pPr>
    </w:p>
    <w:p>
      <w:pPr>
        <w:jc w:val="both"/>
        <w:ind w:left="968" w:hanging="320"/>
        <w:spacing w:after="0" w:line="253" w:lineRule="auto"/>
        <w:tabs>
          <w:tab w:leader="none" w:pos="1027" w:val="left"/>
        </w:tabs>
        <w:numPr>
          <w:ilvl w:val="1"/>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Period of Restriction</w:t>
      </w:r>
      <w:r>
        <w:rPr>
          <w:rFonts w:ascii="Arial" w:cs="Arial" w:eastAsia="Arial" w:hAnsi="Arial"/>
          <w:sz w:val="18"/>
          <w:szCs w:val="18"/>
          <w:color w:val="auto"/>
        </w:rPr>
        <w:t>” means the period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182" w:lineRule="exact"/>
        <w:rPr>
          <w:rFonts w:ascii="Arial" w:cs="Arial" w:eastAsia="Arial" w:hAnsi="Arial"/>
          <w:sz w:val="18"/>
          <w:szCs w:val="18"/>
          <w:color w:val="auto"/>
        </w:rPr>
      </w:pPr>
    </w:p>
    <w:p>
      <w:pPr>
        <w:ind w:left="1008" w:hanging="360"/>
        <w:spacing w:after="0"/>
        <w:tabs>
          <w:tab w:leader="none" w:pos="1008" w:val="left"/>
        </w:tabs>
        <w:numPr>
          <w:ilvl w:val="1"/>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this 2012 Equity Incentive Plan, as amended and restated.</w:t>
      </w:r>
    </w:p>
    <w:p>
      <w:pPr>
        <w:spacing w:after="0" w:line="211" w:lineRule="exact"/>
        <w:rPr>
          <w:rFonts w:ascii="Arial" w:cs="Arial" w:eastAsia="Arial" w:hAnsi="Arial"/>
          <w:sz w:val="18"/>
          <w:szCs w:val="18"/>
          <w:color w:val="auto"/>
        </w:rPr>
      </w:pPr>
    </w:p>
    <w:p>
      <w:pPr>
        <w:ind w:left="968" w:hanging="320"/>
        <w:spacing w:after="0" w:line="271" w:lineRule="auto"/>
        <w:tabs>
          <w:tab w:leader="none" w:pos="937" w:val="left"/>
        </w:tabs>
        <w:numPr>
          <w:ilvl w:val="1"/>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Shares issued pursuant to a Restricted Stock award under Section 7 of the Plan, or issued pursuant to the early exercise of an Option.</w:t>
      </w:r>
    </w:p>
    <w:p>
      <w:pPr>
        <w:spacing w:after="0" w:line="167" w:lineRule="exact"/>
        <w:rPr>
          <w:rFonts w:ascii="Arial" w:cs="Arial" w:eastAsia="Arial" w:hAnsi="Arial"/>
          <w:sz w:val="18"/>
          <w:szCs w:val="18"/>
          <w:color w:val="auto"/>
        </w:rPr>
      </w:pPr>
    </w:p>
    <w:p>
      <w:pPr>
        <w:jc w:val="both"/>
        <w:ind w:left="968" w:hanging="320"/>
        <w:spacing w:after="0" w:line="253" w:lineRule="auto"/>
        <w:tabs>
          <w:tab w:leader="none" w:pos="1027" w:val="left"/>
        </w:tabs>
        <w:numPr>
          <w:ilvl w:val="1"/>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a bookkeeping entry representing an amount equal to the Fair Market Value of one Share, granted pursuant to Section 8. Each Restricted Stock Unit represents an unfunded and unsecured obligation of the Company.</w:t>
      </w:r>
    </w:p>
    <w:p>
      <w:pPr>
        <w:spacing w:after="0" w:line="182" w:lineRule="exact"/>
        <w:rPr>
          <w:rFonts w:ascii="Arial" w:cs="Arial" w:eastAsia="Arial" w:hAnsi="Arial"/>
          <w:sz w:val="18"/>
          <w:szCs w:val="18"/>
          <w:color w:val="auto"/>
        </w:rPr>
      </w:pPr>
    </w:p>
    <w:p>
      <w:pPr>
        <w:ind w:left="968" w:hanging="320"/>
        <w:spacing w:after="0" w:line="271" w:lineRule="auto"/>
        <w:tabs>
          <w:tab w:leader="none" w:pos="1014" w:val="left"/>
        </w:tabs>
        <w:numPr>
          <w:ilvl w:val="1"/>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16b-3</w:t>
      </w:r>
      <w:r>
        <w:rPr>
          <w:rFonts w:ascii="Arial" w:cs="Arial" w:eastAsia="Arial" w:hAnsi="Arial"/>
          <w:sz w:val="18"/>
          <w:szCs w:val="18"/>
          <w:color w:val="auto"/>
        </w:rPr>
        <w:t>” means Rule 16b-3 of the Exchange Act or any successor to Rule 16b-3, as in effect when discretion is being exercised with respect to the Plan.</w:t>
      </w:r>
    </w:p>
    <w:p>
      <w:pPr>
        <w:spacing w:after="0" w:line="153" w:lineRule="exact"/>
        <w:rPr>
          <w:rFonts w:ascii="Arial" w:cs="Arial" w:eastAsia="Arial" w:hAnsi="Arial"/>
          <w:sz w:val="18"/>
          <w:szCs w:val="18"/>
          <w:color w:val="auto"/>
        </w:rPr>
      </w:pPr>
    </w:p>
    <w:p>
      <w:pPr>
        <w:ind w:left="888" w:hanging="240"/>
        <w:spacing w:after="0"/>
        <w:tabs>
          <w:tab w:leader="none" w:pos="888" w:val="left"/>
        </w:tabs>
        <w:numPr>
          <w:ilvl w:val="1"/>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16(b)</w:t>
      </w:r>
      <w:r>
        <w:rPr>
          <w:rFonts w:ascii="Arial" w:cs="Arial" w:eastAsia="Arial" w:hAnsi="Arial"/>
          <w:sz w:val="18"/>
          <w:szCs w:val="18"/>
          <w:color w:val="auto"/>
        </w:rPr>
        <w:t>” means Section 16(b) of the Exchange Act.</w:t>
      </w:r>
    </w:p>
    <w:p>
      <w:pPr>
        <w:spacing w:after="0" w:line="225" w:lineRule="exact"/>
        <w:rPr>
          <w:rFonts w:ascii="Arial" w:cs="Arial" w:eastAsia="Arial" w:hAnsi="Arial"/>
          <w:sz w:val="18"/>
          <w:szCs w:val="18"/>
          <w:color w:val="auto"/>
        </w:rPr>
      </w:pPr>
    </w:p>
    <w:p>
      <w:pPr>
        <w:ind w:left="888" w:hanging="240"/>
        <w:spacing w:after="0"/>
        <w:tabs>
          <w:tab w:leader="none" w:pos="888" w:val="left"/>
        </w:tabs>
        <w:numPr>
          <w:ilvl w:val="1"/>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Provider</w:t>
      </w:r>
      <w:r>
        <w:rPr>
          <w:rFonts w:ascii="Arial" w:cs="Arial" w:eastAsia="Arial" w:hAnsi="Arial"/>
          <w:sz w:val="18"/>
          <w:szCs w:val="18"/>
          <w:color w:val="auto"/>
        </w:rPr>
        <w:t>” means an Employee, Director or Consultant.</w:t>
      </w:r>
    </w:p>
    <w:p>
      <w:pPr>
        <w:spacing w:after="0" w:line="211" w:lineRule="exact"/>
        <w:rPr>
          <w:rFonts w:ascii="Arial" w:cs="Arial" w:eastAsia="Arial" w:hAnsi="Arial"/>
          <w:sz w:val="18"/>
          <w:szCs w:val="18"/>
          <w:color w:val="auto"/>
        </w:rPr>
      </w:pPr>
    </w:p>
    <w:p>
      <w:pPr>
        <w:ind w:left="988" w:hanging="340"/>
        <w:spacing w:after="0"/>
        <w:tabs>
          <w:tab w:leader="none" w:pos="988" w:val="left"/>
        </w:tabs>
        <w:numPr>
          <w:ilvl w:val="1"/>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means a share of the Common Stock, as adjusted in accordance with Section 13 of the Plan.</w:t>
      </w:r>
    </w:p>
    <w:p>
      <w:pPr>
        <w:spacing w:after="0" w:line="211" w:lineRule="exact"/>
        <w:rPr>
          <w:rFonts w:ascii="Arial" w:cs="Arial" w:eastAsia="Arial" w:hAnsi="Arial"/>
          <w:sz w:val="18"/>
          <w:szCs w:val="18"/>
          <w:color w:val="auto"/>
        </w:rPr>
      </w:pPr>
    </w:p>
    <w:p>
      <w:pPr>
        <w:ind w:left="968" w:right="20" w:hanging="320"/>
        <w:spacing w:after="0" w:line="287" w:lineRule="auto"/>
        <w:tabs>
          <w:tab w:leader="none" w:pos="907" w:val="left"/>
        </w:tabs>
        <w:numPr>
          <w:ilvl w:val="1"/>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means an Award, granted alone or in connection with an Option, that pursuant to Section 9 is designated as a Stock Appreciation Right.</w:t>
      </w:r>
    </w:p>
    <w:p>
      <w:pPr>
        <w:spacing w:after="0" w:line="139" w:lineRule="exact"/>
        <w:rPr>
          <w:rFonts w:ascii="Arial" w:cs="Arial" w:eastAsia="Arial" w:hAnsi="Arial"/>
          <w:sz w:val="18"/>
          <w:szCs w:val="18"/>
          <w:color w:val="auto"/>
        </w:rPr>
      </w:pPr>
    </w:p>
    <w:p>
      <w:pPr>
        <w:ind w:left="1108" w:hanging="460"/>
        <w:spacing w:after="0"/>
        <w:tabs>
          <w:tab w:leader="none" w:pos="1108" w:val="left"/>
        </w:tabs>
        <w:numPr>
          <w:ilvl w:val="1"/>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 “subsidiary corporation,” whether now or hereafter existing, as defined in Section 424(f) of the Code.</w:t>
      </w:r>
    </w:p>
    <w:p>
      <w:pPr>
        <w:spacing w:after="0" w:line="211" w:lineRule="exact"/>
        <w:rPr>
          <w:rFonts w:ascii="Arial" w:cs="Arial" w:eastAsia="Arial" w:hAnsi="Arial"/>
          <w:sz w:val="18"/>
          <w:szCs w:val="18"/>
          <w:color w:val="auto"/>
        </w:rPr>
      </w:pPr>
    </w:p>
    <w:p>
      <w:pPr>
        <w:ind w:left="308" w:hanging="308"/>
        <w:spacing w:after="0"/>
        <w:tabs>
          <w:tab w:leader="none" w:pos="308"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Stock Subject to the Plan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968" w:hanging="320"/>
        <w:spacing w:after="0" w:line="244" w:lineRule="auto"/>
        <w:tabs>
          <w:tab w:leader="none" w:pos="958"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Stock Subject to the Plan</w:t>
      </w:r>
      <w:r>
        <w:rPr>
          <w:rFonts w:ascii="Arial" w:cs="Arial" w:eastAsia="Arial" w:hAnsi="Arial"/>
          <w:sz w:val="18"/>
          <w:szCs w:val="18"/>
          <w:color w:val="auto"/>
        </w:rPr>
        <w:t>. Subject to the provisions of Section 13 of the Plan, the maximum aggregate number of Shares that may be issued under the Plan pursuant to Awards granted after the 2022 Restatement became effective is (i) 5,481,000 Shares, plus (ii) any Shares subject to Awards under the previous version of this Plan that had been in place prior to the 2022 Restatement Date (the “</w:t>
      </w:r>
      <w:r>
        <w:rPr>
          <w:rFonts w:ascii="Arial" w:cs="Arial" w:eastAsia="Arial" w:hAnsi="Arial"/>
          <w:sz w:val="18"/>
          <w:szCs w:val="18"/>
          <w:u w:val="single" w:color="auto"/>
          <w:color w:val="auto"/>
        </w:rPr>
        <w:t>Existing Plan</w:t>
      </w:r>
      <w:r>
        <w:rPr>
          <w:rFonts w:ascii="Arial" w:cs="Arial" w:eastAsia="Arial" w:hAnsi="Arial"/>
          <w:sz w:val="18"/>
          <w:szCs w:val="18"/>
          <w:color w:val="auto"/>
        </w:rPr>
        <w:t>”) that, on or after the 2022 Restatement Date, expire or otherwise terminate without having been exercised in full, or that are forfeited to or repurchased by the Company, with the maximum number of Shares to be added to the Plan as a result of clause (ii) equal to 2,712,691, minus (iii) any Shares subject to Awards granted under the Existing Plan after March 31, 2022, but before the 2022 Restatement Date. For clarity, Shares used to pay the exercise price of an award granted under the Existing Plan or to satisfy the tax withholding obligations related to an award granted under the Existing Plan will not be added to the Plan pursuant to clause (ii) of the previous sentence. The Shares may be authorized, but unissued, or reacquired Common Stock.</w:t>
      </w:r>
    </w:p>
    <w:p>
      <w:pPr>
        <w:spacing w:after="0" w:line="177" w:lineRule="exact"/>
        <w:rPr>
          <w:rFonts w:ascii="Arial" w:cs="Arial" w:eastAsia="Arial" w:hAnsi="Arial"/>
          <w:sz w:val="18"/>
          <w:szCs w:val="18"/>
          <w:color w:val="auto"/>
        </w:rPr>
      </w:pPr>
    </w:p>
    <w:p>
      <w:pPr>
        <w:ind w:left="968" w:hanging="320"/>
        <w:spacing w:after="0"/>
        <w:tabs>
          <w:tab w:leader="none" w:pos="968"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left="968" w:hanging="320"/>
        <w:spacing w:after="0" w:line="261" w:lineRule="auto"/>
        <w:tabs>
          <w:tab w:leader="none" w:pos="962"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Lapsed Awards</w:t>
      </w:r>
      <w:r>
        <w:rPr>
          <w:rFonts w:ascii="Arial" w:cs="Arial" w:eastAsia="Arial" w:hAnsi="Arial"/>
          <w:sz w:val="18"/>
          <w:szCs w:val="18"/>
          <w:color w:val="auto"/>
        </w:rPr>
        <w:t>. If an Award expires or becomes unexercisable without having been exercised in full or, with respect to Restricted Stock, Restricted Stock Units, Performance Units or Performance Shares, is forfeited to or repurchased by the Company due to failure to vest, the</w:t>
      </w:r>
    </w:p>
    <w:p>
      <w:pPr>
        <w:sectPr>
          <w:pgSz w:w="11900" w:h="16838" w:orient="portrait"/>
          <w:cols w:equalWidth="0" w:num="1">
            <w:col w:w="10908"/>
          </w:cols>
          <w:pgMar w:left="652" w:top="1147" w:right="339" w:bottom="1440" w:gutter="0" w:footer="0" w:header="0"/>
        </w:sectPr>
      </w:pPr>
    </w:p>
    <w:bookmarkStart w:id="8" w:name="page9"/>
    <w:bookmarkEnd w:id="8"/>
    <w:p>
      <w:pPr>
        <w:jc w:val="both"/>
        <w:ind w:left="968"/>
        <w:spacing w:after="0" w:line="242" w:lineRule="auto"/>
        <w:rPr>
          <w:sz w:val="20"/>
          <w:szCs w:val="20"/>
          <w:color w:val="auto"/>
        </w:rPr>
      </w:pPr>
      <w:r>
        <w:rPr>
          <w:rFonts w:ascii="Arial" w:cs="Arial" w:eastAsia="Arial" w:hAnsi="Arial"/>
          <w:sz w:val="18"/>
          <w:szCs w:val="18"/>
          <w:color w:val="auto"/>
        </w:rPr>
        <w:t>unpurchased Shares (or for Awards other than Options or Stock Appreciation Rights the forfeited or repurchased Shares), which were subject thereto will become available for future grant or sale under the Plan (unless the Plan has terminated). With respect to Stock Appreciation Rights, all Shares granted (i.e., the gross Shares granted) pursuant to a Stock Appreciation Right will cease to be available under the Plan. Shares that have actually been issued under the Plan under any Award will not be returned to the Plan and will not become available for future distribution under the Plan; provided, however, that if Shares issued pursuant to Awards of Restricted Stock, Restricted Stock Units, Performance Shares or Performance Units are repurchased by the Company or are forfeited to the Company, such Shares will become available for future grant under the Plan. Shares used to pay the exercise price of an Award or to satisfy the tax withholding obligations related to an Award will not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as provided in Section 13, the maximum number of Shares that may be issued upon the exercise of Incentive Stock Options will equal the aggregate Share number stated in Section 3(a), plus, to the extent allowable under Section 422 of the Code and the Treasury Regulations promulgated thereunder, any Shares that become available for issuance under the Plan pursuant to Sections 3(b) and 3(c).</w:t>
      </w:r>
    </w:p>
    <w:p>
      <w:pPr>
        <w:spacing w:after="0" w:line="197" w:lineRule="exact"/>
        <w:rPr>
          <w:sz w:val="20"/>
          <w:szCs w:val="20"/>
          <w:color w:val="auto"/>
        </w:rPr>
      </w:pPr>
    </w:p>
    <w:p>
      <w:pPr>
        <w:ind w:left="968" w:hanging="320"/>
        <w:spacing w:after="0" w:line="271" w:lineRule="auto"/>
        <w:tabs>
          <w:tab w:leader="none" w:pos="958"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Share Reserve</w:t>
      </w:r>
      <w:r>
        <w:rPr>
          <w:rFonts w:ascii="Arial" w:cs="Arial" w:eastAsia="Arial" w:hAnsi="Arial"/>
          <w:sz w:val="18"/>
          <w:szCs w:val="18"/>
          <w:color w:val="auto"/>
        </w:rPr>
        <w:t>. The Company, during the term of this Plan, will at all times reserve and keep available such number of Shares as will be sufficient to satisfy the requirements of the Plan.</w:t>
      </w:r>
    </w:p>
    <w:p>
      <w:pPr>
        <w:spacing w:after="0" w:line="153" w:lineRule="exact"/>
        <w:rPr>
          <w:rFonts w:ascii="Arial" w:cs="Arial" w:eastAsia="Arial" w:hAnsi="Arial"/>
          <w:sz w:val="18"/>
          <w:szCs w:val="18"/>
          <w:color w:val="auto"/>
        </w:rPr>
      </w:pPr>
    </w:p>
    <w:p>
      <w:pPr>
        <w:ind w:left="308" w:hanging="308"/>
        <w:spacing w:after="0"/>
        <w:tabs>
          <w:tab w:leader="none" w:pos="308"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68" w:hanging="320"/>
        <w:spacing w:after="0"/>
        <w:tabs>
          <w:tab w:leader="none" w:pos="968" w:val="left"/>
        </w:tabs>
        <w:numPr>
          <w:ilvl w:val="1"/>
          <w:numId w:val="10"/>
        </w:numPr>
        <w:rPr>
          <w:rFonts w:ascii="Arial" w:cs="Arial" w:eastAsia="Arial" w:hAnsi="Arial"/>
          <w:sz w:val="18"/>
          <w:szCs w:val="18"/>
          <w:color w:val="auto"/>
        </w:rPr>
      </w:pPr>
      <w:r>
        <w:rPr>
          <w:rFonts w:ascii="Arial" w:cs="Arial" w:eastAsia="Arial" w:hAnsi="Arial"/>
          <w:sz w:val="18"/>
          <w:szCs w:val="18"/>
          <w:u w:val="single" w:color="auto"/>
          <w:color w:val="auto"/>
        </w:rPr>
        <w:t>Procedure</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1628" w:hanging="492"/>
        <w:spacing w:after="0" w:line="271" w:lineRule="auto"/>
        <w:tabs>
          <w:tab w:leader="none" w:pos="1628" w:val="left"/>
        </w:tabs>
        <w:numPr>
          <w:ilvl w:val="2"/>
          <w:numId w:val="10"/>
        </w:numPr>
        <w:rPr>
          <w:rFonts w:ascii="Arial" w:cs="Arial" w:eastAsia="Arial" w:hAnsi="Arial"/>
          <w:sz w:val="18"/>
          <w:szCs w:val="18"/>
          <w:color w:val="auto"/>
        </w:rPr>
      </w:pPr>
      <w:r>
        <w:rPr>
          <w:rFonts w:ascii="Arial" w:cs="Arial" w:eastAsia="Arial" w:hAnsi="Arial"/>
          <w:sz w:val="18"/>
          <w:szCs w:val="18"/>
          <w:u w:val="single" w:color="auto"/>
          <w:color w:val="auto"/>
        </w:rPr>
        <w:t>Multiple Administrative Bodies</w:t>
      </w:r>
      <w:r>
        <w:rPr>
          <w:rFonts w:ascii="Arial" w:cs="Arial" w:eastAsia="Arial" w:hAnsi="Arial"/>
          <w:sz w:val="18"/>
          <w:szCs w:val="18"/>
          <w:color w:val="auto"/>
        </w:rPr>
        <w:t>. Different Committees with respect to different groups of Service Providers may administer the Plan.</w:t>
      </w:r>
    </w:p>
    <w:p>
      <w:pPr>
        <w:spacing w:after="0" w:line="167" w:lineRule="exact"/>
        <w:rPr>
          <w:rFonts w:ascii="Arial" w:cs="Arial" w:eastAsia="Arial" w:hAnsi="Arial"/>
          <w:sz w:val="18"/>
          <w:szCs w:val="18"/>
          <w:color w:val="auto"/>
        </w:rPr>
      </w:pPr>
    </w:p>
    <w:p>
      <w:pPr>
        <w:jc w:val="both"/>
        <w:ind w:left="1628" w:hanging="532"/>
        <w:spacing w:after="0" w:line="252" w:lineRule="auto"/>
        <w:tabs>
          <w:tab w:leader="none" w:pos="1628" w:val="left"/>
        </w:tabs>
        <w:numPr>
          <w:ilvl w:val="2"/>
          <w:numId w:val="10"/>
        </w:numPr>
        <w:rPr>
          <w:rFonts w:ascii="Arial" w:cs="Arial" w:eastAsia="Arial" w:hAnsi="Arial"/>
          <w:sz w:val="18"/>
          <w:szCs w:val="18"/>
          <w:color w:val="auto"/>
        </w:rPr>
      </w:pPr>
      <w:r>
        <w:rPr>
          <w:rFonts w:ascii="Arial" w:cs="Arial" w:eastAsia="Arial" w:hAnsi="Arial"/>
          <w:sz w:val="18"/>
          <w:szCs w:val="18"/>
          <w:u w:val="single" w:color="auto"/>
          <w:color w:val="auto"/>
        </w:rPr>
        <w:t>Section 162(m)</w:t>
      </w:r>
      <w:r>
        <w:rPr>
          <w:rFonts w:ascii="Arial" w:cs="Arial" w:eastAsia="Arial" w:hAnsi="Arial"/>
          <w:sz w:val="18"/>
          <w:szCs w:val="18"/>
          <w:color w:val="auto"/>
        </w:rPr>
        <w:t>. To the extent that the Administrator determines it to be desirable to qualify Awards granted hereunder as “performance-based compensation” within the meaning of Section 162(m) of the Code, the Plan will be administered by a Committee of two (2) or more “outside directors” within the meaning of Section 162(m) of the Code.</w:t>
      </w:r>
    </w:p>
    <w:p>
      <w:pPr>
        <w:spacing w:after="0" w:line="170" w:lineRule="exact"/>
        <w:rPr>
          <w:rFonts w:ascii="Arial" w:cs="Arial" w:eastAsia="Arial" w:hAnsi="Arial"/>
          <w:sz w:val="18"/>
          <w:szCs w:val="18"/>
          <w:color w:val="auto"/>
        </w:rPr>
      </w:pPr>
    </w:p>
    <w:p>
      <w:pPr>
        <w:ind w:left="1628" w:right="20" w:hanging="572"/>
        <w:spacing w:after="0" w:line="271" w:lineRule="auto"/>
        <w:tabs>
          <w:tab w:leader="none" w:pos="1628" w:val="left"/>
        </w:tabs>
        <w:numPr>
          <w:ilvl w:val="2"/>
          <w:numId w:val="10"/>
        </w:numPr>
        <w:rPr>
          <w:rFonts w:ascii="Arial" w:cs="Arial" w:eastAsia="Arial" w:hAnsi="Arial"/>
          <w:sz w:val="18"/>
          <w:szCs w:val="18"/>
          <w:color w:val="auto"/>
        </w:rPr>
      </w:pPr>
      <w:r>
        <w:rPr>
          <w:rFonts w:ascii="Arial" w:cs="Arial" w:eastAsia="Arial" w:hAnsi="Arial"/>
          <w:sz w:val="18"/>
          <w:szCs w:val="18"/>
          <w:u w:val="single" w:color="auto"/>
          <w:color w:val="auto"/>
        </w:rPr>
        <w:t>Rule 16b-3</w:t>
      </w:r>
      <w:r>
        <w:rPr>
          <w:rFonts w:ascii="Arial" w:cs="Arial" w:eastAsia="Arial" w:hAnsi="Arial"/>
          <w:sz w:val="18"/>
          <w:szCs w:val="18"/>
          <w:color w:val="auto"/>
        </w:rPr>
        <w:t>. To the extent desirable to qualify transactions hereunder as exempt under Rule 16b-3, the transactions contemplated hereunder will be structured to satisfy the requirements for exemption under Rule 16b-3.</w:t>
      </w:r>
    </w:p>
    <w:p>
      <w:pPr>
        <w:spacing w:after="0" w:line="167" w:lineRule="exact"/>
        <w:rPr>
          <w:rFonts w:ascii="Arial" w:cs="Arial" w:eastAsia="Arial" w:hAnsi="Arial"/>
          <w:sz w:val="18"/>
          <w:szCs w:val="18"/>
          <w:color w:val="auto"/>
        </w:rPr>
      </w:pPr>
    </w:p>
    <w:p>
      <w:pPr>
        <w:ind w:left="1628" w:hanging="582"/>
        <w:spacing w:after="0" w:line="271" w:lineRule="auto"/>
        <w:tabs>
          <w:tab w:leader="none" w:pos="1628" w:val="left"/>
        </w:tabs>
        <w:numPr>
          <w:ilvl w:val="2"/>
          <w:numId w:val="10"/>
        </w:numPr>
        <w:rPr>
          <w:rFonts w:ascii="Arial" w:cs="Arial" w:eastAsia="Arial" w:hAnsi="Arial"/>
          <w:sz w:val="18"/>
          <w:szCs w:val="18"/>
          <w:color w:val="auto"/>
        </w:rPr>
      </w:pPr>
      <w:r>
        <w:rPr>
          <w:rFonts w:ascii="Arial" w:cs="Arial" w:eastAsia="Arial" w:hAnsi="Arial"/>
          <w:sz w:val="18"/>
          <w:szCs w:val="18"/>
          <w:u w:val="single" w:color="auto"/>
          <w:color w:val="auto"/>
        </w:rPr>
        <w:t>Other Administration</w:t>
      </w:r>
      <w:r>
        <w:rPr>
          <w:rFonts w:ascii="Arial" w:cs="Arial" w:eastAsia="Arial" w:hAnsi="Arial"/>
          <w:sz w:val="18"/>
          <w:szCs w:val="18"/>
          <w:color w:val="auto"/>
        </w:rPr>
        <w:t>. Other than as provided above, the Plan will be administered by (A) the Board or (B) a Committee, which committee will be constituted to satisfy Applicable Laws.</w:t>
      </w:r>
    </w:p>
    <w:p>
      <w:pPr>
        <w:spacing w:after="0" w:line="153" w:lineRule="exact"/>
        <w:rPr>
          <w:rFonts w:ascii="Arial" w:cs="Arial" w:eastAsia="Arial" w:hAnsi="Arial"/>
          <w:sz w:val="18"/>
          <w:szCs w:val="18"/>
          <w:color w:val="auto"/>
        </w:rPr>
      </w:pPr>
    </w:p>
    <w:p>
      <w:pPr>
        <w:ind w:left="968" w:hanging="320"/>
        <w:spacing w:after="0" w:line="287" w:lineRule="auto"/>
        <w:tabs>
          <w:tab w:leader="none" w:pos="958" w:val="left"/>
        </w:tabs>
        <w:numPr>
          <w:ilvl w:val="1"/>
          <w:numId w:val="10"/>
        </w:numPr>
        <w:rPr>
          <w:rFonts w:ascii="Arial" w:cs="Arial" w:eastAsia="Arial" w:hAnsi="Arial"/>
          <w:sz w:val="18"/>
          <w:szCs w:val="18"/>
          <w:color w:val="auto"/>
        </w:rPr>
      </w:pPr>
      <w:r>
        <w:rPr>
          <w:rFonts w:ascii="Arial" w:cs="Arial" w:eastAsia="Arial" w:hAnsi="Arial"/>
          <w:sz w:val="18"/>
          <w:szCs w:val="18"/>
          <w:u w:val="single" w:color="auto"/>
          <w:color w:val="auto"/>
        </w:rPr>
        <w:t>Powers of the Administrator</w:t>
      </w:r>
      <w:r>
        <w:rPr>
          <w:rFonts w:ascii="Arial" w:cs="Arial" w:eastAsia="Arial" w:hAnsi="Arial"/>
          <w:sz w:val="18"/>
          <w:szCs w:val="18"/>
          <w:color w:val="auto"/>
        </w:rPr>
        <w:t>. Subject to the provisions of the Plan, and in the case of a Committee, subject to the specific duties delegated by the Board to such Committee, the Administrator will have the authority, in its discretion:</w:t>
      </w:r>
    </w:p>
    <w:p>
      <w:pPr>
        <w:spacing w:after="0" w:line="139" w:lineRule="exact"/>
        <w:rPr>
          <w:rFonts w:ascii="Arial" w:cs="Arial" w:eastAsia="Arial" w:hAnsi="Arial"/>
          <w:sz w:val="18"/>
          <w:szCs w:val="18"/>
          <w:color w:val="auto"/>
        </w:rPr>
      </w:pPr>
    </w:p>
    <w:p>
      <w:pPr>
        <w:ind w:left="1628" w:hanging="492"/>
        <w:spacing w:after="0"/>
        <w:tabs>
          <w:tab w:leader="none" w:pos="1628" w:val="left"/>
        </w:tabs>
        <w:numPr>
          <w:ilvl w:val="2"/>
          <w:numId w:val="10"/>
        </w:numPr>
        <w:rPr>
          <w:rFonts w:ascii="Arial" w:cs="Arial" w:eastAsia="Arial" w:hAnsi="Arial"/>
          <w:sz w:val="18"/>
          <w:szCs w:val="18"/>
          <w:color w:val="auto"/>
        </w:rPr>
      </w:pPr>
      <w:r>
        <w:rPr>
          <w:rFonts w:ascii="Arial" w:cs="Arial" w:eastAsia="Arial" w:hAnsi="Arial"/>
          <w:sz w:val="18"/>
          <w:szCs w:val="18"/>
          <w:color w:val="auto"/>
        </w:rPr>
        <w:t>to determine the Fair Market Value;</w:t>
      </w:r>
    </w:p>
    <w:p>
      <w:pPr>
        <w:spacing w:after="0" w:line="211" w:lineRule="exact"/>
        <w:rPr>
          <w:rFonts w:ascii="Arial" w:cs="Arial" w:eastAsia="Arial" w:hAnsi="Arial"/>
          <w:sz w:val="18"/>
          <w:szCs w:val="18"/>
          <w:color w:val="auto"/>
        </w:rPr>
      </w:pPr>
    </w:p>
    <w:p>
      <w:pPr>
        <w:ind w:left="1628" w:hanging="532"/>
        <w:spacing w:after="0"/>
        <w:tabs>
          <w:tab w:leader="none" w:pos="1628" w:val="left"/>
        </w:tabs>
        <w:numPr>
          <w:ilvl w:val="2"/>
          <w:numId w:val="10"/>
        </w:numPr>
        <w:rPr>
          <w:rFonts w:ascii="Arial" w:cs="Arial" w:eastAsia="Arial" w:hAnsi="Arial"/>
          <w:sz w:val="18"/>
          <w:szCs w:val="18"/>
          <w:color w:val="auto"/>
        </w:rPr>
      </w:pPr>
      <w:r>
        <w:rPr>
          <w:rFonts w:ascii="Arial" w:cs="Arial" w:eastAsia="Arial" w:hAnsi="Arial"/>
          <w:sz w:val="18"/>
          <w:szCs w:val="18"/>
          <w:color w:val="auto"/>
        </w:rPr>
        <w:t>to select the Service Providers to whom Awards may be granted hereunder;</w:t>
      </w:r>
    </w:p>
    <w:p>
      <w:pPr>
        <w:spacing w:after="0" w:line="225" w:lineRule="exact"/>
        <w:rPr>
          <w:rFonts w:ascii="Arial" w:cs="Arial" w:eastAsia="Arial" w:hAnsi="Arial"/>
          <w:sz w:val="18"/>
          <w:szCs w:val="18"/>
          <w:color w:val="auto"/>
        </w:rPr>
      </w:pPr>
    </w:p>
    <w:p>
      <w:pPr>
        <w:ind w:left="1628" w:hanging="572"/>
        <w:spacing w:after="0"/>
        <w:tabs>
          <w:tab w:leader="none" w:pos="1628" w:val="left"/>
        </w:tabs>
        <w:numPr>
          <w:ilvl w:val="2"/>
          <w:numId w:val="10"/>
        </w:numPr>
        <w:rPr>
          <w:rFonts w:ascii="Arial" w:cs="Arial" w:eastAsia="Arial" w:hAnsi="Arial"/>
          <w:sz w:val="18"/>
          <w:szCs w:val="18"/>
          <w:color w:val="auto"/>
        </w:rPr>
      </w:pPr>
      <w:r>
        <w:rPr>
          <w:rFonts w:ascii="Arial" w:cs="Arial" w:eastAsia="Arial" w:hAnsi="Arial"/>
          <w:sz w:val="18"/>
          <w:szCs w:val="18"/>
          <w:color w:val="auto"/>
        </w:rPr>
        <w:t>to determine the number of Shares to be covered by each Award granted hereunder;</w:t>
      </w:r>
    </w:p>
    <w:p>
      <w:pPr>
        <w:spacing w:after="0" w:line="211" w:lineRule="exact"/>
        <w:rPr>
          <w:rFonts w:ascii="Arial" w:cs="Arial" w:eastAsia="Arial" w:hAnsi="Arial"/>
          <w:sz w:val="18"/>
          <w:szCs w:val="18"/>
          <w:color w:val="auto"/>
        </w:rPr>
      </w:pPr>
    </w:p>
    <w:p>
      <w:pPr>
        <w:ind w:left="1628" w:hanging="582"/>
        <w:spacing w:after="0"/>
        <w:tabs>
          <w:tab w:leader="none" w:pos="1628" w:val="left"/>
        </w:tabs>
        <w:numPr>
          <w:ilvl w:val="2"/>
          <w:numId w:val="10"/>
        </w:numPr>
        <w:rPr>
          <w:rFonts w:ascii="Arial" w:cs="Arial" w:eastAsia="Arial" w:hAnsi="Arial"/>
          <w:sz w:val="18"/>
          <w:szCs w:val="18"/>
          <w:color w:val="auto"/>
        </w:rPr>
      </w:pPr>
      <w:r>
        <w:rPr>
          <w:rFonts w:ascii="Arial" w:cs="Arial" w:eastAsia="Arial" w:hAnsi="Arial"/>
          <w:sz w:val="18"/>
          <w:szCs w:val="18"/>
          <w:color w:val="auto"/>
        </w:rPr>
        <w:t>to approve forms of Award Agreements for use under the Plan;</w:t>
      </w:r>
    </w:p>
    <w:p>
      <w:pPr>
        <w:spacing w:after="0" w:line="211" w:lineRule="exact"/>
        <w:rPr>
          <w:rFonts w:ascii="Arial" w:cs="Arial" w:eastAsia="Arial" w:hAnsi="Arial"/>
          <w:sz w:val="18"/>
          <w:szCs w:val="18"/>
          <w:color w:val="auto"/>
        </w:rPr>
      </w:pPr>
    </w:p>
    <w:p>
      <w:pPr>
        <w:jc w:val="both"/>
        <w:ind w:left="1628" w:hanging="542"/>
        <w:spacing w:after="0" w:line="261" w:lineRule="auto"/>
        <w:tabs>
          <w:tab w:leader="none" w:pos="1628" w:val="left"/>
        </w:tabs>
        <w:numPr>
          <w:ilvl w:val="2"/>
          <w:numId w:val="10"/>
        </w:numPr>
        <w:rPr>
          <w:rFonts w:ascii="Arial" w:cs="Arial" w:eastAsia="Arial" w:hAnsi="Arial"/>
          <w:sz w:val="18"/>
          <w:szCs w:val="18"/>
          <w:color w:val="auto"/>
        </w:rPr>
      </w:pPr>
      <w:r>
        <w:rPr>
          <w:rFonts w:ascii="Arial" w:cs="Arial" w:eastAsia="Arial" w:hAnsi="Arial"/>
          <w:sz w:val="18"/>
          <w:szCs w:val="18"/>
          <w:color w:val="auto"/>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w:t>
      </w:r>
    </w:p>
    <w:p>
      <w:pPr>
        <w:sectPr>
          <w:pgSz w:w="11900" w:h="16838" w:orient="portrait"/>
          <w:cols w:equalWidth="0" w:num="1">
            <w:col w:w="10908"/>
          </w:cols>
          <w:pgMar w:left="652" w:top="1147" w:right="339" w:bottom="1440" w:gutter="0" w:footer="0" w:header="0"/>
        </w:sectPr>
      </w:pPr>
    </w:p>
    <w:bookmarkStart w:id="9" w:name="page10"/>
    <w:bookmarkEnd w:id="9"/>
    <w:p>
      <w:pPr>
        <w:ind w:left="1628"/>
        <w:spacing w:after="0" w:line="271" w:lineRule="auto"/>
        <w:rPr>
          <w:sz w:val="20"/>
          <w:szCs w:val="20"/>
          <w:color w:val="auto"/>
        </w:rPr>
      </w:pPr>
      <w:r>
        <w:rPr>
          <w:rFonts w:ascii="Arial" w:cs="Arial" w:eastAsia="Arial" w:hAnsi="Arial"/>
          <w:sz w:val="18"/>
          <w:szCs w:val="18"/>
          <w:color w:val="auto"/>
        </w:rPr>
        <w:t>restrictions, and any restriction or limitation regarding any Award or the Shares relating thereto, based in each case on such factors as the Administrator will determine;</w:t>
      </w:r>
    </w:p>
    <w:p>
      <w:pPr>
        <w:spacing w:after="0" w:line="167" w:lineRule="exact"/>
        <w:rPr>
          <w:sz w:val="20"/>
          <w:szCs w:val="20"/>
          <w:color w:val="auto"/>
        </w:rPr>
      </w:pPr>
    </w:p>
    <w:p>
      <w:pPr>
        <w:ind w:left="1628" w:hanging="582"/>
        <w:spacing w:after="0"/>
        <w:tabs>
          <w:tab w:leader="none" w:pos="1628" w:val="left"/>
        </w:tabs>
        <w:numPr>
          <w:ilvl w:val="2"/>
          <w:numId w:val="11"/>
        </w:numPr>
        <w:rPr>
          <w:rFonts w:ascii="Arial" w:cs="Arial" w:eastAsia="Arial" w:hAnsi="Arial"/>
          <w:sz w:val="18"/>
          <w:szCs w:val="18"/>
          <w:color w:val="auto"/>
        </w:rPr>
      </w:pPr>
      <w:r>
        <w:rPr>
          <w:rFonts w:ascii="Arial" w:cs="Arial" w:eastAsia="Arial" w:hAnsi="Arial"/>
          <w:sz w:val="18"/>
          <w:szCs w:val="18"/>
          <w:color w:val="auto"/>
        </w:rPr>
        <w:t>to construe and interpret the terms of the Plan and Awards granted pursuant to the Plan;</w:t>
      </w:r>
    </w:p>
    <w:p>
      <w:pPr>
        <w:spacing w:after="0" w:line="211" w:lineRule="exact"/>
        <w:rPr>
          <w:rFonts w:ascii="Arial" w:cs="Arial" w:eastAsia="Arial" w:hAnsi="Arial"/>
          <w:sz w:val="18"/>
          <w:szCs w:val="18"/>
          <w:color w:val="auto"/>
        </w:rPr>
      </w:pPr>
    </w:p>
    <w:p>
      <w:pPr>
        <w:jc w:val="both"/>
        <w:ind w:left="1628" w:hanging="622"/>
        <w:spacing w:after="0" w:line="261" w:lineRule="auto"/>
        <w:tabs>
          <w:tab w:leader="none" w:pos="1628" w:val="left"/>
        </w:tabs>
        <w:numPr>
          <w:ilvl w:val="2"/>
          <w:numId w:val="11"/>
        </w:numPr>
        <w:rPr>
          <w:rFonts w:ascii="Arial" w:cs="Arial" w:eastAsia="Arial" w:hAnsi="Arial"/>
          <w:sz w:val="18"/>
          <w:szCs w:val="18"/>
          <w:color w:val="auto"/>
        </w:rPr>
      </w:pPr>
      <w:r>
        <w:rPr>
          <w:rFonts w:ascii="Arial" w:cs="Arial" w:eastAsia="Arial" w:hAnsi="Arial"/>
          <w:sz w:val="18"/>
          <w:szCs w:val="18"/>
          <w:color w:val="auto"/>
        </w:rPr>
        <w:t>to prescribe, amend and rescind rules and regulations relating to the Plan, including rules and regulations relating to sub-plans established for the purpose of satisfying applicable foreign laws or for qualifying for favorable tax treatment under applicable foreign laws;</w:t>
      </w:r>
    </w:p>
    <w:p>
      <w:pPr>
        <w:spacing w:after="0" w:line="161" w:lineRule="exact"/>
        <w:rPr>
          <w:rFonts w:ascii="Arial" w:cs="Arial" w:eastAsia="Arial" w:hAnsi="Arial"/>
          <w:sz w:val="18"/>
          <w:szCs w:val="18"/>
          <w:color w:val="auto"/>
        </w:rPr>
      </w:pPr>
    </w:p>
    <w:p>
      <w:pPr>
        <w:jc w:val="both"/>
        <w:ind w:left="1628" w:right="20" w:hanging="662"/>
        <w:spacing w:after="0" w:line="261" w:lineRule="auto"/>
        <w:tabs>
          <w:tab w:leader="none" w:pos="1628" w:val="left"/>
        </w:tabs>
        <w:numPr>
          <w:ilvl w:val="2"/>
          <w:numId w:val="11"/>
        </w:numPr>
        <w:rPr>
          <w:rFonts w:ascii="Arial" w:cs="Arial" w:eastAsia="Arial" w:hAnsi="Arial"/>
          <w:sz w:val="18"/>
          <w:szCs w:val="18"/>
          <w:color w:val="auto"/>
        </w:rPr>
      </w:pPr>
      <w:r>
        <w:rPr>
          <w:rFonts w:ascii="Arial" w:cs="Arial" w:eastAsia="Arial" w:hAnsi="Arial"/>
          <w:sz w:val="18"/>
          <w:szCs w:val="18"/>
          <w:color w:val="auto"/>
        </w:rPr>
        <w:t>to modify or amend each Award (subject to Sections 5 and 18 of the Plan), including but not limited to the discretionary authority to extend the post-termination exercisability period of Awards and to extend the maximum term of an Option (subject to Section 6(b) of the Plan regarding Incentive Stock Options);</w:t>
      </w:r>
    </w:p>
    <w:p>
      <w:pPr>
        <w:spacing w:after="0" w:line="161" w:lineRule="exact"/>
        <w:rPr>
          <w:rFonts w:ascii="Arial" w:cs="Arial" w:eastAsia="Arial" w:hAnsi="Arial"/>
          <w:sz w:val="18"/>
          <w:szCs w:val="18"/>
          <w:color w:val="auto"/>
        </w:rPr>
      </w:pPr>
    </w:p>
    <w:p>
      <w:pPr>
        <w:ind w:left="1628" w:hanging="582"/>
        <w:spacing w:after="0"/>
        <w:tabs>
          <w:tab w:leader="none" w:pos="1628" w:val="left"/>
        </w:tabs>
        <w:numPr>
          <w:ilvl w:val="2"/>
          <w:numId w:val="11"/>
        </w:numPr>
        <w:rPr>
          <w:rFonts w:ascii="Arial" w:cs="Arial" w:eastAsia="Arial" w:hAnsi="Arial"/>
          <w:sz w:val="18"/>
          <w:szCs w:val="18"/>
          <w:color w:val="auto"/>
        </w:rPr>
      </w:pPr>
      <w:r>
        <w:rPr>
          <w:rFonts w:ascii="Arial" w:cs="Arial" w:eastAsia="Arial" w:hAnsi="Arial"/>
          <w:sz w:val="18"/>
          <w:szCs w:val="18"/>
          <w:color w:val="auto"/>
        </w:rPr>
        <w:t>to allow Participants to satisfy withholding tax obligations in such manner as prescribed in Section 14 of the Plan;</w:t>
      </w:r>
    </w:p>
    <w:p>
      <w:pPr>
        <w:spacing w:after="0" w:line="211" w:lineRule="exact"/>
        <w:rPr>
          <w:rFonts w:ascii="Arial" w:cs="Arial" w:eastAsia="Arial" w:hAnsi="Arial"/>
          <w:sz w:val="18"/>
          <w:szCs w:val="18"/>
          <w:color w:val="auto"/>
        </w:rPr>
      </w:pPr>
    </w:p>
    <w:p>
      <w:pPr>
        <w:ind w:left="1628" w:hanging="542"/>
        <w:spacing w:after="0" w:line="287" w:lineRule="auto"/>
        <w:tabs>
          <w:tab w:leader="none" w:pos="1628" w:val="left"/>
        </w:tabs>
        <w:numPr>
          <w:ilvl w:val="2"/>
          <w:numId w:val="11"/>
        </w:numPr>
        <w:rPr>
          <w:rFonts w:ascii="Arial" w:cs="Arial" w:eastAsia="Arial" w:hAnsi="Arial"/>
          <w:sz w:val="18"/>
          <w:szCs w:val="18"/>
          <w:color w:val="auto"/>
        </w:rPr>
      </w:pPr>
      <w:r>
        <w:rPr>
          <w:rFonts w:ascii="Arial" w:cs="Arial" w:eastAsia="Arial" w:hAnsi="Arial"/>
          <w:sz w:val="18"/>
          <w:szCs w:val="18"/>
          <w:color w:val="auto"/>
        </w:rPr>
        <w:t>to authorize any person to execute on behalf of the Company any instrument required to effect the grant of an Award previously granted by the Administrator;</w:t>
      </w:r>
    </w:p>
    <w:p>
      <w:pPr>
        <w:spacing w:after="0" w:line="139" w:lineRule="exact"/>
        <w:rPr>
          <w:rFonts w:ascii="Arial" w:cs="Arial" w:eastAsia="Arial" w:hAnsi="Arial"/>
          <w:sz w:val="18"/>
          <w:szCs w:val="18"/>
          <w:color w:val="auto"/>
        </w:rPr>
      </w:pPr>
    </w:p>
    <w:p>
      <w:pPr>
        <w:ind w:left="1628" w:hanging="582"/>
        <w:spacing w:after="0" w:line="271" w:lineRule="auto"/>
        <w:tabs>
          <w:tab w:leader="none" w:pos="1628" w:val="left"/>
        </w:tabs>
        <w:numPr>
          <w:ilvl w:val="2"/>
          <w:numId w:val="11"/>
        </w:numPr>
        <w:rPr>
          <w:rFonts w:ascii="Arial" w:cs="Arial" w:eastAsia="Arial" w:hAnsi="Arial"/>
          <w:sz w:val="18"/>
          <w:szCs w:val="18"/>
          <w:color w:val="auto"/>
        </w:rPr>
      </w:pPr>
      <w:r>
        <w:rPr>
          <w:rFonts w:ascii="Arial" w:cs="Arial" w:eastAsia="Arial" w:hAnsi="Arial"/>
          <w:sz w:val="18"/>
          <w:szCs w:val="18"/>
          <w:color w:val="auto"/>
        </w:rPr>
        <w:t>to allow a Participant to defer the receipt of the payment of cash or the delivery of Shares that would otherwise be due to such Participant under an Award; and</w:t>
      </w:r>
    </w:p>
    <w:p>
      <w:pPr>
        <w:spacing w:after="0" w:line="167" w:lineRule="exact"/>
        <w:rPr>
          <w:rFonts w:ascii="Arial" w:cs="Arial" w:eastAsia="Arial" w:hAnsi="Arial"/>
          <w:sz w:val="18"/>
          <w:szCs w:val="18"/>
          <w:color w:val="auto"/>
        </w:rPr>
      </w:pPr>
    </w:p>
    <w:p>
      <w:pPr>
        <w:ind w:left="1628" w:hanging="622"/>
        <w:spacing w:after="0"/>
        <w:tabs>
          <w:tab w:leader="none" w:pos="1628" w:val="left"/>
        </w:tabs>
        <w:numPr>
          <w:ilvl w:val="2"/>
          <w:numId w:val="11"/>
        </w:numPr>
        <w:rPr>
          <w:rFonts w:ascii="Arial" w:cs="Arial" w:eastAsia="Arial" w:hAnsi="Arial"/>
          <w:sz w:val="18"/>
          <w:szCs w:val="18"/>
          <w:color w:val="auto"/>
        </w:rPr>
      </w:pPr>
      <w:r>
        <w:rPr>
          <w:rFonts w:ascii="Arial" w:cs="Arial" w:eastAsia="Arial" w:hAnsi="Arial"/>
          <w:sz w:val="18"/>
          <w:szCs w:val="18"/>
          <w:color w:val="auto"/>
        </w:rPr>
        <w:t>to make all other determinations deemed necessary or advisable for administering the Plan.</w:t>
      </w:r>
    </w:p>
    <w:p>
      <w:pPr>
        <w:spacing w:after="0" w:line="211" w:lineRule="exact"/>
        <w:rPr>
          <w:rFonts w:ascii="Arial" w:cs="Arial" w:eastAsia="Arial" w:hAnsi="Arial"/>
          <w:sz w:val="18"/>
          <w:szCs w:val="18"/>
          <w:color w:val="auto"/>
        </w:rPr>
      </w:pPr>
    </w:p>
    <w:p>
      <w:pPr>
        <w:ind w:left="968" w:right="20" w:hanging="320"/>
        <w:spacing w:after="0" w:line="271" w:lineRule="auto"/>
        <w:tabs>
          <w:tab w:leader="none" w:pos="962"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Effect of Administrator’s Decision</w:t>
      </w:r>
      <w:r>
        <w:rPr>
          <w:rFonts w:ascii="Arial" w:cs="Arial" w:eastAsia="Arial" w:hAnsi="Arial"/>
          <w:sz w:val="18"/>
          <w:szCs w:val="18"/>
          <w:color w:val="auto"/>
        </w:rPr>
        <w:t>. The Administrator’s decisions, determinations and interpretations will be final and binding on all Participants and any other holders of Awards.</w:t>
      </w:r>
    </w:p>
    <w:p>
      <w:pPr>
        <w:spacing w:after="0" w:line="167" w:lineRule="exact"/>
        <w:rPr>
          <w:rFonts w:ascii="Arial" w:cs="Arial" w:eastAsia="Arial" w:hAnsi="Arial"/>
          <w:sz w:val="18"/>
          <w:szCs w:val="18"/>
          <w:color w:val="auto"/>
        </w:rPr>
      </w:pPr>
    </w:p>
    <w:p>
      <w:pPr>
        <w:ind w:left="308" w:hanging="308"/>
        <w:spacing w:after="0"/>
        <w:tabs>
          <w:tab w:leader="none" w:pos="308"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Eligibility &amp; Limitations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left="968" w:hanging="320"/>
        <w:spacing w:after="0" w:line="261" w:lineRule="auto"/>
        <w:tabs>
          <w:tab w:leader="none" w:pos="958"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Nonstatutory Stock Options, Stock Appreciation Rights, Restricted Stock, Restricted Stock Units, Performance Shares and Performance Units may be granted to Service Providers. Incentive Stock Options may be granted only to Employees.</w:t>
      </w:r>
    </w:p>
    <w:p>
      <w:pPr>
        <w:spacing w:after="0" w:line="161" w:lineRule="exact"/>
        <w:rPr>
          <w:rFonts w:ascii="Arial" w:cs="Arial" w:eastAsia="Arial" w:hAnsi="Arial"/>
          <w:sz w:val="18"/>
          <w:szCs w:val="18"/>
          <w:color w:val="auto"/>
        </w:rPr>
      </w:pPr>
    </w:p>
    <w:p>
      <w:pPr>
        <w:ind w:left="968" w:hanging="320"/>
        <w:spacing w:after="0"/>
        <w:tabs>
          <w:tab w:leader="none" w:pos="968"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Limitations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left="1628" w:hanging="492"/>
        <w:spacing w:after="0" w:line="251" w:lineRule="auto"/>
        <w:tabs>
          <w:tab w:leader="none" w:pos="1628" w:val="left"/>
        </w:tabs>
        <w:numPr>
          <w:ilvl w:val="2"/>
          <w:numId w:val="13"/>
        </w:numPr>
        <w:rPr>
          <w:rFonts w:ascii="Arial" w:cs="Arial" w:eastAsia="Arial" w:hAnsi="Arial"/>
          <w:sz w:val="18"/>
          <w:szCs w:val="18"/>
          <w:color w:val="auto"/>
        </w:rPr>
      </w:pPr>
      <w:r>
        <w:rPr>
          <w:rFonts w:ascii="Arial" w:cs="Arial" w:eastAsia="Arial" w:hAnsi="Arial"/>
          <w:sz w:val="18"/>
          <w:szCs w:val="18"/>
          <w:u w:val="single" w:color="auto"/>
          <w:color w:val="auto"/>
        </w:rPr>
        <w:t>Outside Director Limitations</w:t>
      </w:r>
      <w:r>
        <w:rPr>
          <w:rFonts w:ascii="Arial" w:cs="Arial" w:eastAsia="Arial" w:hAnsi="Arial"/>
          <w:sz w:val="18"/>
          <w:szCs w:val="18"/>
          <w:color w:val="auto"/>
        </w:rPr>
        <w:t>. No Outside Director may, in any Fiscal Year, be paid cash compensation and granted Awards with an aggregate value (determined under GAAP with respect to Awards) greater than $1,000,000, except that such limit will be increased to $2,000,000 in the Fiscal Year of his or her initial service as an Outside Director. Any cash compensation paid or Awards granted to an individual for his or her services as an Employee, or for his or her services as a Consultant (other than as an Outside Director), will not count for purpose of this limitation.</w:t>
      </w:r>
    </w:p>
    <w:p>
      <w:pPr>
        <w:spacing w:after="0" w:line="173" w:lineRule="exact"/>
        <w:rPr>
          <w:rFonts w:ascii="Arial" w:cs="Arial" w:eastAsia="Arial" w:hAnsi="Arial"/>
          <w:sz w:val="18"/>
          <w:szCs w:val="18"/>
          <w:color w:val="auto"/>
        </w:rPr>
      </w:pPr>
    </w:p>
    <w:p>
      <w:pPr>
        <w:ind w:left="1628" w:hanging="532"/>
        <w:spacing w:after="0" w:line="271" w:lineRule="auto"/>
        <w:tabs>
          <w:tab w:leader="none" w:pos="1628" w:val="left"/>
        </w:tabs>
        <w:numPr>
          <w:ilvl w:val="2"/>
          <w:numId w:val="13"/>
        </w:numPr>
        <w:rPr>
          <w:rFonts w:ascii="Arial" w:cs="Arial" w:eastAsia="Arial" w:hAnsi="Arial"/>
          <w:sz w:val="18"/>
          <w:szCs w:val="18"/>
          <w:color w:val="auto"/>
        </w:rPr>
      </w:pPr>
      <w:r>
        <w:rPr>
          <w:rFonts w:ascii="Arial" w:cs="Arial" w:eastAsia="Arial" w:hAnsi="Arial"/>
          <w:sz w:val="18"/>
          <w:szCs w:val="18"/>
          <w:u w:val="single" w:color="auto"/>
          <w:color w:val="auto"/>
        </w:rPr>
        <w:t>Dividends and Other Distributions</w:t>
      </w:r>
      <w:r>
        <w:rPr>
          <w:rFonts w:ascii="Arial" w:cs="Arial" w:eastAsia="Arial" w:hAnsi="Arial"/>
          <w:sz w:val="18"/>
          <w:szCs w:val="18"/>
          <w:color w:val="auto"/>
        </w:rPr>
        <w:t>. No dividends or other distributions shall be paid with respect to any Shares underlying any unvested portion of an Award.</w:t>
      </w:r>
    </w:p>
    <w:p>
      <w:pPr>
        <w:spacing w:after="0" w:line="167" w:lineRule="exact"/>
        <w:rPr>
          <w:rFonts w:ascii="Arial" w:cs="Arial" w:eastAsia="Arial" w:hAnsi="Arial"/>
          <w:sz w:val="18"/>
          <w:szCs w:val="18"/>
          <w:color w:val="auto"/>
        </w:rPr>
      </w:pPr>
    </w:p>
    <w:p>
      <w:pPr>
        <w:jc w:val="both"/>
        <w:ind w:left="1628" w:hanging="572"/>
        <w:spacing w:after="0" w:line="252" w:lineRule="auto"/>
        <w:tabs>
          <w:tab w:leader="none" w:pos="1628" w:val="left"/>
        </w:tabs>
        <w:numPr>
          <w:ilvl w:val="2"/>
          <w:numId w:val="13"/>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Notwithstanding Sections 4 and/or 13(c), the Administrator may not exercise discretion in a Change in Control to accelerate the vesting of Awards. For clarity, the exercise discretion does not include automatic acceleration for Awards not assumed in Section 13(c), Outside Director Awards set forth in Section 13(d) and any accelerated vesting terms set forth in an Award Agreement, a contract or a policy.</w:t>
      </w:r>
    </w:p>
    <w:p>
      <w:pPr>
        <w:spacing w:after="0" w:line="170" w:lineRule="exact"/>
        <w:rPr>
          <w:rFonts w:ascii="Arial" w:cs="Arial" w:eastAsia="Arial" w:hAnsi="Arial"/>
          <w:sz w:val="18"/>
          <w:szCs w:val="18"/>
          <w:color w:val="auto"/>
        </w:rPr>
      </w:pPr>
    </w:p>
    <w:p>
      <w:pPr>
        <w:ind w:left="1628" w:hanging="582"/>
        <w:spacing w:after="0"/>
        <w:tabs>
          <w:tab w:leader="none" w:pos="1628" w:val="left"/>
        </w:tabs>
        <w:numPr>
          <w:ilvl w:val="2"/>
          <w:numId w:val="13"/>
        </w:numPr>
        <w:rPr>
          <w:rFonts w:ascii="Arial" w:cs="Arial" w:eastAsia="Arial" w:hAnsi="Arial"/>
          <w:sz w:val="18"/>
          <w:szCs w:val="18"/>
          <w:color w:val="auto"/>
        </w:rPr>
      </w:pPr>
      <w:r>
        <w:rPr>
          <w:rFonts w:ascii="Arial" w:cs="Arial" w:eastAsia="Arial" w:hAnsi="Arial"/>
          <w:sz w:val="18"/>
          <w:szCs w:val="18"/>
          <w:u w:val="single" w:color="auto"/>
          <w:color w:val="auto"/>
        </w:rPr>
        <w:t>No Exchange Programs</w:t>
      </w:r>
      <w:r>
        <w:rPr>
          <w:rFonts w:ascii="Arial" w:cs="Arial" w:eastAsia="Arial" w:hAnsi="Arial"/>
          <w:sz w:val="18"/>
          <w:szCs w:val="18"/>
          <w:color w:val="auto"/>
        </w:rPr>
        <w:t>. The Administrator may not implement an Exchange Program.</w:t>
      </w:r>
    </w:p>
    <w:p>
      <w:pPr>
        <w:spacing w:after="0" w:line="211" w:lineRule="exact"/>
        <w:rPr>
          <w:rFonts w:ascii="Arial" w:cs="Arial" w:eastAsia="Arial" w:hAnsi="Arial"/>
          <w:sz w:val="18"/>
          <w:szCs w:val="18"/>
          <w:color w:val="auto"/>
        </w:rPr>
      </w:pPr>
    </w:p>
    <w:p>
      <w:pPr>
        <w:ind w:left="1628" w:hanging="542"/>
        <w:spacing w:after="0" w:line="271" w:lineRule="auto"/>
        <w:tabs>
          <w:tab w:leader="none" w:pos="1628" w:val="left"/>
        </w:tabs>
        <w:numPr>
          <w:ilvl w:val="2"/>
          <w:numId w:val="13"/>
        </w:numPr>
        <w:rPr>
          <w:rFonts w:ascii="Arial" w:cs="Arial" w:eastAsia="Arial" w:hAnsi="Arial"/>
          <w:sz w:val="18"/>
          <w:szCs w:val="18"/>
          <w:color w:val="auto"/>
        </w:rPr>
      </w:pPr>
      <w:r>
        <w:rPr>
          <w:rFonts w:ascii="Arial" w:cs="Arial" w:eastAsia="Arial" w:hAnsi="Arial"/>
          <w:sz w:val="18"/>
          <w:szCs w:val="18"/>
          <w:u w:val="single" w:color="auto"/>
          <w:color w:val="auto"/>
        </w:rPr>
        <w:t>No Section 4999 Excise Tax Gross-Up</w:t>
      </w:r>
      <w:r>
        <w:rPr>
          <w:rFonts w:ascii="Arial" w:cs="Arial" w:eastAsia="Arial" w:hAnsi="Arial"/>
          <w:sz w:val="18"/>
          <w:szCs w:val="18"/>
          <w:color w:val="auto"/>
        </w:rPr>
        <w:t>. The Administrator may not provide for any tax gross up payment to any Participant, or otherwise provide any Participant with a right to</w:t>
      </w:r>
    </w:p>
    <w:p>
      <w:pPr>
        <w:sectPr>
          <w:pgSz w:w="11900" w:h="16838" w:orient="portrait"/>
          <w:cols w:equalWidth="0" w:num="1">
            <w:col w:w="10908"/>
          </w:cols>
          <w:pgMar w:left="652" w:top="1147" w:right="339" w:bottom="1440" w:gutter="0" w:footer="0" w:header="0"/>
        </w:sectPr>
      </w:pPr>
    </w:p>
    <w:bookmarkStart w:id="10" w:name="page11"/>
    <w:bookmarkEnd w:id="10"/>
    <w:p>
      <w:pPr>
        <w:ind w:left="1628"/>
        <w:spacing w:after="0"/>
        <w:rPr>
          <w:sz w:val="20"/>
          <w:szCs w:val="20"/>
          <w:color w:val="auto"/>
        </w:rPr>
      </w:pPr>
      <w:r>
        <w:rPr>
          <w:rFonts w:ascii="Arial" w:cs="Arial" w:eastAsia="Arial" w:hAnsi="Arial"/>
          <w:sz w:val="18"/>
          <w:szCs w:val="18"/>
          <w:color w:val="auto"/>
        </w:rPr>
        <w:t>indemnification or reimbursement, for any excise tax imposed by Section 4999 of the Code or any similar law.</w:t>
      </w:r>
    </w:p>
    <w:p>
      <w:pPr>
        <w:spacing w:after="0" w:line="212" w:lineRule="exact"/>
        <w:rPr>
          <w:sz w:val="20"/>
          <w:szCs w:val="20"/>
          <w:color w:val="auto"/>
        </w:rPr>
      </w:pPr>
    </w:p>
    <w:p>
      <w:pPr>
        <w:ind w:left="308" w:hanging="308"/>
        <w:spacing w:after="0"/>
        <w:tabs>
          <w:tab w:leader="none" w:pos="308"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Stock Options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968" w:hanging="320"/>
        <w:spacing w:after="0" w:line="246" w:lineRule="auto"/>
        <w:tabs>
          <w:tab w:leader="none" w:pos="958"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Limitations</w:t>
      </w:r>
      <w:r>
        <w:rPr>
          <w:rFonts w:ascii="Arial" w:cs="Arial" w:eastAsia="Arial" w:hAnsi="Arial"/>
          <w:sz w:val="18"/>
          <w:szCs w:val="18"/>
          <w:color w:val="auto"/>
        </w:rPr>
        <w:t>. Each Option will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6(a), Incentive Stock Options will be taken into account in the order in which they were granted. The Fair Market Value of the Shares will be determined as of the time the Option with respect to such Shares is granted.</w:t>
      </w:r>
    </w:p>
    <w:p>
      <w:pPr>
        <w:spacing w:after="0" w:line="175" w:lineRule="exact"/>
        <w:rPr>
          <w:rFonts w:ascii="Arial" w:cs="Arial" w:eastAsia="Arial" w:hAnsi="Arial"/>
          <w:sz w:val="18"/>
          <w:szCs w:val="18"/>
          <w:color w:val="auto"/>
        </w:rPr>
      </w:pPr>
    </w:p>
    <w:p>
      <w:pPr>
        <w:jc w:val="both"/>
        <w:ind w:left="968" w:hanging="320"/>
        <w:spacing w:after="0" w:line="248" w:lineRule="auto"/>
        <w:tabs>
          <w:tab w:leader="none" w:pos="958"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rPr>
        <w:t>. The term of each Option will be stated in the Award Agreement. In the case of an Incentive Stock Option, the term will be ten (10) years from the date of grant or such shorter term as may be provided in the Award Agreement. Moreover,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w:t>
      </w:r>
    </w:p>
    <w:p>
      <w:pPr>
        <w:spacing w:after="0" w:line="174" w:lineRule="exact"/>
        <w:rPr>
          <w:rFonts w:ascii="Arial" w:cs="Arial" w:eastAsia="Arial" w:hAnsi="Arial"/>
          <w:sz w:val="18"/>
          <w:szCs w:val="18"/>
          <w:color w:val="auto"/>
        </w:rPr>
      </w:pPr>
    </w:p>
    <w:p>
      <w:pPr>
        <w:ind w:left="968" w:hanging="320"/>
        <w:spacing w:after="0"/>
        <w:tabs>
          <w:tab w:leader="none" w:pos="968"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Option Exercise Price and Consideration</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1628" w:right="20" w:hanging="492"/>
        <w:spacing w:after="0" w:line="287" w:lineRule="auto"/>
        <w:tabs>
          <w:tab w:leader="none" w:pos="1628" w:val="left"/>
        </w:tabs>
        <w:numPr>
          <w:ilvl w:val="2"/>
          <w:numId w:val="14"/>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per share exercise price for the Shares to be issued pursuant to exercise of an Option will be determined by the Administrator, subject to the following:</w:t>
      </w:r>
    </w:p>
    <w:p>
      <w:pPr>
        <w:spacing w:after="0" w:line="139" w:lineRule="exact"/>
        <w:rPr>
          <w:rFonts w:ascii="Arial" w:cs="Arial" w:eastAsia="Arial" w:hAnsi="Arial"/>
          <w:sz w:val="18"/>
          <w:szCs w:val="18"/>
          <w:color w:val="auto"/>
        </w:rPr>
      </w:pPr>
    </w:p>
    <w:p>
      <w:pPr>
        <w:ind w:left="2268" w:hanging="324"/>
        <w:spacing w:after="0"/>
        <w:tabs>
          <w:tab w:leader="none" w:pos="2268" w:val="left"/>
        </w:tabs>
        <w:numPr>
          <w:ilvl w:val="3"/>
          <w:numId w:val="14"/>
        </w:numPr>
        <w:rPr>
          <w:rFonts w:ascii="Arial" w:cs="Arial" w:eastAsia="Arial" w:hAnsi="Arial"/>
          <w:sz w:val="18"/>
          <w:szCs w:val="18"/>
          <w:color w:val="auto"/>
        </w:rPr>
      </w:pPr>
      <w:r>
        <w:rPr>
          <w:rFonts w:ascii="Arial" w:cs="Arial" w:eastAsia="Arial" w:hAnsi="Arial"/>
          <w:sz w:val="18"/>
          <w:szCs w:val="18"/>
          <w:color w:val="auto"/>
        </w:rPr>
        <w:t>In the case of an Incentive Stock Option</w:t>
      </w:r>
    </w:p>
    <w:p>
      <w:pPr>
        <w:spacing w:after="0" w:line="211" w:lineRule="exact"/>
        <w:rPr>
          <w:rFonts w:ascii="Arial" w:cs="Arial" w:eastAsia="Arial" w:hAnsi="Arial"/>
          <w:sz w:val="18"/>
          <w:szCs w:val="18"/>
          <w:color w:val="auto"/>
        </w:rPr>
      </w:pPr>
    </w:p>
    <w:p>
      <w:pPr>
        <w:jc w:val="both"/>
        <w:ind w:left="2908" w:firstLine="8"/>
        <w:spacing w:after="0" w:line="252" w:lineRule="auto"/>
        <w:tabs>
          <w:tab w:leader="none" w:pos="3225" w:val="left"/>
        </w:tabs>
        <w:numPr>
          <w:ilvl w:val="4"/>
          <w:numId w:val="14"/>
        </w:numPr>
        <w:rPr>
          <w:rFonts w:ascii="Arial" w:cs="Arial" w:eastAsia="Arial" w:hAnsi="Arial"/>
          <w:sz w:val="18"/>
          <w:szCs w:val="18"/>
          <w:color w:val="auto"/>
        </w:rPr>
      </w:pPr>
      <w:r>
        <w:rPr>
          <w:rFonts w:ascii="Arial" w:cs="Arial" w:eastAsia="Arial" w:hAnsi="Arial"/>
          <w:sz w:val="18"/>
          <w:szCs w:val="18"/>
          <w:color w:val="auto"/>
        </w:rPr>
        <w:t>granted to an Employee who, at the time the Incentive Stock Option is granted, owns stock representing more than ten percent (10%) of the voting power of all classes of stock of the Company or any Parent or Subsidiary, the per Share exercise price will be no less than one hundred ten percent (110%) of the Fair Market Value per Share on the date of grant.</w:t>
      </w:r>
    </w:p>
    <w:p>
      <w:pPr>
        <w:spacing w:after="0" w:line="183" w:lineRule="exact"/>
        <w:rPr>
          <w:rFonts w:ascii="Arial" w:cs="Arial" w:eastAsia="Arial" w:hAnsi="Arial"/>
          <w:sz w:val="18"/>
          <w:szCs w:val="18"/>
          <w:color w:val="auto"/>
        </w:rPr>
      </w:pPr>
    </w:p>
    <w:p>
      <w:pPr>
        <w:jc w:val="both"/>
        <w:ind w:left="2908" w:firstLine="8"/>
        <w:spacing w:after="0" w:line="253" w:lineRule="auto"/>
        <w:tabs>
          <w:tab w:leader="none" w:pos="3238" w:val="left"/>
        </w:tabs>
        <w:numPr>
          <w:ilvl w:val="4"/>
          <w:numId w:val="14"/>
        </w:numPr>
        <w:rPr>
          <w:rFonts w:ascii="Arial" w:cs="Arial" w:eastAsia="Arial" w:hAnsi="Arial"/>
          <w:sz w:val="18"/>
          <w:szCs w:val="18"/>
          <w:color w:val="auto"/>
        </w:rPr>
      </w:pPr>
      <w:r>
        <w:rPr>
          <w:rFonts w:ascii="Arial" w:cs="Arial" w:eastAsia="Arial" w:hAnsi="Arial"/>
          <w:sz w:val="18"/>
          <w:szCs w:val="18"/>
          <w:color w:val="auto"/>
        </w:rPr>
        <w:t>granted to any Employee other than an Employee described in paragraph (A) immediately above, the per Share exercise price will be no less than one hundred percent (100%) of the Fair Market Value per Share on the date of grant.</w:t>
      </w:r>
    </w:p>
    <w:p>
      <w:pPr>
        <w:spacing w:after="0" w:line="182" w:lineRule="exact"/>
        <w:rPr>
          <w:rFonts w:ascii="Arial" w:cs="Arial" w:eastAsia="Arial" w:hAnsi="Arial"/>
          <w:sz w:val="18"/>
          <w:szCs w:val="18"/>
          <w:color w:val="auto"/>
        </w:rPr>
      </w:pPr>
    </w:p>
    <w:p>
      <w:pPr>
        <w:ind w:left="2268" w:hanging="324"/>
        <w:spacing w:after="0" w:line="271" w:lineRule="auto"/>
        <w:tabs>
          <w:tab w:leader="none" w:pos="2258" w:val="left"/>
        </w:tabs>
        <w:numPr>
          <w:ilvl w:val="3"/>
          <w:numId w:val="14"/>
        </w:numPr>
        <w:rPr>
          <w:rFonts w:ascii="Arial" w:cs="Arial" w:eastAsia="Arial" w:hAnsi="Arial"/>
          <w:sz w:val="18"/>
          <w:szCs w:val="18"/>
          <w:color w:val="auto"/>
        </w:rPr>
      </w:pPr>
      <w:r>
        <w:rPr>
          <w:rFonts w:ascii="Arial" w:cs="Arial" w:eastAsia="Arial" w:hAnsi="Arial"/>
          <w:sz w:val="18"/>
          <w:szCs w:val="18"/>
          <w:color w:val="auto"/>
        </w:rPr>
        <w:t>In the case of a Nonstatutory Stock Option, the per Share exercise price will be no less than one hundred percent (100%) of the Fair Market Value per Share on the date of grant.</w:t>
      </w:r>
    </w:p>
    <w:p>
      <w:pPr>
        <w:spacing w:after="0" w:line="153" w:lineRule="exact"/>
        <w:rPr>
          <w:rFonts w:ascii="Arial" w:cs="Arial" w:eastAsia="Arial" w:hAnsi="Arial"/>
          <w:sz w:val="18"/>
          <w:szCs w:val="18"/>
          <w:color w:val="auto"/>
        </w:rPr>
      </w:pPr>
    </w:p>
    <w:p>
      <w:pPr>
        <w:jc w:val="both"/>
        <w:ind w:left="2268" w:hanging="324"/>
        <w:spacing w:after="0" w:line="261" w:lineRule="auto"/>
        <w:tabs>
          <w:tab w:leader="none" w:pos="2258" w:val="left"/>
        </w:tabs>
        <w:numPr>
          <w:ilvl w:val="3"/>
          <w:numId w:val="14"/>
        </w:numPr>
        <w:rPr>
          <w:rFonts w:ascii="Arial" w:cs="Arial" w:eastAsia="Arial" w:hAnsi="Arial"/>
          <w:sz w:val="18"/>
          <w:szCs w:val="18"/>
          <w:color w:val="auto"/>
        </w:rPr>
      </w:pPr>
      <w:r>
        <w:rPr>
          <w:rFonts w:ascii="Arial" w:cs="Arial" w:eastAsia="Arial" w:hAnsi="Arial"/>
          <w:sz w:val="18"/>
          <w:szCs w:val="18"/>
          <w:color w:val="auto"/>
        </w:rPr>
        <w:t>Notwithstanding the foregoing, Options may be granted with a per Share exercise price of less than one hundred percent (100%) of the Fair Market Value per Share on the date of grant pursuant to a transaction described in, and in a manner consistent with, Section 424(a) of the Code.</w:t>
      </w:r>
    </w:p>
    <w:p>
      <w:pPr>
        <w:spacing w:after="0" w:line="161" w:lineRule="exact"/>
        <w:rPr>
          <w:rFonts w:ascii="Arial" w:cs="Arial" w:eastAsia="Arial" w:hAnsi="Arial"/>
          <w:sz w:val="18"/>
          <w:szCs w:val="18"/>
          <w:color w:val="auto"/>
        </w:rPr>
      </w:pPr>
    </w:p>
    <w:p>
      <w:pPr>
        <w:jc w:val="both"/>
        <w:ind w:left="1628" w:hanging="532"/>
        <w:spacing w:after="0" w:line="261" w:lineRule="auto"/>
        <w:tabs>
          <w:tab w:leader="none" w:pos="1628" w:val="left"/>
        </w:tabs>
        <w:numPr>
          <w:ilvl w:val="2"/>
          <w:numId w:val="14"/>
        </w:numPr>
        <w:rPr>
          <w:rFonts w:ascii="Arial" w:cs="Arial" w:eastAsia="Arial" w:hAnsi="Arial"/>
          <w:sz w:val="18"/>
          <w:szCs w:val="18"/>
          <w:color w:val="auto"/>
        </w:rPr>
      </w:pPr>
      <w:r>
        <w:rPr>
          <w:rFonts w:ascii="Arial" w:cs="Arial" w:eastAsia="Arial" w:hAnsi="Arial"/>
          <w:sz w:val="18"/>
          <w:szCs w:val="18"/>
          <w:u w:val="single" w:color="auto"/>
          <w:color w:val="auto"/>
        </w:rPr>
        <w:t>Waiting Period and Exercise Dates</w:t>
      </w:r>
      <w:r>
        <w:rPr>
          <w:rFonts w:ascii="Arial" w:cs="Arial" w:eastAsia="Arial" w:hAnsi="Arial"/>
          <w:sz w:val="18"/>
          <w:szCs w:val="18"/>
          <w:color w:val="auto"/>
        </w:rPr>
        <w:t>. At the time an Option is granted, the Administrator will fix the period within which the Option may be exercised and will determine any conditions that must be satisfied before the Option may be exercised.</w:t>
      </w:r>
    </w:p>
    <w:p>
      <w:pPr>
        <w:spacing w:after="0" w:line="161" w:lineRule="exact"/>
        <w:rPr>
          <w:rFonts w:ascii="Arial" w:cs="Arial" w:eastAsia="Arial" w:hAnsi="Arial"/>
          <w:sz w:val="18"/>
          <w:szCs w:val="18"/>
          <w:color w:val="auto"/>
        </w:rPr>
      </w:pPr>
    </w:p>
    <w:p>
      <w:pPr>
        <w:jc w:val="both"/>
        <w:ind w:left="1628" w:hanging="572"/>
        <w:spacing w:after="0" w:line="261" w:lineRule="auto"/>
        <w:tabs>
          <w:tab w:leader="none" w:pos="1628" w:val="left"/>
        </w:tabs>
        <w:numPr>
          <w:ilvl w:val="2"/>
          <w:numId w:val="14"/>
        </w:numPr>
        <w:rPr>
          <w:rFonts w:ascii="Arial" w:cs="Arial" w:eastAsia="Arial" w:hAnsi="Arial"/>
          <w:sz w:val="18"/>
          <w:szCs w:val="18"/>
          <w:color w:val="auto"/>
        </w:rPr>
      </w:pPr>
      <w:r>
        <w:rPr>
          <w:rFonts w:ascii="Arial" w:cs="Arial" w:eastAsia="Arial" w:hAnsi="Arial"/>
          <w:sz w:val="18"/>
          <w:szCs w:val="18"/>
          <w:u w:val="single" w:color="auto"/>
          <w:color w:val="auto"/>
        </w:rPr>
        <w:t>Form of Consideration</w:t>
      </w:r>
      <w:r>
        <w:rPr>
          <w:rFonts w:ascii="Arial" w:cs="Arial" w:eastAsia="Arial" w:hAnsi="Arial"/>
          <w:sz w:val="18"/>
          <w:szCs w:val="18"/>
          <w:color w:val="auto"/>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(1) cash;</w:t>
      </w:r>
    </w:p>
    <w:p>
      <w:pPr>
        <w:sectPr>
          <w:pgSz w:w="11900" w:h="16838" w:orient="portrait"/>
          <w:cols w:equalWidth="0" w:num="1">
            <w:col w:w="10908"/>
          </w:cols>
          <w:pgMar w:left="652" w:top="1147" w:right="339" w:bottom="1440" w:gutter="0" w:footer="0" w:header="0"/>
        </w:sectPr>
      </w:pPr>
    </w:p>
    <w:bookmarkStart w:id="11" w:name="page12"/>
    <w:bookmarkEnd w:id="11"/>
    <w:p>
      <w:pPr>
        <w:jc w:val="both"/>
        <w:ind w:left="980" w:hanging="8"/>
        <w:spacing w:after="0" w:line="244" w:lineRule="auto"/>
        <w:tabs>
          <w:tab w:leader="none" w:pos="1276" w:val="left"/>
        </w:tabs>
        <w:numPr>
          <w:ilvl w:val="2"/>
          <w:numId w:val="15"/>
        </w:numPr>
        <w:rPr>
          <w:rFonts w:ascii="Arial" w:cs="Arial" w:eastAsia="Arial" w:hAnsi="Arial"/>
          <w:sz w:val="18"/>
          <w:szCs w:val="18"/>
          <w:color w:val="auto"/>
        </w:rPr>
      </w:pPr>
      <w:r>
        <w:rPr>
          <w:rFonts w:ascii="Arial" w:cs="Arial" w:eastAsia="Arial" w:hAnsi="Arial"/>
          <w:sz w:val="18"/>
          <w:szCs w:val="18"/>
          <w:color w:val="auto"/>
        </w:rPr>
        <w:t>check; (3) promissory note, to the extent permitted by Applicable Laws, (4) other Shares, provided that such Shares have a Fair Market Value on the date of surrender equal to the aggregate exercise price of the Shares as to which such Option will be exercised and provided that accepting such Shares will not result in any adverse accounting consequences to the Company, as the Administrator determines in its sole discretion; (5) consideration received by the Company under a broker-assisted (or other) cashless exercise program (whether through a broker or otherwise) implemented by the Company in connection with the Plan; (6) by net exercise; (7) such other consideration and method of payment for the issuance of Shares to the extent permitted by Applicable Laws; or (8) any combination of the foregoing methods of payment.</w:t>
      </w:r>
    </w:p>
    <w:p>
      <w:pPr>
        <w:spacing w:after="0" w:line="193" w:lineRule="exact"/>
        <w:rPr>
          <w:rFonts w:ascii="Arial" w:cs="Arial" w:eastAsia="Arial" w:hAnsi="Arial"/>
          <w:sz w:val="18"/>
          <w:szCs w:val="18"/>
          <w:color w:val="auto"/>
        </w:rPr>
      </w:pPr>
    </w:p>
    <w:p>
      <w:pPr>
        <w:ind w:left="320" w:hanging="320"/>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left="980" w:hanging="492"/>
        <w:spacing w:after="0" w:line="261"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Procedure for Exercise; Rights as a Stockholder</w:t>
      </w:r>
      <w:r>
        <w:rPr>
          <w:rFonts w:ascii="Arial" w:cs="Arial" w:eastAsia="Arial" w:hAnsi="Arial"/>
          <w:sz w:val="18"/>
          <w:szCs w:val="18"/>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161" w:lineRule="exact"/>
        <w:rPr>
          <w:rFonts w:ascii="Arial" w:cs="Arial" w:eastAsia="Arial" w:hAnsi="Arial"/>
          <w:sz w:val="18"/>
          <w:szCs w:val="18"/>
          <w:color w:val="auto"/>
        </w:rPr>
      </w:pPr>
    </w:p>
    <w:p>
      <w:pPr>
        <w:jc w:val="both"/>
        <w:ind w:left="980"/>
        <w:spacing w:after="0" w:line="243" w:lineRule="auto"/>
        <w:rPr>
          <w:rFonts w:ascii="Arial" w:cs="Arial" w:eastAsia="Arial" w:hAnsi="Arial"/>
          <w:sz w:val="18"/>
          <w:szCs w:val="18"/>
          <w:color w:val="auto"/>
        </w:rPr>
      </w:pPr>
      <w:r>
        <w:rPr>
          <w:rFonts w:ascii="Arial" w:cs="Arial" w:eastAsia="Arial" w:hAnsi="Arial"/>
          <w:sz w:val="18"/>
          <w:szCs w:val="18"/>
          <w:color w:val="auto"/>
        </w:rPr>
        <w:t>An Option will be deemed exercised when the Company receives: (i) a notice of exercise (in such form as the Administrator may specify from time to time) from the person entitled to exercise the Option, and (ii) full payment for the Shares with respect to which the Option is exercised (together with applicable withholding taxes).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13 of the Plan.</w:t>
      </w:r>
    </w:p>
    <w:p>
      <w:pPr>
        <w:spacing w:after="0" w:line="185" w:lineRule="exact"/>
        <w:rPr>
          <w:rFonts w:ascii="Arial" w:cs="Arial" w:eastAsia="Arial" w:hAnsi="Arial"/>
          <w:sz w:val="18"/>
          <w:szCs w:val="18"/>
          <w:color w:val="auto"/>
        </w:rPr>
      </w:pPr>
    </w:p>
    <w:p>
      <w:pPr>
        <w:ind w:left="980"/>
        <w:spacing w:after="0" w:line="271" w:lineRule="auto"/>
        <w:rPr>
          <w:rFonts w:ascii="Arial" w:cs="Arial" w:eastAsia="Arial" w:hAnsi="Arial"/>
          <w:sz w:val="18"/>
          <w:szCs w:val="18"/>
          <w:color w:val="auto"/>
        </w:rPr>
      </w:pPr>
      <w:r>
        <w:rPr>
          <w:rFonts w:ascii="Arial" w:cs="Arial" w:eastAsia="Arial" w:hAnsi="Arial"/>
          <w:sz w:val="18"/>
          <w:szCs w:val="18"/>
          <w:color w:val="auto"/>
        </w:rPr>
        <w:t>Exercising an Option in any manner will decrease the number of Shares thereafter available, both for purposes of the Plan and for sale under the Option, by the number of Shares as to which the Option is exercised.</w:t>
      </w:r>
    </w:p>
    <w:p>
      <w:pPr>
        <w:spacing w:after="0" w:line="167" w:lineRule="exact"/>
        <w:rPr>
          <w:rFonts w:ascii="Arial" w:cs="Arial" w:eastAsia="Arial" w:hAnsi="Arial"/>
          <w:sz w:val="18"/>
          <w:szCs w:val="18"/>
          <w:color w:val="auto"/>
        </w:rPr>
      </w:pPr>
    </w:p>
    <w:p>
      <w:pPr>
        <w:jc w:val="both"/>
        <w:ind w:left="980" w:hanging="532"/>
        <w:spacing w:after="0" w:line="242"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Termination of Relationship as a Service Provider</w:t>
      </w:r>
      <w:r>
        <w:rPr>
          <w:rFonts w:ascii="Arial" w:cs="Arial" w:eastAsia="Arial" w:hAnsi="Arial"/>
          <w:sz w:val="18"/>
          <w:szCs w:val="18"/>
          <w:color w:val="auto"/>
        </w:rPr>
        <w:t>. If a Participant ceases to be a Service Provider, other than upon the Participant’s termination as the result of the Participant’s death or Disability, the Participant may exercise his or her Option within such period of time as is specified in the Award Agreement to the extent that the Option is vested on the date of termination (but in no event later than the expiration of the term of such Option as set forth in the Award Agreement). In the absence of a specified time in the Award Agreement, the Option will remain exercisable for three (3)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spacing w:after="0" w:line="194" w:lineRule="exact"/>
        <w:rPr>
          <w:rFonts w:ascii="Arial" w:cs="Arial" w:eastAsia="Arial" w:hAnsi="Arial"/>
          <w:sz w:val="18"/>
          <w:szCs w:val="18"/>
          <w:color w:val="auto"/>
        </w:rPr>
      </w:pPr>
    </w:p>
    <w:p>
      <w:pPr>
        <w:jc w:val="both"/>
        <w:ind w:left="980" w:hanging="572"/>
        <w:spacing w:after="0" w:line="245"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Disability of Participant</w:t>
      </w:r>
      <w:r>
        <w:rPr>
          <w:rFonts w:ascii="Arial" w:cs="Arial" w:eastAsia="Arial" w:hAnsi="Arial"/>
          <w:sz w:val="18"/>
          <w:szCs w:val="18"/>
          <w:color w:val="auto"/>
        </w:rPr>
        <w:t>. If a Participant ceases to be a Service Provider as a result of the Participant’s Disability, the Participant may exercise his or her Option within such period of time as is specified in the Award Agreement to the extent the Option is vested on the date of termination (but in no event later than the expiration of the term of such Option as set forth in the Award Agreement). In the absence of a specified time in the Award Agreement, the Option will remain exercisable for twelve (12) months following the Participant’s termination. Unless otherwise provided by the Administrator, if on the</w:t>
      </w:r>
    </w:p>
    <w:p>
      <w:pPr>
        <w:sectPr>
          <w:pgSz w:w="11900" w:h="16838" w:orient="portrait"/>
          <w:cols w:equalWidth="0" w:num="1">
            <w:col w:w="10260"/>
          </w:cols>
          <w:pgMar w:left="1300" w:top="1147" w:right="339" w:bottom="1440" w:gutter="0" w:footer="0" w:header="0"/>
        </w:sectPr>
      </w:pPr>
    </w:p>
    <w:bookmarkStart w:id="12" w:name="page13"/>
    <w:bookmarkEnd w:id="12"/>
    <w:p>
      <w:pPr>
        <w:jc w:val="both"/>
        <w:ind w:left="1628"/>
        <w:spacing w:after="0" w:line="252" w:lineRule="auto"/>
        <w:rPr>
          <w:sz w:val="20"/>
          <w:szCs w:val="20"/>
          <w:color w:val="auto"/>
        </w:rPr>
      </w:pPr>
      <w:r>
        <w:rPr>
          <w:rFonts w:ascii="Arial" w:cs="Arial" w:eastAsia="Arial" w:hAnsi="Arial"/>
          <w:sz w:val="18"/>
          <w:szCs w:val="18"/>
          <w:color w:val="auto"/>
        </w:rPr>
        <w:t>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spacing w:after="0" w:line="170" w:lineRule="exact"/>
        <w:rPr>
          <w:sz w:val="20"/>
          <w:szCs w:val="20"/>
          <w:color w:val="auto"/>
        </w:rPr>
      </w:pPr>
    </w:p>
    <w:p>
      <w:pPr>
        <w:jc w:val="both"/>
        <w:ind w:left="1628" w:hanging="582"/>
        <w:spacing w:after="0" w:line="243" w:lineRule="auto"/>
        <w:tabs>
          <w:tab w:leader="none" w:pos="1628" w:val="left"/>
        </w:tabs>
        <w:numPr>
          <w:ilvl w:val="2"/>
          <w:numId w:val="17"/>
        </w:numPr>
        <w:rPr>
          <w:rFonts w:ascii="Arial" w:cs="Arial" w:eastAsia="Arial" w:hAnsi="Arial"/>
          <w:sz w:val="18"/>
          <w:szCs w:val="18"/>
          <w:color w:val="auto"/>
        </w:rPr>
      </w:pPr>
      <w:r>
        <w:rPr>
          <w:rFonts w:ascii="Arial" w:cs="Arial" w:eastAsia="Arial" w:hAnsi="Arial"/>
          <w:sz w:val="18"/>
          <w:szCs w:val="18"/>
          <w:u w:val="single" w:color="auto"/>
          <w:color w:val="auto"/>
        </w:rPr>
        <w:t>Death of Participant</w:t>
      </w:r>
      <w:r>
        <w:rPr>
          <w:rFonts w:ascii="Arial" w:cs="Arial" w:eastAsia="Arial" w:hAnsi="Arial"/>
          <w:sz w:val="18"/>
          <w:szCs w:val="18"/>
          <w:color w:val="auto"/>
        </w:rPr>
        <w:t>. If a Participant dies while a Service Provider, the Option may be exercised following the Participant’s death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designated beneficiary, provided such beneficiary has been designated prior to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twelve (12) months following Participant’s death.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w:t>
      </w:r>
    </w:p>
    <w:p>
      <w:pPr>
        <w:spacing w:after="0" w:line="185" w:lineRule="exact"/>
        <w:rPr>
          <w:rFonts w:ascii="Arial" w:cs="Arial" w:eastAsia="Arial" w:hAnsi="Arial"/>
          <w:sz w:val="18"/>
          <w:szCs w:val="18"/>
          <w:color w:val="auto"/>
        </w:rPr>
      </w:pPr>
    </w:p>
    <w:p>
      <w:pPr>
        <w:ind w:left="308" w:hanging="308"/>
        <w:spacing w:after="0"/>
        <w:tabs>
          <w:tab w:leader="none" w:pos="308"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Restricted Stock</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968" w:hanging="320"/>
        <w:spacing w:after="0" w:line="253" w:lineRule="auto"/>
        <w:tabs>
          <w:tab w:leader="none" w:pos="958"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Grant of Restricted Stock</w:t>
      </w:r>
      <w:r>
        <w:rPr>
          <w:rFonts w:ascii="Arial" w:cs="Arial" w:eastAsia="Arial" w:hAnsi="Arial"/>
          <w:sz w:val="18"/>
          <w:szCs w:val="18"/>
          <w:color w:val="auto"/>
        </w:rPr>
        <w:t>. Subject to the terms and provisions of the Plan, the Administrator, at any time and from time to time, may grant Shares of Restricted Stock to Service Providers in such amounts as the Administrator, in its sole discretion, will determine.</w:t>
      </w:r>
    </w:p>
    <w:p>
      <w:pPr>
        <w:spacing w:after="0" w:line="182" w:lineRule="exact"/>
        <w:rPr>
          <w:rFonts w:ascii="Arial" w:cs="Arial" w:eastAsia="Arial" w:hAnsi="Arial"/>
          <w:sz w:val="18"/>
          <w:szCs w:val="18"/>
          <w:color w:val="auto"/>
        </w:rPr>
      </w:pPr>
    </w:p>
    <w:p>
      <w:pPr>
        <w:jc w:val="both"/>
        <w:ind w:left="968" w:hanging="320"/>
        <w:spacing w:after="0" w:line="252" w:lineRule="auto"/>
        <w:tabs>
          <w:tab w:leader="none" w:pos="958"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Restricted Stock Agreement</w:t>
      </w:r>
      <w:r>
        <w:rPr>
          <w:rFonts w:ascii="Arial" w:cs="Arial" w:eastAsia="Arial" w:hAnsi="Arial"/>
          <w:sz w:val="18"/>
          <w:szCs w:val="18"/>
          <w:color w:val="auto"/>
        </w:rPr>
        <w:t>. Each Award of Restricted Stock will be evidenced by an Award Agreement that will specify the Period of Restriction,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spacing w:after="0" w:line="170" w:lineRule="exact"/>
        <w:rPr>
          <w:rFonts w:ascii="Arial" w:cs="Arial" w:eastAsia="Arial" w:hAnsi="Arial"/>
          <w:sz w:val="18"/>
          <w:szCs w:val="18"/>
          <w:color w:val="auto"/>
        </w:rPr>
      </w:pPr>
    </w:p>
    <w:p>
      <w:pPr>
        <w:ind w:left="968" w:hanging="320"/>
        <w:spacing w:after="0" w:line="271" w:lineRule="auto"/>
        <w:tabs>
          <w:tab w:leader="none" w:pos="962"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Except as provided in this Section 7 or the Award Agreement, Shares of Restricted Stock may not be sold, transferred, pledged, assigned, or otherwise alienated or hypothecated until the end of the applicable Period of Restriction.</w:t>
      </w:r>
    </w:p>
    <w:p>
      <w:pPr>
        <w:spacing w:after="0" w:line="167" w:lineRule="exact"/>
        <w:rPr>
          <w:rFonts w:ascii="Arial" w:cs="Arial" w:eastAsia="Arial" w:hAnsi="Arial"/>
          <w:sz w:val="18"/>
          <w:szCs w:val="18"/>
          <w:color w:val="auto"/>
        </w:rPr>
      </w:pPr>
    </w:p>
    <w:p>
      <w:pPr>
        <w:ind w:left="968" w:hanging="320"/>
        <w:spacing w:after="0" w:line="271" w:lineRule="auto"/>
        <w:tabs>
          <w:tab w:leader="none" w:pos="958"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Other Restrictions</w:t>
      </w:r>
      <w:r>
        <w:rPr>
          <w:rFonts w:ascii="Arial" w:cs="Arial" w:eastAsia="Arial" w:hAnsi="Arial"/>
          <w:sz w:val="18"/>
          <w:szCs w:val="18"/>
          <w:color w:val="auto"/>
        </w:rPr>
        <w:t>. The Administrator, in its sole discretion, may impose such other restrictions on Shares of Restricted Stock as it may deem advisable or appropriate.</w:t>
      </w:r>
    </w:p>
    <w:p>
      <w:pPr>
        <w:spacing w:after="0" w:line="153" w:lineRule="exact"/>
        <w:rPr>
          <w:rFonts w:ascii="Arial" w:cs="Arial" w:eastAsia="Arial" w:hAnsi="Arial"/>
          <w:sz w:val="18"/>
          <w:szCs w:val="18"/>
          <w:color w:val="auto"/>
        </w:rPr>
      </w:pPr>
    </w:p>
    <w:p>
      <w:pPr>
        <w:jc w:val="both"/>
        <w:ind w:left="968" w:hanging="320"/>
        <w:spacing w:after="0" w:line="252" w:lineRule="auto"/>
        <w:tabs>
          <w:tab w:leader="none" w:pos="958"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Removal of Restrictions</w:t>
      </w:r>
      <w:r>
        <w:rPr>
          <w:rFonts w:ascii="Arial" w:cs="Arial" w:eastAsia="Arial" w:hAnsi="Arial"/>
          <w:sz w:val="18"/>
          <w:szCs w:val="18"/>
          <w:color w:val="auto"/>
        </w:rPr>
        <w:t>. Except as otherwise provided in this Section 7,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183" w:lineRule="exact"/>
        <w:rPr>
          <w:rFonts w:ascii="Arial" w:cs="Arial" w:eastAsia="Arial" w:hAnsi="Arial"/>
          <w:sz w:val="18"/>
          <w:szCs w:val="18"/>
          <w:color w:val="auto"/>
        </w:rPr>
      </w:pPr>
    </w:p>
    <w:p>
      <w:pPr>
        <w:ind w:left="968" w:hanging="320"/>
        <w:spacing w:after="0" w:line="271" w:lineRule="auto"/>
        <w:tabs>
          <w:tab w:leader="none" w:pos="962"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During the Period of Restriction, Service Providers holding Shares of Restricted Stock granted hereunder may exercise full voting rights with respect to those Shares, unless the Administrator determines otherwise.</w:t>
      </w:r>
    </w:p>
    <w:p>
      <w:pPr>
        <w:spacing w:after="0" w:line="153" w:lineRule="exact"/>
        <w:rPr>
          <w:rFonts w:ascii="Arial" w:cs="Arial" w:eastAsia="Arial" w:hAnsi="Arial"/>
          <w:sz w:val="18"/>
          <w:szCs w:val="18"/>
          <w:color w:val="auto"/>
        </w:rPr>
      </w:pPr>
    </w:p>
    <w:p>
      <w:pPr>
        <w:jc w:val="both"/>
        <w:ind w:left="968" w:hanging="320"/>
        <w:spacing w:after="0" w:line="252" w:lineRule="auto"/>
        <w:tabs>
          <w:tab w:leader="none" w:pos="958"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Dividends and Other Distributions</w:t>
      </w:r>
      <w:r>
        <w:rPr>
          <w:rFonts w:ascii="Arial" w:cs="Arial" w:eastAsia="Arial" w:hAnsi="Arial"/>
          <w:sz w:val="18"/>
          <w:szCs w:val="18"/>
          <w:color w:val="auto"/>
        </w:rPr>
        <w:t>. During the Period of Restriction, Service Providers holding Shares of Restricted Stock will be entitled to receive all dividends and other distributions paid with respect to such Shares, unless the Administrator provides otherwise. If any such dividends or distributions are paid in Shares, the Shares will be subject to the same restrictions on transferability and forfeitability as the Shares of Restricted Stock with respect to which they were paid.</w:t>
      </w:r>
    </w:p>
    <w:p>
      <w:pPr>
        <w:sectPr>
          <w:pgSz w:w="11900" w:h="16838" w:orient="portrait"/>
          <w:cols w:equalWidth="0" w:num="1">
            <w:col w:w="10908"/>
          </w:cols>
          <w:pgMar w:left="652" w:top="1147" w:right="339" w:bottom="1440" w:gutter="0" w:footer="0" w:header="0"/>
        </w:sectPr>
      </w:pPr>
    </w:p>
    <w:bookmarkStart w:id="13" w:name="page14"/>
    <w:bookmarkEnd w:id="13"/>
    <w:p>
      <w:pPr>
        <w:ind w:left="968" w:hanging="320"/>
        <w:spacing w:after="0" w:line="271" w:lineRule="auto"/>
        <w:tabs>
          <w:tab w:leader="none" w:pos="958"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Return of Restricted Stock to Company</w:t>
      </w:r>
      <w:r>
        <w:rPr>
          <w:rFonts w:ascii="Arial" w:cs="Arial" w:eastAsia="Arial" w:hAnsi="Arial"/>
          <w:sz w:val="18"/>
          <w:szCs w:val="18"/>
          <w:color w:val="auto"/>
        </w:rPr>
        <w:t>. On the date set forth in the Award Agreement, the Restricted Stock for which restrictions have not lapsed will revert to the Company and again will become available for grant under the Plan.</w:t>
      </w:r>
    </w:p>
    <w:p>
      <w:pPr>
        <w:spacing w:after="0" w:line="167" w:lineRule="exact"/>
        <w:rPr>
          <w:rFonts w:ascii="Arial" w:cs="Arial" w:eastAsia="Arial" w:hAnsi="Arial"/>
          <w:sz w:val="18"/>
          <w:szCs w:val="18"/>
          <w:color w:val="auto"/>
        </w:rPr>
      </w:pPr>
    </w:p>
    <w:p>
      <w:pPr>
        <w:ind w:left="308" w:hanging="308"/>
        <w:spacing w:after="0"/>
        <w:tabs>
          <w:tab w:leader="none" w:pos="308"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Restricted Stock Units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left="968" w:hanging="320"/>
        <w:spacing w:after="0" w:line="261" w:lineRule="auto"/>
        <w:tabs>
          <w:tab w:leader="none" w:pos="958"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Restricted Stock Units may be granted at any time and from time to time as determined by the Administrator. After the Administrator determines that it will grant Restricted Stock Units under the Plan, it will advise the Participant in an Award Agreement of the terms, conditions, and restrictions related to the grant, including the number of Restricted Stock Units.</w:t>
      </w:r>
    </w:p>
    <w:p>
      <w:pPr>
        <w:spacing w:after="0" w:line="161" w:lineRule="exact"/>
        <w:rPr>
          <w:rFonts w:ascii="Arial" w:cs="Arial" w:eastAsia="Arial" w:hAnsi="Arial"/>
          <w:sz w:val="18"/>
          <w:szCs w:val="18"/>
          <w:color w:val="auto"/>
        </w:rPr>
      </w:pPr>
    </w:p>
    <w:p>
      <w:pPr>
        <w:jc w:val="both"/>
        <w:ind w:left="968" w:hanging="320"/>
        <w:spacing w:after="0" w:line="247" w:lineRule="auto"/>
        <w:tabs>
          <w:tab w:leader="none" w:pos="958"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Vesting Criteria and Other Terms</w:t>
      </w:r>
      <w:r>
        <w:rPr>
          <w:rFonts w:ascii="Arial" w:cs="Arial" w:eastAsia="Arial" w:hAnsi="Arial"/>
          <w:sz w:val="18"/>
          <w:szCs w:val="18"/>
          <w:color w:val="auto"/>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90" w:lineRule="exact"/>
        <w:rPr>
          <w:rFonts w:ascii="Arial" w:cs="Arial" w:eastAsia="Arial" w:hAnsi="Arial"/>
          <w:sz w:val="18"/>
          <w:szCs w:val="18"/>
          <w:color w:val="auto"/>
        </w:rPr>
      </w:pPr>
    </w:p>
    <w:p>
      <w:pPr>
        <w:jc w:val="both"/>
        <w:ind w:left="968" w:hanging="320"/>
        <w:spacing w:after="0" w:line="253" w:lineRule="auto"/>
        <w:tabs>
          <w:tab w:leader="none" w:pos="962"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Earning Restricted Stock Units</w:t>
      </w:r>
      <w:r>
        <w:rPr>
          <w:rFonts w:ascii="Arial" w:cs="Arial" w:eastAsia="Arial" w:hAnsi="Arial"/>
          <w:sz w:val="18"/>
          <w:szCs w:val="18"/>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182" w:lineRule="exact"/>
        <w:rPr>
          <w:rFonts w:ascii="Arial" w:cs="Arial" w:eastAsia="Arial" w:hAnsi="Arial"/>
          <w:sz w:val="18"/>
          <w:szCs w:val="18"/>
          <w:color w:val="auto"/>
        </w:rPr>
      </w:pPr>
    </w:p>
    <w:p>
      <w:pPr>
        <w:jc w:val="both"/>
        <w:ind w:left="968" w:hanging="320"/>
        <w:spacing w:after="0" w:line="253" w:lineRule="auto"/>
        <w:tabs>
          <w:tab w:leader="none" w:pos="958"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Form and Timing of Payment</w:t>
      </w:r>
      <w:r>
        <w:rPr>
          <w:rFonts w:ascii="Arial" w:cs="Arial" w:eastAsia="Arial" w:hAnsi="Arial"/>
          <w:sz w:val="18"/>
          <w:szCs w:val="18"/>
          <w:color w:val="auto"/>
        </w:rPr>
        <w:t>. Payment of earned Restricted Stock Units will be made as soon as practicable after the date(s) determined by the Administrator and set forth in the Award Agreement. The Administrator, in its sole discretion, may only settle earned Restricted Stock Units in cash, Shares, or a combination of both.</w:t>
      </w:r>
    </w:p>
    <w:p>
      <w:pPr>
        <w:spacing w:after="0" w:line="182" w:lineRule="exact"/>
        <w:rPr>
          <w:rFonts w:ascii="Arial" w:cs="Arial" w:eastAsia="Arial" w:hAnsi="Arial"/>
          <w:sz w:val="18"/>
          <w:szCs w:val="18"/>
          <w:color w:val="auto"/>
        </w:rPr>
      </w:pPr>
    </w:p>
    <w:p>
      <w:pPr>
        <w:ind w:left="968" w:right="20" w:hanging="320"/>
        <w:spacing w:after="0" w:line="271" w:lineRule="auto"/>
        <w:tabs>
          <w:tab w:leader="none" w:pos="958"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Cancellation</w:t>
      </w:r>
      <w:r>
        <w:rPr>
          <w:rFonts w:ascii="Arial" w:cs="Arial" w:eastAsia="Arial" w:hAnsi="Arial"/>
          <w:sz w:val="18"/>
          <w:szCs w:val="18"/>
          <w:color w:val="auto"/>
        </w:rPr>
        <w:t>. On the date set forth in the Award Agreement, all unearned Restricted Stock Units will be forfeited to the Company.</w:t>
      </w:r>
    </w:p>
    <w:p>
      <w:pPr>
        <w:spacing w:after="0" w:line="153" w:lineRule="exact"/>
        <w:rPr>
          <w:rFonts w:ascii="Arial" w:cs="Arial" w:eastAsia="Arial" w:hAnsi="Arial"/>
          <w:sz w:val="18"/>
          <w:szCs w:val="18"/>
          <w:color w:val="auto"/>
        </w:rPr>
      </w:pPr>
    </w:p>
    <w:p>
      <w:pPr>
        <w:ind w:left="308" w:hanging="308"/>
        <w:spacing w:after="0"/>
        <w:tabs>
          <w:tab w:leader="none" w:pos="308"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Stock Appreciation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968" w:hanging="320"/>
        <w:spacing w:after="0" w:line="253" w:lineRule="auto"/>
        <w:tabs>
          <w:tab w:leader="none" w:pos="958"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Grant of Stock Appreciation Rights</w:t>
      </w:r>
      <w:r>
        <w:rPr>
          <w:rFonts w:ascii="Arial" w:cs="Arial" w:eastAsia="Arial" w:hAnsi="Arial"/>
          <w:sz w:val="18"/>
          <w:szCs w:val="18"/>
          <w:color w:val="auto"/>
        </w:rPr>
        <w:t>. Subject to the terms and conditions of the Plan, a Stock Appreciation Right may be granted to Service Providers at any time and from time to time as will be determined by the Administrator, in its sole discretion.</w:t>
      </w:r>
    </w:p>
    <w:p>
      <w:pPr>
        <w:spacing w:after="0" w:line="182" w:lineRule="exact"/>
        <w:rPr>
          <w:rFonts w:ascii="Arial" w:cs="Arial" w:eastAsia="Arial" w:hAnsi="Arial"/>
          <w:sz w:val="18"/>
          <w:szCs w:val="18"/>
          <w:color w:val="auto"/>
        </w:rPr>
      </w:pPr>
    </w:p>
    <w:p>
      <w:pPr>
        <w:ind w:left="968" w:hanging="320"/>
        <w:spacing w:after="0" w:line="271" w:lineRule="auto"/>
        <w:tabs>
          <w:tab w:leader="none" w:pos="958"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Number of Shares</w:t>
      </w:r>
      <w:r>
        <w:rPr>
          <w:rFonts w:ascii="Arial" w:cs="Arial" w:eastAsia="Arial" w:hAnsi="Arial"/>
          <w:sz w:val="18"/>
          <w:szCs w:val="18"/>
          <w:color w:val="auto"/>
        </w:rPr>
        <w:t>. The Administrator will have complete discretion to determine the number of Stock Appreciation Rights granted to any Service Provider.</w:t>
      </w:r>
    </w:p>
    <w:p>
      <w:pPr>
        <w:spacing w:after="0" w:line="153" w:lineRule="exact"/>
        <w:rPr>
          <w:rFonts w:ascii="Arial" w:cs="Arial" w:eastAsia="Arial" w:hAnsi="Arial"/>
          <w:sz w:val="18"/>
          <w:szCs w:val="18"/>
          <w:color w:val="auto"/>
        </w:rPr>
      </w:pPr>
    </w:p>
    <w:p>
      <w:pPr>
        <w:jc w:val="both"/>
        <w:ind w:left="968" w:hanging="320"/>
        <w:spacing w:after="0" w:line="252" w:lineRule="auto"/>
        <w:tabs>
          <w:tab w:leader="none" w:pos="962"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Exercise Price and Other Terms</w:t>
      </w:r>
      <w:r>
        <w:rPr>
          <w:rFonts w:ascii="Arial" w:cs="Arial" w:eastAsia="Arial" w:hAnsi="Arial"/>
          <w:sz w:val="18"/>
          <w:szCs w:val="18"/>
          <w:color w:val="auto"/>
        </w:rPr>
        <w:t>. The per share exercise price for the Shares to be issued pursuant to exercise of a Stock Appreciation Right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spacing w:after="0" w:line="183" w:lineRule="exact"/>
        <w:rPr>
          <w:rFonts w:ascii="Arial" w:cs="Arial" w:eastAsia="Arial" w:hAnsi="Arial"/>
          <w:sz w:val="18"/>
          <w:szCs w:val="18"/>
          <w:color w:val="auto"/>
        </w:rPr>
      </w:pPr>
    </w:p>
    <w:p>
      <w:pPr>
        <w:jc w:val="both"/>
        <w:ind w:left="968" w:right="20" w:hanging="320"/>
        <w:spacing w:after="0" w:line="253" w:lineRule="auto"/>
        <w:tabs>
          <w:tab w:leader="none" w:pos="958"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Stock Appreciation Right Agreement</w:t>
      </w:r>
      <w:r>
        <w:rPr>
          <w:rFonts w:ascii="Arial" w:cs="Arial" w:eastAsia="Arial" w:hAnsi="Arial"/>
          <w:sz w:val="18"/>
          <w:szCs w:val="18"/>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182" w:lineRule="exact"/>
        <w:rPr>
          <w:rFonts w:ascii="Arial" w:cs="Arial" w:eastAsia="Arial" w:hAnsi="Arial"/>
          <w:sz w:val="18"/>
          <w:szCs w:val="18"/>
          <w:color w:val="auto"/>
        </w:rPr>
      </w:pPr>
    </w:p>
    <w:p>
      <w:pPr>
        <w:jc w:val="both"/>
        <w:ind w:left="968" w:hanging="320"/>
        <w:spacing w:after="0" w:line="247" w:lineRule="auto"/>
        <w:tabs>
          <w:tab w:leader="none" w:pos="958"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Expiration of Stock Appreciation Rights</w:t>
      </w:r>
      <w:r>
        <w:rPr>
          <w:rFonts w:ascii="Arial" w:cs="Arial" w:eastAsia="Arial" w:hAnsi="Arial"/>
          <w:sz w:val="18"/>
          <w:szCs w:val="18"/>
          <w:color w:val="auto"/>
        </w:rPr>
        <w:t>. A Stock Appreciation Right granted under the Plan will expire upon the date determined by the Administrator, in its sole discretion, and set forth in the Award Agreement. Notwithstanding the foregoing, the rules of Section 6(b) relating to the maximum term and Section 6(d) relating to exercise also will apply to Stock Appreciation Rights.</w:t>
      </w:r>
    </w:p>
    <w:p>
      <w:pPr>
        <w:sectPr>
          <w:pgSz w:w="11900" w:h="16838" w:orient="portrait"/>
          <w:cols w:equalWidth="0" w:num="1">
            <w:col w:w="10908"/>
          </w:cols>
          <w:pgMar w:left="652" w:top="1147" w:right="339" w:bottom="1440" w:gutter="0" w:footer="0" w:header="0"/>
        </w:sectPr>
      </w:pPr>
    </w:p>
    <w:bookmarkStart w:id="14" w:name="page15"/>
    <w:bookmarkEnd w:id="14"/>
    <w:p>
      <w:pPr>
        <w:ind w:left="1300" w:right="20" w:hanging="320"/>
        <w:spacing w:after="0" w:line="271" w:lineRule="auto"/>
        <w:tabs>
          <w:tab w:leader="none" w:pos="1294"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Payment of Stock Appreciation Right Amount</w:t>
      </w:r>
      <w:r>
        <w:rPr>
          <w:rFonts w:ascii="Arial" w:cs="Arial" w:eastAsia="Arial" w:hAnsi="Arial"/>
          <w:sz w:val="18"/>
          <w:szCs w:val="18"/>
          <w:color w:val="auto"/>
        </w:rPr>
        <w:t>. Upon exercise of a Stock Appreciation Right, a Participant will be entitled to receive payment from the Company in an amount determined by multiplying:</w:t>
      </w:r>
    </w:p>
    <w:p>
      <w:pPr>
        <w:spacing w:after="0" w:line="167" w:lineRule="exact"/>
        <w:rPr>
          <w:rFonts w:ascii="Arial" w:cs="Arial" w:eastAsia="Arial" w:hAnsi="Arial"/>
          <w:sz w:val="18"/>
          <w:szCs w:val="18"/>
          <w:color w:val="auto"/>
        </w:rPr>
      </w:pPr>
    </w:p>
    <w:p>
      <w:pPr>
        <w:ind w:left="1960" w:hanging="492"/>
        <w:spacing w:after="0"/>
        <w:tabs>
          <w:tab w:leader="none" w:pos="19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difference between the Fair Market Value of a Share on the date of exercise over the exercise price; times</w:t>
      </w:r>
    </w:p>
    <w:p>
      <w:pPr>
        <w:spacing w:after="0" w:line="211" w:lineRule="exact"/>
        <w:rPr>
          <w:rFonts w:ascii="Arial" w:cs="Arial" w:eastAsia="Arial" w:hAnsi="Arial"/>
          <w:sz w:val="18"/>
          <w:szCs w:val="18"/>
          <w:color w:val="auto"/>
        </w:rPr>
      </w:pPr>
    </w:p>
    <w:p>
      <w:pPr>
        <w:ind w:left="1960" w:hanging="532"/>
        <w:spacing w:after="0"/>
        <w:tabs>
          <w:tab w:leader="none" w:pos="19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number of Shares with respect to which the Stock Appreciation Right is exercised.</w:t>
      </w:r>
    </w:p>
    <w:p>
      <w:pPr>
        <w:spacing w:after="0" w:line="212"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color w:val="auto"/>
        </w:rPr>
        <w:t>At the discretion of the Administrator, the payment upon Stock Appreciation Right exercise may be in cash, in Shares of equivalent value, or in some combination thereof.</w:t>
      </w:r>
    </w:p>
    <w:p>
      <w:pPr>
        <w:spacing w:after="0" w:line="139" w:lineRule="exact"/>
        <w:rPr>
          <w:sz w:val="20"/>
          <w:szCs w:val="20"/>
          <w:color w:val="auto"/>
        </w:rPr>
      </w:pPr>
    </w:p>
    <w:p>
      <w:pPr>
        <w:ind w:left="640" w:hanging="308"/>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Performance Units and Performance Shares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left="1300" w:hanging="320"/>
        <w:spacing w:after="0" w:line="261" w:lineRule="auto"/>
        <w:tabs>
          <w:tab w:leader="none" w:pos="1290"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Grant of Performance Units/Shares</w:t>
      </w:r>
      <w:r>
        <w:rPr>
          <w:rFonts w:ascii="Arial" w:cs="Arial" w:eastAsia="Arial" w:hAnsi="Arial"/>
          <w:sz w:val="18"/>
          <w:szCs w:val="18"/>
          <w:color w:val="auto"/>
        </w:rPr>
        <w:t>. Performance Units and Performance Shares may be granted to Service Providers at any time and from time to time, as will be determined by the Administrator, in its sole discretion. The Administrator will have complete discretion in determining the number of Performance Units and Performance Shares granted to each Participant.</w:t>
      </w:r>
    </w:p>
    <w:p>
      <w:pPr>
        <w:spacing w:after="0" w:line="161" w:lineRule="exact"/>
        <w:rPr>
          <w:rFonts w:ascii="Arial" w:cs="Arial" w:eastAsia="Arial" w:hAnsi="Arial"/>
          <w:sz w:val="18"/>
          <w:szCs w:val="18"/>
          <w:color w:val="auto"/>
        </w:rPr>
      </w:pPr>
    </w:p>
    <w:p>
      <w:pPr>
        <w:jc w:val="both"/>
        <w:ind w:left="1300" w:hanging="320"/>
        <w:spacing w:after="0" w:line="261" w:lineRule="auto"/>
        <w:tabs>
          <w:tab w:leader="none" w:pos="1290"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Value of Performance Units/Shares</w:t>
      </w:r>
      <w:r>
        <w:rPr>
          <w:rFonts w:ascii="Arial" w:cs="Arial" w:eastAsia="Arial" w:hAnsi="Arial"/>
          <w:sz w:val="18"/>
          <w:szCs w:val="18"/>
          <w:color w:val="auto"/>
        </w:rPr>
        <w:t>. Each Performance Unit will have an initial value that is established by the Administrator on or before the date of grant. Each Performance Share will have an initial value equal to the Fair Market Value of a Share on the date of grant.</w:t>
      </w:r>
    </w:p>
    <w:p>
      <w:pPr>
        <w:spacing w:after="0" w:line="161" w:lineRule="exact"/>
        <w:rPr>
          <w:rFonts w:ascii="Arial" w:cs="Arial" w:eastAsia="Arial" w:hAnsi="Arial"/>
          <w:sz w:val="18"/>
          <w:szCs w:val="18"/>
          <w:color w:val="auto"/>
        </w:rPr>
      </w:pPr>
    </w:p>
    <w:p>
      <w:pPr>
        <w:jc w:val="both"/>
        <w:ind w:left="1300" w:hanging="320"/>
        <w:spacing w:after="0" w:line="245" w:lineRule="auto"/>
        <w:tabs>
          <w:tab w:leader="none" w:pos="1294"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Performance Objectives and Other Terms</w:t>
      </w:r>
      <w:r>
        <w:rPr>
          <w:rFonts w:ascii="Arial" w:cs="Arial" w:eastAsia="Arial" w:hAnsi="Arial"/>
          <w:sz w:val="18"/>
          <w:szCs w:val="18"/>
          <w:color w:val="auto"/>
        </w:rPr>
        <w:t>. The Administrator will set performance objectives or other vesting provisions (including, without limitation, continued status as a Service Provider) in its discretion which, depending on the extent to which they are met, will determine the number or value of Performance Units/Shares that will be paid out to the Service Providers. The time period during which the performance objectives or other vesting provisions must be met will be called the “Performance Period.” Each Award of Performance Units/Shares will be evidenced by an Award Agreement that will specify the Performance Period, and such other terms and conditions as the Administrator, in its sole discretion, will determine. The Administrator may set performance objectives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77" w:lineRule="exact"/>
        <w:rPr>
          <w:rFonts w:ascii="Arial" w:cs="Arial" w:eastAsia="Arial" w:hAnsi="Arial"/>
          <w:sz w:val="18"/>
          <w:szCs w:val="18"/>
          <w:color w:val="auto"/>
        </w:rPr>
      </w:pPr>
    </w:p>
    <w:p>
      <w:pPr>
        <w:jc w:val="both"/>
        <w:ind w:left="1300" w:hanging="320"/>
        <w:spacing w:after="0" w:line="251" w:lineRule="auto"/>
        <w:tabs>
          <w:tab w:leader="none" w:pos="1290"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Earning of Performance Units/Shares</w:t>
      </w:r>
      <w:r>
        <w:rPr>
          <w:rFonts w:ascii="Arial" w:cs="Arial" w:eastAsia="Arial" w:hAnsi="Arial"/>
          <w:sz w:val="18"/>
          <w:szCs w:val="18"/>
          <w:color w:val="auto"/>
        </w:rPr>
        <w:t>. After the applicable Performance Period has ended, the holder of Performance Units/Shares will be entitled to receive a payout of the number of Performance Units/Shares earned by the Participant over the Performance Period, to be determined as a function of the extent to which the corresponding performance objectives or other vesting provisions have been achieved. After the grant of a Performance Unit/Share, the Administrator, in its sole discretion, may reduce or waive any performance objectives or other vesting provisions for such Performance Unit/Share.</w:t>
      </w:r>
    </w:p>
    <w:p>
      <w:pPr>
        <w:spacing w:after="0" w:line="173" w:lineRule="exact"/>
        <w:rPr>
          <w:rFonts w:ascii="Arial" w:cs="Arial" w:eastAsia="Arial" w:hAnsi="Arial"/>
          <w:sz w:val="18"/>
          <w:szCs w:val="18"/>
          <w:color w:val="auto"/>
        </w:rPr>
      </w:pPr>
    </w:p>
    <w:p>
      <w:pPr>
        <w:jc w:val="both"/>
        <w:ind w:left="1300" w:hanging="320"/>
        <w:spacing w:after="0" w:line="247" w:lineRule="auto"/>
        <w:tabs>
          <w:tab w:leader="none" w:pos="1290"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Form and Timing of Payment of Performance Units/Shares</w:t>
      </w:r>
      <w:r>
        <w:rPr>
          <w:rFonts w:ascii="Arial" w:cs="Arial" w:eastAsia="Arial" w:hAnsi="Arial"/>
          <w:sz w:val="18"/>
          <w:szCs w:val="18"/>
          <w:color w:val="auto"/>
        </w:rPr>
        <w:t>. Payment of earned Performance Units/Shares will be made as soon as practicable after the expiration of the applicable Performance Period. The Administrator, in its sole discretion, may pay earned Performance Units/Shares in the form of cash, in Shares (which have an aggregate Fair Market Value equal to the value of the earned Performance Units/Shares at the close of the applicable Performance Period) or in a combination thereof.</w:t>
      </w:r>
    </w:p>
    <w:p>
      <w:pPr>
        <w:spacing w:after="0" w:line="190" w:lineRule="exact"/>
        <w:rPr>
          <w:rFonts w:ascii="Arial" w:cs="Arial" w:eastAsia="Arial" w:hAnsi="Arial"/>
          <w:sz w:val="18"/>
          <w:szCs w:val="18"/>
          <w:color w:val="auto"/>
        </w:rPr>
      </w:pPr>
    </w:p>
    <w:p>
      <w:pPr>
        <w:ind w:left="1300" w:right="20" w:hanging="320"/>
        <w:spacing w:after="0" w:line="271" w:lineRule="auto"/>
        <w:tabs>
          <w:tab w:leader="none" w:pos="1294"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Cancellation of Performance Units/Shares</w:t>
      </w:r>
      <w:r>
        <w:rPr>
          <w:rFonts w:ascii="Arial" w:cs="Arial" w:eastAsia="Arial" w:hAnsi="Arial"/>
          <w:sz w:val="18"/>
          <w:szCs w:val="18"/>
          <w:color w:val="auto"/>
        </w:rPr>
        <w:t>. On the date set forth in the Award Agreement, all unearned or unvested Performance Units/Shares will be forfeited to the Company, and again will be available for grant under the Plan.</w:t>
      </w:r>
    </w:p>
    <w:p>
      <w:pPr>
        <w:spacing w:after="0" w:line="153" w:lineRule="exact"/>
        <w:rPr>
          <w:rFonts w:ascii="Arial" w:cs="Arial" w:eastAsia="Arial" w:hAnsi="Arial"/>
          <w:sz w:val="18"/>
          <w:szCs w:val="18"/>
          <w:color w:val="auto"/>
        </w:rPr>
      </w:pPr>
    </w:p>
    <w:p>
      <w:pPr>
        <w:jc w:val="both"/>
        <w:ind w:left="660" w:hanging="328"/>
        <w:spacing w:after="0" w:line="252"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Leaves of Absence/Transfer Between Locations</w:t>
      </w:r>
      <w:r>
        <w:rPr>
          <w:rFonts w:ascii="Arial" w:cs="Arial" w:eastAsia="Arial" w:hAnsi="Arial"/>
          <w:sz w:val="18"/>
          <w:szCs w:val="18"/>
          <w:color w:val="auto"/>
        </w:rPr>
        <w:t>. Unless the Administrator provides otherwise, vesting of Awards granted hereunder will be suspended during any unpaid leave of absence. A Participant will not cease to be an Employee in the case of (i) any leave of absence approved by the Company or (ii) transfers between locations of the Company or between the Company, its Parent, or any Subsidiary.</w:t>
      </w:r>
    </w:p>
    <w:p>
      <w:pPr>
        <w:sectPr>
          <w:pgSz w:w="11900" w:h="16838" w:orient="portrait"/>
          <w:cols w:equalWidth="0" w:num="1">
            <w:col w:w="11240"/>
          </w:cols>
          <w:pgMar w:left="320" w:top="1147" w:right="339" w:bottom="1440" w:gutter="0" w:footer="0" w:header="0"/>
        </w:sectPr>
      </w:pPr>
    </w:p>
    <w:bookmarkStart w:id="15" w:name="page16"/>
    <w:bookmarkEnd w:id="15"/>
    <w:p>
      <w:pPr>
        <w:jc w:val="both"/>
        <w:ind w:left="328"/>
        <w:spacing w:after="0" w:line="252" w:lineRule="auto"/>
        <w:rPr>
          <w:sz w:val="20"/>
          <w:szCs w:val="20"/>
          <w:color w:val="auto"/>
        </w:rPr>
      </w:pPr>
      <w:r>
        <w:rPr>
          <w:rFonts w:ascii="Arial" w:cs="Arial" w:eastAsia="Arial" w:hAnsi="Arial"/>
          <w:sz w:val="18"/>
          <w:szCs w:val="18"/>
          <w:color w:val="auto"/>
        </w:rPr>
        <w:t>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(1st) day of such leave any Incentive Stock Option held by the Participant will cease to be treated as an Incentive Stock Option and will be treated for tax purposes as a Nonstatutory Stock Option.</w:t>
      </w:r>
    </w:p>
    <w:p>
      <w:pPr>
        <w:spacing w:after="0" w:line="170" w:lineRule="exact"/>
        <w:rPr>
          <w:sz w:val="20"/>
          <w:szCs w:val="20"/>
          <w:color w:val="auto"/>
        </w:rPr>
      </w:pPr>
    </w:p>
    <w:p>
      <w:pPr>
        <w:jc w:val="both"/>
        <w:ind w:left="328" w:hanging="328"/>
        <w:spacing w:after="0" w:line="252" w:lineRule="auto"/>
        <w:tabs>
          <w:tab w:leader="none" w:pos="321"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Transferability of Awards</w:t>
      </w:r>
      <w:r>
        <w:rPr>
          <w:rFonts w:ascii="Arial" w:cs="Arial" w:eastAsia="Arial" w:hAnsi="Arial"/>
          <w:sz w:val="18"/>
          <w:szCs w:val="18"/>
          <w:color w:val="auto"/>
        </w:rPr>
        <w:t>. Unless determined otherwise by the Administrator,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such Award will contain such additional terms and conditions as the Administrator deems appropriate.</w:t>
      </w:r>
    </w:p>
    <w:p>
      <w:pPr>
        <w:spacing w:after="0" w:line="183" w:lineRule="exact"/>
        <w:rPr>
          <w:rFonts w:ascii="Arial" w:cs="Arial" w:eastAsia="Arial" w:hAnsi="Arial"/>
          <w:sz w:val="18"/>
          <w:szCs w:val="18"/>
          <w:color w:val="auto"/>
        </w:rPr>
      </w:pPr>
    </w:p>
    <w:p>
      <w:pPr>
        <w:ind w:left="308" w:hanging="308"/>
        <w:spacing w:after="0"/>
        <w:tabs>
          <w:tab w:leader="none" w:pos="308"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Adjustments; Dissolution or Liquidation; Merger or Change in Control</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left="968" w:hanging="320"/>
        <w:spacing w:after="0" w:line="246" w:lineRule="auto"/>
        <w:tabs>
          <w:tab w:leader="none" w:pos="958"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will adjust the number and class of Shares that may be delivered under the Plan and/or the number, class, and price of Shares covered by each outstanding Award, and the numerical Share limits in Section 3 of the Plan.</w:t>
      </w:r>
    </w:p>
    <w:p>
      <w:pPr>
        <w:spacing w:after="0" w:line="175" w:lineRule="exact"/>
        <w:rPr>
          <w:rFonts w:ascii="Arial" w:cs="Arial" w:eastAsia="Arial" w:hAnsi="Arial"/>
          <w:sz w:val="18"/>
          <w:szCs w:val="18"/>
          <w:color w:val="auto"/>
        </w:rPr>
      </w:pPr>
    </w:p>
    <w:p>
      <w:pPr>
        <w:jc w:val="both"/>
        <w:ind w:left="968" w:hanging="320"/>
        <w:spacing w:after="0" w:line="261" w:lineRule="auto"/>
        <w:tabs>
          <w:tab w:leader="none" w:pos="958"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Dissolution or Liquidation</w:t>
      </w:r>
      <w:r>
        <w:rPr>
          <w:rFonts w:ascii="Arial" w:cs="Arial" w:eastAsia="Arial" w:hAnsi="Arial"/>
          <w:sz w:val="18"/>
          <w:szCs w:val="18"/>
          <w:color w:val="auto"/>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161" w:lineRule="exact"/>
        <w:rPr>
          <w:rFonts w:ascii="Arial" w:cs="Arial" w:eastAsia="Arial" w:hAnsi="Arial"/>
          <w:sz w:val="18"/>
          <w:szCs w:val="18"/>
          <w:color w:val="auto"/>
        </w:rPr>
      </w:pPr>
    </w:p>
    <w:p>
      <w:pPr>
        <w:jc w:val="both"/>
        <w:ind w:left="968" w:hanging="320"/>
        <w:spacing w:after="0" w:line="252" w:lineRule="auto"/>
        <w:tabs>
          <w:tab w:leader="none" w:pos="962"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In the event of a merger of the Company with or into another corporation or other entity or a Change in Control, each outstanding Award will be treated as the Administrator determines, including, without limitation, that each Award be assumed or an equivalent option or right substituted by the successor corporation or a Parent or Subsidiary of the successor corporation. The Administrator will not be required to treat all Awards similarly in the transaction.</w:t>
      </w:r>
    </w:p>
    <w:p>
      <w:pPr>
        <w:spacing w:after="0" w:line="183" w:lineRule="exact"/>
        <w:rPr>
          <w:rFonts w:ascii="Arial" w:cs="Arial" w:eastAsia="Arial" w:hAnsi="Arial"/>
          <w:sz w:val="18"/>
          <w:szCs w:val="18"/>
          <w:color w:val="auto"/>
        </w:rPr>
      </w:pPr>
    </w:p>
    <w:p>
      <w:pPr>
        <w:jc w:val="both"/>
        <w:ind w:left="968"/>
        <w:spacing w:after="0" w:line="243" w:lineRule="auto"/>
        <w:rPr>
          <w:rFonts w:ascii="Arial" w:cs="Arial" w:eastAsia="Arial" w:hAnsi="Arial"/>
          <w:sz w:val="18"/>
          <w:szCs w:val="18"/>
          <w:color w:val="auto"/>
        </w:rPr>
      </w:pPr>
      <w:r>
        <w:rPr>
          <w:rFonts w:ascii="Arial" w:cs="Arial" w:eastAsia="Arial" w:hAnsi="Arial"/>
          <w:sz w:val="18"/>
          <w:szCs w:val="18"/>
          <w:color w:val="auto"/>
        </w:rPr>
        <w:t>In the event that the successor corporation does not assume or substitute for the Award,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In addition, if an Option or Stock Appreciation Right is not assumed or substituted in the event of a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w:t>
      </w:r>
    </w:p>
    <w:p>
      <w:pPr>
        <w:spacing w:after="0" w:line="192" w:lineRule="exact"/>
        <w:rPr>
          <w:rFonts w:ascii="Arial" w:cs="Arial" w:eastAsia="Arial" w:hAnsi="Arial"/>
          <w:sz w:val="18"/>
          <w:szCs w:val="18"/>
          <w:color w:val="auto"/>
        </w:rPr>
      </w:pPr>
    </w:p>
    <w:p>
      <w:pPr>
        <w:jc w:val="both"/>
        <w:ind w:left="968"/>
        <w:spacing w:after="0" w:line="243" w:lineRule="auto"/>
        <w:rPr>
          <w:rFonts w:ascii="Arial" w:cs="Arial" w:eastAsia="Arial" w:hAnsi="Arial"/>
          <w:sz w:val="18"/>
          <w:szCs w:val="18"/>
          <w:color w:val="auto"/>
        </w:rPr>
      </w:pPr>
      <w:r>
        <w:rPr>
          <w:rFonts w:ascii="Arial" w:cs="Arial" w:eastAsia="Arial" w:hAnsi="Arial"/>
          <w:sz w:val="18"/>
          <w:szCs w:val="18"/>
          <w:color w:val="auto"/>
        </w:rPr>
        <w:t>For the purposes of this subsection (c), an Award will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Award, to</w:t>
      </w:r>
    </w:p>
    <w:p>
      <w:pPr>
        <w:sectPr>
          <w:pgSz w:w="11900" w:h="16838" w:orient="portrait"/>
          <w:cols w:equalWidth="0" w:num="1">
            <w:col w:w="10908"/>
          </w:cols>
          <w:pgMar w:left="652" w:top="1147" w:right="339" w:bottom="1440" w:gutter="0" w:footer="0" w:header="0"/>
        </w:sectPr>
      </w:pPr>
    </w:p>
    <w:bookmarkStart w:id="16" w:name="page17"/>
    <w:bookmarkEnd w:id="16"/>
    <w:p>
      <w:pPr>
        <w:jc w:val="both"/>
        <w:ind w:left="968"/>
        <w:spacing w:after="0" w:line="271" w:lineRule="auto"/>
        <w:rPr>
          <w:sz w:val="20"/>
          <w:szCs w:val="20"/>
          <w:color w:val="auto"/>
        </w:rPr>
      </w:pPr>
      <w:r>
        <w:rPr>
          <w:rFonts w:ascii="Arial" w:cs="Arial" w:eastAsia="Arial" w:hAnsi="Arial"/>
          <w:sz w:val="18"/>
          <w:szCs w:val="18"/>
          <w:color w:val="auto"/>
        </w:rPr>
        <w:t>be solely common stock of the successor corporation or its Parent equal in fair market value to the per share consideration received by holders of Common Stock in the Change in Control.</w:t>
      </w:r>
    </w:p>
    <w:p>
      <w:pPr>
        <w:spacing w:after="0" w:line="167" w:lineRule="exact"/>
        <w:rPr>
          <w:sz w:val="20"/>
          <w:szCs w:val="20"/>
          <w:color w:val="auto"/>
        </w:rPr>
      </w:pPr>
    </w:p>
    <w:p>
      <w:pPr>
        <w:jc w:val="both"/>
        <w:ind w:left="968"/>
        <w:spacing w:after="0" w:line="247" w:lineRule="auto"/>
        <w:rPr>
          <w:sz w:val="20"/>
          <w:szCs w:val="20"/>
          <w:color w:val="auto"/>
        </w:rPr>
      </w:pPr>
      <w:r>
        <w:rPr>
          <w:rFonts w:ascii="Arial" w:cs="Arial" w:eastAsia="Arial" w:hAnsi="Arial"/>
          <w:sz w:val="18"/>
          <w:szCs w:val="18"/>
          <w:color w:val="auto"/>
        </w:rPr>
        <w:t>Notwithstanding anything in this Section 13(c) to the contrary,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w:t>
      </w:r>
    </w:p>
    <w:p>
      <w:pPr>
        <w:spacing w:after="0" w:line="177" w:lineRule="exact"/>
        <w:rPr>
          <w:sz w:val="20"/>
          <w:szCs w:val="20"/>
          <w:color w:val="auto"/>
        </w:rPr>
      </w:pPr>
    </w:p>
    <w:p>
      <w:pPr>
        <w:jc w:val="both"/>
        <w:ind w:left="968" w:hanging="320"/>
        <w:spacing w:after="0" w:line="246" w:lineRule="auto"/>
        <w:tabs>
          <w:tab w:leader="none" w:pos="958"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Outside Director Awards</w:t>
      </w:r>
      <w:r>
        <w:rPr>
          <w:rFonts w:ascii="Arial" w:cs="Arial" w:eastAsia="Arial" w:hAnsi="Arial"/>
          <w:sz w:val="18"/>
          <w:szCs w:val="18"/>
          <w:color w:val="auto"/>
        </w:rPr>
        <w:t>. With respect to Awards granted to an Outside Director that are assumed or substituted for, if on the date of or following such assumption or substitution the Participant’s status as a Director or a director of the successor corporation, as applicable, is terminated other than upon a voluntary resignation by the Participant (unless such resignation is at the request of the acquirer), then the Participant will fully vest in and have the right to exercise Options and/or Stock Appreciation Rights as to all of the Shares underlying such Award, including those Shares which would not otherwise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w:t>
      </w:r>
    </w:p>
    <w:p>
      <w:pPr>
        <w:spacing w:after="0" w:line="179" w:lineRule="exact"/>
        <w:rPr>
          <w:sz w:val="20"/>
          <w:szCs w:val="20"/>
          <w:color w:val="auto"/>
        </w:rPr>
      </w:pPr>
    </w:p>
    <w:p>
      <w:pPr>
        <w:ind w:left="308" w:hanging="308"/>
        <w:spacing w:after="0"/>
        <w:tabs>
          <w:tab w:leader="none" w:pos="308"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Tax</w:t>
      </w:r>
      <w:r>
        <w:rPr>
          <w:rFonts w:ascii="Arial" w:cs="Arial" w:eastAsia="Arial" w:hAnsi="Arial"/>
          <w:sz w:val="18"/>
          <w:szCs w:val="18"/>
          <w:color w:val="auto"/>
        </w:rPr>
        <w:t>.</w:t>
      </w:r>
    </w:p>
    <w:p>
      <w:pPr>
        <w:spacing w:after="0" w:line="212" w:lineRule="exact"/>
        <w:rPr>
          <w:sz w:val="20"/>
          <w:szCs w:val="20"/>
          <w:color w:val="auto"/>
        </w:rPr>
      </w:pPr>
    </w:p>
    <w:p>
      <w:pPr>
        <w:jc w:val="both"/>
        <w:ind w:left="968" w:hanging="320"/>
        <w:spacing w:after="0" w:line="252" w:lineRule="auto"/>
        <w:tabs>
          <w:tab w:leader="none" w:pos="958"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Withholding Requirements</w:t>
      </w:r>
      <w:r>
        <w:rPr>
          <w:rFonts w:ascii="Arial" w:cs="Arial" w:eastAsia="Arial" w:hAnsi="Arial"/>
          <w:sz w:val="18"/>
          <w:szCs w:val="18"/>
          <w:color w:val="auto"/>
        </w:rPr>
        <w:t>. Prior to the delivery of any Shares or cash pursuant to an Award (or exercise thereof) or such earlier time as any tax withholding obligations are due, the Company will have the power and the right to deduct or withhold, or require a Participant to remit to the Company, an amount sufficient to satisfy federal, state, local, foreign or other taxes (including the Participant’s FICA obligation) required to be withheld with respect to such Award (or exercise thereof).</w:t>
      </w:r>
    </w:p>
    <w:p>
      <w:pPr>
        <w:spacing w:after="0" w:line="183" w:lineRule="exact"/>
        <w:rPr>
          <w:rFonts w:ascii="Arial" w:cs="Arial" w:eastAsia="Arial" w:hAnsi="Arial"/>
          <w:sz w:val="18"/>
          <w:szCs w:val="18"/>
          <w:color w:val="auto"/>
        </w:rPr>
      </w:pPr>
    </w:p>
    <w:p>
      <w:pPr>
        <w:jc w:val="both"/>
        <w:ind w:left="968" w:hanging="320"/>
        <w:spacing w:after="0" w:line="245" w:lineRule="auto"/>
        <w:tabs>
          <w:tab w:leader="none" w:pos="958"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Withholding Arrangements</w:t>
      </w:r>
      <w:r>
        <w:rPr>
          <w:rFonts w:ascii="Arial" w:cs="Arial" w:eastAsia="Arial" w:hAnsi="Arial"/>
          <w:sz w:val="18"/>
          <w:szCs w:val="18"/>
          <w:color w:val="auto"/>
        </w:rPr>
        <w:t>. The Administrator, in its sole discretion and pursuant to such procedures as it may specify from time to time, may permit a Participant to satisfy such tax withholding obligation, in whole or in part by (without limitation) (a) paying cash, (b) electing to have the Company withhold otherwise deliverable cash or Shares having a Fair Market Value equal to the minimum statutory amount required to be withheld, or (c) delivering to the Company already-owned Shares having a Fair Market Value equal to the minimum statutory amount required to be withheld. The Fair Market Value of the Shares to be withheld or delivered will be determined as of the date that the taxes are required to be withheld.</w:t>
      </w:r>
    </w:p>
    <w:p>
      <w:pPr>
        <w:spacing w:after="0" w:line="190" w:lineRule="exact"/>
        <w:rPr>
          <w:rFonts w:ascii="Arial" w:cs="Arial" w:eastAsia="Arial" w:hAnsi="Arial"/>
          <w:sz w:val="18"/>
          <w:szCs w:val="18"/>
          <w:color w:val="auto"/>
        </w:rPr>
      </w:pPr>
    </w:p>
    <w:p>
      <w:pPr>
        <w:jc w:val="both"/>
        <w:ind w:left="968" w:hanging="320"/>
        <w:spacing w:after="0" w:line="243" w:lineRule="auto"/>
        <w:tabs>
          <w:tab w:leader="none" w:pos="962"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Compliance With Code Section 409A</w:t>
      </w:r>
      <w:r>
        <w:rPr>
          <w:rFonts w:ascii="Arial" w:cs="Arial" w:eastAsia="Arial" w:hAnsi="Arial"/>
          <w:sz w:val="18"/>
          <w:szCs w:val="18"/>
          <w:color w:val="auto"/>
        </w:rPr>
        <w:t>. Awards will be designed and operated in such a manner that they are either exempt from the application of, or comply with, the requirements of Code Section 409A such that the grant, payment, settlement or deferral will not be subject to the additional tax or interest applicable under Code Section 409A, except as otherwise determined in the sole discretion of the Administrator. The Plan and each Award Agreement under the Plan is intended to meet the requirements of Code Section 409A and will be construed and interpreted in accordance with such intent, except as otherwise determined in the sole discretion of the Administrator. To the extent that an Award or payment, or the settlement or deferral thereof, is subject to Code Section 409A the Award will be granted, paid, settled or deferred in a manner that will meet the requirements of Code Section 409A, such that the grant, payment, settlement or deferral will not be subject to the additional tax or interest applicable under Code Section 409A.</w:t>
      </w:r>
    </w:p>
    <w:p>
      <w:pPr>
        <w:spacing w:after="0" w:line="179" w:lineRule="exact"/>
        <w:rPr>
          <w:rFonts w:ascii="Arial" w:cs="Arial" w:eastAsia="Arial" w:hAnsi="Arial"/>
          <w:sz w:val="18"/>
          <w:szCs w:val="18"/>
          <w:color w:val="auto"/>
        </w:rPr>
      </w:pPr>
    </w:p>
    <w:p>
      <w:pPr>
        <w:jc w:val="both"/>
        <w:ind w:left="328" w:hanging="328"/>
        <w:spacing w:after="0" w:line="252" w:lineRule="auto"/>
        <w:tabs>
          <w:tab w:leader="none" w:pos="321"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No Effect on Employment or Service</w:t>
      </w:r>
      <w:r>
        <w:rPr>
          <w:rFonts w:ascii="Arial" w:cs="Arial" w:eastAsia="Arial" w:hAnsi="Arial"/>
          <w:sz w:val="18"/>
          <w:szCs w:val="18"/>
          <w:color w:val="auto"/>
        </w:rPr>
        <w:t>. Neither the Plan nor any Award will confer upon a Participant any right with respect to continuing the Participant’s relationship as a Service Provider with the Company, nor will they interfere in any way with the Participant’s right or the Company’s right to terminate such relationship at any time, with or without cause, to the extent permitted by Applicable Laws.</w:t>
      </w:r>
    </w:p>
    <w:p>
      <w:pPr>
        <w:spacing w:after="0" w:line="183" w:lineRule="exact"/>
        <w:rPr>
          <w:rFonts w:ascii="Arial" w:cs="Arial" w:eastAsia="Arial" w:hAnsi="Arial"/>
          <w:sz w:val="18"/>
          <w:szCs w:val="18"/>
          <w:color w:val="auto"/>
        </w:rPr>
      </w:pPr>
    </w:p>
    <w:p>
      <w:pPr>
        <w:ind w:left="328" w:right="20" w:hanging="328"/>
        <w:spacing w:after="0" w:line="271" w:lineRule="auto"/>
        <w:tabs>
          <w:tab w:leader="none" w:pos="321"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Date of Grant</w:t>
      </w:r>
      <w:r>
        <w:rPr>
          <w:rFonts w:ascii="Arial" w:cs="Arial" w:eastAsia="Arial" w:hAnsi="Arial"/>
          <w:sz w:val="18"/>
          <w:szCs w:val="18"/>
          <w:color w:val="auto"/>
        </w:rPr>
        <w:t>. The date of grant of an Award will be, for all purposes, the date on which the Administrator makes the determination granting such Award, or such other later date as is determined</w:t>
      </w:r>
    </w:p>
    <w:p>
      <w:pPr>
        <w:sectPr>
          <w:pgSz w:w="11900" w:h="16838" w:orient="portrait"/>
          <w:cols w:equalWidth="0" w:num="1">
            <w:col w:w="10908"/>
          </w:cols>
          <w:pgMar w:left="652" w:top="1147" w:right="339" w:bottom="1440" w:gutter="0" w:footer="0" w:header="0"/>
        </w:sectPr>
      </w:pPr>
    </w:p>
    <w:bookmarkStart w:id="17" w:name="page18"/>
    <w:bookmarkEnd w:id="17"/>
    <w:p>
      <w:pPr>
        <w:ind w:left="328"/>
        <w:spacing w:after="0" w:line="271" w:lineRule="auto"/>
        <w:rPr>
          <w:sz w:val="20"/>
          <w:szCs w:val="20"/>
          <w:color w:val="auto"/>
        </w:rPr>
      </w:pPr>
      <w:r>
        <w:rPr>
          <w:rFonts w:ascii="Arial" w:cs="Arial" w:eastAsia="Arial" w:hAnsi="Arial"/>
          <w:sz w:val="18"/>
          <w:szCs w:val="18"/>
          <w:color w:val="auto"/>
        </w:rPr>
        <w:t>by the Administrator. Notice of the determination will be provided to each Participant within a reasonable time after the date of such grant.</w:t>
      </w:r>
    </w:p>
    <w:p>
      <w:pPr>
        <w:spacing w:after="0" w:line="167" w:lineRule="exact"/>
        <w:rPr>
          <w:sz w:val="20"/>
          <w:szCs w:val="20"/>
          <w:color w:val="auto"/>
        </w:rPr>
      </w:pPr>
    </w:p>
    <w:p>
      <w:pPr>
        <w:jc w:val="both"/>
        <w:ind w:left="328" w:hanging="328"/>
        <w:spacing w:after="0" w:line="253" w:lineRule="auto"/>
        <w:tabs>
          <w:tab w:leader="none" w:pos="321"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Term of Plan</w:t>
      </w:r>
      <w:r>
        <w:rPr>
          <w:rFonts w:ascii="Arial" w:cs="Arial" w:eastAsia="Arial" w:hAnsi="Arial"/>
          <w:sz w:val="18"/>
          <w:szCs w:val="18"/>
          <w:color w:val="auto"/>
        </w:rPr>
        <w:t>. Subject to Section 21 of the Plan, this amended and restated Plan will become effective upon the date of the 2026 Annual General Meeting of the Company’s stockholders. It will continue in effect for a term of ten (10) years from the date the 2022 Restatement was approved by the Board, unless terminated earlier under Section 18 of the Plan.</w:t>
      </w:r>
    </w:p>
    <w:p>
      <w:pPr>
        <w:spacing w:after="0" w:line="182" w:lineRule="exact"/>
        <w:rPr>
          <w:rFonts w:ascii="Arial" w:cs="Arial" w:eastAsia="Arial" w:hAnsi="Arial"/>
          <w:sz w:val="18"/>
          <w:szCs w:val="18"/>
          <w:color w:val="auto"/>
        </w:rPr>
      </w:pPr>
    </w:p>
    <w:p>
      <w:pPr>
        <w:ind w:left="308" w:hanging="308"/>
        <w:spacing w:after="0"/>
        <w:tabs>
          <w:tab w:leader="none" w:pos="308"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 of the Plan</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968" w:hanging="320"/>
        <w:spacing w:after="0"/>
        <w:tabs>
          <w:tab w:leader="none" w:pos="968"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w:t>
      </w:r>
      <w:r>
        <w:rPr>
          <w:rFonts w:ascii="Arial" w:cs="Arial" w:eastAsia="Arial" w:hAnsi="Arial"/>
          <w:sz w:val="18"/>
          <w:szCs w:val="18"/>
          <w:color w:val="auto"/>
        </w:rPr>
        <w:t>. The Administrator may at any time amend, alter, suspend or terminate the Plan.</w:t>
      </w:r>
    </w:p>
    <w:p>
      <w:pPr>
        <w:spacing w:after="0" w:line="211" w:lineRule="exact"/>
        <w:rPr>
          <w:rFonts w:ascii="Arial" w:cs="Arial" w:eastAsia="Arial" w:hAnsi="Arial"/>
          <w:sz w:val="18"/>
          <w:szCs w:val="18"/>
          <w:color w:val="auto"/>
        </w:rPr>
      </w:pPr>
    </w:p>
    <w:p>
      <w:pPr>
        <w:ind w:left="968" w:hanging="320"/>
        <w:spacing w:after="0" w:line="287" w:lineRule="auto"/>
        <w:tabs>
          <w:tab w:leader="none" w:pos="958"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Stockholder Approval</w:t>
      </w:r>
      <w:r>
        <w:rPr>
          <w:rFonts w:ascii="Arial" w:cs="Arial" w:eastAsia="Arial" w:hAnsi="Arial"/>
          <w:sz w:val="18"/>
          <w:szCs w:val="18"/>
          <w:color w:val="auto"/>
        </w:rPr>
        <w:t>. The Company will obtain stockholder approval of any Plan amendment to the extent necessary and desirable to comply with Applicable Laws.</w:t>
      </w:r>
    </w:p>
    <w:p>
      <w:pPr>
        <w:spacing w:after="0" w:line="139" w:lineRule="exact"/>
        <w:rPr>
          <w:rFonts w:ascii="Arial" w:cs="Arial" w:eastAsia="Arial" w:hAnsi="Arial"/>
          <w:sz w:val="18"/>
          <w:szCs w:val="18"/>
          <w:color w:val="auto"/>
        </w:rPr>
      </w:pPr>
    </w:p>
    <w:p>
      <w:pPr>
        <w:jc w:val="both"/>
        <w:ind w:left="968" w:hanging="320"/>
        <w:spacing w:after="0" w:line="247" w:lineRule="auto"/>
        <w:tabs>
          <w:tab w:leader="none" w:pos="962"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Effect of Amendment or Termination</w:t>
      </w:r>
      <w:r>
        <w:rPr>
          <w:rFonts w:ascii="Arial" w:cs="Arial" w:eastAsia="Arial" w:hAnsi="Arial"/>
          <w:sz w:val="18"/>
          <w:szCs w:val="18"/>
          <w:color w:val="auto"/>
        </w:rPr>
        <w:t>. No amendment, alteration, suspension or termination of the Plan will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190" w:lineRule="exact"/>
        <w:rPr>
          <w:rFonts w:ascii="Arial" w:cs="Arial" w:eastAsia="Arial" w:hAnsi="Arial"/>
          <w:sz w:val="18"/>
          <w:szCs w:val="18"/>
          <w:color w:val="auto"/>
        </w:rPr>
      </w:pPr>
    </w:p>
    <w:p>
      <w:pPr>
        <w:ind w:left="308" w:hanging="308"/>
        <w:spacing w:after="0"/>
        <w:tabs>
          <w:tab w:leader="none" w:pos="308"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Conditions Upon Issuance of Shares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left="968" w:hanging="320"/>
        <w:spacing w:after="0" w:line="261" w:lineRule="auto"/>
        <w:tabs>
          <w:tab w:leader="none" w:pos="958"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Legal Compliance</w:t>
      </w:r>
      <w:r>
        <w:rPr>
          <w:rFonts w:ascii="Arial" w:cs="Arial" w:eastAsia="Arial" w:hAnsi="Arial"/>
          <w:sz w:val="18"/>
          <w:szCs w:val="18"/>
          <w:color w:val="auto"/>
        </w:rPr>
        <w:t>. Shares will not be issued pursuant to the exercise of an Award unless the exercise of such Award and the issuance and delivery of such Shares will comply with Applicable Laws and will be further subject to the approval of counsel for the Company with respect to such compliance.</w:t>
      </w:r>
    </w:p>
    <w:p>
      <w:pPr>
        <w:spacing w:after="0" w:line="161" w:lineRule="exact"/>
        <w:rPr>
          <w:rFonts w:ascii="Arial" w:cs="Arial" w:eastAsia="Arial" w:hAnsi="Arial"/>
          <w:sz w:val="18"/>
          <w:szCs w:val="18"/>
          <w:color w:val="auto"/>
        </w:rPr>
      </w:pPr>
    </w:p>
    <w:p>
      <w:pPr>
        <w:jc w:val="both"/>
        <w:ind w:left="968" w:hanging="320"/>
        <w:spacing w:after="0" w:line="252" w:lineRule="auto"/>
        <w:tabs>
          <w:tab w:leader="none" w:pos="958"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Investment Representations</w:t>
      </w:r>
      <w:r>
        <w:rPr>
          <w:rFonts w:ascii="Arial" w:cs="Arial" w:eastAsia="Arial" w:hAnsi="Arial"/>
          <w:sz w:val="18"/>
          <w:szCs w:val="18"/>
          <w:color w:val="auto"/>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70" w:lineRule="exact"/>
        <w:rPr>
          <w:rFonts w:ascii="Arial" w:cs="Arial" w:eastAsia="Arial" w:hAnsi="Arial"/>
          <w:sz w:val="18"/>
          <w:szCs w:val="18"/>
          <w:color w:val="auto"/>
        </w:rPr>
      </w:pPr>
    </w:p>
    <w:p>
      <w:pPr>
        <w:jc w:val="both"/>
        <w:ind w:left="328" w:hanging="328"/>
        <w:spacing w:after="0" w:line="246" w:lineRule="auto"/>
        <w:tabs>
          <w:tab w:leader="none" w:pos="321"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Inability to Obtain Authority</w:t>
      </w:r>
      <w:r>
        <w:rPr>
          <w:rFonts w:ascii="Arial" w:cs="Arial" w:eastAsia="Arial" w:hAnsi="Arial"/>
          <w:sz w:val="18"/>
          <w:szCs w:val="18"/>
          <w:color w:val="auto"/>
        </w:rPr>
        <w:t>. The inability of the Company to obtain authority from any regulatory body having jurisdiction or to complete or comply with the requirements of any registration or other qualification of the Shares under any state, federal or foreign law or under the rules and regulations of the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will relieve the Company of any liability in respect of the failure to issue or sell such Shares as to which such requisite authority, registration, qualification or rule compliance will not have been obtained.</w:t>
      </w:r>
    </w:p>
    <w:p>
      <w:pPr>
        <w:spacing w:after="0" w:line="188" w:lineRule="exact"/>
        <w:rPr>
          <w:rFonts w:ascii="Arial" w:cs="Arial" w:eastAsia="Arial" w:hAnsi="Arial"/>
          <w:sz w:val="18"/>
          <w:szCs w:val="18"/>
          <w:color w:val="auto"/>
        </w:rPr>
      </w:pPr>
    </w:p>
    <w:p>
      <w:pPr>
        <w:jc w:val="both"/>
        <w:ind w:left="328" w:hanging="328"/>
        <w:spacing w:after="0" w:line="253" w:lineRule="auto"/>
        <w:tabs>
          <w:tab w:leader="none" w:pos="321"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Stockholder Approval</w:t>
      </w:r>
      <w:r>
        <w:rPr>
          <w:rFonts w:ascii="Arial" w:cs="Arial" w:eastAsia="Arial" w:hAnsi="Arial"/>
          <w:sz w:val="18"/>
          <w:szCs w:val="18"/>
          <w:color w:val="auto"/>
        </w:rPr>
        <w:t>. The Plan will be subject to approval by the stockholders of the Company within twelve (12) months after the date the Plan is adopted by the Board. Such stockholder approval will be obtained in the manner and to the degree required under Applicable Laws.</w:t>
      </w:r>
    </w:p>
    <w:p>
      <w:pPr>
        <w:spacing w:after="0" w:line="182" w:lineRule="exact"/>
        <w:rPr>
          <w:rFonts w:ascii="Arial" w:cs="Arial" w:eastAsia="Arial" w:hAnsi="Arial"/>
          <w:sz w:val="18"/>
          <w:szCs w:val="18"/>
          <w:color w:val="auto"/>
        </w:rPr>
      </w:pPr>
    </w:p>
    <w:p>
      <w:pPr>
        <w:ind w:left="308" w:hanging="308"/>
        <w:spacing w:after="0"/>
        <w:tabs>
          <w:tab w:leader="none" w:pos="308"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Forfeiture Events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left="968" w:hanging="320"/>
        <w:spacing w:after="0" w:line="246" w:lineRule="auto"/>
        <w:tabs>
          <w:tab w:leader="none" w:pos="958"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Awards under the Plan will be subject to recoupment under the Company’s current Clawback Policy and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Laws. In addition, the Administrator may impose such other clawback, recovery or recoupment provisions in an Award Agreement as the Administrator determines necessary or appropriate, including but not limited to a reacquisition right regarding previously acquired Shares or other cash or property. Unless this Section 22(a)</w:t>
      </w:r>
    </w:p>
    <w:p>
      <w:pPr>
        <w:sectPr>
          <w:pgSz w:w="11900" w:h="16838" w:orient="portrait"/>
          <w:cols w:equalWidth="0" w:num="1">
            <w:col w:w="10908"/>
          </w:cols>
          <w:pgMar w:left="652" w:top="1147" w:right="339" w:bottom="1440" w:gutter="0" w:footer="0" w:header="0"/>
        </w:sectPr>
      </w:pPr>
    </w:p>
    <w:bookmarkStart w:id="18" w:name="page19"/>
    <w:bookmarkEnd w:id="18"/>
    <w:p>
      <w:pPr>
        <w:jc w:val="both"/>
        <w:ind w:left="320"/>
        <w:spacing w:after="0" w:line="252" w:lineRule="auto"/>
        <w:rPr>
          <w:sz w:val="20"/>
          <w:szCs w:val="20"/>
          <w:color w:val="auto"/>
        </w:rPr>
      </w:pPr>
      <w:r>
        <w:rPr>
          <w:rFonts w:ascii="Arial" w:cs="Arial" w:eastAsia="Arial" w:hAnsi="Arial"/>
          <w:sz w:val="18"/>
          <w:szCs w:val="18"/>
          <w:color w:val="auto"/>
        </w:rPr>
        <w:t>is specifically mentioned and waived in an Award Agreement or other document, no recovery of compensation under a clawback policy or otherwise will be an event that triggers or contributes to any right of a Participant to resign for “good reason” or “constructive termination” (or similar term) under any agreement with the Company or a Subsidiary, or Parent of the Company.</w:t>
      </w:r>
    </w:p>
    <w:p>
      <w:pPr>
        <w:spacing w:after="0" w:line="170" w:lineRule="exact"/>
        <w:rPr>
          <w:sz w:val="20"/>
          <w:szCs w:val="20"/>
          <w:color w:val="auto"/>
        </w:rPr>
      </w:pPr>
    </w:p>
    <w:p>
      <w:pPr>
        <w:jc w:val="both"/>
        <w:ind w:left="320" w:hanging="320"/>
        <w:spacing w:after="0" w:line="248" w:lineRule="auto"/>
        <w:tabs>
          <w:tab w:leader="none" w:pos="31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Administrator may specify in an Award Agreement that the Participant’s rights, payments, and benefits with respect to an Award will be subject to reduction, cancellation, forfeiture, or recoupment upon the occurrence of specified events, in addition to any otherwise applicable vesting or performance conditions of an Award. Such events may include, but will not be limited to, termination of such Participant’s status as Service Provider for cause or any specified action or inaction by a Participant, whether before or after such termination of service, that would constitute cause for termination of such Participant’s status as a Service Provider.</w:t>
      </w:r>
    </w:p>
    <w:sectPr>
      <w:pgSz w:w="11900" w:h="16838" w:orient="portrait"/>
      <w:cols w:equalWidth="0" w:num="1">
        <w:col w:w="10260"/>
      </w:cols>
      <w:pgMar w:left="1300" w:top="11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o"/>
      <w:numFmt w:val="bullet"/>
      <w:start w:val="1"/>
    </w:lvl>
  </w:abstractNum>
  <w:abstractNum w:abstractNumId="1">
    <w:nsid w:val="41A7C4C9"/>
    <w:multiLevelType w:val="hybridMultilevel"/>
    <w:lvl w:ilvl="0">
      <w:lvlJc w:val="left"/>
      <w:lvlText w:val="%1."/>
      <w:numFmt w:val="decimal"/>
      <w:start w:val="1"/>
    </w:lvl>
    <w:lvl w:ilvl="1">
      <w:lvlJc w:val="left"/>
      <w:lvlText w:val="•"/>
      <w:numFmt w:val="bullet"/>
      <w:start w:val="1"/>
    </w:lvl>
  </w:abstractNum>
  <w:abstractNum w:abstractNumId="2">
    <w:nsid w:val="6B68079A"/>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
    <w:nsid w:val="4E6AFB66"/>
    <w:multiLevelType w:val="hybridMultilevel"/>
    <w:lvl w:ilvl="0">
      <w:lvlJc w:val="left"/>
      <w:lvlText w:val="%1"/>
      <w:numFmt w:val="lowerLetter"/>
      <w:start w:val="1"/>
    </w:lvl>
    <w:lvl w:ilvl="1">
      <w:lvlJc w:val="left"/>
      <w:lvlText w:val="(%2)"/>
      <w:numFmt w:val="lowerLetter"/>
      <w:start w:val="61"/>
    </w:lvl>
  </w:abstractNum>
  <w:abstractNum w:abstractNumId="4">
    <w:nsid w:val="25E45D32"/>
    <w:multiLevelType w:val="hybridMultilevel"/>
    <w:lvl w:ilvl="0">
      <w:lvlJc w:val="left"/>
      <w:lvlText w:val="(%1)"/>
      <w:numFmt w:val="lowerLetter"/>
      <w:start w:val="8"/>
    </w:lvl>
    <w:lvl w:ilvl="1">
      <w:lvlJc w:val="left"/>
      <w:lvlText w:val="%2"/>
      <w:numFmt w:val="lowerLetter"/>
      <w:start w:val="1"/>
    </w:lvl>
  </w:abstractNum>
  <w:abstractNum w:abstractNumId="5">
    <w:nsid w:val="519B500D"/>
    <w:multiLevelType w:val="hybridMultilevel"/>
    <w:lvl w:ilvl="0">
      <w:lvlJc w:val="left"/>
      <w:lvlText w:val="(%1)"/>
      <w:numFmt w:val="lowerLetter"/>
      <w:start w:val="15"/>
    </w:lvl>
    <w:lvl w:ilvl="1">
      <w:lvlJc w:val="left"/>
      <w:lvlText w:val="(%2)"/>
      <w:numFmt w:val="lowerRoman"/>
      <w:start w:val="1"/>
    </w:lvl>
  </w:abstractNum>
  <w:abstractNum w:abstractNumId="6">
    <w:nsid w:val="431BD7B7"/>
    <w:multiLevelType w:val="hybridMultilevel"/>
    <w:lvl w:ilvl="0">
      <w:lvlJc w:val="left"/>
      <w:lvlText w:val="%1"/>
      <w:numFmt w:val="decimal"/>
      <w:start w:val="1"/>
    </w:lvl>
    <w:lvl w:ilvl="1">
      <w:lvlJc w:val="left"/>
      <w:lvlText w:val="(%2)"/>
      <w:numFmt w:val="lowerLetter"/>
      <w:start w:val="28"/>
    </w:lvl>
  </w:abstractNum>
  <w:abstractNum w:abstractNumId="7">
    <w:nsid w:val="3F2DBA31"/>
    <w:multiLevelType w:val="hybridMultilevel"/>
    <w:lvl w:ilvl="0">
      <w:lvlJc w:val="left"/>
      <w:lvlText w:val="%1."/>
      <w:numFmt w:val="decimal"/>
      <w:start w:val="3"/>
    </w:lvl>
    <w:lvl w:ilvl="1">
      <w:lvlJc w:val="left"/>
      <w:lvlText w:val="(%2)"/>
      <w:numFmt w:val="lowerLetter"/>
      <w:start w:val="1"/>
    </w:lvl>
  </w:abstractNum>
  <w:abstractNum w:abstractNumId="8">
    <w:nsid w:val="7C83E458"/>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9">
    <w:nsid w:val="257130A3"/>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0">
    <w:nsid w:val="62BBD95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11">
    <w:nsid w:val="436C6125"/>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2">
    <w:nsid w:val="628C895D"/>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3">
    <w:nsid w:val="333AB105"/>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decimal"/>
      <w:start w:val="1"/>
    </w:lvl>
    <w:lvl w:ilvl="4">
      <w:lvlJc w:val="left"/>
      <w:lvlText w:val="(%5)"/>
      <w:numFmt w:val="upperLetter"/>
      <w:start w:val="1"/>
    </w:lvl>
  </w:abstractNum>
  <w:abstractNum w:abstractNumId="14">
    <w:nsid w:val="721DA317"/>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2"/>
    </w:lvl>
  </w:abstractNum>
  <w:abstractNum w:abstractNumId="15">
    <w:nsid w:val="2443A858"/>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1"/>
    </w:lvl>
  </w:abstractNum>
  <w:abstractNum w:abstractNumId="16">
    <w:nsid w:val="2D1D5AE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7">
    <w:nsid w:val="6763845E"/>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8">
    <w:nsid w:val="75A2A8D4"/>
    <w:multiLevelType w:val="hybridMultilevel"/>
    <w:lvl w:ilvl="0">
      <w:lvlJc w:val="left"/>
      <w:lvlText w:val="%1"/>
      <w:numFmt w:val="decimal"/>
      <w:start w:val="1"/>
    </w:lvl>
    <w:lvl w:ilvl="1">
      <w:lvlJc w:val="left"/>
      <w:lvlText w:val="(%2)"/>
      <w:numFmt w:val="lowerLetter"/>
      <w:start w:val="8"/>
    </w:lvl>
  </w:abstractNum>
  <w:abstractNum w:abstractNumId="19">
    <w:nsid w:val="8EDBDAB"/>
    <w:multiLevelType w:val="hybridMultilevel"/>
    <w:lvl w:ilvl="0">
      <w:lvlJc w:val="left"/>
      <w:lvlText w:val="%1."/>
      <w:numFmt w:val="decimal"/>
      <w:start w:val="8"/>
    </w:lvl>
    <w:lvl w:ilvl="1">
      <w:lvlJc w:val="left"/>
      <w:lvlText w:val="(%2)"/>
      <w:numFmt w:val="lowerLetter"/>
      <w:start w:val="1"/>
    </w:lvl>
  </w:abstractNum>
  <w:abstractNum w:abstractNumId="20">
    <w:nsid w:val="79838CB2"/>
    <w:multiLevelType w:val="hybridMultilevel"/>
    <w:lvl w:ilvl="0">
      <w:lvlJc w:val="left"/>
      <w:lvlText w:val="(%1)"/>
      <w:numFmt w:val="lowerLetter"/>
      <w:start w:val="6"/>
    </w:lvl>
    <w:lvl w:ilvl="1">
      <w:lvlJc w:val="left"/>
      <w:lvlText w:val="(%2)"/>
      <w:numFmt w:val="lowerRoman"/>
      <w:start w:val="1"/>
    </w:lvl>
  </w:abstractNum>
  <w:abstractNum w:abstractNumId="21">
    <w:nsid w:val="4353D0CD"/>
    <w:multiLevelType w:val="hybridMultilevel"/>
    <w:lvl w:ilvl="0">
      <w:lvlJc w:val="left"/>
      <w:lvlText w:val="%1."/>
      <w:numFmt w:val="decimal"/>
      <w:start w:val="10"/>
    </w:lvl>
    <w:lvl w:ilvl="1">
      <w:lvlJc w:val="left"/>
      <w:lvlText w:val="(%2)"/>
      <w:numFmt w:val="lowerLetter"/>
      <w:start w:val="1"/>
    </w:lvl>
  </w:abstractNum>
  <w:abstractNum w:abstractNumId="22">
    <w:nsid w:val="B03E0C6"/>
    <w:multiLevelType w:val="hybridMultilevel"/>
    <w:lvl w:ilvl="0">
      <w:lvlJc w:val="left"/>
      <w:lvlText w:val="%1."/>
      <w:numFmt w:val="decimal"/>
      <w:start w:val="12"/>
    </w:lvl>
    <w:lvl w:ilvl="1">
      <w:lvlJc w:val="left"/>
      <w:lvlText w:val="(%2)"/>
      <w:numFmt w:val="lowerLetter"/>
      <w:start w:val="1"/>
    </w:lvl>
  </w:abstractNum>
  <w:abstractNum w:abstractNumId="23">
    <w:nsid w:val="189A769B"/>
    <w:multiLevelType w:val="hybridMultilevel"/>
    <w:lvl w:ilvl="0">
      <w:lvlJc w:val="left"/>
      <w:lvlText w:val="(%1)"/>
      <w:numFmt w:val="lowerLetter"/>
      <w:start w:val="4"/>
    </w:lvl>
  </w:abstractNum>
  <w:abstractNum w:abstractNumId="24">
    <w:nsid w:val="54E49EB4"/>
    <w:multiLevelType w:val="hybridMultilevel"/>
    <w:lvl w:ilvl="0">
      <w:lvlJc w:val="left"/>
      <w:lvlText w:val="%1."/>
      <w:numFmt w:val="decimal"/>
      <w:start w:val="14"/>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5"/>
    </w:lvl>
    <w:lvl w:ilvl="1">
      <w:lvlJc w:val="left"/>
      <w:lvlText w:val="%2"/>
      <w:numFmt w:val="lowerLetter"/>
      <w:start w:val="1"/>
    </w:lvl>
  </w:abstractNum>
  <w:abstractNum w:abstractNumId="27">
    <w:nsid w:val="836C40E"/>
    <w:multiLevelType w:val="hybridMultilevel"/>
    <w:lvl w:ilvl="0">
      <w:lvlJc w:val="left"/>
      <w:lvlText w:val="%1."/>
      <w:numFmt w:val="decimal"/>
      <w:start w:val="17"/>
    </w:lvl>
    <w:lvl w:ilvl="1">
      <w:lvlJc w:val="left"/>
      <w:lvlText w:val="(%2)"/>
      <w:numFmt w:val="lowerLetter"/>
      <w:start w:val="1"/>
    </w:lvl>
  </w:abstractNum>
  <w:abstractNum w:abstractNumId="28">
    <w:nsid w:val="2901D82"/>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3" Type="http://schemas.openxmlformats.org/officeDocument/2006/relationships/hyperlink" Target="https://www.sec.gov/ix?doc=/Archives/edgar/data/1107843/000114036126016101/ny20064597x1_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2026-06-11T15:11:00Z</dcterms:created>
  <dcterms:modified xsi:type="dcterms:W3CDTF">2026-06-11T15:11:00Z</dcterms:modified>
</cp:coreProperties>
</file>