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4,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001-35662</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77-0534145</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919 E. Hillsdale Boulevard, 4th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Foster City, California 94404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801-6100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07" w:type="dxa"/>
        <w:jc w:val="left"/>
        <w:tblInd w:w="0" w:type="dxa"/>
        <w:tblLayout w:type="fixed"/>
        <w:tblCellMar>
          <w:top w:w="28" w:type="dxa"/>
          <w:left w:w="28" w:type="dxa"/>
          <w:bottom w:w="28" w:type="dxa"/>
          <w:right w:w="28" w:type="dxa"/>
        </w:tblCellMar>
      </w:tblPr>
      <w:tblGrid>
        <w:gridCol w:w="1349"/>
        <w:gridCol w:w="1186"/>
        <w:gridCol w:w="1199"/>
        <w:gridCol w:w="109"/>
        <w:gridCol w:w="109"/>
        <w:gridCol w:w="109"/>
        <w:gridCol w:w="564"/>
        <w:gridCol w:w="564"/>
        <w:gridCol w:w="566"/>
        <w:gridCol w:w="109"/>
        <w:gridCol w:w="109"/>
        <w:gridCol w:w="109"/>
        <w:gridCol w:w="1118"/>
        <w:gridCol w:w="1118"/>
        <w:gridCol w:w="1589"/>
      </w:tblGrid>
      <w:tr>
        <w:trPr/>
        <w:tc>
          <w:tcPr>
            <w:tcW w:w="134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QLYS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2026, Qualys, Inc. (“Qualys”) issued a press release announcing its financial results for the quarter ended June 30, 2026. In the press release, Qualys also announced that it will hold a conference call on August 4, 2026, to discuss its financial results for the quarter ended June 30, 2026. The full text of the press release is attached hereto as Exhibit 99.1 and is incorporated herein by reference.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124" w:type="dxa"/>
        <w:jc w:val="left"/>
        <w:tblInd w:w="0" w:type="dxa"/>
        <w:tblLayout w:type="fixed"/>
        <w:tblCellMar>
          <w:top w:w="28" w:type="dxa"/>
          <w:left w:w="28" w:type="dxa"/>
          <w:bottom w:w="28" w:type="dxa"/>
          <w:right w:w="28" w:type="dxa"/>
        </w:tblCellMar>
      </w:tblPr>
      <w:tblGrid>
        <w:gridCol w:w="385"/>
        <w:gridCol w:w="338"/>
        <w:gridCol w:w="341"/>
        <w:gridCol w:w="2653"/>
        <w:gridCol w:w="2653"/>
        <w:gridCol w:w="375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lys-20260804xex991.htm">
              <w:r>
                <w:rPr>
                  <w:rStyle w:val="InternetLink"/>
                  <w:rFonts w:ascii="Times New Roman;serif" w:hAnsi="Times New Roman;serif"/>
                  <w:b w:val="false"/>
                  <w:color w:val="0000FF"/>
                  <w:sz w:val="20"/>
                  <w:u w:val="single"/>
                </w:rPr>
                <w:t>Press release issued by Qualys, Inc. dated August 4, 2026</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252" w:type="dxa"/>
        <w:jc w:val="left"/>
        <w:tblInd w:w="0" w:type="dxa"/>
        <w:tblLayout w:type="fixed"/>
        <w:tblCellMar>
          <w:top w:w="28" w:type="dxa"/>
          <w:left w:w="28" w:type="dxa"/>
          <w:bottom w:w="28" w:type="dxa"/>
          <w:right w:w="28" w:type="dxa"/>
        </w:tblCellMar>
      </w:tblPr>
      <w:tblGrid>
        <w:gridCol w:w="151"/>
        <w:gridCol w:w="134"/>
        <w:gridCol w:w="135"/>
        <w:gridCol w:w="819"/>
        <w:gridCol w:w="819"/>
        <w:gridCol w:w="82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246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Joo Mi Kim</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148590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85900" cy="50482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Qualys Announces Second Quarter 2026 Financial Results </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Q2 Revenue Growth of 11% Year-Over-Year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Raises 2026 Revenue Guidance to $732.0-$738.0 million</w:t>
      </w:r>
    </w:p>
    <w:p>
      <w:pPr>
        <w:pStyle w:val="TextBody"/>
        <w:bidi w:val="0"/>
        <w:spacing w:before="0" w:after="0"/>
        <w:jc w:val="center"/>
        <w:rPr/>
      </w:pPr>
      <w:r>
        <w:rPr/>
      </w:r>
    </w:p>
    <w:p>
      <w:pPr>
        <w:pStyle w:val="TextBody"/>
        <w:bidi w:val="0"/>
        <w:spacing w:lineRule="auto" w:line="288" w:before="120" w:after="283"/>
        <w:jc w:val="both"/>
        <w:rPr/>
      </w:pPr>
      <w:r>
        <w:rPr>
          <w:rFonts w:ascii="Times New Roman;serif" w:hAnsi="Times New Roman;serif"/>
          <w:b/>
          <w:color w:val="000000"/>
          <w:sz w:val="20"/>
        </w:rPr>
        <w:t xml:space="preserve">FOSTER CITY, Calif., </w:t>
      </w:r>
      <w:r>
        <w:rPr>
          <w:color w:val="000000"/>
        </w:rPr>
        <w:t xml:space="preserve">– </w:t>
      </w:r>
      <w:r>
        <w:rPr>
          <w:rFonts w:ascii="Times New Roman;serif" w:hAnsi="Times New Roman;serif"/>
          <w:b/>
          <w:color w:val="000000"/>
          <w:sz w:val="20"/>
        </w:rPr>
        <w:t xml:space="preserve">August 4, 2026 </w:t>
      </w:r>
      <w:r>
        <w:rPr>
          <w:color w:val="000000"/>
        </w:rPr>
        <w:t xml:space="preserve">– </w:t>
      </w:r>
      <w:r>
        <w:rPr>
          <w:rFonts w:ascii="Times New Roman;serif" w:hAnsi="Times New Roman;serif"/>
          <w:b w:val="false"/>
          <w:color w:val="000000"/>
          <w:sz w:val="20"/>
          <w:u w:val="single"/>
        </w:rPr>
        <w:t>Qualys, Inc.</w:t>
      </w:r>
      <w:r>
        <w:rPr>
          <w:color w:val="000000"/>
        </w:rPr>
        <w:t xml:space="preserve"> </w:t>
      </w:r>
      <w:r>
        <w:rPr>
          <w:rFonts w:ascii="Times New Roman;serif" w:hAnsi="Times New Roman;serif"/>
          <w:b w:val="false"/>
          <w:color w:val="000000"/>
          <w:sz w:val="20"/>
        </w:rPr>
        <w:t xml:space="preserve">(NASDAQ: </w:t>
      </w:r>
      <w:r>
        <w:rPr>
          <w:rFonts w:ascii="Times New Roman;serif" w:hAnsi="Times New Roman;serif"/>
          <w:b w:val="false"/>
          <w:color w:val="000000"/>
          <w:sz w:val="20"/>
          <w:u w:val="single"/>
        </w:rPr>
        <w:t>QLYS</w:t>
      </w:r>
      <w:r>
        <w:rPr>
          <w:rFonts w:ascii="Times New Roman;serif" w:hAnsi="Times New Roman;serif"/>
          <w:b w:val="false"/>
          <w:color w:val="000000"/>
          <w:sz w:val="20"/>
        </w:rPr>
        <w:t>), a leading provider of disruptive cloud-based IT, security and compliance solutions, today announced financial results for the second quarter ended June 30, 2026. For the quarter, the Company reported revenues of $182.2 million, net income under United States Generally Accepted Accounting Principles (“GAAP”) of $52.4 million, non-GAAP net income of $69.2 million, Adjusted EBITDA of $83.8 million, GAAP net income per diluted share of $1.50, and non-GAAP net income per diluted share of $1.98.</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In Q2, we continued to execute well, demonstrated by another quarter of solid revenue growth and profitability,” said Sumedh Thakar, Qualys’ president and CEO. “Qualys’ continuous innovation spanning AI for security and security for AI, growing AI-native Risk Operations Center adoption powered by our Enterprise TruRisk Management solution, a growing federal pipeline of new business opportunity, strong partner-led execution, and promising early QFlex engagement continue to reinforce the demand we’re seeing for a unified risk management platform that autonomously moves beyond theoretical exposure to validated, quantified, and remediated risk at the speed of modern attacks in multi-vendor environments. We believe these achievements not only advance our strong competitive differentiation but also sharpen the market opportunity ahead of us and bolster our confidence in reaccelerating long-term growth in the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288" w:before="120" w:after="283"/>
        <w:jc w:val="both"/>
        <w:rPr/>
      </w:pPr>
      <w:r>
        <w:rPr>
          <w:rFonts w:ascii="Times New Roman;serif" w:hAnsi="Times New Roman;serif"/>
          <w:b/>
          <w:color w:val="000000"/>
          <w:sz w:val="20"/>
        </w:rPr>
        <w:t>Revenues:</w:t>
      </w:r>
      <w:r>
        <w:rPr>
          <w:color w:val="000000"/>
        </w:rPr>
        <w:t xml:space="preserve"> </w:t>
      </w:r>
      <w:r>
        <w:rPr>
          <w:rFonts w:ascii="Times New Roman;serif" w:hAnsi="Times New Roman;serif"/>
          <w:b w:val="false"/>
          <w:color w:val="000000"/>
          <w:sz w:val="20"/>
        </w:rPr>
        <w:t>Revenues for the second quarter of 2026 increased by 11% to $182.2 million compared to $164.1 million for the same quarter in 2025.</w:t>
      </w:r>
    </w:p>
    <w:p>
      <w:pPr>
        <w:pStyle w:val="TextBody"/>
        <w:bidi w:val="0"/>
        <w:spacing w:lineRule="auto" w:line="288" w:before="240" w:after="283"/>
        <w:jc w:val="both"/>
        <w:rPr/>
      </w:pPr>
      <w:r>
        <w:rPr>
          <w:rFonts w:ascii="Times New Roman;serif" w:hAnsi="Times New Roman;serif"/>
          <w:b/>
          <w:color w:val="000000"/>
          <w:sz w:val="20"/>
        </w:rPr>
        <w:t>Gross Profit:</w:t>
      </w:r>
      <w:r>
        <w:rPr>
          <w:color w:val="000000"/>
        </w:rPr>
        <w:t xml:space="preserve"> </w:t>
      </w:r>
      <w:r>
        <w:rPr>
          <w:rFonts w:ascii="Times New Roman;serif" w:hAnsi="Times New Roman;serif"/>
          <w:b w:val="false"/>
          <w:color w:val="000000"/>
          <w:sz w:val="20"/>
        </w:rPr>
        <w:t xml:space="preserve">GAAP gross profit for the second quarter of 2026 increased by 12% to $151.9 million compared to $135.2 million for the same quarter in 2025. GAAP gross margin was 83% for the second quarter of 2026 compared to 82% for the same quarter in 2025. Non-GAAP gross profit for the second quarter of 2026 increased by 12% to $154.5 million compared to $137.8 million for the same quarter in 2025. Non-GAAP gross margin was 85% for the second quarter of 2026 compared to 84% for the same quarter in 2025. </w:t>
      </w:r>
    </w:p>
    <w:p>
      <w:pPr>
        <w:pStyle w:val="TextBody"/>
        <w:bidi w:val="0"/>
        <w:spacing w:lineRule="auto" w:line="288" w:before="240" w:after="283"/>
        <w:jc w:val="both"/>
        <w:rPr/>
      </w:pPr>
      <w:r>
        <w:rPr>
          <w:rFonts w:ascii="Times New Roman;serif" w:hAnsi="Times New Roman;serif"/>
          <w:b/>
          <w:color w:val="000000"/>
          <w:sz w:val="20"/>
        </w:rPr>
        <w:t>Operating Income:</w:t>
      </w:r>
      <w:r>
        <w:rPr>
          <w:color w:val="000000"/>
        </w:rPr>
        <w:t xml:space="preserve"> </w:t>
      </w:r>
      <w:r>
        <w:rPr>
          <w:rFonts w:ascii="Times New Roman;serif" w:hAnsi="Times New Roman;serif"/>
          <w:b w:val="false"/>
          <w:color w:val="000000"/>
          <w:sz w:val="20"/>
        </w:rPr>
        <w:t xml:space="preserve">GAAP operating income for the second quarter of 2026 increased by 20% to $61.9 million compared to $51.4 million for the same quarter in 2025. As a percentage of revenues, GAAP operating income was 34% for the second quarter of 2026 compared to 31% for the same quarter in 2025. Non-GAAP operating income for the second quarter of 2026 increased by 16% to $81.4 million compared to $70.1 million for the same quarter in 2025. As a percentage of revenues, non-GAAP operating income was 45% for the second quarter of 2026 compared to 43% for the same quarter in 2025. </w:t>
      </w:r>
    </w:p>
    <w:p>
      <w:pPr>
        <w:pStyle w:val="TextBody"/>
        <w:bidi w:val="0"/>
        <w:spacing w:lineRule="auto" w:line="288" w:before="240" w:after="283"/>
        <w:jc w:val="both"/>
        <w:rPr/>
      </w:pPr>
      <w:r>
        <w:rPr>
          <w:rFonts w:ascii="Times New Roman;serif" w:hAnsi="Times New Roman;serif"/>
          <w:b/>
          <w:color w:val="000000"/>
          <w:sz w:val="20"/>
        </w:rPr>
        <w:t>Net Income:</w:t>
      </w:r>
      <w:r>
        <w:rPr>
          <w:color w:val="000000"/>
        </w:rPr>
        <w:t xml:space="preserve"> </w:t>
      </w:r>
      <w:r>
        <w:rPr>
          <w:rFonts w:ascii="Times New Roman;serif" w:hAnsi="Times New Roman;serif"/>
          <w:b w:val="false"/>
          <w:color w:val="000000"/>
          <w:sz w:val="20"/>
        </w:rPr>
        <w:t xml:space="preserve">GAAP net income for the second quarter of 2026 increased by 11% to $52.4 million, or $1.50 per diluted share, compared to $47.3 million, or $1.29 per diluted share, for the same quarter in 2025. As a percentage of revenues, GAAP net income was 29% for both the second quarter of 2026 and for the same quarter in 2025. Non-GAAP net income for the second quarter of 2026 increased by 13% to $69.2 million, or $1.98 per diluted share, compared to $61.2 million, or $1.68 per diluted share, for the same quarter in 2025. As a percentage of revenues, non-GAAP net income was 38% for the second quarter of 2026 compared to 37% for the same quarter in 2025. </w:t>
      </w:r>
    </w:p>
    <w:p>
      <w:pPr>
        <w:pStyle w:val="TextBody"/>
        <w:bidi w:val="0"/>
        <w:spacing w:lineRule="auto" w:line="288" w:before="240" w:after="283"/>
        <w:jc w:val="both"/>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Adjusted EBITDA (a non-GAAP financial measure) for the second quarter of 2026 increased by 14% to $83.8 million compared to $73.4 million for the same quarter in 2025. As a percentage of revenues, Adjusted EBITDA was 46% for the second quarter of 2026 compared to 45%</w:t>
      </w:r>
      <w:r>
        <w:rPr>
          <w:color w:val="000000"/>
        </w:rPr>
        <w:t xml:space="preserve"> </w:t>
      </w:r>
      <w:r>
        <w:rPr>
          <w:rFonts w:ascii="Times New Roman;serif" w:hAnsi="Times New Roman;serif"/>
          <w:b w:val="false"/>
          <w:color w:val="000000"/>
          <w:sz w:val="20"/>
        </w:rPr>
        <w:t xml:space="preserve">for the same quarter in 2025.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color w:val="000000"/>
          <w:sz w:val="20"/>
        </w:rPr>
        <w:t>Operating Cash Flow:</w:t>
      </w:r>
      <w:r>
        <w:rPr>
          <w:color w:val="000000"/>
        </w:rPr>
        <w:t xml:space="preserve"> </w:t>
      </w:r>
      <w:r>
        <w:rPr>
          <w:rFonts w:ascii="Times New Roman;serif" w:hAnsi="Times New Roman;serif"/>
          <w:b w:val="false"/>
          <w:color w:val="000000"/>
          <w:sz w:val="20"/>
        </w:rPr>
        <w:t xml:space="preserve">Operating cash flow for the second quarter of 2026 increased by 77% to $59.6 million compared to $33.8 million for the same quarter in 2025. As a percentage of revenues, operating cash flow was 33% for the second quarter of 2026 compared to 21% for the same quarter in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 Quarter 2026 Business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Qualys’ TotalCloud solution achieved FedRAMP High Authorization, sponsored by the U.S. Drug Enforcement Administration (DEA). This extends the Qualys Government Platform's authorization to include Cloud-Native Application Protection Platform (CNAPP) capabilities and makes TotalCloud available through the FedRAMP Marketplace for federal agencies and other highly regulated organizations.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Qualys collaborated with leading AI and cybersecurity organizations, Anthropic Project Glasswing and Open AI’s Trusted Access for Cyber program, to help advance the secure and responsible deployment of frontier AI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Qualys was recognized by Frost &amp; Sullivan in two 2026 Frost Radar™ reports as a Visionary Leader in Cloud and Application Runtime Security and a Leading Technology Player in Cloud-Native Application Protection Platforms (CNAPP).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Qualys and Converge announced a joint offering that rewards organizations for demonstrated cybersecurity compliance. The collaboration allows Qualys customers who actively manage and prove strong security hygiene with Enterprise TruRisk Management (ETM) to potentially qualify for reduced cyber insurance premiums from Converge.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Hosted ROCon user conferences in London, Milan, Sydney, and Washington, D.C., bringing together security leaders to explore strategies for translating cyber risk into measurable business outcomes in the age of frontier AI.</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Performance 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information as of today, August 4, 2026, Qualys is issuing the following financial guidance for the third quarter and full year fiscal 2026. The Company emphasizes that the guidance is subject to various important cautionary factors referenced in the sections entitled “Legal Notice Regarding Forward-Looking Statements” and “Non-GAAP Financial Measures” below. </w:t>
      </w:r>
    </w:p>
    <w:p>
      <w:pPr>
        <w:pStyle w:val="TextBody"/>
        <w:bidi w:val="0"/>
        <w:spacing w:lineRule="auto" w:line="288" w:before="240" w:after="283"/>
        <w:jc w:val="both"/>
        <w:rPr/>
      </w:pPr>
      <w:r>
        <w:rPr>
          <w:rFonts w:ascii="Times New Roman;serif" w:hAnsi="Times New Roman;serif"/>
          <w:b/>
          <w:color w:val="000000"/>
          <w:sz w:val="20"/>
        </w:rPr>
        <w:t>Third Quarter 2026 Guidance:</w:t>
      </w:r>
      <w:r>
        <w:rPr>
          <w:color w:val="000000"/>
        </w:rPr>
        <w:t xml:space="preserve"> </w:t>
      </w:r>
      <w:r>
        <w:rPr>
          <w:rFonts w:ascii="Times New Roman;serif" w:hAnsi="Times New Roman;serif"/>
          <w:b w:val="false"/>
          <w:color w:val="000000"/>
          <w:sz w:val="20"/>
        </w:rPr>
        <w:t xml:space="preserve">Management expects revenues for the third quarter of 2026 to be in the range of $185.5 million to $187.5 million, representing 9% to 10% growth over the same quarter in 2025. GAAP net income per diluted share is expected to be in the range of $1.43 to $1.50, which assumes an effective income tax rate of 21%. Non-GAAP net income per diluted share is expected to be in the range of $1.91 to $1.98, which assumes a non-GAAP effective income tax rate of 20%. Third quarter 2026 net income per diluted share estimates are based on approximately 35.0 million weighted average diluted shares outstanding for the quarter. </w:t>
      </w:r>
    </w:p>
    <w:p>
      <w:pPr>
        <w:pStyle w:val="TextBody"/>
        <w:bidi w:val="0"/>
        <w:spacing w:lineRule="auto" w:line="288" w:before="240" w:after="283"/>
        <w:jc w:val="both"/>
        <w:rPr/>
      </w:pPr>
      <w:r>
        <w:rPr>
          <w:rFonts w:ascii="Times New Roman;serif" w:hAnsi="Times New Roman;serif"/>
          <w:b/>
          <w:color w:val="000000"/>
          <w:sz w:val="20"/>
        </w:rPr>
        <w:t>Full Year 2026 Guidance:</w:t>
      </w:r>
      <w:r>
        <w:rPr>
          <w:color w:val="000000"/>
        </w:rPr>
        <w:t xml:space="preserve"> </w:t>
      </w:r>
      <w:r>
        <w:rPr>
          <w:rFonts w:ascii="Times New Roman;serif" w:hAnsi="Times New Roman;serif"/>
          <w:b w:val="false"/>
          <w:color w:val="000000"/>
          <w:sz w:val="20"/>
        </w:rPr>
        <w:t xml:space="preserve">Management now expects revenues for the full year of 2026 to be in the range of $732.0 million to $738.0 million, representing 9% to 10% growth over 2025. This compares to the previous guidance range of $721.0 million to $727.0 million. GAAP net income per diluted share is now expected to be in the range of $5.76 to $5.90, up from the previous guidance range of $5.40 to $5.61. This assumes an effective income tax rate of 21%. Non-GAAP net income per diluted share is now expected to be in the range of $7.74 to $7.88, up from the previous guidance range of $7.44 to $7.65. This assumes a non-GAAP effective income tax rate of 20%. Full year 2026 net income per diluted share estimates are based on approximately 35.2 million weighted average diluted shares outstanding.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Qualys has not reconciled non-GAAP net income per diluted share guidance to GAAP net income per diluted share guidance because Qualys does not provide guidance on the various reconciling cash and non-cash items between GAAP net income and non-GAAP net income (i.e., stock-based compensation, amortization of intangible assets from acquisitions and non-recurring items). The actual dollar amount of reconciling items in the third quarter and full year 2026 is likely to have a significant impact on the Company’s GAAP net income per diluted share in the third quarter and full year 2026. A reconciliation of the non-GAAP net income per diluted share guidance to the GAAP net income per diluted share guidance is not available without unreasonable effort.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Investor Conference Call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Qualys will host a conference call and live webcast to discuss its second quarter financial results at 5:00 p.m. Eastern Time (2:00 p.m. Pacific Time) on Tuesday, August 4, 2026. To access the conference call by phone, please register here. A live webcast of the earnings conference call, investor presentation and prepared remarks can be accessed at https://investor.qualys.com/events-presentations. A replay of the conference call will be available through the same webcast link following the end of the call.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Investor Contact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Blair King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Senior Vice President, Investor Relations and Financial Planning &amp; Analysis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(650) 538-2088</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ir@qualys.com</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About Qualys</w:t>
      </w:r>
    </w:p>
    <w:p>
      <w:pPr>
        <w:pStyle w:val="TextBody"/>
        <w:bidi w:val="0"/>
        <w:spacing w:lineRule="auto" w:line="288" w:before="120" w:after="283"/>
        <w:jc w:val="both"/>
        <w:rPr/>
      </w:pPr>
      <w:r>
        <w:rPr>
          <w:rFonts w:ascii="Times New Roman;serif" w:hAnsi="Times New Roman;serif"/>
          <w:b w:val="false"/>
          <w:color w:val="000000"/>
          <w:sz w:val="20"/>
        </w:rPr>
        <w:t xml:space="preserve">Qualys, Inc. (NASDAQ: </w:t>
      </w:r>
      <w:r>
        <w:rPr>
          <w:rFonts w:ascii="Times New Roman;serif" w:hAnsi="Times New Roman;serif"/>
          <w:b w:val="false"/>
          <w:color w:val="000000"/>
          <w:sz w:val="20"/>
          <w:u w:val="single"/>
        </w:rPr>
        <w:t>QLYS</w:t>
      </w:r>
      <w:r>
        <w:rPr>
          <w:rFonts w:ascii="Times New Roman;serif" w:hAnsi="Times New Roman;serif"/>
          <w:b w:val="false"/>
          <w:color w:val="000000"/>
          <w:sz w:val="20"/>
        </w:rPr>
        <w:t xml:space="preserve">) is a leading provider of disruptive cloud-based Security, Compliance and IT solutions with more than 10,000 subscription customers worldwide, including a majority of the Forbes Global 100 and Fortune 100. Qualys helps organizations streamline and consolidate their security and compliance solutions onto a single platform for greater agility, better business outcomes, and substantial cost savings. </w:t>
      </w:r>
    </w:p>
    <w:p>
      <w:pPr>
        <w:pStyle w:val="TextBody"/>
        <w:bidi w:val="0"/>
        <w:spacing w:lineRule="auto" w:line="288" w:before="240" w:after="283"/>
        <w:jc w:val="both"/>
        <w:rPr/>
      </w:pPr>
      <w:r>
        <w:rPr>
          <w:rFonts w:ascii="Times New Roman;serif" w:hAnsi="Times New Roman;serif"/>
          <w:b w:val="false"/>
          <w:color w:val="000000"/>
          <w:sz w:val="20"/>
        </w:rPr>
        <w:t xml:space="preserve">The Qualys Enterprise TruRisk Platform leverages a single agent to continuously deliver critical security intelligence while enabling enterprises to automate the full spectrum of vulnerability detection, compliance, and protection for IT systems, workloads and web applications across on premises, endpoints, servers, public and private clouds, containers, and mobile devices. Founded in 1999 as one of the first SaaS security companies, Qualys has strategic partnerships and seamlessly integrates its vulnerability management capabilities into security offerings from cloud service providers, including Amazon Web Services, the Google Cloud Platform and Microsoft Azure, along with a number of leading managed service providers and global consulting organizations. For more information, please visit </w:t>
      </w:r>
      <w:r>
        <w:rPr>
          <w:rFonts w:ascii="Times New Roman;serif" w:hAnsi="Times New Roman;serif"/>
          <w:b w:val="false"/>
          <w:color w:val="000000"/>
          <w:sz w:val="20"/>
          <w:u w:val="single"/>
        </w:rPr>
        <w:t>www.qualys.com</w:t>
      </w:r>
      <w:r>
        <w:rPr>
          <w:rFonts w:ascii="Times New Roman;serif" w:hAnsi="Times New Roman;serif"/>
          <w:b w:val="false"/>
          <w:color w:val="000000"/>
          <w:sz w:val="20"/>
        </w:rPr>
        <w:t xml:space="preserve">. </w:t>
      </w:r>
    </w:p>
    <w:p>
      <w:pPr>
        <w:pStyle w:val="TextBody"/>
        <w:bidi w:val="0"/>
        <w:spacing w:lineRule="auto" w:line="288" w:before="240" w:after="283"/>
        <w:jc w:val="both"/>
        <w:rPr/>
      </w:pPr>
      <w:r>
        <w:rPr>
          <w:rFonts w:ascii="Times New Roman;serif" w:hAnsi="Times New Roman;serif"/>
          <w:b w:val="false"/>
          <w:i/>
          <w:color w:val="000000"/>
          <w:sz w:val="20"/>
        </w:rPr>
        <w:t>Qualys, Qualys VMDR</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and the Qualys logo are proprietary trademarks of Qualys, Inc. All other products or names may be trademarks of their respective companies.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Notice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and Section 21E of the Securities Exchange Act of 1934. Forward-looking statements generally relate to future events or our future financial or operating performance. Forward-looking statements in this press release include, but are not limited to, quotations of management and statements related to: the benefits of our existing, new and upcoming products, features, integrations, collaborations and joint solutions, and their impact upon our long-term growth; our expectations regarding AI for security and security for AI; our expectations regarding business opportunities with the federal government; our expectations regarding our business partners; our ability to advance our value proposition and competitive differentiation in the market; our ability to address demand trends; our ability to maintain and strengthen our category leadership; our ability to solve modern security challenges at scale; our strategies and ability to achieve and maintain durable profitable growth; our guidance for revenues, GAAP EPS and non-GAAP EPS for the third quarter and full year 2026; and our expectations for the number of weighted average diluted shares outstanding and the GAAP and non-GAAP effective income tax rate for the third quarter and full year 2026. Our expectations and beliefs regarding these matters may not materialize, and actual results in future periods are subject to risks and uncertainties that could cause actual results to differ materially from those projected. These risks include our ability to continue to develop platform capabilities and solutions; the ability of our platform and solutions to perform as intended; customer acceptance and purchase of our existing solutions and new solutions; real or perceived defects, errors or vulnerabilities in our products or services; our ability to retain existing customers and generate new customers; the budgeting cycles and seasonal buying patterns of our customers; our ability to maintain government authorizations applicable to our platform; general market, political, economic and business conditions in the United States as well as globally; our ability to manage costs as we increase our customer base and the number of our platform solutions; the market for cloud solutions for IT security and compliance not increasing at the rate we expect; competition from other products and services; fluctuations in currency exchange rates; unexpected fluctuations in our effective income tax rate on a GAAP and non-GAAP basis; our ability to effectively manage our rapid growth and our ability to anticipate future market needs and opportunities; and any unanticipated accounting charges. The forward-looking statements contained in this press release are also subject to other risks and uncertainties, including those more fully described in our filings with the Securities and Exchange Commission, including our Annual Report on Form 10-K and Quarterly Reports on Form 10-Q.</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 this press release are based on information available to Qualys as of the date hereof, and Qualys disclaims any obligation to update any forward-looking statements, except as required by law.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reporting financial results in accordance with GAAP, Qualys provides investors with certain non-GAAP financial measures, including non-GAAP gross profit, non-GAAP gross margin, non-GAAP operating expenses, non-GAAP operating income, non-GAAP net income, non-GAAP net income per diluted share, Adjusted EBITDA (defined as earnings before interest expense, interest income and other income (expense), net, income taxes, depreciation, amortization, and stock-based compensation) and non-GAAP free cash flows (defined as cash provided by operating activities less purchases of property and equipment, net of proceeds from disposal).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computing non-GAAP financial measures, Qualys excludes the effects of stock-based compensation expense, amortization of intangible assets from acquisitions, non-recurring items and for non-GAAP net income, impairment of non-marketable securities and certain tax effects. Qualys believes that these non-GAAP financial measures help illustrate underlying trends in its business that could otherwise be masked by the effect of the income or expenses that are excluded in non-GAAP gross profit, non-GAAP gross margin, non-GAAP operating expenses, non-GAAP operating income, non-GAAP net income, non-GAAP net income per diluted share, Adjusted EBITDA and non-GAAP free cash flows.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Qualys uses some of these non-GAAP financial measures to establish budgets and operational goals for managing its business and evaluating its performance. Qualys believes that non-GAAP gross profit, non-GAAP gross margin, non-GAAP operating expenses, non-GAAP operating income, non-GAAP net income, non-GAAP net income per diluted share, Adjusted EBITDA and non-GAAP free cash flows provide additional tools for investors to use in comparing its recurring core business operating results over multiple periods with other companies in its industry.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Qualys does not focus on or use quarterly billings in managing or monitoring the performance of its business, Qualys provides calculated current billings (defined as total revenues recognized in a period plus the sequential change in current deferred revenue in the corresponding period) for the convenience of investors and analysts in building their own financial models.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provide a more complete picture of recurring core operating business results, the Company’s non-GAAP net income and non-GAAP net income per diluted share include adjustments for non-recurring income tax items and certain tax effects of non-GAAP adjustments to achieve the effective income tax rate on a non-GAAP basis. The Company’s non-GAAP effective tax rate may differ from the GAAP effective income tax rate as a result of these income tax adjustments. The Company believes its estimated non-GAAP effective income tax rate of 20% in 2026 is a reasonable estimate under its current global operating structure and core business operations. The Company may adjust this rate during the year to take into account events or trends that it believes materially impact the estimated annual rate. The non-GAAP effective income tax rate could be subject to change for a number of reasons, including but not limited to, significant changes resulting from tax legislation, material changes in geographic mix of revenues and expenses and other significant events.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this non-GAAP financial information is not intended to be considered in isolation or as a substitute for results prepared in accordance with GAAP. A reconciliation of the non-GAAP financial measures discussed in this press release to the most directly comparable GAAP financial measures is included with the financial statements contained in this press release. Management uses both GAAP and non-GAAP information in evaluating and operating its business internally and as such has determined that it is important to provide this information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716"/>
        <w:gridCol w:w="1433"/>
        <w:gridCol w:w="14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1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Research and development</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income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36,359</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36,651</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as follows: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amounts capitalized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6414" w:type="dxa"/>
        <w:jc w:val="left"/>
        <w:tblInd w:w="0" w:type="dxa"/>
        <w:tblLayout w:type="fixed"/>
        <w:tblCellMar>
          <w:top w:w="28" w:type="dxa"/>
          <w:left w:w="28" w:type="dxa"/>
          <w:bottom w:w="28" w:type="dxa"/>
          <w:right w:w="28" w:type="dxa"/>
        </w:tblCellMar>
      </w:tblPr>
      <w:tblGrid>
        <w:gridCol w:w="1243"/>
        <w:gridCol w:w="1097"/>
        <w:gridCol w:w="1110"/>
        <w:gridCol w:w="211"/>
        <w:gridCol w:w="976"/>
        <w:gridCol w:w="109"/>
        <w:gridCol w:w="109"/>
        <w:gridCol w:w="109"/>
        <w:gridCol w:w="109"/>
        <w:gridCol w:w="211"/>
        <w:gridCol w:w="97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 right of use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383" w:type="dxa"/>
        <w:jc w:val="left"/>
        <w:tblInd w:w="0" w:type="dxa"/>
        <w:tblLayout w:type="fixed"/>
        <w:tblCellMar>
          <w:top w:w="28" w:type="dxa"/>
          <w:left w:w="28" w:type="dxa"/>
          <w:bottom w:w="28" w:type="dxa"/>
          <w:right w:w="28" w:type="dxa"/>
        </w:tblCellMar>
      </w:tblPr>
      <w:tblGrid>
        <w:gridCol w:w="2431"/>
        <w:gridCol w:w="2141"/>
        <w:gridCol w:w="2147"/>
        <w:gridCol w:w="211"/>
        <w:gridCol w:w="826"/>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non-marketable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amounts capitalized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marketable securities,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through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Qualys,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NON-GAAP DISCLOSURES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ADJUSTED EBITDA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percentages) </w:t>
      </w:r>
    </w:p>
    <w:tbl>
      <w:tblPr>
        <w:tblW w:w="10205" w:type="dxa"/>
        <w:jc w:val="left"/>
        <w:tblInd w:w="0" w:type="dxa"/>
        <w:tblLayout w:type="fixed"/>
        <w:tblCellMar>
          <w:top w:w="28" w:type="dxa"/>
          <w:left w:w="28" w:type="dxa"/>
          <w:bottom w:w="28" w:type="dxa"/>
          <w:right w:w="28" w:type="dxa"/>
        </w:tblCellMar>
      </w:tblPr>
      <w:tblGrid>
        <w:gridCol w:w="1538"/>
        <w:gridCol w:w="1306"/>
        <w:gridCol w:w="1311"/>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8"/>
      </w:tblGrid>
      <w:tr>
        <w:trPr/>
        <w:tc>
          <w:tcPr>
            <w:tcW w:w="153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a percentage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148,183 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revenues</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Qualys,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NON-GAAP DISCLOSURES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787"/>
        <w:gridCol w:w="1400"/>
        <w:gridCol w:w="14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Cost of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271,507 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Sales and marketing</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Impairment of non-marketable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Tax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122,659 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GAAP and non-GAAP 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36,359</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Qualys,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NON-GAAP DISCLOSURES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FREE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243" w:type="dxa"/>
        <w:jc w:val="left"/>
        <w:tblInd w:w="0" w:type="dxa"/>
        <w:tblLayout w:type="fixed"/>
        <w:tblCellMar>
          <w:top w:w="28" w:type="dxa"/>
          <w:left w:w="28" w:type="dxa"/>
          <w:bottom w:w="28" w:type="dxa"/>
          <w:right w:w="28" w:type="dxa"/>
        </w:tblCellMar>
      </w:tblPr>
      <w:tblGrid>
        <w:gridCol w:w="2019"/>
        <w:gridCol w:w="1777"/>
        <w:gridCol w:w="1783"/>
        <w:gridCol w:w="211"/>
        <w:gridCol w:w="826"/>
        <w:gridCol w:w="109"/>
        <w:gridCol w:w="109"/>
        <w:gridCol w:w="109"/>
        <w:gridCol w:w="109"/>
        <w:gridCol w:w="211"/>
        <w:gridCol w:w="826"/>
        <w:gridCol w:w="154"/>
      </w:tblGrid>
      <w:tr>
        <w:trPr/>
        <w:tc>
          <w:tcPr>
            <w:tcW w:w="201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Cash flows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net of proceeds from disposal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139,994 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Qualys,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NON-GAAP DISCLOSURES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CALCULATED CURRENT BILLINGS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tbl>
      <w:tblPr>
        <w:tblW w:w="9048" w:type="dxa"/>
        <w:jc w:val="left"/>
        <w:tblInd w:w="0" w:type="dxa"/>
        <w:tblLayout w:type="fixed"/>
        <w:tblCellMar>
          <w:top w:w="28" w:type="dxa"/>
          <w:left w:w="28" w:type="dxa"/>
          <w:bottom w:w="28" w:type="dxa"/>
          <w:right w:w="28" w:type="dxa"/>
        </w:tblCellMar>
      </w:tblPr>
      <w:tblGrid>
        <w:gridCol w:w="2191"/>
        <w:gridCol w:w="1930"/>
        <w:gridCol w:w="1939"/>
        <w:gridCol w:w="211"/>
        <w:gridCol w:w="826"/>
        <w:gridCol w:w="271"/>
        <w:gridCol w:w="109"/>
        <w:gridCol w:w="109"/>
        <w:gridCol w:w="109"/>
        <w:gridCol w:w="211"/>
        <w:gridCol w:w="826"/>
        <w:gridCol w:w="316"/>
      </w:tblGrid>
      <w:tr>
        <w:trPr/>
        <w:tc>
          <w:tcPr>
            <w:tcW w:w="219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Revenue growth compared to same quarter of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Current deferred revenue at June 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deferred revenue at March 31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Calculated current billings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Calculated current billings growth compared to same quarter of prior year</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4518</Words>
  <Characters>25375</Characters>
  <CharactersWithSpaces>29453</CharactersWithSpaces>
  <Paragraphs>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