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5, 2026</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QUALYS, INC.</w:t>
      </w:r>
    </w:p>
    <w:p>
      <w:pPr>
        <w:sectPr>
          <w:pgSz w:w="11900" w:h="16838" w:orient="portrait"/>
          <w:cols w:equalWidth="0" w:num="1">
            <w:col w:w="11240"/>
          </w:cols>
          <w:pgMar w:left="320" w:top="125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ind w:left="12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001-35662</w:t>
      </w:r>
    </w:p>
    <w:p>
      <w:pPr>
        <w:spacing w:after="0" w:line="50"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0"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96" w:lineRule="exact"/>
        <w:rPr>
          <w:sz w:val="24"/>
          <w:szCs w:val="24"/>
          <w:color w:val="auto"/>
        </w:rPr>
      </w:pPr>
    </w:p>
    <w:p>
      <w:pPr>
        <w:jc w:val="center"/>
        <w:ind w:left="-19" w:right="140"/>
        <w:spacing w:after="0" w:line="268" w:lineRule="auto"/>
        <w:rPr>
          <w:sz w:val="20"/>
          <w:szCs w:val="20"/>
          <w:color w:val="auto"/>
        </w:rPr>
      </w:pPr>
      <w:r>
        <w:rPr>
          <w:rFonts w:ascii="Times New Roman" w:cs="Times New Roman" w:eastAsia="Times New Roman" w:hAnsi="Times New Roman"/>
          <w:sz w:val="18"/>
          <w:szCs w:val="18"/>
          <w:b w:val="1"/>
          <w:bCs w:val="1"/>
          <w:color w:val="auto"/>
        </w:rPr>
        <w:t>919 E. Hillsdale Boulevard, 4th Floor Foster City, California 94404 (Address of principal executive offices, including zip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801-6100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4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77-0534145</w:t>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403" w:lineRule="exact"/>
        <w:rPr>
          <w:sz w:val="24"/>
          <w:szCs w:val="24"/>
          <w:color w:val="auto"/>
        </w:rPr>
      </w:pPr>
    </w:p>
    <w:p>
      <w:pPr>
        <w:sectPr>
          <w:pgSz w:w="11900" w:h="16838" w:orient="portrait"/>
          <w:cols w:equalWidth="0" w:num="3">
            <w:col w:w="2900" w:space="340"/>
            <w:col w:w="4760" w:space="660"/>
            <w:col w:w="2580"/>
          </w:cols>
          <w:pgMar w:left="320" w:top="1256" w:right="339" w:bottom="1440" w:gutter="0" w:footer="0" w:header="0"/>
          <w:type w:val="continuous"/>
        </w:sect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2"/>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QLYS</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8"/>
          <w:szCs w:val="18"/>
          <w:color w:val="auto"/>
        </w:rPr>
        <w:t>On February 5, 2026, Qualys, Inc. (“Qualys”) issued a press release announcing its financial results for the quarter and fiscal year ended December 31, 2025. In the press release, Qualys also announced that it will hold a conference call on February 5, 2026, to discuss its financial results for the quarter and fiscal year ended December 31, 2025. The full text of the press release is attached hereto as Exhibit 99.1 and is incorporated herein by reference.</w:t>
      </w:r>
    </w:p>
    <w:p>
      <w:pPr>
        <w:spacing w:after="0" w:line="40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No. Description</w:t>
      </w:r>
    </w:p>
    <w:p>
      <w:pPr>
        <w:spacing w:after="0" w:line="11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Qualys, Inc. dated February 5, 2026</w:t>
      </w:r>
    </w:p>
    <w:p>
      <w:pPr>
        <w:spacing w:after="0" w:line="10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28575</wp:posOffset>
            </wp:positionV>
            <wp:extent cx="2366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Joo Mi Kim</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ectPr>
          <w:pgSz w:w="11900" w:h="16838" w:orient="portrait"/>
          <w:cols w:equalWidth="0" w:num="1">
            <w:col w:w="10720"/>
          </w:cols>
          <w:pgMar w:left="320" w:top="1143"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133731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731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Qualys Announces Fourth Quarter and Full Year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Q4 Revenue Growth of 10% Year-Over-Year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2025 Revenue Growth of 10% Year-Over-Year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$200 Million Increase to Share Repurchase Program</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FOSTER CITY, Calif.,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5,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Qualys,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QLYS</w:t>
      </w:r>
      <w:r>
        <w:rPr>
          <w:rFonts w:ascii="Times New Roman" w:cs="Times New Roman" w:eastAsia="Times New Roman" w:hAnsi="Times New Roman"/>
          <w:sz w:val="18"/>
          <w:szCs w:val="18"/>
          <w:color w:val="auto"/>
        </w:rPr>
        <w:t>), a leading provider of disruptive cloud-based IT, security and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financial results for the fourth quarter and full year ended December 31, 2025. For the quarter, the Company reported revenues of $175.3 million, net income under United States Generally Accepted Accounting Principles ("GAAP") of $53.2 million, non-GAAP net income of $67.7 million, Adjusted EBITDA of $82.6 million, GAAP net income per diluted share of $1.47, and non-GAAP net income per diluted share of $1.87.</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"Qualys is redefining how organizations manage pre-breach cyber risk by natively unifying Continuous Threat Exposure Management with exploit confirmation, risk quantification, and automated remediation powered by an agentic AI risk fabric. Against this backdrop, we continued to execute well in Q4, demonstrated by another quarter of solid revenue growth and profitability,” said Sumedh Thakar, Qualys’ president and CEO. “Our pace of innovation and targeted investments are driving competitive differentiation, deeper Enterprise TruRisk Management adoption, broader engagements across large federal agencies, growing partner-led execution, and early QFlex success. We believe these achievements position Qualys as a trusted leader in pre-breach cyber risk management and establish a strong foundation for durable, long-term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for the fourth quarter of 2025 increased by 10% to $175.3 million compared to $159.2 million for the same quarter in 2024.</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GAAP gross profit for the fourth quarter of 2025 increased by 12% to $146.1 million compared to $130.2 million for the same quarter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GAAP gross margin was 83% for the fourth quarter of 2025 compared to 82% for the same quarter in 2024. Non-GAAP gross profit for the fourth quarter of 2025 increased by 12% to $149.0 million compared to $133.0 million for the same quarter in 2024. Non-GAAP gross margin was 85% for the fourth quarter of 2025 compared to 84% for the same quarter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GAAP operating income for the fourth quarter of 2025 increased by 19% to $58.8 million compared to $49.4 million for the same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in 2024. As a percentage of revenues, GAAP operating income was 34% for the fourth quarter of 2025 compared to 31% for the same quarter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Non-GAAP operating income for the fourth quarter of 2025 increased by 13% to $80.1 million compared to $70.7 million for the same quarter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a percentage of revenues, non-GAAP operating income was 46% for the fourth quarter of 2025 compared to 44% for the same quarter in 2024.</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GAAP net income for the fourth quarter of 2025 increased by 21% to $53.2 million, or $1.47 per diluted share, compared to $44.0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$1.19 per diluted share, for the same quarter in 2024. As a percentage of revenues, GAAP net income was 30% for the fourth quarter of 2025 compared to 28% for the same quarter in 2024. Non-GAAP net income for the fourth quarter of 2025 increased by 14% to $67.7 million, or $1.87 per diluted share, compared to $59.4 million, or $1.60 per diluted share, for the same quarter in 2024. As a percentage of revenues, non-GAAP net income was 39% for the fourth quarter of 2025 compared to 37% for the same quarter in 2024.</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(a non-GAAP financial measure) for the fourth quarter of 2025 increased by 11% to $82.6 million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$74.2 million for the same quarter in 2024. As a percentage of revenues, Adjusted EBITDA was 47% for the fourth quarter of 2025 compared to 47% for the same quarter in 2024.</w:t>
      </w:r>
    </w:p>
    <w:p>
      <w:pPr>
        <w:sectPr>
          <w:pgSz w:w="11900" w:h="16838" w:orient="portrait"/>
          <w:cols w:equalWidth="0" w:num="1">
            <w:col w:w="11240"/>
          </w:cols>
          <w:pgMar w:left="320" w:top="1143" w:right="339" w:bottom="1440" w:gutter="0" w:footer="0" w:header="0"/>
        </w:sectPr>
      </w:pPr>
    </w:p>
    <w:bookmarkStart w:id="4" w:name="page5"/>
    <w:bookmarkEnd w:id="4"/>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Cash Flow: </w:t>
      </w:r>
      <w:r>
        <w:rPr>
          <w:rFonts w:ascii="Times New Roman" w:cs="Times New Roman" w:eastAsia="Times New Roman" w:hAnsi="Times New Roman"/>
          <w:sz w:val="18"/>
          <w:szCs w:val="18"/>
          <w:color w:val="auto"/>
        </w:rPr>
        <w:t>Operating cash flow for the fourth quarter of 2025 increased by 59% to $75.7 million compared to $47.7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in 2024. As a percentage of revenues, operating cash flow was 43% for the fourth quarter of 2025 compared to 30% for the same quarter 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Business Highlights</w:t>
      </w:r>
    </w:p>
    <w:p>
      <w:pPr>
        <w:spacing w:after="0" w:line="121"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Qualys’ Enterprise TruRisk Management (ETM) solution, we introduced identity security (ETM Identity), industry-specific threat prioritization (TruLens), and exploit validation (TruConfirm) to help organizations predict and guard against new and emerging attack vectors.</w:t>
      </w:r>
    </w:p>
    <w:p>
      <w:pPr>
        <w:jc w:val="both"/>
        <w:ind w:left="660" w:hanging="328"/>
        <w:spacing w:after="0" w:line="25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launched ROCon, Qualys’ reimagined user conference series, positioning the Risk Operations Center (ROC) as the future of cyber risk management, with events in the Americas and APAC focused on translating technical risk into measurable business outcomes, and combined attendance up over 20% from last year’s events.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for 2025 increased by 10% to $669.1 million compared to $607.6 million for 2024.</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GAAP gross profit for 2025 increased by 12% to $554.4 million compared to $496.1 million for 2024. GAAP gross margin was 83%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compared to 82% in 2024. Non-GAAP gross profit increased by 12% to $565.4 million for 2025 compared to $507.1 million for 2024. Non-GAAP gross margin was 85% in 2025 compared to 83% in 2024.</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GAAP operating income for 2025 increased by 19% to $222.0 million compared to $187.2 million for 2024. As a percentage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GAAP operating income was 33% for 2025 compared to 31% for 2024. Non-GAAP operating income for 2025 increased by 13% to $301.5 million compared to $267.2 million for 2024. As a percentage of revenues, non-GAAP operating income was 45% for 2025 compared to 44% for 2024.</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GAAP net income for 2025 increased by 14% to $198.3 million, or $5.44 per diluted share, compared to $173.7 million, or $4.65 per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2024. As a percentage of revenues, GAAP net income was 30% for 2025 compared to 29% for 2024. Non-GAAP net income for 2025 increased by 13% to $257.8 million, or $7.07 per diluted share, compared to non-GAAP net income of $229.0 million, or $6.13 per diluted share for 2024. As a percentage of revenues, non-GAAP net income was 39% for 2025 compared to 38% for 2024.</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(a non-GAAP financial measure) for 2025 increased by 11% to $313.4 million compared to $282.8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As a percentage of revenues, Adjusted EBITDA was 47% for 2025 compared to 47% for 2024.</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Cash Flow: </w:t>
      </w:r>
      <w:r>
        <w:rPr>
          <w:rFonts w:ascii="Times New Roman" w:cs="Times New Roman" w:eastAsia="Times New Roman" w:hAnsi="Times New Roman"/>
          <w:sz w:val="18"/>
          <w:szCs w:val="18"/>
          <w:color w:val="auto"/>
        </w:rPr>
        <w:t>Operating cash flow for 2025 increased by 27% to $309.4 million compared to $244.1 million for 2024. As a percentage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operating cash flow was 46% for 2025 compared to 40% for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Business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Recognition</w:t>
      </w:r>
    </w:p>
    <w:p>
      <w:pPr>
        <w:spacing w:after="0" w:line="121" w:lineRule="exact"/>
        <w:rPr>
          <w:sz w:val="20"/>
          <w:szCs w:val="20"/>
          <w:color w:val="auto"/>
        </w:rPr>
      </w:pPr>
    </w:p>
    <w:p>
      <w:pPr>
        <w:jc w:val="both"/>
        <w:ind w:left="6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analyst firm GigaOm recognized Qualys as a leader across multiple security categories. Qualys’ TotalCloud solution was named a Leader and Outperformer in the Cloud Workload Security and Container Radars, and a Leader in Cloud-Native Application Protection Platforms (CNAPP). GigaOm also named Qualys’ Cybersecurity Asset Management solution a Leader in the Attack Surface Management Radar, TotalAppSec a Leader in the API Security and Exposure Management Radar, and TruRisk Eliminate/Patch Management the Leader in its Patch Management Solutions Radar.</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Cybersecurity Asset Management was named a Leader in the 2025 KuppingerCole Analysts AG Leadership Compass for Attack Surface Management, while Qualys’ TotalCloud solution was named a Leader in the CNAPP Leadership Compass.</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Qualys’ TotalCloud and VMDR solutions were each recognized as best-in-class by SC Awards Europe, underscoring Qualys’ excellence and contributions in shaping the future of technology and cybersecurity.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IDC recognized Qualys as a leader in its 2025 IDC MarketScape Report for Worldwide Exposure Management.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two Pwnie Awards (Epic Achievement and Best Remote Code Execution), recognizing the Qualys Threat Research Unit’s work in rapid remediation and attack prevention.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Identified Qualys as a 2025 Magic Quadrant Leader in Exposure Assessment Platforms.</w:t>
      </w:r>
    </w:p>
    <w:p>
      <w:pPr>
        <w:sectPr>
          <w:pgSz w:w="11900" w:h="16838" w:orient="portrait"/>
          <w:cols w:equalWidth="0" w:num="1">
            <w:col w:w="11240"/>
          </w:cols>
          <w:pgMar w:left="320" w:top="114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Products &amp; Features</w:t>
      </w:r>
    </w:p>
    <w:p>
      <w:pPr>
        <w:spacing w:after="0" w:line="121"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Unveiled an agentic AI agent marketplace delivering agents that act as a digital extension of security teams to autonomously drive cyber risk operations through Qualys’ Enterprise TruRisk Management solution.</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Enterprise TruRisk Management (ETM) solution, we introduced identity security (ETM Identity), industry-specific threat prioritization (TruLens) and exploit validation (TruConfirm) to help organizations predict and guard against new and emerging attack vectors.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launched Qualys’ TotalAppSec solution, unifying API security, web application scanning, and malware detection for comprehensive application risk management.</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Qualys’ Container Security solution with ServiceNow to automate vulnerability detection, prioritization, and remediation seamlessly through ServiceNow workflows.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Qualys’ TotalAI solution with advanced AI security capabilities, including multi-modal protections and internal Large Language Model (LLM) scanning to secure the Machine Learning Operations pipeline.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Qualys Policy Audit solution to streamline evidence collection, prioritize remediation, and support continuous audit readiness.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w:t>
      </w:r>
    </w:p>
    <w:p>
      <w:pPr>
        <w:spacing w:after="0" w:line="121"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FedRAMP High Authorization for the Qualys GovCloud Platform, making it one of the few cybersecurity platforms to meet the rigorous federal standards and expanding support for federal, defense, and intelligence agencies.</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the Managed Risk Operations Center (mROC), powered by Qualys’ Enterprise TruRisk Management solution, along with inaugural mROC Alliance Partners - BlueVoyant, GuidePoint Security, ImagineX, NetHive, The Tech Collective, and Teksalah - to expand global adoption of risk-centric managed services. The mROC partner alliance is now 15 members strong.</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Qualys’ public sector presence, including opening a Washington, D.C. office and hosting the second annual Public Sector Cyber Risk Conference.</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launched ROCon, Qualys’ reimagined user conference series, positioning the ROC as the future of cyber risk management, with events in the Americas and APAC focused on translating technical risk into measurable business outcomes, and combined attendance up over 20% from last year’s events.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Outlook</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information as of today, February 5, 2026, Qualys is issuing the following financial guidance for the first quarter and full year fiscal 2026. The Company emphasizes that the guidance is subject to various important cautionary factors referenced in the sections entitled "Legal Notice Regarding Forward-Looking Statements" and "Non-GAAP Financial Measures" below.</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First Quarter 2026 Guidance: </w:t>
      </w:r>
      <w:r>
        <w:rPr>
          <w:rFonts w:ascii="Times New Roman" w:cs="Times New Roman" w:eastAsia="Times New Roman" w:hAnsi="Times New Roman"/>
          <w:sz w:val="18"/>
          <w:szCs w:val="18"/>
          <w:color w:val="auto"/>
        </w:rPr>
        <w:t>Management expects revenues for the first quarter of 2026 to be in the range of $172.5 million to $174.5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8% to 9% growth over the same quarter in 2025. GAAP net income per diluted share is expected to be in the range of $1.29 to $1.36, which assumes an effective income tax rate of 21%. Non-GAAP net income per diluted share is expected to be in the range of $1.76 to $1.83, which assumes a non-GAAP effective income tax rate of 20%. First quarter 2026 net income per diluted share estimates are based on approximately 36.0 million weighted average diluted shares outstanding for the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Full Year 2026 Guidance: </w:t>
      </w:r>
      <w:r>
        <w:rPr>
          <w:rFonts w:ascii="Times New Roman" w:cs="Times New Roman" w:eastAsia="Times New Roman" w:hAnsi="Times New Roman"/>
          <w:sz w:val="18"/>
          <w:szCs w:val="18"/>
          <w:color w:val="auto"/>
        </w:rPr>
        <w:t>Management expects revenues for the full year of 2026 to be in the range of $717.0 million to $725.0 million, representing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8% growth over 2025. GAAP net income per diluted share is expected to be in the range of $5.20 to $5.48. This assumes an effective income tax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Non-GAAP net income per diluted share is expected to be in the range of $7.17 to $7.45. This assumes a non-GAAP effective income tax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Full year 2026 net income per diluted share estimates are based on approximately 35.4 million weighted average diluted shares outstanding.</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Qualys has not reconciled non-GAAP net income per diluted share guidance to GAAP net income per diluted share guidance because Qualys does not provide guidance on the various reconciling cash and non-cash items between GAAP net income and non-GAAP net income (i.e., stock-based compensation, amortization of intangible assets from acquisitions and non-recurring items). The actual dollar amount of reconciling items in the first quarter and full year 2026 is likely to have a significant impact on the Company's GAAP net income per diluted share in the first quarter and full year 2026. A reconciliation of the non-GAAP net income per diluted share guidance to the GAAP net income per diluted share guidance is not available without unreasonable effort.</w:t>
      </w:r>
    </w:p>
    <w:p>
      <w:pPr>
        <w:sectPr>
          <w:pgSz w:w="11900" w:h="16838" w:orient="portrait"/>
          <w:cols w:equalWidth="0" w:num="1">
            <w:col w:w="11240"/>
          </w:cols>
          <w:pgMar w:left="320" w:top="11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Conference Call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Qualys will host a conference call and live webcast to discuss its fourth quarter and full year 2025 financial results at 5:00 p.m. Eastern Time (2:00 p.m. Pacific Time) on Thursday, February 5, 2026. To access the conference call by phone, please register here. A live webcast of the earnings conference call, investor presentation and prepared remarks can be accessed at https://investor.qualys.com/events-presentations. A replay of the conference call will be available through the same webcast link following the end of the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Blair 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 and Financial Planning &amp; Analysis</w:t>
      </w:r>
    </w:p>
    <w:p>
      <w:pPr>
        <w:spacing w:after="0" w:line="9" w:lineRule="exact"/>
        <w:rPr>
          <w:sz w:val="20"/>
          <w:szCs w:val="20"/>
          <w:color w:val="auto"/>
        </w:rPr>
      </w:pPr>
    </w:p>
    <w:p>
      <w:pPr>
        <w:jc w:val="both"/>
        <w:ind w:right="1010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538-2088 ir@qualys.com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Qualys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Qualys, Inc. (NASDAQ: </w:t>
      </w:r>
      <w:r>
        <w:rPr>
          <w:rFonts w:ascii="Times New Roman" w:cs="Times New Roman" w:eastAsia="Times New Roman" w:hAnsi="Times New Roman"/>
          <w:sz w:val="18"/>
          <w:szCs w:val="18"/>
          <w:u w:val="single" w:color="auto"/>
          <w:color w:val="auto"/>
        </w:rPr>
        <w:t>QLYS</w:t>
      </w:r>
      <w:r>
        <w:rPr>
          <w:rFonts w:ascii="Times New Roman" w:cs="Times New Roman" w:eastAsia="Times New Roman" w:hAnsi="Times New Roman"/>
          <w:sz w:val="18"/>
          <w:szCs w:val="18"/>
          <w:color w:val="auto"/>
        </w:rPr>
        <w:t>) is a leading provider of disruptive cloud-based Security, Compliance and IT solutions with more than 10,000 subscription customers worldwide, including a majority of the Forbes Global 100 and Fortune 100. Qualys helps organizations streamline and consolidate their security and compliance solutions onto a single platform for greater agility, better business outcomes, and substantial cost savings.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Qualys Enterprise TruRisk Platform leverages a single agent to continuously deliver critical security intelligence while enabling enterprises to automate the full spectrum of vulnerability detection, compliance, and protection for IT systems, workloads and web applications across on premises, endpoints, servers, public and private clouds, containers, and mobile devices. Founded in 1999 as one of the first SaaS security companies, Qualys has strategic partnerships and seamlessly integrates its vulnerability management capabilities into security offerings from cloud service providers, including Amazon Web Services, the Google Cloud Platform and Microsoft Azure, along with a number of leading managed service providers and global consulting organizations. For more information, please visit www.qualys.com.</w:t>
      </w:r>
    </w:p>
    <w:p>
      <w:pPr>
        <w:spacing w:after="0" w:line="18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i w:val="1"/>
          <w:iCs w:val="1"/>
          <w:color w:val="auto"/>
        </w:rPr>
        <w:t>Qualys, Qualys VMDR</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the Qualys logo are proprietary trademarks of Qualys, Inc. All other products or names may be trademarks of their respective companies.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Notice Regarding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and Section 21E of the Securities Exchange Act of 1934. Forward-looking statements generally relate to future events or our future financial or operating performance. Forward-looking statements in this press release include, but are not limited to, quotations of management and statements related to: the benefits of our existing, new and upcoming products, features, integrations, acquisitions, collaborations and joint solutions, and their impact upon our long-term growth; our ability to advance our value proposition and competitive differentiation in the market; our ability to address demand trends; our ability to maintain and strengthen our category leadership; our ability to solve modern security challenges at scale; our strategies and ability to achieve and maintain durable profitable growth; statements regarding our share repurchase; our guidance for revenues, GAAP EPS and non-GAAP EPS for the first quarter and full year 2026; and our expectations for the number of weighted average diluted shares outstanding and the GAAP and non-GAAP effective income tax rate for the first quarter and full year 2026. Our expectations and beliefs regarding these matters may not materialize, and actual results in future periods are subject to risks and uncertainties that could cause actual results to differ materially from those projected. These risks include our ability to continue to develop platform capabilities and solutions; the ability of our platform and solutions to perform as intended; customer acceptance and purchase of our existing solutions and new solutions; real or perceived defects, errors or vulnerabilities in our products or services; our ability to retain existing customers and generate new customers; the budgeting cycles and seasonal buying patterns of our customers; our ability to maintain government authorizations applicable to our platform; general market, political, economic and business conditions in the United States as well as globally; our ability to manage costs as we increase our customer base and the number of our platform solutions; the market for cloud solutions for IT security and compliance not increasing at the rate we expect; competition from other products and services; fluctuations in currency exchange rates; unexpected fluctuations in our effective income tax rate on a GAAP and non-GAAP basis; our ability to effectively manage our rapid growth and our ability to anticipate future market needs and opportunities; and any unanticipated accounting charges. The forward-looking statements contained in this press release are also subject to other risks and uncertainties, including those more fully described in our filings with the Securities and Exchange Commission, including our Annual Report on Form 10-K and Quarterly Reports on Form 10-Q.</w:t>
      </w:r>
    </w:p>
    <w:p>
      <w:pPr>
        <w:sectPr>
          <w:pgSz w:w="11900" w:h="16838" w:orient="portrait"/>
          <w:cols w:equalWidth="0" w:num="1">
            <w:col w:w="11240"/>
          </w:cols>
          <w:pgMar w:left="320" w:top="1143"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press release are based on information available to Qualys as of the date hereof, and Qualys disclaims any obligation to update any forward-looking statements,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GAAP, Qualys provides investors with certain non-GAAP financial measures, including non-GAAP gross profit, non-GAAP gross margin, non-GAAP operating expenses, non-GAAP operating income, non-GAAP net income, non-GAAP net income per diluted share, Adjusted EBITDA (defined as earnings before interest expense, interest income and other income (expense), net, income taxes, depreciation, amortization, and stock-based compensation) and non-GAAP free cash flows (defined as cash provided by operating activities less purchases of property and equipment, net of proceeds from disposal).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computing non-GAAP financial measures, Qualys excludes the effects of stock-based compensation expense, amortization of intangible assets from acquisitions, non-recurring items and for non-GAAP net income, certain tax effects. Qualys believes that these non-GAAP financial measures help illustrate underlying trends in its business that could otherwise be masked by the effect of the income or expenses that are excluded in non-GAAP gross profit, non-GAAP gross margin, non-GAAP operating expenses, non-GAAP operating income, non-GAAP net income, non-GAAP net income per diluted share, Adjusted EBITDA and non-GAAP free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Qualys uses some of these non-GAAP financial measures to establish budgets and operational goals for managing its business and evaluating its performance. Qualys believes that non-GAAP gross profit, non-GAAP gross margin, non-GAAP operating expenses, non-GAAP operating income, non-GAAP net income, non-GAAP net income per diluted share, Adjusted EBITDA and non-GAAP free cash flows provide additional tools for investors to use in comparing its recurring core business operating results over multiple periods with other companies in its industry.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Qualys does not focus on or use quarterly billings in managing or monitoring the performance of its business, Qualys provides calculated current billings (defined as total revenues recognized in a period plus the sequential change in current deferred revenue in the corresponding period) for the convenience of investors and analysts in building their own financial models.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provide a more complete picture of recurring core operating business results, the Company’s non-GAAP net income and non-GAAP net income per diluted share include adjustments for non-recurring income tax items and certain tax effects of non-GAAP adjustments to achieve the effective income tax rate on a non-GAAP basis. The Company’s non-GAAP effective tax rate may differ from the GAAP effective income tax rate as a result of these income tax adjustments. The Company believes its estimated non-GAAP effective income tax rate of 20% in 2026 is a reasonable estimate under its current global operating structure and core business operations. The Company may adjust this rate during the year to take into account events or trends that it believes materially impact the estimated annual rate. The non-GAAP effective income tax rate could be subject to change for a number of reasons, including but not limited to, significant changes resulting from tax legislation, material changes in geographic mix of revenues and expenses and other significant events.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presentation of this non-GAAP financial information is not intended to be considered in isolation or as a substitute for results prepared in accordance with GAAP. A reconciliation of the non-GAAP financial measures discussed in this press release to the most directly comparable GAAP financial measures is included with the financial statements contained in this press release. Management uses both GAAP and non-GAAP information in evaluating and operating its business internally and as such has determined that it is important to provide this information to investors.</w:t>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607,571</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29,037</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496,089</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380"/>
              <w:spacing w:after="0" w:line="256"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257"/>
        </w:trPr>
        <w:tc>
          <w:tcPr>
            <w:tcW w:w="5060" w:type="dxa"/>
            <w:vAlign w:val="bottom"/>
          </w:tcPr>
          <w:p>
            <w:pPr>
              <w:ind w:left="380"/>
              <w:spacing w:after="0" w:line="25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380"/>
              <w:spacing w:after="0" w:line="25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332,405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187,196</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209,822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income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Pr>
          <w:p>
            <w:pPr>
              <w:ind w:left="3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37,000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36,453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37,353</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Includes stock-based compensation as follows: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0" w:type="dxa"/>
            <w:vAlign w:val="bottom"/>
          </w:tcPr>
          <w:p>
            <w:pPr>
              <w:spacing w:after="0"/>
              <w:rPr>
                <w:sz w:val="1"/>
                <w:szCs w:val="1"/>
                <w:color w:val="auto"/>
              </w:rPr>
            </w:pPr>
          </w:p>
        </w:tc>
      </w:tr>
      <w:tr>
        <w:trPr>
          <w:trHeight w:val="155"/>
        </w:trPr>
        <w:tc>
          <w:tcPr>
            <w:tcW w:w="5060" w:type="dxa"/>
            <w:vAlign w:val="bottom"/>
          </w:tcPr>
          <w:p>
            <w:pPr>
              <w:ind w:left="760"/>
              <w:spacing w:after="0" w:line="156" w:lineRule="exact"/>
              <w:rPr>
                <w:sz w:val="20"/>
                <w:szCs w:val="20"/>
                <w:color w:val="auto"/>
              </w:rPr>
            </w:pPr>
            <w:r>
              <w:rPr>
                <w:rFonts w:ascii="Times New Roman" w:cs="Times New Roman" w:eastAsia="Times New Roman" w:hAnsi="Times New Roman"/>
                <w:sz w:val="18"/>
                <w:szCs w:val="18"/>
                <w:color w:val="auto"/>
              </w:rPr>
              <w:t>Total stock-based compensation, net of amounts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0" w:type="dxa"/>
            <w:vAlign w:val="bottom"/>
          </w:tcPr>
          <w:p>
            <w:pPr>
              <w:spacing w:after="0"/>
              <w:rPr>
                <w:sz w:val="1"/>
                <w:szCs w:val="1"/>
                <w:color w:val="auto"/>
              </w:rPr>
            </w:pPr>
          </w:p>
        </w:tc>
      </w:tr>
      <w:tr>
        <w:trPr>
          <w:trHeight w:val="221"/>
        </w:trPr>
        <w:tc>
          <w:tcPr>
            <w:tcW w:w="5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capitalized</w:t>
            </w:r>
          </w:p>
        </w:tc>
        <w:tc>
          <w:tcPr>
            <w:tcW w:w="1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232,182</w:t>
            </w: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149,241</w:t>
            </w:r>
          </w:p>
        </w:tc>
      </w:tr>
      <w:tr>
        <w:trPr>
          <w:trHeight w:val="256"/>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164,551</w:t>
            </w:r>
          </w:p>
        </w:tc>
      </w:tr>
      <w:tr>
        <w:trPr>
          <w:trHeight w:val="230"/>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39,717</w:t>
            </w:r>
          </w:p>
        </w:tc>
      </w:tr>
      <w:tr>
        <w:trPr>
          <w:trHeight w:val="223"/>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585,691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right of use asset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r>
      <w:tr>
        <w:trPr>
          <w:trHeight w:val="223"/>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973,537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45,942</w:t>
            </w: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371,457</w:t>
            </w:r>
          </w:p>
        </w:tc>
      </w:tr>
      <w:tr>
        <w:trPr>
          <w:trHeight w:val="229"/>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23"/>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428,390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r>
      <w:tr>
        <w:trPr>
          <w:trHeight w:val="223"/>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496,421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664,879</w:t>
            </w: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0"/>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(189,217)</w:t>
            </w:r>
          </w:p>
        </w:tc>
      </w:tr>
      <w:tr>
        <w:trPr>
          <w:trHeight w:val="223"/>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477,116</w:t>
            </w:r>
          </w:p>
        </w:tc>
      </w:tr>
      <w:tr>
        <w:trPr>
          <w:trHeight w:val="223"/>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973,537</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173,680</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w:t>
            </w: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w:t>
            </w: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Accretion of discount on marketable securities,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r>
      <w:tr>
        <w:trPr>
          <w:trHeight w:val="229"/>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29"/>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Accrued liabilities and other noncurrent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29"/>
        </w:trPr>
        <w:tc>
          <w:tcPr>
            <w:tcW w:w="818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w:t>
            </w:r>
          </w:p>
        </w:tc>
      </w:tr>
      <w:tr>
        <w:trPr>
          <w:trHeight w:val="223"/>
        </w:trPr>
        <w:tc>
          <w:tcPr>
            <w:tcW w:w="81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244,094</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(368,277)</w:t>
            </w:r>
          </w:p>
        </w:tc>
      </w:tr>
      <w:tr>
        <w:trPr>
          <w:trHeight w:val="22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309,184</w:t>
            </w: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r>
      <w:tr>
        <w:trPr>
          <w:trHeight w:val="223"/>
        </w:trPr>
        <w:tc>
          <w:tcPr>
            <w:tcW w:w="81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(139,875)</w:t>
            </w: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r>
      <w:tr>
        <w:trPr>
          <w:trHeight w:val="22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r>
      <w:tr>
        <w:trPr>
          <w:trHeight w:val="230"/>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through employee stock purchase plan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acquisition-related holdback</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180" w:type="dxa"/>
            <w:vAlign w:val="bottom"/>
            <w:tcBorders>
              <w:top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233,382</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30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23"/>
        </w:trPr>
        <w:tc>
          <w:tcPr>
            <w:tcW w:w="47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53,150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173,680</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percentage of revenues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15,610</w:t>
            </w:r>
          </w:p>
        </w:tc>
      </w:tr>
      <w:tr>
        <w:trPr>
          <w:trHeight w:val="230"/>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2,903</w:t>
            </w:r>
          </w:p>
        </w:tc>
      </w:tr>
      <w:tr>
        <w:trPr>
          <w:trHeight w:val="229"/>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36,142</w:t>
            </w:r>
          </w:p>
        </w:tc>
      </w:tr>
      <w:tr>
        <w:trPr>
          <w:trHeight w:val="229"/>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77,133</w:t>
            </w:r>
          </w:p>
        </w:tc>
      </w:tr>
      <w:tr>
        <w:trPr>
          <w:trHeight w:val="230"/>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(22,626)</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82,626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74,195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313,409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282,842</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revenues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240"/>
          </w:cols>
          <w:pgMar w:left="320" w:top="114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Cost of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Cost of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100,516</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496,089</w:t>
            </w:r>
          </w:p>
        </w:tc>
        <w:tc>
          <w:tcPr>
            <w:tcW w:w="0" w:type="dxa"/>
            <w:vAlign w:val="bottom"/>
          </w:tcPr>
          <w:p>
            <w:pPr>
              <w:spacing w:after="0"/>
              <w:rPr>
                <w:sz w:val="1"/>
                <w:szCs w:val="1"/>
                <w:color w:val="auto"/>
              </w:rPr>
            </w:pPr>
          </w:p>
        </w:tc>
      </w:tr>
      <w:tr>
        <w:trPr>
          <w:trHeight w:val="229"/>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507,055</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229"/>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90,598</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113,613</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263,968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239,823</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187,196</w:t>
            </w: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267,232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173,680</w:t>
            </w:r>
          </w:p>
        </w:tc>
        <w:tc>
          <w:tcPr>
            <w:tcW w:w="0" w:type="dxa"/>
            <w:vAlign w:val="bottom"/>
          </w:tcPr>
          <w:p>
            <w:pPr>
              <w:spacing w:after="0"/>
              <w:rPr>
                <w:sz w:val="1"/>
                <w:szCs w:val="1"/>
                <w:color w:val="auto"/>
              </w:rPr>
            </w:pPr>
          </w:p>
        </w:tc>
      </w:tr>
      <w:tr>
        <w:trPr>
          <w:trHeight w:val="229"/>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Less: Tax adjustment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228,988</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per share: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Pr>
          <w:p>
            <w:pPr>
              <w:ind w:left="3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Net income per share: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shares used in GAAP and non-GAAP net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ind w:left="3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36,140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36,453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37,353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Cash flows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244,094</w:t>
            </w:r>
          </w:p>
        </w:tc>
      </w:tr>
      <w:tr>
        <w:trPr>
          <w:trHeight w:val="22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net of proceeds from disposal</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(12,334)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Free cash flows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231,760</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Qualys,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CALCULATED CURRENT BILLINGS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175,282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159,191</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Revenue growth compared to same quarter of prior year</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Current deferred revenue at December 31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401,127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371,457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Less: Current deferred revenue at September 30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(371,476)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(337,821)</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Calculated current billings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204,933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192,827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Calculated current billings growth compared to same quarter of prior year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2026-02-05T15:18:23Z</dcterms:created>
  <dcterms:modified xsi:type="dcterms:W3CDTF">2026-02-05T15:18:23Z</dcterms:modified>
</cp:coreProperties>
</file>