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FORM 10-K</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71" w:lineRule="exact"/>
        <w:rPr>
          <w:sz w:val="24"/>
          <w:szCs w:val="24"/>
          <w:color w:val="auto"/>
        </w:rPr>
      </w:pPr>
    </w:p>
    <w:p>
      <w:pPr>
        <w:ind w:left="700" w:hanging="665"/>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5"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6"/>
          <w:szCs w:val="16"/>
          <w:b w:val="1"/>
          <w:bCs w:val="1"/>
          <w:color w:val="auto"/>
        </w:rPr>
        <w:t>For the Annual Period Ended December 31, 2015</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760" w:hanging="72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249" w:right="239" w:bottom="60" w:gutter="0" w:footer="0" w:header="0"/>
        </w:sectPr>
      </w:pPr>
    </w:p>
    <w:p>
      <w:pPr>
        <w:spacing w:after="0" w:line="81"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560" w:space="440"/>
            <w:col w:w="4420"/>
          </w:cols>
          <w:pgMar w:left="240" w:top="249" w:right="239" w:bottom="6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001-35662</w:t>
      </w:r>
    </w:p>
    <w:p>
      <w:pPr>
        <w:spacing w:after="0" w:line="5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6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QUALYS,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60" w:gutter="0" w:footer="0" w:header="0"/>
          <w:type w:val="continuous"/>
        </w:sectPr>
      </w:pPr>
    </w:p>
    <w:p>
      <w:pPr>
        <w:spacing w:after="0" w:line="213" w:lineRule="exact"/>
        <w:rPr>
          <w:sz w:val="24"/>
          <w:szCs w:val="24"/>
          <w:color w:val="auto"/>
        </w:rPr>
      </w:pPr>
    </w:p>
    <w:p>
      <w:pPr>
        <w:ind w:left="20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77-0534145</w:t>
      </w:r>
    </w:p>
    <w:p>
      <w:pPr>
        <w:spacing w:after="0" w:line="109" w:lineRule="exact"/>
        <w:rPr>
          <w:sz w:val="24"/>
          <w:szCs w:val="24"/>
          <w:color w:val="auto"/>
        </w:rPr>
      </w:pPr>
    </w:p>
    <w:p>
      <w:pPr>
        <w:sectPr>
          <w:pgSz w:w="11900" w:h="16838" w:orient="portrait"/>
          <w:cols w:equalWidth="0" w:num="2">
            <w:col w:w="7860" w:space="720"/>
            <w:col w:w="2840"/>
          </w:cols>
          <w:pgMar w:left="240" w:top="249" w:right="239" w:bottom="60"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w:t>
      </w:r>
    </w:p>
    <w:p>
      <w:pPr>
        <w:spacing w:after="0" w:line="109" w:lineRule="exact"/>
        <w:rPr>
          <w:sz w:val="24"/>
          <w:szCs w:val="24"/>
          <w:color w:val="auto"/>
        </w:rPr>
      </w:pPr>
    </w:p>
    <w:p>
      <w:pPr>
        <w:sectPr>
          <w:pgSz w:w="11900" w:h="16838" w:orient="portrait"/>
          <w:cols w:equalWidth="0" w:num="2">
            <w:col w:w="7700" w:space="720"/>
            <w:col w:w="3000"/>
          </w:cols>
          <w:pgMar w:left="240" w:top="249" w:right="239" w:bottom="60" w:gutter="0" w:footer="0" w:header="0"/>
          <w:type w:val="continuous"/>
        </w:sectPr>
      </w:pPr>
    </w:p>
    <w:p>
      <w:pPr>
        <w:ind w:left="13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Identification Number)</w:t>
      </w:r>
    </w:p>
    <w:p>
      <w:pPr>
        <w:spacing w:after="0" w:line="82" w:lineRule="exact"/>
        <w:rPr>
          <w:sz w:val="24"/>
          <w:szCs w:val="24"/>
          <w:color w:val="auto"/>
        </w:rPr>
      </w:pPr>
    </w:p>
    <w:p>
      <w:pPr>
        <w:sectPr>
          <w:pgSz w:w="11900" w:h="16838" w:orient="portrait"/>
          <w:cols w:equalWidth="0" w:num="2">
            <w:col w:w="7480" w:space="720"/>
            <w:col w:w="3220"/>
          </w:cols>
          <w:pgMar w:left="240" w:top="249" w:right="239" w:bottom="6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1600 Bridge Parkway, Redwood City, California 94065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801-6100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ectPr>
          <w:pgSz w:w="11900" w:h="16838" w:orient="portrait"/>
          <w:cols w:equalWidth="0" w:num="1">
            <w:col w:w="11420"/>
          </w:cols>
          <w:pgMar w:left="240" w:top="249" w:right="239" w:bottom="60" w:gutter="0" w:footer="0" w:header="0"/>
          <w:type w:val="continuous"/>
        </w:sect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 of each class</w:t>
            </w:r>
          </w:p>
        </w:tc>
        <w:tc>
          <w:tcPr>
            <w:tcW w:w="1360" w:type="dxa"/>
            <w:vAlign w:val="bottom"/>
          </w:tcPr>
          <w:p>
            <w:pPr>
              <w:spacing w:after="0"/>
              <w:rPr>
                <w:sz w:val="17"/>
                <w:szCs w:val="17"/>
                <w:color w:val="auto"/>
              </w:rPr>
            </w:pPr>
          </w:p>
        </w:tc>
        <w:tc>
          <w:tcPr>
            <w:tcW w:w="50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Common stock, $0.001 par value per share</w:t>
            </w:r>
          </w:p>
        </w:tc>
        <w:tc>
          <w:tcPr>
            <w:tcW w:w="5020" w:type="dxa"/>
            <w:vAlign w:val="bottom"/>
          </w:tcPr>
          <w:p>
            <w:pPr>
              <w:ind w:left="40"/>
              <w:spacing w:after="0"/>
              <w:rPr>
                <w:sz w:val="20"/>
                <w:szCs w:val="20"/>
                <w:color w:val="auto"/>
              </w:rPr>
            </w:pPr>
            <w:r>
              <w:rPr>
                <w:rFonts w:ascii="Arial" w:cs="Arial" w:eastAsia="Arial" w:hAnsi="Arial"/>
                <w:sz w:val="18"/>
                <w:szCs w:val="18"/>
                <w:color w:val="auto"/>
              </w:rPr>
              <w:t>NASDAQ Stock Market</w:t>
            </w:r>
          </w:p>
        </w:tc>
      </w:tr>
    </w:tbl>
    <w:p>
      <w:pPr>
        <w:spacing w:after="0" w:line="270"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 xml:space="preserve">Securities registered pursuant to section 12(g) of the Act: </w:t>
      </w:r>
      <w:r>
        <w:rPr>
          <w:rFonts w:ascii="Arial" w:cs="Arial" w:eastAsia="Arial" w:hAnsi="Arial"/>
          <w:sz w:val="14"/>
          <w:szCs w:val="14"/>
          <w:color w:val="231F20"/>
        </w:rPr>
        <w:t>None</w:t>
      </w:r>
    </w:p>
    <w:p>
      <w:pPr>
        <w:spacing w:after="0" w:line="58" w:lineRule="exact"/>
        <w:rPr>
          <w:sz w:val="24"/>
          <w:szCs w:val="24"/>
          <w:color w:val="auto"/>
        </w:rPr>
      </w:pPr>
    </w:p>
    <w:p>
      <w:pPr>
        <w:ind w:right="2140"/>
        <w:spacing w:after="0" w:line="46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7"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47" w:lineRule="exact"/>
        <w:rPr>
          <w:sz w:val="24"/>
          <w:szCs w:val="24"/>
          <w:color w:val="auto"/>
        </w:rPr>
      </w:pPr>
    </w:p>
    <w:p>
      <w:pPr>
        <w:jc w:val="both"/>
        <w:ind w:right="22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S-K(§229.405 of this chapter) is not contained herein, and will not be contained, to the best of registrant's knowledge, in definitive proxy or information statements incorporated by reference in Part III of this From 10-K or any amendment to this Form 10-K. x</w:t>
      </w:r>
    </w:p>
    <w:p>
      <w:pPr>
        <w:spacing w:after="0" w:line="161" w:lineRule="exact"/>
        <w:rPr>
          <w:sz w:val="24"/>
          <w:szCs w:val="24"/>
          <w:color w:val="auto"/>
        </w:rPr>
      </w:pPr>
    </w:p>
    <w:p>
      <w:pPr>
        <w:ind w:right="160"/>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49" w:right="239" w:bottom="60" w:gutter="0" w:footer="0" w:header="0"/>
          <w:type w:val="continuous"/>
        </w:sectPr>
      </w:pPr>
    </w:p>
    <w:p>
      <w:pPr>
        <w:spacing w:after="0" w:line="155"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84" w:lineRule="exact"/>
        <w:rPr>
          <w:sz w:val="24"/>
          <w:szCs w:val="24"/>
          <w:color w:val="auto"/>
        </w:rPr>
      </w:pPr>
    </w:p>
    <w:p>
      <w:pPr>
        <w:sectPr>
          <w:pgSz w:w="11900" w:h="16838" w:orient="portrait"/>
          <w:cols w:equalWidth="0" w:num="8">
            <w:col w:w="1660" w:space="720"/>
            <w:col w:w="80" w:space="560"/>
            <w:col w:w="1260" w:space="720"/>
            <w:col w:w="80" w:space="580"/>
            <w:col w:w="1480" w:space="700"/>
            <w:col w:w="80" w:space="560"/>
            <w:col w:w="1940" w:space="700"/>
            <w:col w:w="300"/>
          </w:cols>
          <w:pgMar w:left="240" w:top="249" w:right="239" w:bottom="60" w:gutter="0" w:footer="0" w:header="0"/>
          <w:type w:val="continuous"/>
        </w:sectPr>
      </w:pPr>
    </w:p>
    <w:p>
      <w:pPr>
        <w:jc w:val="center"/>
        <w:ind w:left="23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23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420"/>
          </w:cols>
          <w:pgMar w:left="240" w:top="249" w:right="239" w:bottom="60" w:gutter="0" w:footer="0" w:header="0"/>
          <w:type w:val="continuous"/>
        </w:sectPr>
      </w:pP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8" w:lineRule="exact"/>
        <w:rPr>
          <w:sz w:val="24"/>
          <w:szCs w:val="24"/>
          <w:color w:val="auto"/>
        </w:rPr>
      </w:pPr>
    </w:p>
    <w:p>
      <w:pPr>
        <w:sectPr>
          <w:pgSz w:w="11900" w:h="16838" w:orient="portrait"/>
          <w:cols w:equalWidth="0" w:num="5">
            <w:col w:w="8100" w:space="180"/>
            <w:col w:w="260" w:space="80"/>
            <w:col w:w="100" w:space="160"/>
            <w:col w:w="200" w:space="80"/>
            <w:col w:w="2260"/>
          </w:cols>
          <w:pgMar w:left="240" w:top="249" w:right="239" w:bottom="60" w:gutter="0" w:footer="0" w:header="0"/>
          <w:type w:val="continuous"/>
        </w:sectPr>
      </w:pPr>
    </w:p>
    <w:p>
      <w:pPr>
        <w:ind w:right="100"/>
        <w:spacing w:after="0" w:line="251" w:lineRule="auto"/>
        <w:rPr>
          <w:sz w:val="20"/>
          <w:szCs w:val="20"/>
          <w:color w:val="auto"/>
        </w:rPr>
      </w:pPr>
      <w:r>
        <w:rPr>
          <w:rFonts w:ascii="Arial" w:cs="Arial" w:eastAsia="Arial" w:hAnsi="Arial"/>
          <w:sz w:val="16"/>
          <w:szCs w:val="16"/>
          <w:color w:val="auto"/>
        </w:rPr>
        <w:t>As of June 30, 2015, the aggregate market value of voting shares of common stock held by non-affiliates of the registrant was $1,006 million based on the last reported sale price of the registrant's common stock on June 30, 2015.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January 31, 2016 was 34,432,373 shares.</w:t>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Portions of the registrant's Proxy Statement for its 2016 Annual Meeting of Stockholders are incorporated by reference in Part III of this Annual Report on Form 10-K where indicated. Such proxy statement will be filed with the Securities and Exchange Commission within 120 days of the registrant's fiscal year ended December 31, 2015.</w:t>
      </w:r>
    </w:p>
    <w:p>
      <w:pPr>
        <w:sectPr>
          <w:pgSz w:w="11900" w:h="16838" w:orient="portrait"/>
          <w:cols w:equalWidth="0" w:num="1">
            <w:col w:w="11420"/>
          </w:cols>
          <w:pgMar w:left="240" w:top="249" w:right="239" w:bottom="60" w:gutter="0" w:footer="0" w:header="0"/>
          <w:type w:val="continuous"/>
        </w:sectPr>
      </w:pPr>
    </w:p>
    <w:bookmarkStart w:id="1" w:name="page2"/>
    <w:bookmarkEnd w:id="1"/>
    <w:p>
      <w:pPr>
        <w:spacing w:after="0" w:line="253"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0" w:type="dxa"/>
            <w:vAlign w:val="bottom"/>
          </w:tcPr>
          <w:p>
            <w:pPr>
              <w:jc w:val="center"/>
              <w:spacing w:after="0"/>
              <w:rPr>
                <w:sz w:val="20"/>
                <w:szCs w:val="20"/>
                <w:color w:val="auto"/>
              </w:rPr>
            </w:pPr>
            <w:r>
              <w:rPr>
                <w:rFonts w:ascii="Arial" w:cs="Arial" w:eastAsia="Arial" w:hAnsi="Arial"/>
                <w:sz w:val="18"/>
                <w:szCs w:val="18"/>
                <w:b w:val="1"/>
                <w:bCs w:val="1"/>
                <w:color w:val="231F20"/>
              </w:rPr>
              <w:t>Qualys, Inc.</w:t>
            </w:r>
          </w:p>
        </w:tc>
        <w:tc>
          <w:tcPr>
            <w:tcW w:w="800" w:type="dxa"/>
            <w:vAlign w:val="bottom"/>
          </w:tcPr>
          <w:p>
            <w:pPr>
              <w:spacing w:after="0"/>
              <w:rPr>
                <w:sz w:val="18"/>
                <w:szCs w:val="18"/>
                <w:color w:val="auto"/>
              </w:rPr>
            </w:pPr>
          </w:p>
        </w:tc>
      </w:tr>
      <w:tr>
        <w:trPr>
          <w:trHeight w:val="239"/>
        </w:trPr>
        <w:tc>
          <w:tcPr>
            <w:tcW w:w="780" w:type="dxa"/>
            <w:vAlign w:val="bottom"/>
          </w:tcPr>
          <w:p>
            <w:pPr>
              <w:spacing w:after="0"/>
              <w:rPr>
                <w:sz w:val="20"/>
                <w:szCs w:val="20"/>
                <w:color w:val="auto"/>
              </w:rPr>
            </w:pPr>
          </w:p>
        </w:tc>
        <w:tc>
          <w:tcPr>
            <w:tcW w:w="9800" w:type="dxa"/>
            <w:vAlign w:val="bottom"/>
          </w:tcPr>
          <w:p>
            <w:pPr>
              <w:jc w:val="center"/>
              <w:spacing w:after="0"/>
              <w:rPr>
                <w:sz w:val="20"/>
                <w:szCs w:val="20"/>
                <w:color w:val="auto"/>
              </w:rPr>
            </w:pPr>
            <w:r>
              <w:rPr>
                <w:rFonts w:ascii="Arial" w:cs="Arial" w:eastAsia="Arial" w:hAnsi="Arial"/>
                <w:sz w:val="18"/>
                <w:szCs w:val="18"/>
                <w:b w:val="1"/>
                <w:bCs w:val="1"/>
                <w:color w:val="231F20"/>
                <w:w w:val="98"/>
              </w:rPr>
              <w:t>TABLE OF CONTENTS</w:t>
            </w:r>
          </w:p>
        </w:tc>
        <w:tc>
          <w:tcPr>
            <w:tcW w:w="800" w:type="dxa"/>
            <w:vAlign w:val="bottom"/>
          </w:tcPr>
          <w:p>
            <w:pPr>
              <w:spacing w:after="0"/>
              <w:rPr>
                <w:sz w:val="20"/>
                <w:szCs w:val="20"/>
                <w:color w:val="auto"/>
              </w:rPr>
            </w:pPr>
          </w:p>
        </w:tc>
      </w:tr>
      <w:tr>
        <w:trPr>
          <w:trHeight w:val="372"/>
        </w:trPr>
        <w:tc>
          <w:tcPr>
            <w:tcW w:w="7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Page</w:t>
            </w:r>
          </w:p>
        </w:tc>
      </w:tr>
      <w:tr>
        <w:trPr>
          <w:trHeight w:val="210"/>
        </w:trPr>
        <w:tc>
          <w:tcPr>
            <w:tcW w:w="780" w:type="dxa"/>
            <w:vAlign w:val="bottom"/>
          </w:tcPr>
          <w:p>
            <w:pPr>
              <w:spacing w:after="0"/>
              <w:rPr>
                <w:sz w:val="18"/>
                <w:szCs w:val="18"/>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9"/>
              </w:rPr>
              <w:t>PART I</w:t>
            </w:r>
          </w:p>
        </w:tc>
        <w:tc>
          <w:tcPr>
            <w:tcW w:w="800" w:type="dxa"/>
            <w:vAlign w:val="bottom"/>
          </w:tcPr>
          <w:p>
            <w:pPr>
              <w:spacing w:after="0"/>
              <w:rPr>
                <w:sz w:val="18"/>
                <w:szCs w:val="18"/>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tcPr>
          <w:p>
            <w:pPr>
              <w:ind w:left="20"/>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800" w:type="dxa"/>
            <w:vAlign w:val="bottom"/>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1A.</w:t>
            </w:r>
          </w:p>
        </w:tc>
        <w:tc>
          <w:tcPr>
            <w:tcW w:w="9800" w:type="dxa"/>
            <w:vAlign w:val="bottom"/>
          </w:tcPr>
          <w:p>
            <w:pPr>
              <w:ind w:left="20"/>
              <w:spacing w:after="0"/>
              <w:rPr>
                <w:rFonts w:ascii="Arial" w:cs="Arial" w:eastAsia="Arial" w:hAnsi="Arial"/>
                <w:sz w:val="16"/>
                <w:szCs w:val="16"/>
                <w:color w:val="0000EE"/>
              </w:rPr>
            </w:pPr>
            <w:hyperlink w:anchor="page13">
              <w:r>
                <w:rPr>
                  <w:rFonts w:ascii="Arial" w:cs="Arial" w:eastAsia="Arial" w:hAnsi="Arial"/>
                  <w:sz w:val="16"/>
                  <w:szCs w:val="16"/>
                  <w:color w:val="0000EE"/>
                </w:rPr>
                <w:t>Risk Factors</w:t>
              </w:r>
            </w:hyperlink>
          </w:p>
        </w:tc>
        <w:tc>
          <w:tcPr>
            <w:tcW w:w="800" w:type="dxa"/>
            <w:vAlign w:val="bottom"/>
          </w:tcPr>
          <w:p>
            <w:pPr>
              <w:jc w:val="center"/>
              <w:spacing w:after="0"/>
              <w:rPr>
                <w:rFonts w:ascii="Arial" w:cs="Arial" w:eastAsia="Arial" w:hAnsi="Arial"/>
                <w:sz w:val="16"/>
                <w:szCs w:val="16"/>
                <w:color w:val="0000EE"/>
              </w:rPr>
            </w:pPr>
            <w:hyperlink w:anchor="page13">
              <w:r>
                <w:rPr>
                  <w:rFonts w:ascii="Arial" w:cs="Arial" w:eastAsia="Arial" w:hAnsi="Arial"/>
                  <w:sz w:val="16"/>
                  <w:szCs w:val="16"/>
                  <w:color w:val="0000EE"/>
                </w:rPr>
                <w:t>13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1B.</w:t>
            </w:r>
          </w:p>
        </w:tc>
        <w:tc>
          <w:tcPr>
            <w:tcW w:w="9800" w:type="dxa"/>
            <w:vAlign w:val="bottom"/>
          </w:tcPr>
          <w:p>
            <w:pPr>
              <w:ind w:left="20"/>
              <w:spacing w:after="0"/>
              <w:rPr>
                <w:rFonts w:ascii="Arial" w:cs="Arial" w:eastAsia="Arial" w:hAnsi="Arial"/>
                <w:sz w:val="16"/>
                <w:szCs w:val="16"/>
                <w:color w:val="0000EE"/>
              </w:rPr>
            </w:pPr>
            <w:hyperlink w:anchor="page35">
              <w:r>
                <w:rPr>
                  <w:rFonts w:ascii="Arial" w:cs="Arial" w:eastAsia="Arial" w:hAnsi="Arial"/>
                  <w:sz w:val="16"/>
                  <w:szCs w:val="16"/>
                  <w:color w:val="0000EE"/>
                </w:rPr>
                <w:t>Unresolved Staff Comments</w:t>
              </w:r>
            </w:hyperlink>
          </w:p>
        </w:tc>
        <w:tc>
          <w:tcPr>
            <w:tcW w:w="80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tcPr>
          <w:p>
            <w:pPr>
              <w:ind w:left="20"/>
              <w:spacing w:after="0"/>
              <w:rPr>
                <w:rFonts w:ascii="Arial" w:cs="Arial" w:eastAsia="Arial" w:hAnsi="Arial"/>
                <w:sz w:val="16"/>
                <w:szCs w:val="16"/>
                <w:color w:val="0000EE"/>
              </w:rPr>
            </w:pPr>
            <w:hyperlink w:anchor="page35">
              <w:r>
                <w:rPr>
                  <w:rFonts w:ascii="Arial" w:cs="Arial" w:eastAsia="Arial" w:hAnsi="Arial"/>
                  <w:sz w:val="16"/>
                  <w:szCs w:val="16"/>
                  <w:color w:val="0000EE"/>
                </w:rPr>
                <w:t>Properties</w:t>
              </w:r>
            </w:hyperlink>
          </w:p>
        </w:tc>
        <w:tc>
          <w:tcPr>
            <w:tcW w:w="80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9800" w:type="dxa"/>
            <w:vAlign w:val="bottom"/>
          </w:tcPr>
          <w:p>
            <w:pPr>
              <w:ind w:left="20"/>
              <w:spacing w:after="0"/>
              <w:rPr>
                <w:rFonts w:ascii="Arial" w:cs="Arial" w:eastAsia="Arial" w:hAnsi="Arial"/>
                <w:sz w:val="16"/>
                <w:szCs w:val="16"/>
                <w:color w:val="0000EE"/>
              </w:rPr>
            </w:pPr>
            <w:hyperlink w:anchor="page35">
              <w:r>
                <w:rPr>
                  <w:rFonts w:ascii="Arial" w:cs="Arial" w:eastAsia="Arial" w:hAnsi="Arial"/>
                  <w:sz w:val="16"/>
                  <w:szCs w:val="16"/>
                  <w:color w:val="0000EE"/>
                </w:rPr>
                <w:t>Legal Proceedings</w:t>
              </w:r>
            </w:hyperlink>
          </w:p>
        </w:tc>
        <w:tc>
          <w:tcPr>
            <w:tcW w:w="80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tcPr>
          <w:p>
            <w:pPr>
              <w:ind w:left="20"/>
              <w:spacing w:after="0"/>
              <w:rPr>
                <w:rFonts w:ascii="Arial" w:cs="Arial" w:eastAsia="Arial" w:hAnsi="Arial"/>
                <w:sz w:val="16"/>
                <w:szCs w:val="16"/>
                <w:color w:val="0000EE"/>
              </w:rPr>
            </w:pPr>
            <w:hyperlink w:anchor="page35">
              <w:r>
                <w:rPr>
                  <w:rFonts w:ascii="Arial" w:cs="Arial" w:eastAsia="Arial" w:hAnsi="Arial"/>
                  <w:sz w:val="16"/>
                  <w:szCs w:val="16"/>
                  <w:color w:val="0000EE"/>
                </w:rPr>
                <w:t>Mine Safety Disclosures</w:t>
              </w:r>
            </w:hyperlink>
          </w:p>
        </w:tc>
        <w:tc>
          <w:tcPr>
            <w:tcW w:w="80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8"/>
              </w:rPr>
              <w:t>PART II</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5.</w:t>
            </w:r>
          </w:p>
        </w:tc>
        <w:tc>
          <w:tcPr>
            <w:tcW w:w="9800" w:type="dxa"/>
            <w:vAlign w:val="bottom"/>
          </w:tcPr>
          <w:p>
            <w:pPr>
              <w:ind w:left="20"/>
              <w:spacing w:after="0"/>
              <w:rPr>
                <w:rFonts w:ascii="Arial" w:cs="Arial" w:eastAsia="Arial" w:hAnsi="Arial"/>
                <w:sz w:val="16"/>
                <w:szCs w:val="16"/>
                <w:color w:val="0000EE"/>
              </w:rPr>
            </w:pPr>
            <w:hyperlink w:anchor="page36">
              <w:r>
                <w:rPr>
                  <w:rFonts w:ascii="Arial" w:cs="Arial" w:eastAsia="Arial" w:hAnsi="Arial"/>
                  <w:sz w:val="16"/>
                  <w:szCs w:val="16"/>
                  <w:color w:val="0000EE"/>
                </w:rPr>
                <w:t>Market for Registrant's Common Equity, Related Stockholder Matters and Issuer Purchases of Equity Securities</w:t>
              </w:r>
            </w:hyperlink>
          </w:p>
        </w:tc>
        <w:tc>
          <w:tcPr>
            <w:tcW w:w="800" w:type="dxa"/>
            <w:vAlign w:val="bottom"/>
          </w:tcPr>
          <w:p>
            <w:pPr>
              <w:jc w:val="center"/>
              <w:spacing w:after="0"/>
              <w:rPr>
                <w:rFonts w:ascii="Arial" w:cs="Arial" w:eastAsia="Arial" w:hAnsi="Arial"/>
                <w:sz w:val="16"/>
                <w:szCs w:val="16"/>
                <w:color w:val="0000EE"/>
              </w:rPr>
            </w:pPr>
            <w:hyperlink w:anchor="page36">
              <w:r>
                <w:rPr>
                  <w:rFonts w:ascii="Arial" w:cs="Arial" w:eastAsia="Arial" w:hAnsi="Arial"/>
                  <w:sz w:val="16"/>
                  <w:szCs w:val="16"/>
                  <w:color w:val="0000EE"/>
                </w:rPr>
                <w:t>35</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tcPr>
          <w:p>
            <w:pPr>
              <w:ind w:left="20"/>
              <w:spacing w:after="0"/>
              <w:rPr>
                <w:rFonts w:ascii="Arial" w:cs="Arial" w:eastAsia="Arial" w:hAnsi="Arial"/>
                <w:sz w:val="16"/>
                <w:szCs w:val="16"/>
                <w:color w:val="0000EE"/>
              </w:rPr>
            </w:pPr>
            <w:hyperlink w:anchor="page37">
              <w:r>
                <w:rPr>
                  <w:rFonts w:ascii="Arial" w:cs="Arial" w:eastAsia="Arial" w:hAnsi="Arial"/>
                  <w:sz w:val="16"/>
                  <w:szCs w:val="16"/>
                  <w:color w:val="0000EE"/>
                </w:rPr>
                <w:t>Selected Consolidated Financial Data</w:t>
              </w:r>
            </w:hyperlink>
          </w:p>
        </w:tc>
        <w:tc>
          <w:tcPr>
            <w:tcW w:w="800" w:type="dxa"/>
            <w:vAlign w:val="bottom"/>
          </w:tcPr>
          <w:p>
            <w:pPr>
              <w:jc w:val="center"/>
              <w:spacing w:after="0"/>
              <w:rPr>
                <w:rFonts w:ascii="Arial" w:cs="Arial" w:eastAsia="Arial" w:hAnsi="Arial"/>
                <w:sz w:val="16"/>
                <w:szCs w:val="16"/>
                <w:color w:val="0000EE"/>
              </w:rPr>
            </w:pPr>
            <w:hyperlink w:anchor="page37">
              <w:r>
                <w:rPr>
                  <w:rFonts w:ascii="Arial" w:cs="Arial" w:eastAsia="Arial" w:hAnsi="Arial"/>
                  <w:sz w:val="16"/>
                  <w:szCs w:val="16"/>
                  <w:color w:val="0000EE"/>
                </w:rPr>
                <w:t>37</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7.</w:t>
            </w:r>
          </w:p>
        </w:tc>
        <w:tc>
          <w:tcPr>
            <w:tcW w:w="9800" w:type="dxa"/>
            <w:vAlign w:val="bottom"/>
          </w:tcPr>
          <w:p>
            <w:pPr>
              <w:ind w:left="20"/>
              <w:spacing w:after="0"/>
              <w:rPr>
                <w:rFonts w:ascii="Arial" w:cs="Arial" w:eastAsia="Arial" w:hAnsi="Arial"/>
                <w:sz w:val="16"/>
                <w:szCs w:val="16"/>
                <w:color w:val="0000EE"/>
              </w:rPr>
            </w:pPr>
            <w:hyperlink w:anchor="page39">
              <w:r>
                <w:rPr>
                  <w:rFonts w:ascii="Arial" w:cs="Arial" w:eastAsia="Arial" w:hAnsi="Arial"/>
                  <w:sz w:val="16"/>
                  <w:szCs w:val="16"/>
                  <w:color w:val="0000EE"/>
                </w:rPr>
                <w:t>Management's Discussion and Analysis of Financial Condition and Results of Operations</w:t>
              </w:r>
            </w:hyperlink>
          </w:p>
        </w:tc>
        <w:tc>
          <w:tcPr>
            <w:tcW w:w="800" w:type="dxa"/>
            <w:vAlign w:val="bottom"/>
          </w:tcPr>
          <w:p>
            <w:pPr>
              <w:jc w:val="center"/>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7A.</w:t>
            </w:r>
          </w:p>
        </w:tc>
        <w:tc>
          <w:tcPr>
            <w:tcW w:w="9800" w:type="dxa"/>
            <w:vAlign w:val="bottom"/>
          </w:tcPr>
          <w:p>
            <w:pPr>
              <w:ind w:left="20"/>
              <w:spacing w:after="0"/>
              <w:rPr>
                <w:rFonts w:ascii="Arial" w:cs="Arial" w:eastAsia="Arial" w:hAnsi="Arial"/>
                <w:sz w:val="16"/>
                <w:szCs w:val="16"/>
                <w:color w:val="0000EE"/>
              </w:rPr>
            </w:pPr>
            <w:hyperlink w:anchor="page55">
              <w:r>
                <w:rPr>
                  <w:rFonts w:ascii="Arial" w:cs="Arial" w:eastAsia="Arial" w:hAnsi="Arial"/>
                  <w:sz w:val="16"/>
                  <w:szCs w:val="16"/>
                  <w:color w:val="0000EE"/>
                </w:rPr>
                <w:t>Quantitative and Qualitative Disclosures About Market Risk</w:t>
              </w:r>
            </w:hyperlink>
          </w:p>
        </w:tc>
        <w:tc>
          <w:tcPr>
            <w:tcW w:w="800" w:type="dxa"/>
            <w:vAlign w:val="bottom"/>
          </w:tcPr>
          <w:p>
            <w:pPr>
              <w:jc w:val="center"/>
              <w:spacing w:after="0"/>
              <w:rPr>
                <w:rFonts w:ascii="Arial" w:cs="Arial" w:eastAsia="Arial" w:hAnsi="Arial"/>
                <w:sz w:val="16"/>
                <w:szCs w:val="16"/>
                <w:color w:val="0000EE"/>
              </w:rPr>
            </w:pPr>
            <w:hyperlink w:anchor="page55">
              <w:r>
                <w:rPr>
                  <w:rFonts w:ascii="Arial" w:cs="Arial" w:eastAsia="Arial" w:hAnsi="Arial"/>
                  <w:sz w:val="16"/>
                  <w:szCs w:val="16"/>
                  <w:color w:val="0000EE"/>
                </w:rPr>
                <w:t>55</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8.</w:t>
            </w:r>
          </w:p>
        </w:tc>
        <w:tc>
          <w:tcPr>
            <w:tcW w:w="9800" w:type="dxa"/>
            <w:vAlign w:val="bottom"/>
          </w:tcPr>
          <w:p>
            <w:pPr>
              <w:ind w:left="20"/>
              <w:spacing w:after="0"/>
              <w:rPr>
                <w:rFonts w:ascii="Arial" w:cs="Arial" w:eastAsia="Arial" w:hAnsi="Arial"/>
                <w:sz w:val="16"/>
                <w:szCs w:val="16"/>
                <w:color w:val="0000EE"/>
              </w:rPr>
            </w:pPr>
            <w:hyperlink w:anchor="page56">
              <w:r>
                <w:rPr>
                  <w:rFonts w:ascii="Arial" w:cs="Arial" w:eastAsia="Arial" w:hAnsi="Arial"/>
                  <w:sz w:val="16"/>
                  <w:szCs w:val="16"/>
                  <w:color w:val="0000EE"/>
                </w:rPr>
                <w:t>Financial Statements and Supplementary Data</w:t>
              </w:r>
            </w:hyperlink>
          </w:p>
        </w:tc>
        <w:tc>
          <w:tcPr>
            <w:tcW w:w="800" w:type="dxa"/>
            <w:vAlign w:val="bottom"/>
          </w:tcPr>
          <w:p>
            <w:pPr>
              <w:jc w:val="center"/>
              <w:spacing w:after="0"/>
              <w:rPr>
                <w:rFonts w:ascii="Arial" w:cs="Arial" w:eastAsia="Arial" w:hAnsi="Arial"/>
                <w:sz w:val="16"/>
                <w:szCs w:val="16"/>
                <w:color w:val="0000EE"/>
              </w:rPr>
            </w:pPr>
            <w:hyperlink w:anchor="page56">
              <w:r>
                <w:rPr>
                  <w:rFonts w:ascii="Arial" w:cs="Arial" w:eastAsia="Arial" w:hAnsi="Arial"/>
                  <w:sz w:val="16"/>
                  <w:szCs w:val="16"/>
                  <w:color w:val="0000EE"/>
                </w:rPr>
                <w:t>56</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w:t>
            </w:r>
          </w:p>
        </w:tc>
        <w:tc>
          <w:tcPr>
            <w:tcW w:w="9800" w:type="dxa"/>
            <w:vAlign w:val="bottom"/>
          </w:tcPr>
          <w:p>
            <w:pPr>
              <w:ind w:left="20"/>
              <w:spacing w:after="0"/>
              <w:rPr>
                <w:rFonts w:ascii="Arial" w:cs="Arial" w:eastAsia="Arial" w:hAnsi="Arial"/>
                <w:sz w:val="16"/>
                <w:szCs w:val="16"/>
                <w:color w:val="0000EE"/>
              </w:rPr>
            </w:pPr>
            <w:hyperlink w:anchor="page87">
              <w:r>
                <w:rPr>
                  <w:rFonts w:ascii="Arial" w:cs="Arial" w:eastAsia="Arial" w:hAnsi="Arial"/>
                  <w:sz w:val="16"/>
                  <w:szCs w:val="16"/>
                  <w:color w:val="0000EE"/>
                </w:rPr>
                <w:t>Changes in and Disagreements with Accountants on Accounting and Financial Disclosure</w:t>
              </w:r>
            </w:hyperlink>
          </w:p>
        </w:tc>
        <w:tc>
          <w:tcPr>
            <w:tcW w:w="800" w:type="dxa"/>
            <w:vAlign w:val="bottom"/>
          </w:tcPr>
          <w:p>
            <w:pPr>
              <w:jc w:val="center"/>
              <w:spacing w:after="0"/>
              <w:rPr>
                <w:rFonts w:ascii="Arial" w:cs="Arial" w:eastAsia="Arial" w:hAnsi="Arial"/>
                <w:sz w:val="16"/>
                <w:szCs w:val="16"/>
                <w:color w:val="0000EE"/>
              </w:rPr>
            </w:pPr>
            <w:hyperlink w:anchor="page87">
              <w:r>
                <w:rPr>
                  <w:rFonts w:ascii="Arial" w:cs="Arial" w:eastAsia="Arial" w:hAnsi="Arial"/>
                  <w:sz w:val="16"/>
                  <w:szCs w:val="16"/>
                  <w:color w:val="0000EE"/>
                </w:rPr>
                <w:t>87</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9A.</w:t>
            </w:r>
          </w:p>
        </w:tc>
        <w:tc>
          <w:tcPr>
            <w:tcW w:w="9800" w:type="dxa"/>
            <w:vAlign w:val="bottom"/>
          </w:tcPr>
          <w:p>
            <w:pPr>
              <w:ind w:left="20"/>
              <w:spacing w:after="0"/>
              <w:rPr>
                <w:rFonts w:ascii="Arial" w:cs="Arial" w:eastAsia="Arial" w:hAnsi="Arial"/>
                <w:sz w:val="16"/>
                <w:szCs w:val="16"/>
                <w:color w:val="0000EE"/>
              </w:rPr>
            </w:pPr>
            <w:hyperlink w:anchor="page88">
              <w:r>
                <w:rPr>
                  <w:rFonts w:ascii="Arial" w:cs="Arial" w:eastAsia="Arial" w:hAnsi="Arial"/>
                  <w:sz w:val="16"/>
                  <w:szCs w:val="16"/>
                  <w:color w:val="0000EE"/>
                </w:rPr>
                <w:t>Controls and Procedures</w:t>
              </w:r>
            </w:hyperlink>
          </w:p>
        </w:tc>
        <w:tc>
          <w:tcPr>
            <w:tcW w:w="800" w:type="dxa"/>
            <w:vAlign w:val="bottom"/>
          </w:tcPr>
          <w:p>
            <w:pPr>
              <w:jc w:val="center"/>
              <w:spacing w:after="0"/>
              <w:rPr>
                <w:rFonts w:ascii="Arial" w:cs="Arial" w:eastAsia="Arial" w:hAnsi="Arial"/>
                <w:sz w:val="16"/>
                <w:szCs w:val="16"/>
                <w:color w:val="0000EE"/>
              </w:rPr>
            </w:pPr>
            <w:hyperlink w:anchor="page88">
              <w:r>
                <w:rPr>
                  <w:rFonts w:ascii="Arial" w:cs="Arial" w:eastAsia="Arial" w:hAnsi="Arial"/>
                  <w:sz w:val="16"/>
                  <w:szCs w:val="16"/>
                  <w:color w:val="0000EE"/>
                </w:rPr>
                <w:t>87</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9B.</w:t>
            </w:r>
          </w:p>
        </w:tc>
        <w:tc>
          <w:tcPr>
            <w:tcW w:w="9800" w:type="dxa"/>
            <w:vAlign w:val="bottom"/>
          </w:tcPr>
          <w:p>
            <w:pPr>
              <w:ind w:left="20"/>
              <w:spacing w:after="0"/>
              <w:rPr>
                <w:rFonts w:ascii="Arial" w:cs="Arial" w:eastAsia="Arial" w:hAnsi="Arial"/>
                <w:sz w:val="16"/>
                <w:szCs w:val="16"/>
                <w:color w:val="0000EE"/>
              </w:rPr>
            </w:pPr>
            <w:hyperlink w:anchor="page89">
              <w:r>
                <w:rPr>
                  <w:rFonts w:ascii="Arial" w:cs="Arial" w:eastAsia="Arial" w:hAnsi="Arial"/>
                  <w:sz w:val="16"/>
                  <w:szCs w:val="16"/>
                  <w:color w:val="0000EE"/>
                </w:rPr>
                <w:t>Other Information</w:t>
              </w:r>
            </w:hyperlink>
          </w:p>
        </w:tc>
        <w:tc>
          <w:tcPr>
            <w:tcW w:w="80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rPr>
              <w:t>PART III</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10.</w:t>
            </w:r>
          </w:p>
        </w:tc>
        <w:tc>
          <w:tcPr>
            <w:tcW w:w="9800" w:type="dxa"/>
            <w:vAlign w:val="bottom"/>
          </w:tcPr>
          <w:p>
            <w:pPr>
              <w:ind w:left="20"/>
              <w:spacing w:after="0"/>
              <w:rPr>
                <w:rFonts w:ascii="Arial" w:cs="Arial" w:eastAsia="Arial" w:hAnsi="Arial"/>
                <w:sz w:val="16"/>
                <w:szCs w:val="16"/>
                <w:color w:val="0000EE"/>
              </w:rPr>
            </w:pPr>
            <w:hyperlink w:anchor="page90">
              <w:r>
                <w:rPr>
                  <w:rFonts w:ascii="Arial" w:cs="Arial" w:eastAsia="Arial" w:hAnsi="Arial"/>
                  <w:sz w:val="16"/>
                  <w:szCs w:val="16"/>
                  <w:color w:val="0000EE"/>
                </w:rPr>
                <w:t>Directors, Executive Officers and Corporate Governance</w:t>
              </w:r>
            </w:hyperlink>
          </w:p>
        </w:tc>
        <w:tc>
          <w:tcPr>
            <w:tcW w:w="800" w:type="dxa"/>
            <w:vAlign w:val="bottom"/>
          </w:tcPr>
          <w:p>
            <w:pPr>
              <w:jc w:val="center"/>
              <w:spacing w:after="0"/>
              <w:rPr>
                <w:rFonts w:ascii="Arial" w:cs="Arial" w:eastAsia="Arial" w:hAnsi="Arial"/>
                <w:sz w:val="16"/>
                <w:szCs w:val="16"/>
                <w:color w:val="0000EE"/>
              </w:rPr>
            </w:pPr>
            <w:hyperlink w:anchor="page90">
              <w:r>
                <w:rPr>
                  <w:rFonts w:ascii="Arial" w:cs="Arial" w:eastAsia="Arial" w:hAnsi="Arial"/>
                  <w:sz w:val="16"/>
                  <w:szCs w:val="16"/>
                  <w:color w:val="0000EE"/>
                </w:rPr>
                <w:t>89</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11.</w:t>
            </w:r>
          </w:p>
        </w:tc>
        <w:tc>
          <w:tcPr>
            <w:tcW w:w="9800" w:type="dxa"/>
            <w:vAlign w:val="bottom"/>
          </w:tcPr>
          <w:p>
            <w:pPr>
              <w:ind w:left="20"/>
              <w:spacing w:after="0"/>
              <w:rPr>
                <w:rFonts w:ascii="Arial" w:cs="Arial" w:eastAsia="Arial" w:hAnsi="Arial"/>
                <w:sz w:val="16"/>
                <w:szCs w:val="16"/>
                <w:color w:val="0000EE"/>
              </w:rPr>
            </w:pPr>
            <w:hyperlink w:anchor="page90">
              <w:r>
                <w:rPr>
                  <w:rFonts w:ascii="Arial" w:cs="Arial" w:eastAsia="Arial" w:hAnsi="Arial"/>
                  <w:sz w:val="16"/>
                  <w:szCs w:val="16"/>
                  <w:color w:val="0000EE"/>
                </w:rPr>
                <w:t>Executive Compensation</w:t>
              </w:r>
            </w:hyperlink>
          </w:p>
        </w:tc>
        <w:tc>
          <w:tcPr>
            <w:tcW w:w="800" w:type="dxa"/>
            <w:vAlign w:val="bottom"/>
          </w:tcPr>
          <w:p>
            <w:pPr>
              <w:jc w:val="center"/>
              <w:spacing w:after="0"/>
              <w:rPr>
                <w:rFonts w:ascii="Arial" w:cs="Arial" w:eastAsia="Arial" w:hAnsi="Arial"/>
                <w:sz w:val="16"/>
                <w:szCs w:val="16"/>
                <w:color w:val="0000EE"/>
              </w:rPr>
            </w:pPr>
            <w:hyperlink w:anchor="page90">
              <w:r>
                <w:rPr>
                  <w:rFonts w:ascii="Arial" w:cs="Arial" w:eastAsia="Arial" w:hAnsi="Arial"/>
                  <w:sz w:val="16"/>
                  <w:szCs w:val="16"/>
                  <w:color w:val="0000EE"/>
                </w:rPr>
                <w:t>89</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12.</w:t>
            </w:r>
          </w:p>
        </w:tc>
        <w:tc>
          <w:tcPr>
            <w:tcW w:w="9800" w:type="dxa"/>
            <w:vAlign w:val="bottom"/>
          </w:tcPr>
          <w:p>
            <w:pPr>
              <w:ind w:left="20"/>
              <w:spacing w:after="0"/>
              <w:rPr>
                <w:rFonts w:ascii="Arial" w:cs="Arial" w:eastAsia="Arial" w:hAnsi="Arial"/>
                <w:sz w:val="16"/>
                <w:szCs w:val="16"/>
                <w:color w:val="0000EE"/>
              </w:rPr>
            </w:pPr>
            <w:hyperlink w:anchor="page90">
              <w:r>
                <w:rPr>
                  <w:rFonts w:ascii="Arial" w:cs="Arial" w:eastAsia="Arial" w:hAnsi="Arial"/>
                  <w:sz w:val="16"/>
                  <w:szCs w:val="16"/>
                  <w:color w:val="0000EE"/>
                </w:rPr>
                <w:t>Security Ownership of Certain Beneficial Owners and Management and Related Stockholder Matters</w:t>
              </w:r>
            </w:hyperlink>
          </w:p>
        </w:tc>
        <w:tc>
          <w:tcPr>
            <w:tcW w:w="800" w:type="dxa"/>
            <w:vAlign w:val="bottom"/>
          </w:tcPr>
          <w:p>
            <w:pPr>
              <w:jc w:val="center"/>
              <w:spacing w:after="0"/>
              <w:rPr>
                <w:rFonts w:ascii="Arial" w:cs="Arial" w:eastAsia="Arial" w:hAnsi="Arial"/>
                <w:sz w:val="16"/>
                <w:szCs w:val="16"/>
                <w:color w:val="0000EE"/>
              </w:rPr>
            </w:pPr>
            <w:hyperlink w:anchor="page90">
              <w:r>
                <w:rPr>
                  <w:rFonts w:ascii="Arial" w:cs="Arial" w:eastAsia="Arial" w:hAnsi="Arial"/>
                  <w:sz w:val="16"/>
                  <w:szCs w:val="16"/>
                  <w:color w:val="0000EE"/>
                </w:rPr>
                <w:t>89</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13.</w:t>
            </w:r>
          </w:p>
        </w:tc>
        <w:tc>
          <w:tcPr>
            <w:tcW w:w="9800" w:type="dxa"/>
            <w:vAlign w:val="bottom"/>
          </w:tcPr>
          <w:p>
            <w:pPr>
              <w:ind w:left="20"/>
              <w:spacing w:after="0"/>
              <w:rPr>
                <w:rFonts w:ascii="Arial" w:cs="Arial" w:eastAsia="Arial" w:hAnsi="Arial"/>
                <w:sz w:val="16"/>
                <w:szCs w:val="16"/>
                <w:color w:val="0000EE"/>
              </w:rPr>
            </w:pPr>
            <w:hyperlink w:anchor="page90">
              <w:r>
                <w:rPr>
                  <w:rFonts w:ascii="Arial" w:cs="Arial" w:eastAsia="Arial" w:hAnsi="Arial"/>
                  <w:sz w:val="16"/>
                  <w:szCs w:val="16"/>
                  <w:color w:val="0000EE"/>
                </w:rPr>
                <w:t>Certain Relationships and Related Transactions, and Director Independence</w:t>
              </w:r>
            </w:hyperlink>
          </w:p>
        </w:tc>
        <w:tc>
          <w:tcPr>
            <w:tcW w:w="800" w:type="dxa"/>
            <w:vAlign w:val="bottom"/>
          </w:tcPr>
          <w:p>
            <w:pPr>
              <w:jc w:val="center"/>
              <w:spacing w:after="0"/>
              <w:rPr>
                <w:rFonts w:ascii="Arial" w:cs="Arial" w:eastAsia="Arial" w:hAnsi="Arial"/>
                <w:sz w:val="16"/>
                <w:szCs w:val="16"/>
                <w:color w:val="0000EE"/>
              </w:rPr>
            </w:pPr>
            <w:hyperlink w:anchor="page90">
              <w:r>
                <w:rPr>
                  <w:rFonts w:ascii="Arial" w:cs="Arial" w:eastAsia="Arial" w:hAnsi="Arial"/>
                  <w:sz w:val="16"/>
                  <w:szCs w:val="16"/>
                  <w:color w:val="0000EE"/>
                </w:rPr>
                <w:t>89</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14.</w:t>
            </w:r>
          </w:p>
        </w:tc>
        <w:tc>
          <w:tcPr>
            <w:tcW w:w="9800" w:type="dxa"/>
            <w:vAlign w:val="bottom"/>
          </w:tcPr>
          <w:p>
            <w:pPr>
              <w:ind w:left="20"/>
              <w:spacing w:after="0"/>
              <w:rPr>
                <w:rFonts w:ascii="Arial" w:cs="Arial" w:eastAsia="Arial" w:hAnsi="Arial"/>
                <w:sz w:val="16"/>
                <w:szCs w:val="16"/>
                <w:color w:val="0000EE"/>
              </w:rPr>
            </w:pPr>
            <w:hyperlink w:anchor="page90">
              <w:r>
                <w:rPr>
                  <w:rFonts w:ascii="Arial" w:cs="Arial" w:eastAsia="Arial" w:hAnsi="Arial"/>
                  <w:sz w:val="16"/>
                  <w:szCs w:val="16"/>
                  <w:color w:val="0000EE"/>
                </w:rPr>
                <w:t>Principal Accounting Fees and Services</w:t>
              </w:r>
            </w:hyperlink>
          </w:p>
        </w:tc>
        <w:tc>
          <w:tcPr>
            <w:tcW w:w="800" w:type="dxa"/>
            <w:vAlign w:val="bottom"/>
          </w:tcPr>
          <w:p>
            <w:pPr>
              <w:jc w:val="center"/>
              <w:spacing w:after="0"/>
              <w:rPr>
                <w:rFonts w:ascii="Arial" w:cs="Arial" w:eastAsia="Arial" w:hAnsi="Arial"/>
                <w:sz w:val="16"/>
                <w:szCs w:val="16"/>
                <w:color w:val="0000EE"/>
              </w:rPr>
            </w:pPr>
            <w:hyperlink w:anchor="page90">
              <w:r>
                <w:rPr>
                  <w:rFonts w:ascii="Arial" w:cs="Arial" w:eastAsia="Arial" w:hAnsi="Arial"/>
                  <w:sz w:val="16"/>
                  <w:szCs w:val="16"/>
                  <w:color w:val="0000EE"/>
                </w:rPr>
                <w:t>90</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8"/>
              </w:rPr>
              <w:t>PART IV</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15.</w:t>
            </w:r>
          </w:p>
        </w:tc>
        <w:tc>
          <w:tcPr>
            <w:tcW w:w="9800" w:type="dxa"/>
            <w:vAlign w:val="bottom"/>
          </w:tcPr>
          <w:p>
            <w:pPr>
              <w:ind w:left="20"/>
              <w:spacing w:after="0"/>
              <w:rPr>
                <w:rFonts w:ascii="Arial" w:cs="Arial" w:eastAsia="Arial" w:hAnsi="Arial"/>
                <w:sz w:val="16"/>
                <w:szCs w:val="16"/>
                <w:color w:val="0000EE"/>
              </w:rPr>
            </w:pPr>
            <w:hyperlink w:anchor="page91">
              <w:r>
                <w:rPr>
                  <w:rFonts w:ascii="Arial" w:cs="Arial" w:eastAsia="Arial" w:hAnsi="Arial"/>
                  <w:sz w:val="16"/>
                  <w:szCs w:val="16"/>
                  <w:color w:val="0000EE"/>
                </w:rPr>
                <w:t>Exhibits and Financial Statement Schedules</w:t>
              </w:r>
            </w:hyperlink>
          </w:p>
        </w:tc>
        <w:tc>
          <w:tcPr>
            <w:tcW w:w="800" w:type="dxa"/>
            <w:vAlign w:val="bottom"/>
          </w:tcPr>
          <w:p>
            <w:pPr>
              <w:jc w:val="center"/>
              <w:spacing w:after="0"/>
              <w:rPr>
                <w:rFonts w:ascii="Arial" w:cs="Arial" w:eastAsia="Arial" w:hAnsi="Arial"/>
                <w:sz w:val="16"/>
                <w:szCs w:val="16"/>
                <w:color w:val="0000EE"/>
              </w:rPr>
            </w:pPr>
            <w:hyperlink w:anchor="page91">
              <w:r>
                <w:rPr>
                  <w:rFonts w:ascii="Arial" w:cs="Arial" w:eastAsia="Arial" w:hAnsi="Arial"/>
                  <w:sz w:val="16"/>
                  <w:szCs w:val="16"/>
                  <w:color w:val="0000EE"/>
                </w:rPr>
                <w:t>90</w:t>
              </w:r>
            </w:hyperlink>
          </w:p>
        </w:tc>
      </w:tr>
      <w:tr>
        <w:trPr>
          <w:trHeight w:val="243"/>
        </w:trPr>
        <w:tc>
          <w:tcPr>
            <w:tcW w:w="780" w:type="dxa"/>
            <w:vAlign w:val="bottom"/>
          </w:tcPr>
          <w:p>
            <w:pPr>
              <w:spacing w:after="0"/>
              <w:rPr>
                <w:rFonts w:ascii="Arial" w:cs="Arial" w:eastAsia="Arial" w:hAnsi="Arial"/>
                <w:sz w:val="16"/>
                <w:szCs w:val="16"/>
                <w:color w:val="0000EE"/>
                <w:w w:val="99"/>
              </w:rPr>
            </w:pPr>
            <w:hyperlink w:anchor="page91">
              <w:r>
                <w:rPr>
                  <w:rFonts w:ascii="Arial" w:cs="Arial" w:eastAsia="Arial" w:hAnsi="Arial"/>
                  <w:sz w:val="16"/>
                  <w:szCs w:val="16"/>
                  <w:color w:val="0000EE"/>
                  <w:w w:val="99"/>
                </w:rPr>
                <w:t>Signatures</w:t>
              </w:r>
            </w:hyperlink>
          </w:p>
        </w:tc>
        <w:tc>
          <w:tcPr>
            <w:tcW w:w="9800" w:type="dxa"/>
            <w:vAlign w:val="bottom"/>
          </w:tcPr>
          <w:p>
            <w:pPr>
              <w:spacing w:after="0"/>
              <w:rPr>
                <w:sz w:val="21"/>
                <w:szCs w:val="21"/>
                <w:color w:val="auto"/>
              </w:rPr>
            </w:pPr>
          </w:p>
        </w:tc>
        <w:tc>
          <w:tcPr>
            <w:tcW w:w="800" w:type="dxa"/>
            <w:vAlign w:val="bottom"/>
          </w:tcPr>
          <w:p>
            <w:pPr>
              <w:jc w:val="center"/>
              <w:spacing w:after="0"/>
              <w:rPr>
                <w:rFonts w:ascii="Arial" w:cs="Arial" w:eastAsia="Arial" w:hAnsi="Arial"/>
                <w:sz w:val="16"/>
                <w:szCs w:val="16"/>
                <w:color w:val="0000EE"/>
              </w:rPr>
            </w:pPr>
            <w:hyperlink w:anchor="page91">
              <w:r>
                <w:rPr>
                  <w:rFonts w:ascii="Arial" w:cs="Arial" w:eastAsia="Arial" w:hAnsi="Arial"/>
                  <w:sz w:val="16"/>
                  <w:szCs w:val="16"/>
                  <w:color w:val="0000EE"/>
                </w:rPr>
                <w:t>91</w:t>
              </w:r>
            </w:hyperlink>
          </w:p>
        </w:tc>
      </w:tr>
      <w:tr>
        <w:trPr>
          <w:trHeight w:val="243"/>
        </w:trPr>
        <w:tc>
          <w:tcPr>
            <w:tcW w:w="10580" w:type="dxa"/>
            <w:vAlign w:val="bottom"/>
            <w:gridSpan w:val="2"/>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Exhibit Index</w:t>
              </w:r>
            </w:hyperlink>
          </w:p>
        </w:tc>
        <w:tc>
          <w:tcPr>
            <w:tcW w:w="800" w:type="dxa"/>
            <w:vAlign w:val="bottom"/>
          </w:tcPr>
          <w:p>
            <w:pPr>
              <w:jc w:val="center"/>
              <w:spacing w:after="0"/>
              <w:rPr>
                <w:rFonts w:ascii="Arial" w:cs="Arial" w:eastAsia="Arial" w:hAnsi="Arial"/>
                <w:sz w:val="16"/>
                <w:szCs w:val="16"/>
                <w:color w:val="0000EE"/>
              </w:rPr>
            </w:pPr>
            <w:hyperlink w:anchor="page92">
              <w:r>
                <w:rPr>
                  <w:rFonts w:ascii="Arial" w:cs="Arial" w:eastAsia="Arial" w:hAnsi="Arial"/>
                  <w:sz w:val="16"/>
                  <w:szCs w:val="16"/>
                  <w:color w:val="0000EE"/>
                </w:rPr>
                <w:t>92</w:t>
              </w:r>
            </w:hyperlink>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20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10-K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32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104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10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Annual Report on Form 10-K in the sections titled “Risk Factors,” “Management's Discussion and Analysis of Financial Condition and Results of Operations” and “Business.”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231F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6"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231F20"/>
        </w:rPr>
        <w:t>Qualys, the Qualys logo and QualysGuard,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15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technologies intended to improve organizations’ operations can also increase vulnerability to cyber 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15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designed our Qualys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they reside inside the organization, on their network perimeter or in the cloud. Since inception, our solutions have been designed to be delivered through the cloud and to be easily and rapidly deployed on a global scale across a broad range of industries, enabling faster implementation and lower total cost of ownership than traditional on-premise enterprise software products. Our customers, ranging from some of the largest organizations to small businesses, are served from our globally-distributed cloud platform, enabling us to rapidly deliver new solutions, enhancements and security updates.</w:t>
      </w:r>
    </w:p>
    <w:p>
      <w:pPr>
        <w:spacing w:after="0" w:line="20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 Vunerability Management (VM), in 2000. Our core VM solution has provided a substantial majority of our revenues to date, representing </w:t>
      </w:r>
      <w:r>
        <w:rPr>
          <w:rFonts w:ascii="Arial" w:cs="Arial" w:eastAsia="Arial" w:hAnsi="Arial"/>
          <w:sz w:val="18"/>
          <w:szCs w:val="18"/>
          <w:color w:val="000000"/>
        </w:rPr>
        <w:t>79%</w:t>
      </w:r>
      <w:r>
        <w:rPr>
          <w:rFonts w:ascii="Arial" w:cs="Arial" w:eastAsia="Arial" w:hAnsi="Arial"/>
          <w:sz w:val="18"/>
          <w:szCs w:val="18"/>
          <w:color w:val="231F20"/>
        </w:rPr>
        <w:t xml:space="preserve">, 82% and 84% of total revenues in </w:t>
      </w:r>
      <w:r>
        <w:rPr>
          <w:rFonts w:ascii="Arial" w:cs="Arial" w:eastAsia="Arial" w:hAnsi="Arial"/>
          <w:sz w:val="18"/>
          <w:szCs w:val="18"/>
          <w:color w:val="000000"/>
        </w:rPr>
        <w:t>2015</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respectively. As this solution gained acceptance, we introduced new solutions to help customers manage increasing IT security and</w:t>
      </w:r>
      <w:r>
        <w:rPr>
          <w:rFonts w:ascii="Arial" w:cs="Arial" w:eastAsia="Arial" w:hAnsi="Arial"/>
          <w:sz w:val="18"/>
          <w:szCs w:val="18"/>
          <w:color w:val="000000"/>
        </w:rPr>
        <w:t xml:space="preserve"> </w:t>
      </w:r>
      <w:r>
        <w:rPr>
          <w:rFonts w:ascii="Arial" w:cs="Arial" w:eastAsia="Arial" w:hAnsi="Arial"/>
          <w:sz w:val="18"/>
          <w:szCs w:val="18"/>
          <w:color w:val="231F20"/>
        </w:rPr>
        <w:t xml:space="preserve">compliance requirements. In 2006, we added our PCI Compliance solution, and in 2008, we added our Policy Compliance (PC) solution. In 2009, we broadened the scope of our cloud services by adding Web Application Scanning and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Continuous Monitoring for internet-facing systems, which allows customers to continuously monitor their mission-critical assets and to be alerted to security vulnerabilities or misconfigurations that may make them more susceptible to a cyber-attack. In 2015, we introduced our Cloud Agent Platform (CAP), which provides customers </w:t>
      </w:r>
      <w:r>
        <w:rPr>
          <w:rFonts w:ascii="Arial" w:cs="Arial" w:eastAsia="Arial" w:hAnsi="Arial"/>
          <w:sz w:val="18"/>
          <w:szCs w:val="18"/>
          <w:color w:val="000000"/>
        </w:rPr>
        <w:t>with the ability to secure IT assets on a continuous basis regardless of where they reside, inside the enterprise, in the cloud</w:t>
      </w:r>
      <w:r>
        <w:rPr>
          <w:rFonts w:ascii="Arial" w:cs="Arial" w:eastAsia="Arial" w:hAnsi="Arial"/>
          <w:sz w:val="18"/>
          <w:szCs w:val="18"/>
          <w:color w:val="231F20"/>
        </w:rPr>
        <w:t xml:space="preserve"> </w:t>
      </w:r>
      <w:r>
        <w:rPr>
          <w:rFonts w:ascii="Arial" w:cs="Arial" w:eastAsia="Arial" w:hAnsi="Arial"/>
          <w:sz w:val="18"/>
          <w:szCs w:val="18"/>
          <w:color w:val="000000"/>
        </w:rPr>
        <w:t>or mobile endpoints. CAP allows organizations to perform vulnerability and compliance management on a continuous basis. It is a natural extension to our cloud platform and allows us to expand our footprint in the enterprise and provide VM and PC solutions to mobile endpoints and elastic cloud environments.</w:t>
      </w:r>
    </w:p>
    <w:p>
      <w:pPr>
        <w:spacing w:after="0" w:line="170"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 xml:space="preserve">amounts are treated as deferred revenues and are recognized ratably over the term of each subscription. We continue to experience significant revenue growth from existing customers as they renew and purchase additional subscriptions. Revenues from customers existing at or prior to December 31, 2014 grew </w:t>
      </w:r>
      <w:r>
        <w:rPr>
          <w:rFonts w:ascii="Arial" w:cs="Arial" w:eastAsia="Arial" w:hAnsi="Arial"/>
          <w:sz w:val="18"/>
          <w:szCs w:val="18"/>
          <w:color w:val="000000"/>
        </w:rPr>
        <w:t>by $18.9 million to $152.5 million during 2015, representing 114% of total revenues in 2014. We expect this tr</w:t>
      </w:r>
      <w:r>
        <w:rPr>
          <w:rFonts w:ascii="Arial" w:cs="Arial" w:eastAsia="Arial" w:hAnsi="Arial"/>
          <w:sz w:val="18"/>
          <w:szCs w:val="18"/>
          <w:color w:val="231F20"/>
        </w:rPr>
        <w:t>end of revenue growth from existing customers to continue.</w:t>
      </w:r>
    </w:p>
    <w:p>
      <w:pPr>
        <w:spacing w:after="0" w:line="15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Qualys Cloud Platform is currently used by over 8,800 organizations in more than 100 countries, including a majority of each of the Forbes Global 100 and Fortune 100. Our revenues increased from $108.0 million in 2013 to $133.6 million in 2014, and reached $164.3 million in 2015. We generated net income of $1.5 million in 2013, $30.2 million in 2014, and $15.9 million in 2015. Net income in 2014 includes a tax benefit of $23.7 million for recognition of our U.S. federal and certain state deferred tax assets. Total assets as of December 31, 2015 and 2014 were $323.5 million and $260.0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12"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We intend to leverage our innovation and extensive expertise to strengthen our leadership position as a trusted provider of cloud-based security and compliance solutions. The key elements of our growth strategy are:</w:t>
      </w:r>
    </w:p>
    <w:p>
      <w:pPr>
        <w:spacing w:after="0" w:line="66" w:lineRule="exact"/>
        <w:rPr>
          <w:sz w:val="20"/>
          <w:szCs w:val="20"/>
          <w:color w:val="auto"/>
        </w:rPr>
      </w:pPr>
    </w:p>
    <w:p>
      <w:pPr>
        <w:ind w:left="660" w:right="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research and development to extend our cloud platform’s functionality by developing new security solutions and capabilities and further enhancing our existing suite of solutions. In 2015, we introduced our Cloud Agent Platform, which provides customers with the ability to secure IT assets on a continuous basis regardless of where they reside, inside the enterprise, in the cloud or mobile endpoints.</w:t>
      </w:r>
    </w:p>
    <w:p>
      <w:pPr>
        <w:spacing w:after="0" w:line="7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the use of our suite of solutions by our large and diverse customer base. </w:t>
      </w:r>
      <w:r>
        <w:rPr>
          <w:rFonts w:ascii="Arial" w:cs="Arial" w:eastAsia="Arial" w:hAnsi="Arial"/>
          <w:sz w:val="18"/>
          <w:szCs w:val="18"/>
          <w:color w:val="auto"/>
        </w:rPr>
        <w:t>With more than 8,800 customers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industries and geographies, we believe we have a significant opportunity to sell additional solutions to our customers and expand their use of our suite of solutions. Since typically our customers initially deploy one or two of our solutions and in select parts of their IT infrastructures, our existing customers serve as a strong source of new sales as they expand their scope and increase their subscriptions, or choose to adopt other solutions from our integrated suite of IT security and compliance offerings. In this regard, we continue to expand our sales execution and marketing functions to increase adoption of our newly developed solutions among our existing customers.</w:t>
      </w:r>
    </w:p>
    <w:p>
      <w:pPr>
        <w:spacing w:after="0" w:line="75" w:lineRule="exact"/>
        <w:rPr>
          <w:rFonts w:ascii="Arial" w:cs="Arial" w:eastAsia="Arial" w:hAnsi="Arial"/>
          <w:sz w:val="18"/>
          <w:szCs w:val="18"/>
          <w:color w:val="auto"/>
        </w:rPr>
      </w:pPr>
    </w:p>
    <w:p>
      <w:pPr>
        <w:ind w:left="660" w:right="14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customer growth. </w:t>
      </w:r>
      <w:r>
        <w:rPr>
          <w:rFonts w:ascii="Arial" w:cs="Arial" w:eastAsia="Arial" w:hAnsi="Arial"/>
          <w:sz w:val="18"/>
          <w:szCs w:val="18"/>
          <w:color w:val="auto"/>
        </w:rPr>
        <w:t>We are pursuing new customers by targeting key accounts and expanding our 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and network of channel partners. We will continue to seek to make significant investments to encourage organizations to replace their existing security products with our cloud solutions.</w:t>
      </w:r>
    </w:p>
    <w:p>
      <w:pPr>
        <w:spacing w:after="0" w:line="60"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intend to expand our relationships with key security consulting organizations, managed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and value 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71" w:lineRule="exact"/>
        <w:rPr>
          <w:rFonts w:ascii="Arial" w:cs="Arial" w:eastAsia="Arial" w:hAnsi="Arial"/>
          <w:sz w:val="18"/>
          <w:szCs w:val="18"/>
          <w:color w:val="auto"/>
        </w:rPr>
      </w:pPr>
    </w:p>
    <w:p>
      <w:pPr>
        <w:jc w:val="both"/>
        <w:ind w:left="660" w:right="20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technology acquisitions to bolster our capabilities and leadership position. </w:t>
      </w:r>
      <w:r>
        <w:rPr>
          <w:rFonts w:ascii="Arial" w:cs="Arial" w:eastAsia="Arial" w:hAnsi="Arial"/>
          <w:sz w:val="18"/>
          <w:szCs w:val="18"/>
          <w:color w:val="auto"/>
        </w:rPr>
        <w:t>We may explore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complementary to and can expand the functionality of our cloud platform. We may also seek to acquire technology teams to supplement our own team and increase the breadth of our cloud-based security and compliance solutions.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12" w:lineRule="exact"/>
        <w:rPr>
          <w:sz w:val="20"/>
          <w:szCs w:val="20"/>
          <w:color w:val="auto"/>
        </w:rPr>
      </w:pPr>
    </w:p>
    <w:p>
      <w:pPr>
        <w:ind w:right="600" w:firstLine="405"/>
        <w:spacing w:after="0" w:line="262" w:lineRule="auto"/>
        <w:rPr>
          <w:sz w:val="20"/>
          <w:szCs w:val="20"/>
          <w:color w:val="auto"/>
        </w:rPr>
      </w:pPr>
      <w:r>
        <w:rPr>
          <w:rFonts w:ascii="Arial" w:cs="Arial" w:eastAsia="Arial" w:hAnsi="Arial"/>
          <w:sz w:val="18"/>
          <w:szCs w:val="18"/>
          <w:color w:val="auto"/>
        </w:rPr>
        <w:t>Our Qualys Cloud Platform consists of a suite of IT security and compliance solutions that leverage our shared and extensible core services and our highly scalable multi-tenant cloud infrastructure.</w:t>
      </w:r>
    </w:p>
    <w:p>
      <w:pPr>
        <w:spacing w:after="0" w:line="14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Our suite of solutions provides security intelligence by automating the life cycle of IT asset discovery, security assessment and compliance management. Our core services layer provides a set of advanced shared technologies that are leveraged by our suite of security and compliance solutions, which we refer to as our Core Services.</w:t>
      </w:r>
    </w:p>
    <w:p>
      <w:pPr>
        <w:spacing w:after="0" w:line="148"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color w:val="auto"/>
        </w:rPr>
        <w:t>Built on our cloud platform infrastructure, our Core Services provide an integrated framework with proprietary functionalities that act as building blocks to enable efficient and scalable delivery of our customer-facing cloud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41"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solutions. Our cloud platform’s infrastructure includes integrated services that deliver a highly automated and scalable scanning infrastructure capable of scanning IT systems and web applications, inside and outside corporate firewalls.</w:t>
      </w:r>
    </w:p>
    <w:p>
      <w:pPr>
        <w:spacing w:after="0" w:line="142"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Core Services and infrastructure layers of our cloud platform deliver benefits to our entire suite of security and compliance solutions, including:</w:t>
      </w:r>
    </w:p>
    <w:p>
      <w:pPr>
        <w:spacing w:after="0" w:line="142" w:lineRule="exact"/>
        <w:rPr>
          <w:sz w:val="20"/>
          <w:szCs w:val="20"/>
          <w:color w:val="auto"/>
        </w:rPr>
      </w:pPr>
    </w:p>
    <w:p>
      <w:pPr>
        <w:ind w:left="660" w:right="48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Dynamic and interactive user interfaces with configurable report templates to present scan data with a wide range of presentation options to match a customer’s needs;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Fast searching of several extensive Qualys data sets, including scan results, asset data, scan profiles, users and vulnerabilities;</w:t>
      </w:r>
    </w:p>
    <w:p>
      <w:pPr>
        <w:spacing w:after="0" w:line="171" w:lineRule="exact"/>
        <w:rPr>
          <w:rFonts w:ascii="Arial" w:cs="Arial" w:eastAsia="Arial" w:hAnsi="Arial"/>
          <w:sz w:val="18"/>
          <w:szCs w:val="18"/>
          <w:color w:val="auto"/>
        </w:rPr>
      </w:pPr>
    </w:p>
    <w:p>
      <w:pPr>
        <w:ind w:left="660" w:right="112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technology for hierarchical asset categorization via dynamic tagging and role-based customer access management;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Distributed scanning platform for global cloud-based environments.</w:t>
      </w:r>
    </w:p>
    <w:p>
      <w:pPr>
        <w:spacing w:after="0" w:line="171"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We also provide open application program interfaces, or APIs, and other developer tools that allow third parties to embed our technology into their solutions and build applications on our cloud platform.</w:t>
      </w:r>
    </w:p>
    <w:p>
      <w:pPr>
        <w:spacing w:after="0" w:line="14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cloud platform is delivered to customers via our shared platform offering from our global data centers or via our private platform offering (Qualys Private Cloud Platform, or PCP), for customers or partners that want the platform to reside within the customer's on-premise data center. The PCP is a standalone version of our multi-layer, multi-tenant services architecture and is a fully integrated turnkey solution, making it more scalable, cost effective and faster to deploy within a customer's on-premise data center. Solutions delivered through our PCP are typically on the same subscription basis as solutions delivered through our shared platform. Our PCP utilizes hardware and software owned by us and physically located on the customer's premises. The customer is not permitted to take possession of the software or access the software code. Our PCP provides our subscription-based platform services to the customer using a virtual version of our software. This virtualized PCP allows us to extend our security and compliance solutions without the complexity and cost associated with deploying traditional enterprise software.</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Suite</w:t>
      </w:r>
    </w:p>
    <w:p>
      <w:pPr>
        <w:spacing w:after="0" w:line="112"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Our suite of solutions, which we refer to as the Qualys Cloud Suite, currently includes seven solutions: Vulnerability Management, Policy Compliance, PCI Compliance, Web Application Scanning, Malware Detection Service, Web Application Firewall, and Qualys SECURE Seal. This integrated set of cloud solutions enables organizations to:</w:t>
      </w:r>
    </w:p>
    <w:p>
      <w:pPr>
        <w:spacing w:after="0" w:line="6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Discover and catalogue information assets inside the organization, on the perimeter, or in the cloud;</w:t>
      </w:r>
    </w:p>
    <w:p>
      <w:pPr>
        <w:spacing w:after="0" w:line="90"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 assets on an ongoing basis to establish a trusted repository for IT system configurations and to maintain hierarchical relationships between them;</w:t>
      </w:r>
    </w:p>
    <w:p>
      <w:pPr>
        <w:spacing w:after="0" w:line="61"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policies to establish a secure and compliant IT infrastructure and automate ongoing security and compliance assessments of IT systems and applications in accordance with best practices;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Proactively identify and help fix vulnerabilities to mitigate security risks and achieve compliance;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Monitor and measure security and compliance through a unified user interface;</w:t>
      </w:r>
    </w:p>
    <w:p>
      <w:pPr>
        <w:spacing w:after="0" w:line="90"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Distribute security and compliance reports tailored to differing customer needs, including management personnel, auditors and security professionals; and</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Protect web applications from cyber attacks in real time.</w:t>
      </w:r>
    </w:p>
    <w:p>
      <w:pPr>
        <w:spacing w:after="0" w:line="171"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auto"/>
        </w:rPr>
        <w:t>Our customers can subscribe to one or more of our security and compliance solutions based on their initial needs and expand their subscriptions over time to new areas within their organization or to additional Qualys solutions. We offer three editions of our Qualys Cloud Suite, the Enterprise edition for large enterprises, the Express edition for medium-sized businesses, and Express Lite for small-sized businesses. Qualys Cloud Suite solutions are described below.</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Vulnerability Management</w:t>
      </w:r>
    </w:p>
    <w:p>
      <w:pPr>
        <w:spacing w:after="0" w:line="108"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Qualys Vulnerability Management, or Qualys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KnowledgeBase of known vulnerabilities, Qualys VM enables cost-effective protection against vulnerabilities without substantial resource deployment. Qualys VM can be performed via our network scanners (hardware or virtual) or via our Cloud Agents.</w:t>
      </w:r>
    </w:p>
    <w:p>
      <w:pPr>
        <w:spacing w:after="0" w:line="70" w:lineRule="exact"/>
        <w:rPr>
          <w:sz w:val="20"/>
          <w:szCs w:val="20"/>
          <w:color w:val="auto"/>
        </w:rPr>
      </w:pPr>
    </w:p>
    <w:p>
      <w:pPr>
        <w:ind w:right="440" w:firstLine="405"/>
        <w:spacing w:after="0" w:line="256" w:lineRule="auto"/>
        <w:rPr>
          <w:sz w:val="20"/>
          <w:szCs w:val="20"/>
          <w:color w:val="auto"/>
        </w:rPr>
      </w:pPr>
      <w:r>
        <w:rPr>
          <w:rFonts w:ascii="Arial" w:cs="Arial" w:eastAsia="Arial" w:hAnsi="Arial"/>
          <w:sz w:val="18"/>
          <w:szCs w:val="18"/>
          <w:color w:val="auto"/>
        </w:rPr>
        <w:t xml:space="preserve">Qualys Continuous Monitoring, </w:t>
      </w:r>
      <w:r>
        <w:rPr>
          <w:rFonts w:ascii="Arial" w:cs="Arial" w:eastAsia="Arial" w:hAnsi="Arial"/>
          <w:sz w:val="18"/>
          <w:szCs w:val="18"/>
          <w:color w:val="231F20"/>
        </w:rPr>
        <w:t>an additional Qualys VM offering, gives organizations the ability to proactively identify threats and</w:t>
      </w:r>
      <w:r>
        <w:rPr>
          <w:rFonts w:ascii="Arial" w:cs="Arial" w:eastAsia="Arial" w:hAnsi="Arial"/>
          <w:sz w:val="18"/>
          <w:szCs w:val="18"/>
          <w:color w:val="auto"/>
        </w:rPr>
        <w:t xml:space="preserve"> </w:t>
      </w:r>
      <w:r>
        <w:rPr>
          <w:rFonts w:ascii="Arial" w:cs="Arial" w:eastAsia="Arial" w:hAnsi="Arial"/>
          <w:sz w:val="18"/>
          <w:szCs w:val="18"/>
          <w:color w:val="231F20"/>
        </w:rPr>
        <w:t>unexpected changes for their IT systems, which allows customers to continuously monitor their mission-critical assets and to be alerted to security vulnerabilities or misconfigurations that may make them more susceptible to a cyber-attack.</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Policy Compliance</w:t>
      </w:r>
    </w:p>
    <w:p>
      <w:pPr>
        <w:spacing w:after="0" w:line="10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Qualys Policy Compliance, or Qualys PC, allows customers to analyze and collect configuration and access control information from their networked devices and web applications and automatically maps this information to internal policies and external regulations in order to document compliance. Qualys PC is fully automated and helps reduce customers’ cost of compliance without requiring the use of software agents. It can be either performed via our network scanners (hardware or virtual) or via our Cloud Agents.</w:t>
      </w:r>
    </w:p>
    <w:p>
      <w:pPr>
        <w:spacing w:after="0" w:line="69"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Qualys Policy Compliance Questionnaire, an additional Qualys PC offering, enables customers to assess business processes and vendor risk against standards and mandates such as PCI-DSS, HIPAA, COBIT and ISO 27001/2.</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PCI Compliance</w:t>
      </w:r>
    </w:p>
    <w:p>
      <w:pPr>
        <w:spacing w:after="0" w:line="108" w:lineRule="exact"/>
        <w:rPr>
          <w:sz w:val="20"/>
          <w:szCs w:val="20"/>
          <w:color w:val="auto"/>
        </w:rPr>
      </w:pPr>
    </w:p>
    <w:p>
      <w:pPr>
        <w:jc w:val="both"/>
        <w:ind w:right="140" w:firstLine="405"/>
        <w:spacing w:after="0" w:line="278" w:lineRule="auto"/>
        <w:rPr>
          <w:sz w:val="20"/>
          <w:szCs w:val="20"/>
          <w:color w:val="auto"/>
        </w:rPr>
      </w:pPr>
      <w:r>
        <w:rPr>
          <w:rFonts w:ascii="Arial" w:cs="Arial" w:eastAsia="Arial" w:hAnsi="Arial"/>
          <w:sz w:val="17"/>
          <w:szCs w:val="17"/>
          <w:color w:val="auto"/>
        </w:rPr>
        <w:t>Qualys PCI Compliance, or Qualys PCI, provides organizations that store cardholder data a cost-effective and highly automated solution to verify and document compliance with PCI DSS. Qualys PCI allows merchants to complete the annual PCI Self-Assessment Questionnaire, or SAQ</w:t>
      </w:r>
      <w:r>
        <w:rPr>
          <w:rFonts w:ascii="Arial" w:cs="Arial" w:eastAsia="Arial" w:hAnsi="Arial"/>
          <w:sz w:val="17"/>
          <w:szCs w:val="17"/>
          <w:b w:val="1"/>
          <w:bCs w:val="1"/>
          <w:color w:val="auto"/>
        </w:rPr>
        <w:t>,</w:t>
      </w:r>
      <w:r>
        <w:rPr>
          <w:rFonts w:ascii="Arial" w:cs="Arial" w:eastAsia="Arial" w:hAnsi="Arial"/>
          <w:sz w:val="17"/>
          <w:szCs w:val="17"/>
          <w:color w:val="auto"/>
        </w:rPr>
        <w:t xml:space="preserve"> to perform vulnerability scanning for quarterly PCI audits and to meet the demands of PCI for web application security.</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Web Application Scanning</w:t>
      </w:r>
    </w:p>
    <w:p>
      <w:pPr>
        <w:spacing w:after="0" w:line="108" w:lineRule="exact"/>
        <w:rPr>
          <w:sz w:val="20"/>
          <w:szCs w:val="20"/>
          <w:color w:val="auto"/>
        </w:rPr>
      </w:pPr>
    </w:p>
    <w:p>
      <w:pPr>
        <w:jc w:val="both"/>
        <w:ind w:right="80" w:firstLine="405"/>
        <w:spacing w:after="0" w:line="256" w:lineRule="auto"/>
        <w:rPr>
          <w:sz w:val="20"/>
          <w:szCs w:val="20"/>
          <w:color w:val="auto"/>
        </w:rPr>
      </w:pPr>
      <w:r>
        <w:rPr>
          <w:rFonts w:ascii="Arial" w:cs="Arial" w:eastAsia="Arial" w:hAnsi="Arial"/>
          <w:sz w:val="18"/>
          <w:szCs w:val="18"/>
          <w:color w:val="auto"/>
        </w:rPr>
        <w:t>Qualys Web Application Scanning, or Qualys WAS, uses the scalability of our cloud platform to allow customers to discover, catalog and scan a large number of web applications. Qualys WAS scans and analyzes custom web applications and identifies vulnerabilities that threaten underlying databases or bypass access controls. These web applications are often the main attack vectors for cyber attackers.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Malware Detection</w:t>
      </w:r>
    </w:p>
    <w:p>
      <w:pPr>
        <w:spacing w:after="0" w:line="108"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Qualys Malware Detection, or Qualys MDS, provides organizations with the ability to scan, identify and remove malware infections from their websites. Qualys MDS utilizes behavioral and static analysis to provide malware detection to organizations. It provides periodic scanning to monitor websites and delivers email alerts to notify customers of infections.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Web Application Firewall</w:t>
      </w:r>
    </w:p>
    <w:p>
      <w:pPr>
        <w:spacing w:after="0" w:line="108" w:lineRule="exact"/>
        <w:rPr>
          <w:sz w:val="20"/>
          <w:szCs w:val="20"/>
          <w:color w:val="auto"/>
        </w:rPr>
      </w:pPr>
    </w:p>
    <w:p>
      <w:pPr>
        <w:ind w:right="240" w:firstLine="405"/>
        <w:spacing w:after="0" w:line="254" w:lineRule="auto"/>
        <w:rPr>
          <w:sz w:val="20"/>
          <w:szCs w:val="20"/>
          <w:color w:val="auto"/>
        </w:rPr>
      </w:pPr>
      <w:r>
        <w:rPr>
          <w:rFonts w:ascii="Arial" w:cs="Arial" w:eastAsia="Arial" w:hAnsi="Arial"/>
          <w:sz w:val="18"/>
          <w:szCs w:val="18"/>
          <w:color w:val="auto"/>
        </w:rPr>
        <w:t>Qualys Web Application Firewall, or Qualys WAF, currently in limited release, delivers enterprise-grade web application security without the costs, footprint, and complexity associated with appliance-based web application firewall solutions. It is designed to protect web applications from attack vectors by enhancing default web application configurations and virtual patching. Qualys WAF can improve website performance by reducing page load times and optimizing bandwidth.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SECURE Seal</w:t>
      </w:r>
    </w:p>
    <w:p>
      <w:pPr>
        <w:spacing w:after="0" w:line="10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Qualys SECURE Seal helps organizations demonstrate to their online customers that they maintain a proactive security program. This solution includes scanning for the presence of malware, network and web application vulnerabilities and for SSL certificate validation. Websites that regularly perform these security scans with no critical security issues detected can display a Qualys SECURE Seal on their website to demonstrate to visitors that they are proactively securing their websites.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Core Services</w:t>
      </w:r>
    </w:p>
    <w:p>
      <w:pPr>
        <w:spacing w:after="0" w:line="112"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Our Core Services include:</w:t>
      </w:r>
    </w:p>
    <w:p>
      <w:pPr>
        <w:spacing w:after="0" w:line="43" w:lineRule="exact"/>
        <w:rPr>
          <w:sz w:val="20"/>
          <w:szCs w:val="20"/>
          <w:color w:val="auto"/>
        </w:rPr>
      </w:pPr>
    </w:p>
    <w:p>
      <w:pPr>
        <w:ind w:left="660" w:right="1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IT environments and automates the process of inventory management and hierarchical organization of IT assets. Built on top of this core service is the Qualys AssetView service, which is a global asset inventory service enabling companies to search for information on any IT asset, scaling to millions of assets for organizations of all sizes, helping IT and security personnel to search IT assets and maintain an up-to-date inventory on a continuous basis.</w:t>
      </w:r>
    </w:p>
    <w:p>
      <w:pPr>
        <w:spacing w:after="0" w:line="48" w:lineRule="exact"/>
        <w:rPr>
          <w:rFonts w:ascii="Arial" w:cs="Arial" w:eastAsia="Arial" w:hAnsi="Arial"/>
          <w:sz w:val="18"/>
          <w:szCs w:val="18"/>
          <w:color w:val="auto"/>
        </w:rPr>
      </w:pPr>
    </w:p>
    <w:p>
      <w:pPr>
        <w:ind w:left="660" w:right="28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roles and access privileges.</w:t>
      </w:r>
    </w:p>
    <w:p>
      <w:pPr>
        <w:spacing w:after="0" w:line="26"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Questionnaires and Collaboration. </w:t>
      </w:r>
      <w:r>
        <w:rPr>
          <w:rFonts w:ascii="Arial" w:cs="Arial" w:eastAsia="Arial" w:hAnsi="Arial"/>
          <w:sz w:val="18"/>
          <w:szCs w:val="18"/>
          <w:color w:val="auto"/>
        </w:rPr>
        <w:t>A configurable workflow engine that enables customers to easily build questionnaires and capture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business processes and workflows to evaluate controls and gather evidence to validate and document compliance.</w:t>
      </w:r>
    </w:p>
    <w:p>
      <w:pPr>
        <w:spacing w:after="0" w:line="26" w:lineRule="exact"/>
        <w:rPr>
          <w:rFonts w:ascii="Arial" w:cs="Arial" w:eastAsia="Arial" w:hAnsi="Arial"/>
          <w:sz w:val="18"/>
          <w:szCs w:val="18"/>
          <w:color w:val="auto"/>
        </w:rPr>
      </w:pPr>
    </w:p>
    <w:p>
      <w:pPr>
        <w:ind w:left="660" w:right="380" w:hanging="328"/>
        <w:spacing w:after="0" w:line="28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Remediation and Workflow. </w:t>
      </w:r>
      <w:r>
        <w:rPr>
          <w:rFonts w:ascii="Arial" w:cs="Arial" w:eastAsia="Arial" w:hAnsi="Arial"/>
          <w:sz w:val="17"/>
          <w:szCs w:val="17"/>
          <w:color w:val="auto"/>
        </w:rPr>
        <w:t>An integrated workflow engine that allows customers to automatically generate helpdesk tickets for</w:t>
      </w:r>
      <w:r>
        <w:rPr>
          <w:rFonts w:ascii="Arial" w:cs="Arial" w:eastAsia="Arial" w:hAnsi="Arial"/>
          <w:sz w:val="17"/>
          <w:szCs w:val="17"/>
          <w:i w:val="1"/>
          <w:iCs w:val="1"/>
          <w:color w:val="auto"/>
        </w:rPr>
        <w:t xml:space="preserve"> </w:t>
      </w:r>
      <w:r>
        <w:rPr>
          <w:rFonts w:ascii="Arial" w:cs="Arial" w:eastAsia="Arial" w:hAnsi="Arial"/>
          <w:sz w:val="17"/>
          <w:szCs w:val="17"/>
          <w:color w:val="auto"/>
        </w:rPr>
        <w:t>remediation 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spacing w:after="0" w:line="29"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Big Data Correlation and Analytics Engine</w:t>
      </w:r>
      <w:r>
        <w:rPr>
          <w:rFonts w:ascii="Arial" w:cs="Arial" w:eastAsia="Arial" w:hAnsi="Arial"/>
          <w:sz w:val="18"/>
          <w:szCs w:val="18"/>
          <w:color w:val="auto"/>
        </w:rPr>
        <w:t>. Provides capabilities for indexing, searching and correlating large amounts of security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data with other security incidents and third-party security intelligence data. Embedded workflows enable customers to quickly assess risk and access information for remediation, incident analysis and forensic investigations.</w:t>
      </w:r>
    </w:p>
    <w:p>
      <w:pPr>
        <w:spacing w:after="0" w:line="41"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open trouble tickets and system updates.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Infrastructure</w:t>
      </w:r>
    </w:p>
    <w:p>
      <w:pPr>
        <w:spacing w:after="0" w:line="11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Our infrastructure layer, which we refer to as our Infrastructure, includes the data, data processing capabilities, software and hardware infrastructure and infrastructure management capabilities that provide the foundation for our cloud platform and allow us to automatically scale our Infrastructure and Core Services to scan millions of IPs. Each Infrastructure service is described below:</w:t>
      </w:r>
    </w:p>
    <w:p>
      <w:pPr>
        <w:spacing w:after="0" w:line="49" w:lineRule="exact"/>
        <w:rPr>
          <w:sz w:val="20"/>
          <w:szCs w:val="20"/>
          <w:color w:val="auto"/>
        </w:rPr>
      </w:pPr>
    </w:p>
    <w:p>
      <w:pPr>
        <w:ind w:left="660" w:right="2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Scalable Capacity</w:t>
      </w:r>
      <w:r>
        <w:rPr>
          <w:rFonts w:ascii="Arial" w:cs="Arial" w:eastAsia="Arial" w:hAnsi="Arial"/>
          <w:sz w:val="18"/>
          <w:szCs w:val="18"/>
          <w:color w:val="auto"/>
        </w:rPr>
        <w:t>. We have designed a modular and scalable infrastructure that leverages virtualization and cloud technologies.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allows our operations team to dynamically allocate additional capacity on-demand across our entire Qualys Cloud Platform to address the growth and scalability of our solutions.</w:t>
      </w:r>
    </w:p>
    <w:p>
      <w:pPr>
        <w:spacing w:after="0" w:line="41" w:lineRule="exact"/>
        <w:rPr>
          <w:rFonts w:ascii="Arial" w:cs="Arial" w:eastAsia="Arial" w:hAnsi="Arial"/>
          <w:sz w:val="18"/>
          <w:szCs w:val="18"/>
          <w:color w:val="auto"/>
        </w:rPr>
      </w:pPr>
    </w:p>
    <w:p>
      <w:pPr>
        <w:jc w:val="both"/>
        <w:ind w:left="660" w:right="28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Big Data Indexing and Storage. </w:t>
      </w:r>
      <w:r>
        <w:rPr>
          <w:rFonts w:ascii="Arial" w:cs="Arial" w:eastAsia="Arial" w:hAnsi="Arial"/>
          <w:sz w:val="18"/>
          <w:szCs w:val="18"/>
          <w:color w:val="auto"/>
        </w:rPr>
        <w:t>Built on top of our secure data storage model, this engine indexes petabytes of data and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real-time to execute tags or rules to dynamically update IT assets’ properties, which are used in various workflows for scanning, reporting and remediation.</w:t>
      </w:r>
    </w:p>
    <w:p>
      <w:pPr>
        <w:spacing w:after="0" w:line="4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Qualys KnowledgeBase. Qualys </w:t>
      </w:r>
      <w:r>
        <w:rPr>
          <w:rFonts w:ascii="Arial" w:cs="Arial" w:eastAsia="Arial" w:hAnsi="Arial"/>
          <w:sz w:val="18"/>
          <w:szCs w:val="18"/>
          <w:color w:val="auto"/>
        </w:rPr>
        <w:t>relies on our comprehensive repository, which we refer to as our KnowledgeBase, of known</w:t>
      </w:r>
      <w:r>
        <w:rPr>
          <w:rFonts w:ascii="Arial" w:cs="Arial" w:eastAsia="Arial" w:hAnsi="Arial"/>
          <w:sz w:val="18"/>
          <w:szCs w:val="18"/>
          <w:i w:val="1"/>
          <w:iCs w:val="1"/>
          <w:color w:val="auto"/>
        </w:rPr>
        <w:t xml:space="preserve"> </w:t>
      </w:r>
      <w:r>
        <w:rPr>
          <w:rFonts w:ascii="Arial" w:cs="Arial" w:eastAsia="Arial" w:hAnsi="Arial"/>
          <w:sz w:val="18"/>
          <w:szCs w:val="18"/>
          <w:color w:val="auto"/>
        </w:rPr>
        <w:t>vulnerabilities and compliance controls for a wide range of devices, technologies and applications that powers our security and compliance scanning technology. We update our KnowledgeBase daily with signatures for new vulnerabilities, control checks, validated fixes and improvements.</w:t>
      </w:r>
    </w:p>
    <w:p>
      <w:pPr>
        <w:spacing w:after="0" w:line="44" w:lineRule="exact"/>
        <w:rPr>
          <w:rFonts w:ascii="Arial" w:cs="Arial" w:eastAsia="Arial" w:hAnsi="Arial"/>
          <w:sz w:val="18"/>
          <w:szCs w:val="18"/>
          <w:color w:val="auto"/>
        </w:rPr>
      </w:pPr>
    </w:p>
    <w:p>
      <w:pPr>
        <w:ind w:left="660" w:right="24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Managed Scanner Appliances. </w:t>
      </w:r>
      <w:r>
        <w:rPr>
          <w:rFonts w:ascii="Arial" w:cs="Arial" w:eastAsia="Arial" w:hAnsi="Arial"/>
          <w:sz w:val="18"/>
          <w:szCs w:val="18"/>
          <w:color w:val="auto"/>
        </w:rPr>
        <w:t>As part of our cloud platform, we host and operate a large number of globally distributed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scanner appliances that our customers use to scan their externally facing systems and web applications. To scan internal IT assets, customers can also deploy our scanners, which are available on a subscription basis as physical appliances or downloadable virtual images, within their internal networks. Our scanner appliances self-update daily in a transparent manner using our automated and proprietary scan management technology. These scanner appliances allow us to scale our cloud platform to scan networked devices and web applications across organizations’ networks around the world.</w:t>
      </w:r>
    </w:p>
    <w:p>
      <w:pPr>
        <w:spacing w:after="0" w:line="47" w:lineRule="exact"/>
        <w:rPr>
          <w:rFonts w:ascii="Arial" w:cs="Arial" w:eastAsia="Arial" w:hAnsi="Arial"/>
          <w:sz w:val="18"/>
          <w:szCs w:val="18"/>
          <w:color w:val="auto"/>
        </w:rPr>
      </w:pPr>
    </w:p>
    <w:p>
      <w:pPr>
        <w:jc w:val="both"/>
        <w:ind w:left="660" w:right="200" w:hanging="328"/>
        <w:spacing w:after="0" w:line="266"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Cloud Agents. </w:t>
      </w:r>
      <w:r>
        <w:rPr>
          <w:rFonts w:ascii="Arial" w:cs="Arial" w:eastAsia="Arial" w:hAnsi="Arial"/>
          <w:sz w:val="18"/>
          <w:szCs w:val="18"/>
          <w:color w:val="auto"/>
        </w:rPr>
        <w:t>As part of our cloud platform, Qualys Cloud Agent provides a lightweight agent (2 mbytes) that can be installed on any</w:t>
      </w:r>
      <w:r>
        <w:rPr>
          <w:rFonts w:ascii="Arial" w:cs="Arial" w:eastAsia="Arial" w:hAnsi="Arial"/>
          <w:sz w:val="18"/>
          <w:szCs w:val="18"/>
          <w:i w:val="1"/>
          <w:iCs w:val="1"/>
          <w:color w:val="auto"/>
        </w:rPr>
        <w:t xml:space="preserve"> </w:t>
      </w:r>
      <w:r>
        <w:rPr>
          <w:rFonts w:ascii="Arial" w:cs="Arial" w:eastAsia="Arial" w:hAnsi="Arial"/>
          <w:sz w:val="18"/>
          <w:szCs w:val="18"/>
          <w:color w:val="auto"/>
        </w:rPr>
        <w:t>host such as a laptop, desktop, server or virtual machine. Qualys Cloud Agents extract and consolidate vulnerability and compliance data and update it continuously within the Qualys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00"/>
        <w:spacing w:after="0" w:line="309" w:lineRule="auto"/>
        <w:rPr>
          <w:sz w:val="20"/>
          <w:szCs w:val="20"/>
          <w:color w:val="auto"/>
        </w:rPr>
      </w:pPr>
      <w:r>
        <w:rPr>
          <w:rFonts w:ascii="Arial" w:cs="Arial" w:eastAsia="Arial" w:hAnsi="Arial"/>
          <w:sz w:val="18"/>
          <w:szCs w:val="18"/>
          <w:color w:val="auto"/>
        </w:rPr>
        <w:t>Cloud Platform for further analysis and correlation, thus providing a continuous view of their IT security compliance posture of their global network.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4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As of </w:t>
      </w:r>
      <w:r>
        <w:rPr>
          <w:rFonts w:ascii="Arial" w:cs="Arial" w:eastAsia="Arial" w:hAnsi="Arial"/>
          <w:sz w:val="18"/>
          <w:szCs w:val="18"/>
          <w:color w:val="000000"/>
        </w:rPr>
        <w:t>December 31, 2015</w:t>
      </w:r>
      <w:r>
        <w:rPr>
          <w:rFonts w:ascii="Arial" w:cs="Arial" w:eastAsia="Arial" w:hAnsi="Arial"/>
          <w:sz w:val="18"/>
          <w:szCs w:val="18"/>
          <w:color w:val="231F20"/>
        </w:rPr>
        <w:t xml:space="preserve">, we had over </w:t>
      </w:r>
      <w:r>
        <w:rPr>
          <w:rFonts w:ascii="Arial" w:cs="Arial" w:eastAsia="Arial" w:hAnsi="Arial"/>
          <w:sz w:val="18"/>
          <w:szCs w:val="18"/>
          <w:color w:val="000000"/>
        </w:rPr>
        <w:t>8,800</w:t>
      </w:r>
      <w:r>
        <w:rPr>
          <w:rFonts w:ascii="Arial" w:cs="Arial" w:eastAsia="Arial" w:hAnsi="Arial"/>
          <w:sz w:val="18"/>
          <w:szCs w:val="18"/>
          <w:color w:val="231F20"/>
        </w:rPr>
        <w:t xml:space="preserve"> customers in more than </w:t>
      </w:r>
      <w:r>
        <w:rPr>
          <w:rFonts w:ascii="Arial" w:cs="Arial" w:eastAsia="Arial" w:hAnsi="Arial"/>
          <w:sz w:val="18"/>
          <w:szCs w:val="18"/>
          <w:color w:val="000000"/>
        </w:rPr>
        <w:t>100 countries, including a majority of each of the Forbes Global 100 and</w:t>
      </w:r>
      <w:r>
        <w:rPr>
          <w:rFonts w:ascii="Arial" w:cs="Arial" w:eastAsia="Arial" w:hAnsi="Arial"/>
          <w:sz w:val="18"/>
          <w:szCs w:val="18"/>
          <w:color w:val="231F20"/>
        </w:rPr>
        <w:t xml:space="preserve"> </w:t>
      </w:r>
      <w:r>
        <w:rPr>
          <w:rFonts w:ascii="Arial" w:cs="Arial" w:eastAsia="Arial" w:hAnsi="Arial"/>
          <w:sz w:val="18"/>
          <w:szCs w:val="18"/>
          <w:color w:val="000000"/>
        </w:rPr>
        <w:t xml:space="preserve">Fortune 100. In each of 2015, 2014 and 2013, no one customer accounted for more than 10% of our revenues. In 2015, 2014 and 2013, approximately 70% </w:t>
      </w:r>
      <w:r>
        <w:rPr>
          <w:rFonts w:ascii="Arial" w:cs="Arial" w:eastAsia="Arial" w:hAnsi="Arial"/>
          <w:sz w:val="18"/>
          <w:szCs w:val="18"/>
          <w:color w:val="231F20"/>
        </w:rPr>
        <w:t>of our revenues were derived from customers in the United States. We sell our solutions to enterprises and government</w:t>
      </w:r>
      <w:r>
        <w:rPr>
          <w:rFonts w:ascii="Arial" w:cs="Arial" w:eastAsia="Arial" w:hAnsi="Arial"/>
          <w:sz w:val="18"/>
          <w:szCs w:val="18"/>
          <w:color w:val="000000"/>
        </w:rPr>
        <w:t xml:space="preserve"> </w:t>
      </w:r>
      <w:r>
        <w:rPr>
          <w:rFonts w:ascii="Arial" w:cs="Arial" w:eastAsia="Arial" w:hAnsi="Arial"/>
          <w:sz w:val="18"/>
          <w:szCs w:val="18"/>
          <w:color w:val="231F20"/>
        </w:rPr>
        <w:t>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112"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42"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Our global sales force is organized into a field sales team, which focuses on enterprises, generally including organizations with more than 5,000 employees, and an inside sales team, which focuses on small to medium businesses, which generally include organizations with less than 5,000 employees. Both our field and inside sales teams are divided into three geographic regions, including the Americas; Europe, Middle East and Africa; and Asia-Pacific. We also further segment each of our sales teams into groups that focus on adding new customers or managing relationships with existing customers.</w:t>
      </w:r>
    </w:p>
    <w:p>
      <w:pPr>
        <w:spacing w:after="0" w:line="15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Dell Inc., Fujitsu, Insight Technologies, Inc., Optiv, and Verizon Communications Inc.</w:t>
      </w:r>
    </w:p>
    <w:p>
      <w:pPr>
        <w:spacing w:after="0" w:line="15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2015, 2014 and 2013, 37%, 37% and 39%, respectively, of our revenues were generated by channel partners.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112" w:lineRule="exact"/>
        <w:rPr>
          <w:sz w:val="20"/>
          <w:szCs w:val="20"/>
          <w:color w:val="auto"/>
        </w:rPr>
      </w:pPr>
    </w:p>
    <w:p>
      <w:pPr>
        <w:jc w:val="both"/>
        <w:ind w:right="140" w:firstLine="405"/>
        <w:spacing w:after="0" w:line="262"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42"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12"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We deliver 24x7x365 customer support from centers located in Redwood City, California; Raleigh, North Carolina; Reading, United Kingdom; and Pune, India. We recruit senior level technical personnel and trained subject matter experts who work closely with engineering and operations personnel to resolve issues quickly. Our security and compliance solutions can be deployed easily and are designed to be implemented and operated without the need for any professional services. Accordingly, we do not sell any professional services. However, we do offer various training programs as part of our subscriptions to all of our customers. We believe that our customer support helps ensure customer satisfaction and is critical to retaining and expanding our customer base. In addition, we leverage the insights drawn from our customers to further improve the functionality of our security and compliance 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11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devote significant resources to maintain, enhance and add new functionality to our Qualys Cloud Platform and the integrated suite of solutions that we offer. Our development organization consists of agile engineering teams with substantial security expertise in specific areas of our solutions. In addition to our development teams, we have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India, and the United Kingdom, which gives us access to some of the best research and engineering talent in the world. Our focus remains to attract engineering talent as we continue to add new solutions and improve existing ones.</w:t>
      </w:r>
    </w:p>
    <w:p>
      <w:pPr>
        <w:spacing w:after="0" w:line="15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expenses were $29.5 million, $26.3 million and $21.7 million for 2015, 2014 and 2013, respectively.</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12"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Our physical appliances are provided by SYNNEX Corporation, or SYNNEX, pursuant to a manufacturing services agreement dated March 1, 2011. Under this agreement, SYNNEX manufactures, assembles and tests our physical scanner appliances. This agreement has an initial term of one year, which is automatically renewed for additional one-year terms, unless terminated (i) at anytime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Data Center Agreements</w:t>
      </w:r>
    </w:p>
    <w:p>
      <w:pPr>
        <w:spacing w:after="0" w:line="112"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Our data center operations are provided by large third-party data center vendors and are located in the United States, Switzerland and the Netherlands. Our data center agreements have varying terms through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2"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auto"/>
        </w:rPr>
        <w:t>The expanding capabilities of our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48"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auto"/>
        </w:rPr>
        <w:t>We compete with large public companies, such as Barracuda Networks, Inc., Hewlett-Packard Company, Imperva, Inc., International Business Machines Corporation, Rapid7, Inc. and Symantec Corporation, as well as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1"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w:t>
      </w:r>
    </w:p>
    <w:p>
      <w:pPr>
        <w:spacing w:after="0" w:line="15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believe that the principal competitive factors affecting the market for cloud-based security and compliance solutions include product functionality, breadth of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rely on a combination of trade secrets, copyrights, patents and trademarks, as well as contractual protections, to establish and protect our intellectual property rights and protect our proprietary technology. We have four issued patents, several pending U.S. patent applications and an exclusive license to four U.S. patents, which was obtained in connection with our acquisition of Nemean.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our Qualys Cloud Platform, which we believe differentiates us from our competitors.</w:t>
      </w:r>
    </w:p>
    <w:p>
      <w:pPr>
        <w:spacing w:after="0" w:line="15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copy or obtain and use our technology to develop products with the same functionality as our solution. Policing unauthorized use of our technology and intellectual property rights is difficult.</w:t>
      </w:r>
    </w:p>
    <w:p>
      <w:pPr>
        <w:spacing w:after="0" w:line="148"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As of December 31, 2015, we had 510 full-time employees, including 196 in research and development, 169 in sales and marketing, 92 in operations and customer support and 53 in general and administrative. As of December 31, 2015, we had 288 employees in the United States and 222 employees internationally. None of our U.S. employees are covered by collective bargaining agreements. Employees in certain European countries have collective bargaining arrangements at the national level. We believe our employee relations are good and we have not experienced any work stoppages.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Our principal executive offices are located at 1600 Bridge Parkway, Redwood City, California 94065.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69"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www.qualys.com</w:t>
      </w:r>
      <w:r>
        <w:rPr>
          <w:rFonts w:ascii="Arial" w:cs="Arial" w:eastAsia="Arial" w:hAnsi="Arial"/>
          <w:sz w:val="18"/>
          <w:szCs w:val="18"/>
          <w:color w:val="auto"/>
        </w:rPr>
        <w:t xml:space="preserve"> as soon as reasonably practicable after they are electronically filed with or furnished to the Securities and Exchange Commission or SEC. Additionally, copies of materials filed by us with the SEC may be accessed at the SEC's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41"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Public Reference Room at 100 F Street, N.E., Washington, D.C. 20549 or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For information about the SEC's Public Reference Room, contact 1-800-SEC-0330.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1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For a description of our revenue and property and equipment by geographic location, see Note 10 to our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Subscriptions to our Qualys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We derived 79%, 82%, and 84% </w:t>
      </w:r>
      <w:r>
        <w:rPr>
          <w:rFonts w:ascii="Arial" w:cs="Arial" w:eastAsia="Arial" w:hAnsi="Arial"/>
          <w:sz w:val="18"/>
          <w:szCs w:val="18"/>
          <w:color w:val="231F20"/>
        </w:rPr>
        <w:t>of our revenues from subscriptions to our core Qualys Vulnerability Management solution for the years</w:t>
      </w:r>
      <w:r>
        <w:rPr>
          <w:rFonts w:ascii="Arial" w:cs="Arial" w:eastAsia="Arial" w:hAnsi="Arial"/>
          <w:sz w:val="18"/>
          <w:szCs w:val="18"/>
          <w:color w:val="auto"/>
        </w:rPr>
        <w:t xml:space="preserve"> </w:t>
      </w:r>
      <w:r>
        <w:rPr>
          <w:rFonts w:ascii="Arial" w:cs="Arial" w:eastAsia="Arial" w:hAnsi="Arial"/>
          <w:sz w:val="18"/>
          <w:szCs w:val="18"/>
          <w:color w:val="231F20"/>
        </w:rPr>
        <w:t xml:space="preserve">ended </w:t>
      </w:r>
      <w:r>
        <w:rPr>
          <w:rFonts w:ascii="Arial" w:cs="Arial" w:eastAsia="Arial" w:hAnsi="Arial"/>
          <w:sz w:val="18"/>
          <w:szCs w:val="18"/>
          <w:color w:val="000000"/>
        </w:rPr>
        <w:t>December 31, 2015</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1"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and our service providers could be a target of cyber 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 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9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 Vulnerability Management for our business and revenues to grow as we expect. Revenues from our other solutions, including our Web Application Scanning, Policy Compliance, PCI Compliance, Malware Detection Service, and Qualys SECURE Seal, have been relatively modest compared to revenues from our Qualys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13" w:lineRule="exact"/>
        <w:rPr>
          <w:sz w:val="20"/>
          <w:szCs w:val="20"/>
          <w:color w:val="auto"/>
        </w:rPr>
      </w:pPr>
    </w:p>
    <w:p>
      <w:pPr>
        <w:ind w:right="380"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380" w:firstLine="405"/>
        <w:spacing w:after="0" w:line="252"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and the Netherlands.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9" w:lineRule="exact"/>
        <w:rPr>
          <w:sz w:val="20"/>
          <w:szCs w:val="20"/>
          <w:color w:val="auto"/>
        </w:rPr>
      </w:pPr>
    </w:p>
    <w:p>
      <w:pPr>
        <w:jc w:val="both"/>
        <w:ind w:right="40" w:firstLine="405"/>
        <w:spacing w:after="0" w:line="254"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860" w:firstLine="405"/>
        <w:spacing w:after="0" w:line="262"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231F20"/>
        </w:rPr>
        <w:t>to issue credits to customers, subject us to potential liability and cause customers to terminate their subscriptions or not renew their subscriptions.</w:t>
      </w:r>
    </w:p>
    <w:p>
      <w:pPr>
        <w:spacing w:after="0" w:line="1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Symantec Corporation and Rapid7, Inc., as well as 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44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firstLine="405"/>
        <w:spacing w:after="0" w:line="274" w:lineRule="auto"/>
        <w:rPr>
          <w:sz w:val="20"/>
          <w:szCs w:val="20"/>
          <w:color w:val="auto"/>
        </w:rPr>
      </w:pPr>
      <w:r>
        <w:rPr>
          <w:rFonts w:ascii="Arial" w:cs="Arial" w:eastAsia="Arial" w:hAnsi="Arial"/>
          <w:sz w:val="17"/>
          <w:szCs w:val="17"/>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141" w:right="37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231F20"/>
        </w:rPr>
        <w:t>competitors are also often in a better position to withstand any significant reduction in capital spending, and will therefore not be as susceptible to economic downturns.</w:t>
      </w:r>
    </w:p>
    <w:p>
      <w:pPr>
        <w:spacing w:after="0" w:line="196" w:lineRule="exact"/>
        <w:rPr>
          <w:sz w:val="20"/>
          <w:szCs w:val="20"/>
          <w:color w:val="auto"/>
        </w:rPr>
      </w:pPr>
    </w:p>
    <w:p>
      <w:pPr>
        <w:ind w:right="6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342" w:lineRule="exact"/>
        <w:rPr>
          <w:sz w:val="20"/>
          <w:szCs w:val="20"/>
          <w:color w:val="auto"/>
        </w:rPr>
      </w:pPr>
    </w:p>
    <w:p>
      <w:pPr>
        <w:ind w:right="140" w:firstLine="392"/>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231F20"/>
        </w:rPr>
        <w:t>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19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1"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approximately 44% of our employees are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8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2013</w:t>
      </w:r>
      <w:r>
        <w:rPr>
          <w:rFonts w:ascii="Arial" w:cs="Arial" w:eastAsia="Arial" w:hAnsi="Arial"/>
          <w:sz w:val="18"/>
          <w:szCs w:val="18"/>
          <w:color w:val="231F20"/>
        </w:rPr>
        <w:t xml:space="preserve"> to </w:t>
      </w:r>
      <w:r>
        <w:rPr>
          <w:rFonts w:ascii="Arial" w:cs="Arial" w:eastAsia="Arial" w:hAnsi="Arial"/>
          <w:sz w:val="18"/>
          <w:szCs w:val="18"/>
          <w:color w:val="000000"/>
        </w:rPr>
        <w:t>2015</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$108.0 million</w:t>
      </w:r>
      <w:r>
        <w:rPr>
          <w:rFonts w:ascii="Arial" w:cs="Arial" w:eastAsia="Arial" w:hAnsi="Arial"/>
          <w:sz w:val="18"/>
          <w:szCs w:val="18"/>
          <w:color w:val="231F20"/>
        </w:rPr>
        <w:t xml:space="preserve"> to </w:t>
      </w:r>
      <w:r>
        <w:rPr>
          <w:rFonts w:ascii="Arial" w:cs="Arial" w:eastAsia="Arial" w:hAnsi="Arial"/>
          <w:sz w:val="18"/>
          <w:szCs w:val="18"/>
          <w:color w:val="000000"/>
        </w:rPr>
        <w:t>$164.3 million</w:t>
      </w:r>
      <w:r>
        <w:rPr>
          <w:rFonts w:ascii="Arial" w:cs="Arial" w:eastAsia="Arial" w:hAnsi="Arial"/>
          <w:sz w:val="18"/>
          <w:szCs w:val="18"/>
          <w:color w:val="231F20"/>
        </w:rPr>
        <w:t>, and our headcount increased from 359 employees at the beginning of 2013 to</w:t>
      </w:r>
      <w:r>
        <w:rPr>
          <w:rFonts w:ascii="Arial" w:cs="Arial" w:eastAsia="Arial" w:hAnsi="Arial"/>
          <w:sz w:val="18"/>
          <w:szCs w:val="18"/>
          <w:color w:val="000000"/>
        </w:rPr>
        <w:t xml:space="preserve"> 510 </w:t>
      </w:r>
      <w:r>
        <w:rPr>
          <w:rFonts w:ascii="Arial" w:cs="Arial" w:eastAsia="Arial" w:hAnsi="Arial"/>
          <w:sz w:val="18"/>
          <w:szCs w:val="18"/>
          <w:color w:val="231F20"/>
        </w:rPr>
        <w:t>employees at</w:t>
      </w:r>
      <w:r>
        <w:rPr>
          <w:rFonts w:ascii="Arial" w:cs="Arial" w:eastAsia="Arial" w:hAnsi="Arial"/>
          <w:sz w:val="18"/>
          <w:szCs w:val="18"/>
          <w:color w:val="000000"/>
        </w:rPr>
        <w:t xml:space="preserve"> December 31, 2015</w:t>
      </w:r>
      <w:r>
        <w:rPr>
          <w:rFonts w:ascii="Arial" w:cs="Arial" w:eastAsia="Arial" w:hAnsi="Arial"/>
          <w:sz w:val="18"/>
          <w:szCs w:val="18"/>
          <w:color w:val="231F20"/>
        </w:rPr>
        <w:t>. We rely</w:t>
      </w:r>
      <w:r>
        <w:rPr>
          <w:rFonts w:ascii="Arial" w:cs="Arial" w:eastAsia="Arial" w:hAnsi="Arial"/>
          <w:sz w:val="18"/>
          <w:szCs w:val="18"/>
          <w:color w:val="000000"/>
        </w:rPr>
        <w:t xml:space="preserve"> </w:t>
      </w:r>
      <w:r>
        <w:rPr>
          <w:rFonts w:ascii="Arial" w:cs="Arial" w:eastAsia="Arial" w:hAnsi="Arial"/>
          <w:sz w:val="18"/>
          <w:szCs w:val="18"/>
          <w:color w:val="231F20"/>
        </w:rPr>
        <w:t>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December 31, </w:t>
      </w:r>
      <w:r>
        <w:rPr>
          <w:rFonts w:ascii="Arial" w:cs="Arial" w:eastAsia="Arial" w:hAnsi="Arial"/>
          <w:sz w:val="18"/>
          <w:szCs w:val="18"/>
          <w:color w:val="000000"/>
        </w:rPr>
        <w:t>2015</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37%</w:t>
      </w:r>
      <w:r>
        <w:rPr>
          <w:rFonts w:ascii="Arial" w:cs="Arial" w:eastAsia="Arial" w:hAnsi="Arial"/>
          <w:sz w:val="18"/>
          <w:szCs w:val="18"/>
          <w:color w:val="231F20"/>
        </w:rPr>
        <w:t xml:space="preserve">, 37% and </w:t>
      </w:r>
      <w:r>
        <w:rPr>
          <w:rFonts w:ascii="Arial" w:cs="Arial" w:eastAsia="Arial" w:hAnsi="Arial"/>
          <w:sz w:val="18"/>
          <w:szCs w:val="18"/>
          <w:color w:val="000000"/>
        </w:rPr>
        <w:t>39%</w:t>
      </w:r>
      <w:r>
        <w:rPr>
          <w:rFonts w:ascii="Arial" w:cs="Arial" w:eastAsia="Arial" w:hAnsi="Arial"/>
          <w:sz w:val="18"/>
          <w:szCs w:val="18"/>
          <w:color w:val="231F20"/>
        </w:rPr>
        <w:t>,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1"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0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in </w:t>
      </w:r>
      <w:r>
        <w:rPr>
          <w:rFonts w:ascii="Arial" w:cs="Arial" w:eastAsia="Arial" w:hAnsi="Arial"/>
          <w:sz w:val="18"/>
          <w:szCs w:val="18"/>
          <w:color w:val="000000"/>
        </w:rPr>
        <w:t>2015</w:t>
      </w:r>
      <w:r>
        <w:rPr>
          <w:rFonts w:ascii="Arial" w:cs="Arial" w:eastAsia="Arial" w:hAnsi="Arial"/>
          <w:sz w:val="18"/>
          <w:szCs w:val="18"/>
          <w:color w:val="231F20"/>
        </w:rPr>
        <w:t xml:space="preserve">, we incurred approximately </w:t>
      </w:r>
      <w:r>
        <w:rPr>
          <w:rFonts w:ascii="Arial" w:cs="Arial" w:eastAsia="Arial" w:hAnsi="Arial"/>
          <w:sz w:val="18"/>
          <w:szCs w:val="18"/>
          <w:color w:val="000000"/>
        </w:rPr>
        <w:t>21%</w:t>
      </w:r>
      <w:r>
        <w:rPr>
          <w:rFonts w:ascii="Arial" w:cs="Arial" w:eastAsia="Arial" w:hAnsi="Arial"/>
          <w:sz w:val="18"/>
          <w:szCs w:val="18"/>
          <w:color w:val="231F20"/>
        </w:rPr>
        <w:t xml:space="preserve"> of our expenses outside of the United States in foreign currencies, primarily Euros, British Pounds, and Indian Rupee, principally with respect to salaries and related personnel expenses associated with our European and Indian operations. Additionally, in </w:t>
      </w:r>
      <w:r>
        <w:rPr>
          <w:rFonts w:ascii="Arial" w:cs="Arial" w:eastAsia="Arial" w:hAnsi="Arial"/>
          <w:sz w:val="18"/>
          <w:szCs w:val="18"/>
          <w:color w:val="000000"/>
        </w:rPr>
        <w:t>2015</w:t>
      </w:r>
      <w:r>
        <w:rPr>
          <w:rFonts w:ascii="Arial" w:cs="Arial" w:eastAsia="Arial" w:hAnsi="Arial"/>
          <w:sz w:val="18"/>
          <w:szCs w:val="18"/>
          <w:color w:val="231F20"/>
        </w:rPr>
        <w:t xml:space="preserve">, approximately </w:t>
      </w:r>
      <w:r>
        <w:rPr>
          <w:rFonts w:ascii="Arial" w:cs="Arial" w:eastAsia="Arial" w:hAnsi="Arial"/>
          <w:sz w:val="18"/>
          <w:szCs w:val="18"/>
          <w:color w:val="000000"/>
        </w:rPr>
        <w:t>17%</w:t>
      </w:r>
      <w:r>
        <w:rPr>
          <w:rFonts w:ascii="Arial" w:cs="Arial" w:eastAsia="Arial" w:hAnsi="Arial"/>
          <w:sz w:val="18"/>
          <w:szCs w:val="18"/>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3"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four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8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1"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231F20"/>
        </w:rPr>
        <w:t>be no assurance that we will not be found to infringe or otherwise violate any third-party intellectual property rights or to have done so in the past.</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1"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31F20"/>
        </w:rPr>
        <w:t>which we have a substantial presence and need for highly skilled personnel and we may not be able to compete for these employees.</w:t>
      </w:r>
    </w:p>
    <w:p>
      <w:pPr>
        <w:spacing w:after="0" w:line="22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41" w:right="2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231F20"/>
        </w:rPr>
        <w:t>operations and decreased revenues. If we fail to comply with export and import regulations, we may be fined or other penalties could be imposed, including a denial of certain export privileges.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such acquisitions may still be viewed negatively by customers, financial markets or investors. </w:t>
      </w:r>
      <w:r>
        <w:rPr>
          <w:rFonts w:ascii="Arial" w:cs="Arial" w:eastAsia="Arial" w:hAnsi="Arial"/>
          <w:sz w:val="18"/>
          <w:szCs w:val="18"/>
          <w:color w:val="231F20"/>
        </w:rPr>
        <w:t>The acquisition and integration</w:t>
      </w:r>
      <w:r>
        <w:rPr>
          <w:rFonts w:ascii="Arial" w:cs="Arial" w:eastAsia="Arial" w:hAnsi="Arial"/>
          <w:sz w:val="18"/>
          <w:szCs w:val="18"/>
          <w:color w:val="000000"/>
        </w:rPr>
        <w:t xml:space="preserve"> </w:t>
      </w:r>
      <w:r>
        <w:rPr>
          <w:rFonts w:ascii="Arial" w:cs="Arial" w:eastAsia="Arial" w:hAnsi="Arial"/>
          <w:sz w:val="18"/>
          <w:szCs w:val="18"/>
          <w:color w:val="231F20"/>
        </w:rPr>
        <w:t xml:space="preserve">process is complex, 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w:t>
      </w:r>
      <w:r>
        <w:rPr>
          <w:rFonts w:ascii="Arial" w:cs="Arial" w:eastAsia="Arial" w:hAnsi="Arial"/>
          <w:sz w:val="18"/>
          <w:szCs w:val="18"/>
          <w:color w:val="231F20"/>
        </w:rPr>
        <w:t xml:space="preserve"> </w:t>
      </w:r>
      <w:r>
        <w:rPr>
          <w:rFonts w:ascii="Arial" w:cs="Arial" w:eastAsia="Arial" w:hAnsi="Arial"/>
          <w:sz w:val="18"/>
          <w:szCs w:val="18"/>
          <w:color w:val="000000"/>
        </w:rPr>
        <w:t xml:space="preserve">may issue 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w:t>
      </w:r>
      <w:r>
        <w:rPr>
          <w:rFonts w:ascii="Arial" w:cs="Arial" w:eastAsia="Arial" w:hAnsi="Arial"/>
          <w:sz w:val="18"/>
          <w:szCs w:val="18"/>
          <w:color w:val="000000"/>
        </w:rPr>
        <w:t xml:space="preserve"> </w:t>
      </w:r>
      <w:r>
        <w:rPr>
          <w:rFonts w:ascii="Arial" w:cs="Arial" w:eastAsia="Arial" w:hAnsi="Arial"/>
          <w:sz w:val="18"/>
          <w:szCs w:val="18"/>
          <w:color w:val="231F20"/>
        </w:rPr>
        <w:t>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ind w:right="24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$35.6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Increases in our effective tax rate could harm our operating results.</w:t>
      </w:r>
    </w:p>
    <w:p>
      <w:pPr>
        <w:spacing w:after="0" w:line="20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204"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231F20"/>
        </w:rPr>
        <w:t xml:space="preserve">Our </w:t>
      </w:r>
      <w:r>
        <w:rPr>
          <w:rFonts w:ascii="Arial" w:cs="Arial" w:eastAsia="Arial" w:hAnsi="Arial"/>
          <w:sz w:val="17"/>
          <w:szCs w:val="17"/>
          <w:color w:val="000000"/>
        </w:rPr>
        <w:t>internal control over financial reporting is a process designed to provide reasonable assurance regarding the reliability of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reporting and the preparation of financial statements in accordance with GAAP. Our </w:t>
      </w:r>
      <w:r>
        <w:rPr>
          <w:rFonts w:ascii="Arial" w:cs="Arial" w:eastAsia="Arial" w:hAnsi="Arial"/>
          <w:sz w:val="17"/>
          <w:szCs w:val="17"/>
          <w:color w:val="231F20"/>
        </w:rPr>
        <w:t>current controls and any new controls that we develop may</w:t>
      </w:r>
      <w:r>
        <w:rPr>
          <w:rFonts w:ascii="Arial" w:cs="Arial" w:eastAsia="Arial" w:hAnsi="Arial"/>
          <w:sz w:val="17"/>
          <w:szCs w:val="17"/>
          <w:color w:val="000000"/>
        </w:rPr>
        <w:t xml:space="preserve"> </w:t>
      </w:r>
      <w:r>
        <w:rPr>
          <w:rFonts w:ascii="Arial" w:cs="Arial" w:eastAsia="Arial" w:hAnsi="Arial"/>
          <w:sz w:val="17"/>
          <w:szCs w:val="17"/>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In the event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19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Annual Report on Form 10-K and other quarterly and annual reports and provide an annual management report on the effectiveness of our internal control over financial reporting. Our independent registered public accounting firm is required to formally attest to the effectiveness of our internal control over financial reporting beginning with this annual report now that we are no longer an “emerging growth company” as defined in the JOBS Act. It is possible that in the future our independent registered public accounting firm may issue a report that is adverse in the event it is not satisfied with the level at which our controls are documented, designed or operating. Our remediation efforts may not enable us to avoid a material weakness in the future.</w:t>
      </w:r>
    </w:p>
    <w:p>
      <w:pPr>
        <w:spacing w:after="0" w:line="185" w:lineRule="exact"/>
        <w:rPr>
          <w:sz w:val="20"/>
          <w:szCs w:val="20"/>
          <w:color w:val="auto"/>
        </w:rPr>
      </w:pPr>
    </w:p>
    <w:p>
      <w:pPr>
        <w:ind w:right="80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especially now that we are no longer an “emerging growth company,” which could adversely affect our business and operating results.</w:t>
      </w:r>
    </w:p>
    <w:p>
      <w:pPr>
        <w:spacing w:after="0" w:line="19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In addition, our management and other personnel must divert attention from operational and other business matters to devote substantial time to these public company requirements.</w:t>
      </w:r>
    </w:p>
    <w:p>
      <w:pPr>
        <w:spacing w:after="0" w:line="20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4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Annual Report on Form 10-K could result in the actual operating results being different from our guidance, and the differences may be adverse and material.</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1"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2015</w:t>
      </w:r>
      <w:r>
        <w:rPr>
          <w:rFonts w:ascii="Arial" w:cs="Arial" w:eastAsia="Arial" w:hAnsi="Arial"/>
          <w:sz w:val="18"/>
          <w:szCs w:val="18"/>
          <w:color w:val="231F20"/>
        </w:rPr>
        <w:t>, our executive officers, directors and holders of 10% or more of our outstanding common stock beneficially own, in the aggregate, approximately 22%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2015, we had approximately 34.4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In addition, as of December 31, 2015, we had outstanding options to purchase approximately 7.6 million shares of common stock that, if exercised, will result in these additional shares becoming available for sale. As of December 31, 2015, we had an aggregate of 1.6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1"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4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principal executive offices are located in Redwood City, California, where we occupy a 50,000 square-foot facility under a lease expiring on November 30, 2017. We have additional U.S. offices in Bellevue, Washington; Denver, Colorado; Raleigh, North Carolina; and Madison, Wisconsin. We also lease offices in Courbevoie, France; Moscow, Russia; Munich, Germany; Frankfurt, Germany; Pune, India; Dubai, United Arab Emirates; Reading, United Kingdom; and Tokyo, Japan. We believe our facilities are adequate for our current needs and for the foreseeable future.</w:t>
      </w:r>
    </w:p>
    <w:p>
      <w:pPr>
        <w:spacing w:after="0" w:line="152" w:lineRule="exact"/>
        <w:rPr>
          <w:sz w:val="20"/>
          <w:szCs w:val="20"/>
          <w:color w:val="auto"/>
        </w:rPr>
      </w:pPr>
    </w:p>
    <w:p>
      <w:pPr>
        <w:ind w:right="440" w:firstLine="405"/>
        <w:spacing w:after="0" w:line="262" w:lineRule="auto"/>
        <w:rPr>
          <w:sz w:val="20"/>
          <w:szCs w:val="20"/>
          <w:color w:val="auto"/>
        </w:rPr>
      </w:pPr>
      <w:r>
        <w:rPr>
          <w:rFonts w:ascii="Arial" w:cs="Arial" w:eastAsia="Arial" w:hAnsi="Arial"/>
          <w:sz w:val="18"/>
          <w:szCs w:val="18"/>
          <w:color w:val="auto"/>
        </w:rPr>
        <w:t>We operate principal data centers at third-party facilities in Santa Clara, California; Tukwilia, Washington, Ashburn, Virginia; Geneva, Switzerland; and Amsterdam, the Netherlands.</w:t>
      </w:r>
    </w:p>
    <w:p>
      <w:pPr>
        <w:spacing w:after="0" w:line="33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41" w:right="27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p>
      <w:pPr>
        <w:spacing w:after="0" w:line="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common stock is listed on the NASDAQ Stock Market under the trading symbol “QLYS”. The following table sets forth the high and low per share sales prices for our common stock as reported on the NASDAQ Stock Market for the two most recent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0"/>
        </w:trPr>
        <w:tc>
          <w:tcPr>
            <w:tcW w:w="8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3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r>
      <w:tr>
        <w:trPr>
          <w:trHeight w:val="263"/>
        </w:trPr>
        <w:tc>
          <w:tcPr>
            <w:tcW w:w="878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39.74</w:t>
            </w: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42.97</w:t>
            </w:r>
          </w:p>
        </w:tc>
      </w:tr>
      <w:tr>
        <w:trPr>
          <w:trHeight w:val="263"/>
        </w:trPr>
        <w:tc>
          <w:tcPr>
            <w:tcW w:w="878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55.47</w:t>
            </w: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Fiscal 2014:</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40.74</w:t>
            </w:r>
          </w:p>
        </w:tc>
      </w:tr>
      <w:tr>
        <w:trPr>
          <w:trHeight w:val="263"/>
        </w:trPr>
        <w:tc>
          <w:tcPr>
            <w:tcW w:w="878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29.70</w:t>
            </w: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r>
      <w:tr>
        <w:trPr>
          <w:trHeight w:val="257"/>
        </w:trPr>
        <w:tc>
          <w:tcPr>
            <w:tcW w:w="878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January 31, 2016, there were approximately 142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28"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2015. All outstanding awards relate to our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 Number of Securities to</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rPr>
              <w:t>(c) Number of Securities</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be</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Issued Upon</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Exercise of</w:t>
            </w:r>
          </w:p>
        </w:tc>
        <w:tc>
          <w:tcPr>
            <w:tcW w:w="228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(b) Weighted-Average</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Equity Compensation</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Outstanding</w:t>
            </w:r>
          </w:p>
        </w:tc>
        <w:tc>
          <w:tcPr>
            <w:tcW w:w="140" w:type="dxa"/>
            <w:vAlign w:val="bottom"/>
          </w:tcPr>
          <w:p>
            <w:pPr>
              <w:spacing w:after="0"/>
              <w:rPr>
                <w:sz w:val="17"/>
                <w:szCs w:val="17"/>
                <w:color w:val="auto"/>
              </w:rPr>
            </w:pPr>
          </w:p>
        </w:tc>
        <w:tc>
          <w:tcPr>
            <w:tcW w:w="21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Exercise Price of</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Options, Warrants</w:t>
            </w:r>
          </w:p>
        </w:tc>
        <w:tc>
          <w:tcPr>
            <w:tcW w:w="228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Securities Reflected in</w:t>
            </w:r>
          </w:p>
        </w:tc>
        <w:tc>
          <w:tcPr>
            <w:tcW w:w="0" w:type="dxa"/>
            <w:vAlign w:val="bottom"/>
          </w:tcPr>
          <w:p>
            <w:pPr>
              <w:spacing w:after="0"/>
              <w:rPr>
                <w:sz w:val="1"/>
                <w:szCs w:val="1"/>
                <w:color w:val="auto"/>
              </w:rPr>
            </w:pPr>
          </w:p>
        </w:tc>
      </w:tr>
      <w:tr>
        <w:trPr>
          <w:trHeight w:val="246"/>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and Rights</w:t>
            </w:r>
          </w:p>
        </w:tc>
        <w:tc>
          <w:tcPr>
            <w:tcW w:w="140" w:type="dxa"/>
            <w:vAlign w:val="bottom"/>
          </w:tcPr>
          <w:p>
            <w:pPr>
              <w:spacing w:after="0"/>
              <w:rPr>
                <w:sz w:val="21"/>
                <w:szCs w:val="21"/>
                <w:color w:val="auto"/>
              </w:rPr>
            </w:pPr>
          </w:p>
        </w:tc>
        <w:tc>
          <w:tcPr>
            <w:tcW w:w="2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Warrants and Rights</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9"/>
              </w:rPr>
              <w:t>Column (a))</w:t>
            </w:r>
          </w:p>
        </w:tc>
        <w:tc>
          <w:tcPr>
            <w:tcW w:w="0" w:type="dxa"/>
            <w:vAlign w:val="bottom"/>
          </w:tcPr>
          <w:p>
            <w:pPr>
              <w:spacing w:after="0"/>
              <w:rPr>
                <w:sz w:val="1"/>
                <w:szCs w:val="1"/>
                <w:color w:val="auto"/>
              </w:rPr>
            </w:pPr>
          </w:p>
        </w:tc>
      </w:tr>
      <w:tr>
        <w:trPr>
          <w:trHeight w:val="294"/>
        </w:trPr>
        <w:tc>
          <w:tcPr>
            <w:tcW w:w="3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w:t>
            </w:r>
          </w:p>
        </w:tc>
        <w:tc>
          <w:tcPr>
            <w:tcW w:w="26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9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security holders</w:t>
            </w:r>
            <w:r>
              <w:rPr>
                <w:rFonts w:ascii="Arial" w:cs="Arial" w:eastAsia="Arial" w:hAnsi="Arial"/>
                <w:sz w:val="21"/>
                <w:szCs w:val="21"/>
                <w:color w:val="auto"/>
                <w:vertAlign w:val="superscript"/>
              </w:rPr>
              <w:t>1</w:t>
            </w:r>
          </w:p>
        </w:tc>
        <w:tc>
          <w:tcPr>
            <w:tcW w:w="2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7,626,558</w:t>
            </w:r>
          </w:p>
        </w:tc>
        <w:tc>
          <w:tcPr>
            <w:tcW w:w="22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220" w:type="dxa"/>
            <w:vAlign w:val="bottom"/>
            <w:shd w:val="clear" w:color="auto" w:fill="CCEEFF"/>
          </w:tcPr>
          <w:p>
            <w:pPr>
              <w:spacing w:after="0"/>
              <w:rPr>
                <w:sz w:val="21"/>
                <w:szCs w:val="21"/>
                <w:color w:val="auto"/>
              </w:rPr>
            </w:pPr>
          </w:p>
        </w:tc>
        <w:tc>
          <w:tcPr>
            <w:tcW w:w="3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1,618,861</w:t>
            </w:r>
          </w:p>
        </w:tc>
        <w:tc>
          <w:tcPr>
            <w:tcW w:w="0" w:type="dxa"/>
            <w:vAlign w:val="bottom"/>
          </w:tcPr>
          <w:p>
            <w:pPr>
              <w:spacing w:after="0"/>
              <w:rPr>
                <w:sz w:val="1"/>
                <w:szCs w:val="1"/>
                <w:color w:val="auto"/>
              </w:rPr>
            </w:pPr>
          </w:p>
        </w:tc>
      </w:tr>
      <w:tr>
        <w:trPr>
          <w:trHeight w:val="68"/>
        </w:trPr>
        <w:tc>
          <w:tcPr>
            <w:tcW w:w="3240" w:type="dxa"/>
            <w:vAlign w:val="bottom"/>
            <w:shd w:val="clear" w:color="auto" w:fill="CCEEFF"/>
          </w:tcPr>
          <w:p>
            <w:pPr>
              <w:spacing w:after="0"/>
              <w:rPr>
                <w:sz w:val="5"/>
                <w:szCs w:val="5"/>
                <w:color w:val="auto"/>
              </w:rPr>
            </w:pPr>
          </w:p>
        </w:tc>
        <w:tc>
          <w:tcPr>
            <w:tcW w:w="26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right="200" w:hanging="9"/>
        <w:spacing w:after="0" w:line="233" w:lineRule="auto"/>
        <w:tabs>
          <w:tab w:leader="none" w:pos="37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Equity compensation plans approved by stockholders include the 2000 Equity Incentive Plan, as amended and the 2012 Equity Incentive Plan. Prior to our IPO, we issued securities under our 2000 Equity Incentive Plan, as amended. Following our IPO, we issued securities under our 2012 Equity Incentive Plan.</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41"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following graph shows a comparison from September 28, 2012 (the date our common stock commenced trading on the NASDAQ Stock Market) through December 31, 2015 of the cumulative total return for an investment of $100 (and the reinvestment of dividends) in our common stock, the NASDAQ Global Select Market and the NASDAQ Computer. Such returns are based on historical results and are not intended to suggest future performance.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Among Qualys, Inc, NASDAQ-Global Select Market Composite Index, and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-1270</wp:posOffset>
            </wp:positionV>
            <wp:extent cx="5848985" cy="3275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9/28/12 in stock or index, including reinvestment of dividends. Fiscal year ending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Sep 28,</w:t>
            </w:r>
          </w:p>
        </w:tc>
        <w:tc>
          <w:tcPr>
            <w:tcW w:w="10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Mar 28,</w:t>
            </w:r>
          </w:p>
        </w:tc>
        <w:tc>
          <w:tcPr>
            <w:tcW w:w="10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Jun 28,</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2"/>
                <w:szCs w:val="1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Dec 31,</w:t>
            </w:r>
          </w:p>
        </w:tc>
        <w:tc>
          <w:tcPr>
            <w:tcW w:w="2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Jun 30,</w:t>
            </w:r>
          </w:p>
        </w:tc>
        <w:tc>
          <w:tcPr>
            <w:tcW w:w="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Jun 30,</w:t>
            </w:r>
          </w:p>
        </w:tc>
        <w:tc>
          <w:tcPr>
            <w:tcW w:w="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2"/>
                <w:szCs w:val="1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Dec 31,</w:t>
            </w:r>
          </w:p>
        </w:tc>
      </w:tr>
      <w:tr>
        <w:trPr>
          <w:trHeight w:val="178"/>
        </w:trPr>
        <w:tc>
          <w:tcPr>
            <w:tcW w:w="6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2013</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2015</w:t>
            </w:r>
          </w:p>
        </w:tc>
      </w:tr>
      <w:tr>
        <w:trPr>
          <w:trHeight w:val="143"/>
        </w:trPr>
        <w:tc>
          <w:tcPr>
            <w:tcW w:w="62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color w:val="auto"/>
              </w:rPr>
              <w:t>Qualys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68"/>
        </w:trPr>
        <w:tc>
          <w:tcPr>
            <w:tcW w:w="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151.06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163.21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328.25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284.96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233.69</w:t>
            </w:r>
          </w:p>
        </w:tc>
      </w:tr>
      <w:tr>
        <w:trPr>
          <w:trHeight w:val="156"/>
        </w:trPr>
        <w:tc>
          <w:tcPr>
            <w:tcW w:w="620" w:type="dxa"/>
            <w:vAlign w:val="bottom"/>
          </w:tcPr>
          <w:p>
            <w:pPr>
              <w:ind w:left="40"/>
              <w:spacing w:after="0"/>
              <w:rPr>
                <w:sz w:val="20"/>
                <w:szCs w:val="20"/>
                <w:color w:val="auto"/>
              </w:rPr>
            </w:pPr>
            <w:r>
              <w:rPr>
                <w:rFonts w:ascii="Arial" w:cs="Arial" w:eastAsia="Arial" w:hAnsi="Arial"/>
                <w:sz w:val="13"/>
                <w:szCs w:val="13"/>
                <w:color w:val="auto"/>
              </w:rPr>
              <w:t>NASDAQ</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35"/>
        </w:trPr>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Global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620" w:type="dxa"/>
            <w:vAlign w:val="bottom"/>
          </w:tcPr>
          <w:p>
            <w:pPr>
              <w:ind w:left="40"/>
              <w:spacing w:after="0" w:line="135" w:lineRule="exact"/>
              <w:rPr>
                <w:sz w:val="20"/>
                <w:szCs w:val="20"/>
                <w:color w:val="auto"/>
              </w:rPr>
            </w:pPr>
            <w:r>
              <w:rPr>
                <w:rFonts w:ascii="Arial" w:cs="Arial" w:eastAsia="Arial" w:hAnsi="Arial"/>
                <w:sz w:val="13"/>
                <w:szCs w:val="13"/>
                <w:color w:val="auto"/>
              </w:rPr>
              <w:t>Select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0"/>
        </w:trPr>
        <w:tc>
          <w:tcPr>
            <w:tcW w:w="620" w:type="dxa"/>
            <w:vAlign w:val="bottom"/>
          </w:tcPr>
          <w:p>
            <w:pPr>
              <w:ind w:left="40"/>
              <w:spacing w:after="0"/>
              <w:rPr>
                <w:sz w:val="20"/>
                <w:szCs w:val="20"/>
                <w:color w:val="auto"/>
              </w:rPr>
            </w:pPr>
            <w:r>
              <w:rPr>
                <w:rFonts w:ascii="Arial" w:cs="Arial" w:eastAsia="Arial" w:hAnsi="Arial"/>
                <w:sz w:val="13"/>
                <w:szCs w:val="13"/>
                <w:color w:val="auto"/>
              </w:rPr>
              <w:t>Market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80"/>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96.97</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104.81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109.04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120.70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133.81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134.37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141.29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144.41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152.15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157.37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160.01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148.73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161.44</w:t>
            </w:r>
          </w:p>
        </w:tc>
      </w:tr>
      <w:tr>
        <w:trPr>
          <w:trHeight w:val="164"/>
        </w:trPr>
        <w:tc>
          <w:tcPr>
            <w:tcW w:w="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NASDAQ</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8"/>
        </w:trPr>
        <w:tc>
          <w:tcPr>
            <w:tcW w:w="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Computer $</w:t>
            </w:r>
          </w:p>
        </w:tc>
        <w:tc>
          <w:tcPr>
            <w:tcW w:w="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92.56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122.12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155.44</w:t>
            </w:r>
          </w:p>
        </w:tc>
      </w:tr>
    </w:tbl>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Securities and Exchange Commission, whether made before or after the date of this Annual Report on Form 10-K, regardless of any general incorporation language in such filing, except as shall be expressly set forth by specific reference in such filing.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shares of our common stock were repurchased during the fourth quarter of 2015.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20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following selected consolidated financial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2015 are not necessarily indicative of operating results to be expected for any other period.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8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107,962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76,212</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33,885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28,963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24,660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18,404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13,247</w:t>
            </w:r>
          </w:p>
        </w:tc>
        <w:tc>
          <w:tcPr>
            <w:tcW w:w="0" w:type="dxa"/>
            <w:vAlign w:val="bottom"/>
          </w:tcPr>
          <w:p>
            <w:pPr>
              <w:spacing w:after="0"/>
              <w:rPr>
                <w:sz w:val="1"/>
                <w:szCs w:val="1"/>
                <w:color w:val="auto"/>
              </w:rPr>
            </w:pPr>
          </w:p>
        </w:tc>
      </w:tr>
      <w:tr>
        <w:trPr>
          <w:trHeight w:val="250"/>
        </w:trPr>
        <w:tc>
          <w:tcPr>
            <w:tcW w:w="4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130,399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62,965</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19,633</w:t>
            </w:r>
          </w:p>
        </w:tc>
        <w:tc>
          <w:tcPr>
            <w:tcW w:w="0" w:type="dxa"/>
            <w:vAlign w:val="bottom"/>
          </w:tcPr>
          <w:p>
            <w:pPr>
              <w:spacing w:after="0"/>
              <w:rPr>
                <w:sz w:val="1"/>
                <w:szCs w:val="1"/>
                <w:color w:val="auto"/>
              </w:rPr>
            </w:pPr>
          </w:p>
        </w:tc>
      </w:tr>
      <w:tr>
        <w:trPr>
          <w:trHeight w:val="270"/>
        </w:trPr>
        <w:tc>
          <w:tcPr>
            <w:tcW w:w="4580" w:type="dxa"/>
            <w:vAlign w:val="bottom"/>
          </w:tcPr>
          <w:p>
            <w:pPr>
              <w:ind w:left="38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49,569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48,049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42,523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37,738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31,526</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26,573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16,792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12,079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8,900</w:t>
            </w: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105,593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95,369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80,993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70,012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60,059</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24,806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2,906</w:t>
            </w:r>
          </w:p>
        </w:tc>
        <w:tc>
          <w:tcPr>
            <w:tcW w:w="0" w:type="dxa"/>
            <w:vAlign w:val="bottom"/>
          </w:tcPr>
          <w:p>
            <w:pPr>
              <w:spacing w:after="0"/>
              <w:rPr>
                <w:sz w:val="1"/>
                <w:szCs w:val="1"/>
                <w:color w:val="auto"/>
              </w:rPr>
            </w:pP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64"/>
        </w:trPr>
        <w:tc>
          <w:tcPr>
            <w:tcW w:w="4580" w:type="dxa"/>
            <w:vAlign w:val="bottom"/>
          </w:tcPr>
          <w:p>
            <w:pPr>
              <w:ind w:left="38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expense, net</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expense, net</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 xml:space="preserve">Provision for (benefit from) income taxes </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8,655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(21,631)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15,865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30,244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51"/>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income per share attributable to common stockholders: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4"/>
                <w:szCs w:val="14"/>
                <w:color w:val="auto"/>
              </w:rPr>
              <w:t>Weighted-average shares used in computing net income per share</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Pr>
          <w:p>
            <w:pPr>
              <w:ind w:left="40"/>
              <w:spacing w:after="0" w:line="193" w:lineRule="exact"/>
              <w:rPr>
                <w:sz w:val="20"/>
                <w:szCs w:val="20"/>
                <w:color w:val="auto"/>
              </w:rPr>
            </w:pPr>
            <w:r>
              <w:rPr>
                <w:rFonts w:ascii="Arial" w:cs="Arial" w:eastAsia="Arial" w:hAnsi="Arial"/>
                <w:sz w:val="14"/>
                <w:szCs w:val="14"/>
                <w:color w:val="auto"/>
              </w:rPr>
              <w:t xml:space="preserve">attributable to common stockholders: </w:t>
            </w:r>
            <w:r>
              <w:rPr>
                <w:rFonts w:ascii="Arial" w:cs="Arial" w:eastAsia="Arial" w:hAnsi="Arial"/>
                <w:sz w:val="21"/>
                <w:szCs w:val="21"/>
                <w:color w:val="auto"/>
                <w:vertAlign w:val="superscript"/>
              </w:rPr>
              <w:t>(2)</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ind w:left="3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38,184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37,170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35,973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28,352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2011</w:t>
            </w:r>
          </w:p>
        </w:tc>
      </w:tr>
      <w:tr>
        <w:trPr>
          <w:trHeight w:val="244"/>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short-term investments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178,966</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127,218</w:t>
            </w:r>
          </w:p>
        </w:tc>
        <w:tc>
          <w:tcPr>
            <w:tcW w:w="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97,196</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118,432</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24,548</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43,277</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39,448</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35,608</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323,514</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260,024</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192,603</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170,318</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68,789</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Deferred revenues, current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98,025</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81,147</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67,505</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56,497</w:t>
            </w: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46,717</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14,564</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10,064</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8,889</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8,616</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4,713</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63,873</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 (deficit)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195,566</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151,827</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103,117</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91,555</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(64,424)</w:t>
            </w:r>
          </w:p>
        </w:tc>
      </w:tr>
    </w:tbl>
    <w:p>
      <w:pPr>
        <w:spacing w:after="0" w:line="16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3"/>
                <w:szCs w:val="13"/>
                <w:b w:val="1"/>
                <w:bCs w:val="1"/>
                <w:color w:val="auto"/>
                <w:w w:val="95"/>
              </w:rPr>
              <w:t>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4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2011</w:t>
            </w:r>
          </w:p>
        </w:tc>
      </w:tr>
      <w:tr>
        <w:trPr>
          <w:trHeight w:val="249"/>
        </w:trPr>
        <w:tc>
          <w:tcPr>
            <w:tcW w:w="4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w:t>
            </w:r>
          </w:p>
        </w:tc>
      </w:tr>
      <w:tr>
        <w:trPr>
          <w:trHeight w:val="262"/>
        </w:trPr>
        <w:tc>
          <w:tcPr>
            <w:tcW w:w="432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28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4,936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2,470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1,047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499</w:t>
            </w:r>
          </w:p>
        </w:tc>
      </w:tr>
      <w:tr>
        <w:trPr>
          <w:trHeight w:val="278"/>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578</w:t>
            </w:r>
          </w:p>
        </w:tc>
      </w:tr>
      <w:tr>
        <w:trPr>
          <w:trHeight w:val="264"/>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7,441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2,783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927</w:t>
            </w:r>
          </w:p>
        </w:tc>
      </w:tr>
      <w:tr>
        <w:trPr>
          <w:trHeight w:val="242"/>
        </w:trPr>
        <w:tc>
          <w:tcPr>
            <w:tcW w:w="43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stock-based compensation</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17,494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10,549</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2,147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right="80" w:hanging="332"/>
        <w:spacing w:after="0" w:line="210"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See Notes 1 and 11 to our consolidated financial statements included elsewhere in this Annual Report on Form 10-K for an explanation of the calculations of our basic and diluted income per share attributable to common stockholders.</w:t>
      </w:r>
    </w:p>
    <w:p>
      <w:pPr>
        <w:spacing w:after="0" w:line="184" w:lineRule="exact"/>
        <w:rPr>
          <w:rFonts w:ascii="Arial" w:cs="Arial" w:eastAsia="Arial" w:hAnsi="Arial"/>
          <w:sz w:val="22"/>
          <w:szCs w:val="22"/>
          <w:color w:val="auto"/>
          <w:vertAlign w:val="superscript"/>
        </w:rPr>
      </w:pPr>
    </w:p>
    <w:p>
      <w:pPr>
        <w:ind w:left="340" w:right="520" w:hanging="332"/>
        <w:spacing w:after="0" w:line="210"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Provision for income taxes prior to 2014 consists primarily of taxes on income in foreign jurisdictions and state income taxes in the U.S. In the fourth quarter of 2014, we recorded a tax benefit of $23.7 million to recognize our U.S. federal and certain state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You should read the following discussion in conjunction with the section titled "Selected Consolidated Financial Data" and our consolidated financial statements and the related notes included elsewhere in this Annual Report on Form 10-K.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21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Qualys Vulnerability Management (VM), in 2000. Our core VM solution has provided a substantial majority of our revenues to date, representing 79%, 82% and 84% of total revenues in 2015, 2014 and 2013,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and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Continuous Monitoring (CM) for internet-facing systems, which allows customers to continuously monitor their mission-critical assets and to be alerted to security vulnerabilities or misconfigurations that may make them more susceptible to a cyber-attack. In 2015, we introduced our Cloud Agent Platform (CAP), which provides customers with the ability to secure IT assets on a continuous basis regardless of where they reside, inside the enterprise, in the cloud or mobile endpoints. We expect that the sales of our Qualys suite of solutions, along with the newer capabilities of CM and CAP, will contribute to the continuing trend of revenue growth</w:t>
      </w:r>
    </w:p>
    <w:p>
      <w:pPr>
        <w:spacing w:after="0" w:line="211"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 Revenues from customers existing at or prior to December 31, 2014 grew by $18.9 million to $152.5 million during 2015, representing 114% of total revenues in 2014. We expect this trend of revenue growth from existing customers to continue.</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We market and sell our solutions to enterprises, government entities and to small and medium-sized businesses across a broad range of industries, including education, financial services, government, healthcare, insurance, manufacturing, media, retail, technology and utilities. As of December 31, 2015, we had over 8,800 customers in more than 100 countries, including a majority of each of the Forbes Global 100 and Fortune 100. In 2015, 2014 and 2013, approximately 70%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channel partners, including managed service providers, value-added resellers and consulting firms in the United States and internationally.</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have had continued revenue growth over the past three years. Our revenues increased from $108.0 million in 2013 to $133.6 million in 2014, and reached $164.3 million in 2015, representing period-over-period increases of $ 25.6 million, and $30.7 million, or 24% and 23%, respectively. We generated net income of $1.5 million in 2013, $30.2 million in 2014, and $ 15.9 million in 2015. Net income in 2014 includes a tax benefit of $23.7 million for recognition of our U.S. federal and certain state deferred tax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r>
      <w:tr>
        <w:trPr>
          <w:trHeight w:val="264"/>
        </w:trPr>
        <w:tc>
          <w:tcPr>
            <w:tcW w:w="7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56,660</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31,693</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17,427</w:t>
            </w:r>
          </w:p>
        </w:tc>
      </w:tr>
      <w:tr>
        <w:trPr>
          <w:trHeight w:val="258"/>
        </w:trPr>
        <w:tc>
          <w:tcPr>
            <w:tcW w:w="7440" w:type="dxa"/>
            <w:vAlign w:val="bottom"/>
          </w:tcPr>
          <w:p>
            <w:pPr>
              <w:ind w:left="20"/>
              <w:spacing w:after="0"/>
              <w:rPr>
                <w:sz w:val="20"/>
                <w:szCs w:val="20"/>
                <w:color w:val="auto"/>
              </w:rPr>
            </w:pPr>
            <w:r>
              <w:rPr>
                <w:rFonts w:ascii="Arial" w:cs="Arial" w:eastAsia="Arial" w:hAnsi="Arial"/>
                <w:sz w:val="14"/>
                <w:szCs w:val="14"/>
                <w:color w:val="auto"/>
              </w:rPr>
              <w:t>Free cash flows</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45,810</w:t>
            </w:r>
          </w:p>
        </w:tc>
        <w:tc>
          <w:tcPr>
            <w:tcW w:w="34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27,411</w:t>
            </w:r>
          </w:p>
        </w:tc>
        <w:tc>
          <w:tcPr>
            <w:tcW w:w="3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11,431</w:t>
            </w:r>
          </w:p>
        </w:tc>
      </w:tr>
    </w:tbl>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and amortization of property and equipment, (4) amortization of intangible assets and (5) stock-based compensation.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unaudited table presents the reconciliation of net income to Adjusted EBITDA for each of the periods presented.</w:t>
      </w:r>
    </w:p>
    <w:p>
      <w:pPr>
        <w:spacing w:after="0" w:line="200" w:lineRule="exact"/>
        <w:rPr>
          <w:sz w:val="20"/>
          <w:szCs w:val="20"/>
          <w:color w:val="auto"/>
        </w:rPr>
      </w:pP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r>
      <w:tr>
        <w:trPr>
          <w:trHeight w:val="250"/>
        </w:trPr>
        <w:tc>
          <w:tcPr>
            <w:tcW w:w="7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30,244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1,541</w:t>
            </w:r>
          </w:p>
        </w:tc>
      </w:tr>
      <w:tr>
        <w:trPr>
          <w:trHeight w:val="264"/>
        </w:trPr>
        <w:tc>
          <w:tcPr>
            <w:tcW w:w="730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240" w:type="dxa"/>
            <w:vAlign w:val="bottom"/>
          </w:tcPr>
          <w:p>
            <w:pPr>
              <w:spacing w:after="0"/>
              <w:rPr>
                <w:sz w:val="22"/>
                <w:szCs w:val="22"/>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268</w:t>
            </w:r>
          </w:p>
        </w:tc>
      </w:tr>
      <w:tr>
        <w:trPr>
          <w:trHeight w:val="27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r>
      <w:tr>
        <w:trPr>
          <w:trHeight w:val="264"/>
        </w:trPr>
        <w:tc>
          <w:tcPr>
            <w:tcW w:w="7300" w:type="dxa"/>
            <w:vAlign w:val="bottom"/>
          </w:tcPr>
          <w:p>
            <w:pPr>
              <w:ind w:left="20"/>
              <w:spacing w:after="0"/>
              <w:rPr>
                <w:sz w:val="20"/>
                <w:szCs w:val="20"/>
                <w:color w:val="auto"/>
              </w:rPr>
            </w:pPr>
            <w:r>
              <w:rPr>
                <w:rFonts w:ascii="Arial" w:cs="Arial" w:eastAsia="Arial" w:hAnsi="Arial"/>
                <w:sz w:val="14"/>
                <w:szCs w:val="14"/>
                <w:color w:val="auto"/>
              </w:rPr>
              <w:t>Depreciation and amortization of property and equipment</w:t>
            </w:r>
          </w:p>
        </w:tc>
        <w:tc>
          <w:tcPr>
            <w:tcW w:w="240" w:type="dxa"/>
            <w:vAlign w:val="bottom"/>
          </w:tcPr>
          <w:p>
            <w:pPr>
              <w:spacing w:after="0"/>
              <w:rPr>
                <w:sz w:val="22"/>
                <w:szCs w:val="22"/>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13,974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11,504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9,195</w:t>
            </w:r>
          </w:p>
        </w:tc>
      </w:tr>
      <w:tr>
        <w:trPr>
          <w:trHeight w:val="27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417</w:t>
            </w:r>
          </w:p>
        </w:tc>
      </w:tr>
      <w:tr>
        <w:trPr>
          <w:trHeight w:val="264"/>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17,494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10,549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5,506</w:t>
            </w: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56,660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17,427</w:t>
            </w: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2"/>
        </w:trPr>
        <w:tc>
          <w:tcPr>
            <w:tcW w:w="7300" w:type="dxa"/>
            <w:vAlign w:val="bottom"/>
          </w:tcPr>
          <w:p>
            <w:pPr>
              <w:ind w:left="20"/>
              <w:spacing w:after="0"/>
              <w:rPr>
                <w:sz w:val="20"/>
                <w:szCs w:val="20"/>
                <w:color w:val="auto"/>
              </w:rPr>
            </w:pPr>
            <w:r>
              <w:rPr>
                <w:rFonts w:ascii="Arial" w:cs="Arial" w:eastAsia="Arial" w:hAnsi="Arial"/>
                <w:sz w:val="14"/>
                <w:szCs w:val="14"/>
                <w:color w:val="auto"/>
              </w:rPr>
              <w:t>Percentage of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r>
    </w:tbl>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200" w:lineRule="exact"/>
        <w:rPr>
          <w:sz w:val="20"/>
          <w:szCs w:val="20"/>
          <w:color w:val="auto"/>
        </w:rPr>
      </w:pP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96"/>
        </w:trPr>
        <w:tc>
          <w:tcPr>
            <w:tcW w:w="7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center"/>
              <w:ind w:left="488"/>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r>
      <w:tr>
        <w:trPr>
          <w:trHeight w:val="264"/>
        </w:trPr>
        <w:tc>
          <w:tcPr>
            <w:tcW w:w="7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2013</w:t>
            </w:r>
          </w:p>
        </w:tc>
      </w:tr>
      <w:tr>
        <w:trPr>
          <w:trHeight w:val="250"/>
        </w:trPr>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6"/>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25,081</w:t>
            </w:r>
          </w:p>
        </w:tc>
      </w:tr>
      <w:tr>
        <w:trPr>
          <w:trHeight w:val="264"/>
        </w:trPr>
        <w:tc>
          <w:tcPr>
            <w:tcW w:w="7420" w:type="dxa"/>
            <w:vAlign w:val="bottom"/>
          </w:tcPr>
          <w:p>
            <w:pPr>
              <w:ind w:left="2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(13,650)</w:t>
            </w:r>
          </w:p>
        </w:tc>
      </w:tr>
      <w:tr>
        <w:trPr>
          <w:trHeight w:val="264"/>
        </w:trPr>
        <w:tc>
          <w:tcPr>
            <w:tcW w:w="74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Capitalized software development costs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11,431</w:t>
            </w: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141"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38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w:t>
      </w:r>
      <w:r>
        <w:rPr>
          <w:rFonts w:ascii="Arial" w:cs="Arial" w:eastAsia="Arial" w:hAnsi="Arial"/>
          <w:sz w:val="18"/>
          <w:szCs w:val="18"/>
          <w:color w:val="000000"/>
        </w:rPr>
        <w:t>In some limited cases, we also provide certain computer equipment used to extend our Qualys Cloud Platform into our</w:t>
      </w:r>
      <w:r>
        <w:rPr>
          <w:rFonts w:ascii="Arial" w:cs="Arial" w:eastAsia="Arial" w:hAnsi="Arial"/>
          <w:sz w:val="18"/>
          <w:szCs w:val="18"/>
          <w:color w:val="231F20"/>
        </w:rPr>
        <w:t xml:space="preserve"> </w:t>
      </w:r>
      <w:r>
        <w:rPr>
          <w:rFonts w:ascii="Arial" w:cs="Arial" w:eastAsia="Arial" w:hAnsi="Arial"/>
          <w:sz w:val="18"/>
          <w:szCs w:val="18"/>
          <w:color w:val="000000"/>
        </w:rPr>
        <w:t xml:space="preserve">customers’ private cloud environment. </w:t>
      </w:r>
      <w:r>
        <w:rPr>
          <w:rFonts w:ascii="Arial" w:cs="Arial" w:eastAsia="Arial" w:hAnsi="Arial"/>
          <w:sz w:val="18"/>
          <w:szCs w:val="18"/>
          <w:color w:val="231F20"/>
        </w:rPr>
        <w:t>Customers are required to return physical scanner appliances and computer equipment if they do not</w:t>
      </w:r>
      <w:r>
        <w:rPr>
          <w:rFonts w:ascii="Arial" w:cs="Arial" w:eastAsia="Arial" w:hAnsi="Arial"/>
          <w:sz w:val="18"/>
          <w:szCs w:val="18"/>
          <w:color w:val="000000"/>
        </w:rPr>
        <w:t xml:space="preserve"> </w:t>
      </w:r>
      <w:r>
        <w:rPr>
          <w:rFonts w:ascii="Arial" w:cs="Arial" w:eastAsia="Arial" w:hAnsi="Arial"/>
          <w:sz w:val="18"/>
          <w:szCs w:val="18"/>
          <w:color w:val="231F20"/>
        </w:rPr>
        <w:t>renew their subscriptions.</w:t>
      </w:r>
    </w:p>
    <w:p>
      <w:pPr>
        <w:spacing w:after="0" w:line="213" w:lineRule="exact"/>
        <w:rPr>
          <w:sz w:val="20"/>
          <w:szCs w:val="20"/>
          <w:color w:val="auto"/>
        </w:rPr>
      </w:pPr>
    </w:p>
    <w:p>
      <w:pPr>
        <w:jc w:val="both"/>
        <w:ind w:right="80"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420" w:firstLine="405"/>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and overhead allocations. We expect that general and administrative expenses will increase in absolute dollars, as we continue to add personnel and incur professional services to support our growth and compliance with legal requirements.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right="400"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losses on disposal of property and equipment; and impairment of long-lived assets.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41"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9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Our provision for income taxes in 2015 consists of income taxes for federal and certain states in the United States, as well as income taxes for profits generated in foreign jurisdictions by wholly-owned subsidiaries. Our benefit from income taxes in 2014 included a tax benefit for the recognition of our U.S. federal and certain state deferred tax assets. The tax benefit was partially offset by our income tax provision for federal and certain state income taxes in the United States, as well as income taxes for profits generated in foreign jurisdictions by wholly-owned subsidiaries. Our provision for income taxes in 2013 consists primarily of income taxes resulting from profits generated in foreign jurisdictions by wholly-owned subsidiaries, along with state income taxes payable in the United States, as we had maintained a valuation allowance on our U.S. federal and state deferred tax assets in 2013. The provision for income taxes also includes changes to unrecognized tax benefits related to uncertain tax positions.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tables set forth selected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164,284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107,962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4"/>
                <w:szCs w:val="14"/>
                <w:color w:val="auto"/>
                <w:vertAlign w:val="superscript"/>
              </w:rPr>
              <w:t>(1)</w:t>
            </w:r>
          </w:p>
        </w:tc>
        <w:tc>
          <w:tcPr>
            <w:tcW w:w="36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33,885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28,963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24,660</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130,399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104,616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83,302</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14"/>
                <w:szCs w:val="14"/>
                <w:color w:val="auto"/>
                <w:vertAlign w:val="superscript"/>
              </w:rPr>
              <w:t>(1)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21,678</w:t>
            </w:r>
          </w:p>
        </w:tc>
        <w:tc>
          <w:tcPr>
            <w:tcW w:w="0" w:type="dxa"/>
            <w:vAlign w:val="bottom"/>
          </w:tcPr>
          <w:p>
            <w:pPr>
              <w:spacing w:after="0"/>
              <w:rPr>
                <w:sz w:val="1"/>
                <w:szCs w:val="1"/>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14"/>
                <w:szCs w:val="14"/>
                <w:color w:val="auto"/>
                <w:vertAlign w:val="superscript"/>
              </w:rPr>
              <w:t>(1)</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49,569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48,049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42,523</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14"/>
                <w:szCs w:val="14"/>
                <w:color w:val="auto"/>
                <w:vertAlign w:val="superscript"/>
              </w:rPr>
              <w:t>(1)</w:t>
            </w:r>
          </w:p>
        </w:tc>
        <w:tc>
          <w:tcPr>
            <w:tcW w:w="360" w:type="dxa"/>
            <w:vAlign w:val="bottom"/>
            <w:tcBorders>
              <w:bottom w:val="single" w:sz="8" w:color="231F20"/>
            </w:tcBorders>
            <w:shd w:val="clear" w:color="auto" w:fill="CCEEFF"/>
          </w:tcPr>
          <w:p>
            <w:pPr>
              <w:spacing w:after="0"/>
              <w:rPr>
                <w:sz w:val="23"/>
                <w:szCs w:val="23"/>
                <w:color w:val="auto"/>
              </w:rPr>
            </w:pPr>
          </w:p>
        </w:tc>
        <w:tc>
          <w:tcPr>
            <w:tcW w:w="11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26,573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21,000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16,792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105,593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95,369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80,993</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24,806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8,613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8,655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(21,631)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30,244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67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42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7"/>
              </w:rPr>
              <w:t>Year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64"/>
        </w:trPr>
        <w:tc>
          <w:tcPr>
            <w:tcW w:w="5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2013</w:t>
            </w:r>
          </w:p>
        </w:tc>
      </w:tr>
      <w:tr>
        <w:trPr>
          <w:trHeight w:val="172"/>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297"/>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74"/>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432</w:t>
            </w:r>
          </w:p>
        </w:tc>
      </w:tr>
      <w:tr>
        <w:trPr>
          <w:trHeight w:val="262"/>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4,936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2,470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1,047</w:t>
            </w:r>
          </w:p>
        </w:tc>
      </w:tr>
      <w:tr>
        <w:trPr>
          <w:trHeight w:val="27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1,244</w:t>
            </w:r>
          </w:p>
        </w:tc>
      </w:tr>
      <w:tr>
        <w:trPr>
          <w:trHeight w:val="264"/>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7,441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2,783</w:t>
            </w:r>
          </w:p>
        </w:tc>
      </w:tr>
      <w:tr>
        <w:trPr>
          <w:trHeight w:val="24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stock-based compensation</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17,494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5,506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following table sets forth selected consolidated statements of operations data for each of the periods presented as a percentage of revenues.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64"/>
        </w:trPr>
        <w:tc>
          <w:tcPr>
            <w:tcW w:w="6680" w:type="dxa"/>
            <w:vAlign w:val="bottom"/>
            <w:tcBorders>
              <w:bottom w:val="single" w:sz="8" w:color="CCEEFF"/>
            </w:tcBorders>
            <w:gridSpan w:val="2"/>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r>
      <w:tr>
        <w:trPr>
          <w:trHeight w:val="257"/>
        </w:trPr>
        <w:tc>
          <w:tcPr>
            <w:tcW w:w="7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66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revenues</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r>
      <w:tr>
        <w:trPr>
          <w:trHeight w:val="257"/>
        </w:trPr>
        <w:tc>
          <w:tcPr>
            <w:tcW w:w="76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72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r>
      <w:tr>
        <w:trPr>
          <w:trHeight w:val="260"/>
        </w:trPr>
        <w:tc>
          <w:tcPr>
            <w:tcW w:w="76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76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72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60"/>
        </w:trPr>
        <w:tc>
          <w:tcPr>
            <w:tcW w:w="7600" w:type="dxa"/>
            <w:vAlign w:val="bottom"/>
            <w:gridSpan w:val="3"/>
          </w:tcPr>
          <w:p>
            <w:pPr>
              <w:ind w:left="280"/>
              <w:spacing w:after="0"/>
              <w:rPr>
                <w:sz w:val="20"/>
                <w:szCs w:val="20"/>
                <w:color w:val="auto"/>
              </w:rPr>
            </w:pPr>
            <w:r>
              <w:rPr>
                <w:rFonts w:ascii="Arial" w:cs="Arial" w:eastAsia="Arial" w:hAnsi="Arial"/>
                <w:sz w:val="16"/>
                <w:szCs w:val="16"/>
                <w:color w:val="auto"/>
              </w:rPr>
              <w:t>Sales and marketing</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720" w:type="dxa"/>
            <w:vAlign w:val="bottom"/>
            <w:gridSpan w:val="3"/>
          </w:tcPr>
          <w:p>
            <w:pPr>
              <w:jc w:val="right"/>
              <w:ind w:right="1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39</w:t>
            </w:r>
          </w:p>
        </w:tc>
      </w:tr>
      <w:tr>
        <w:trPr>
          <w:trHeight w:val="273"/>
        </w:trPr>
        <w:tc>
          <w:tcPr>
            <w:tcW w:w="6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50"/>
        </w:trPr>
        <w:tc>
          <w:tcPr>
            <w:tcW w:w="66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w:t>
            </w:r>
          </w:p>
        </w:tc>
      </w:tr>
      <w:tr>
        <w:trPr>
          <w:trHeight w:val="257"/>
        </w:trPr>
        <w:tc>
          <w:tcPr>
            <w:tcW w:w="7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72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64"/>
        </w:trPr>
        <w:tc>
          <w:tcPr>
            <w:tcW w:w="66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expense, net</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r>
      <w:tr>
        <w:trPr>
          <w:trHeight w:val="257"/>
        </w:trPr>
        <w:tc>
          <w:tcPr>
            <w:tcW w:w="7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72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64"/>
        </w:trPr>
        <w:tc>
          <w:tcPr>
            <w:tcW w:w="66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r>
      <w:tr>
        <w:trPr>
          <w:trHeight w:val="240"/>
        </w:trPr>
        <w:tc>
          <w:tcPr>
            <w:tcW w:w="7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Years Ended December 31, 2015 and 2014</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6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164,284</w:t>
            </w:r>
          </w:p>
        </w:tc>
        <w:tc>
          <w:tcPr>
            <w:tcW w:w="6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30,705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21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Revenues increased $30.7 million in 2015 compared to 2014. Revenues from customers existing at or prior to December 31, 2014 grew by $18.9 million to $152.5 million in 2015, representing 114% of total revenues in 2014, primarily due to increased subscriptions and purchases of additional solutions. Subscriptions from new customers added in 2015 contributed $11.8 million to the increase in revenues. Of the total increase of $30.7 million, $22.0 million was from customers in the United States and the remaining $8.7 million was from customers in foreign countries. The growth in revenues reflects the continued demand for our solutions.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33,885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28,963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4,922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0"/>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$4.9 million</w:t>
      </w:r>
      <w:r>
        <w:rPr>
          <w:rFonts w:ascii="Arial" w:cs="Arial" w:eastAsia="Arial" w:hAnsi="Arial"/>
          <w:sz w:val="18"/>
          <w:szCs w:val="18"/>
          <w:color w:val="231F20"/>
        </w:rPr>
        <w:t xml:space="preserve"> in </w:t>
      </w:r>
      <w:r>
        <w:rPr>
          <w:rFonts w:ascii="Arial" w:cs="Arial" w:eastAsia="Arial" w:hAnsi="Arial"/>
          <w:sz w:val="18"/>
          <w:szCs w:val="18"/>
          <w:color w:val="000000"/>
        </w:rPr>
        <w:t>2015</w:t>
      </w:r>
      <w:r>
        <w:rPr>
          <w:rFonts w:ascii="Arial" w:cs="Arial" w:eastAsia="Arial" w:hAnsi="Arial"/>
          <w:sz w:val="18"/>
          <w:szCs w:val="18"/>
          <w:color w:val="231F20"/>
        </w:rPr>
        <w:t xml:space="preserve"> compared to </w:t>
      </w:r>
      <w:r>
        <w:rPr>
          <w:rFonts w:ascii="Arial" w:cs="Arial" w:eastAsia="Arial" w:hAnsi="Arial"/>
          <w:sz w:val="18"/>
          <w:szCs w:val="18"/>
          <w:color w:val="000000"/>
        </w:rPr>
        <w:t>2014</w:t>
      </w:r>
      <w:r>
        <w:rPr>
          <w:rFonts w:ascii="Arial" w:cs="Arial" w:eastAsia="Arial" w:hAnsi="Arial"/>
          <w:sz w:val="18"/>
          <w:szCs w:val="18"/>
          <w:color w:val="231F20"/>
        </w:rPr>
        <w:t>, primarily due to a $2.3 million increase in depreciation expense related to additional computer hardware and software; increased third-party software license maintenance expense of $1.6 million; increased stock-based compensation of $0.5 million; and increased data center costs of $0.3 million to support the continued growth of our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29,451</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26,320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3,131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$3.1 million</w:t>
      </w:r>
      <w:r>
        <w:rPr>
          <w:rFonts w:ascii="Arial" w:cs="Arial" w:eastAsia="Arial" w:hAnsi="Arial"/>
          <w:sz w:val="18"/>
          <w:szCs w:val="18"/>
          <w:color w:val="231F20"/>
        </w:rPr>
        <w:t xml:space="preserve"> in </w:t>
      </w:r>
      <w:r>
        <w:rPr>
          <w:rFonts w:ascii="Arial" w:cs="Arial" w:eastAsia="Arial" w:hAnsi="Arial"/>
          <w:sz w:val="18"/>
          <w:szCs w:val="18"/>
          <w:color w:val="000000"/>
        </w:rPr>
        <w:t>2015</w:t>
      </w:r>
      <w:r>
        <w:rPr>
          <w:rFonts w:ascii="Arial" w:cs="Arial" w:eastAsia="Arial" w:hAnsi="Arial"/>
          <w:sz w:val="18"/>
          <w:szCs w:val="18"/>
          <w:color w:val="231F20"/>
        </w:rPr>
        <w:t xml:space="preserve"> compared to </w:t>
      </w:r>
      <w:r>
        <w:rPr>
          <w:rFonts w:ascii="Arial" w:cs="Arial" w:eastAsia="Arial" w:hAnsi="Arial"/>
          <w:sz w:val="18"/>
          <w:szCs w:val="18"/>
          <w:color w:val="000000"/>
        </w:rPr>
        <w:t>2014</w:t>
      </w:r>
      <w:r>
        <w:rPr>
          <w:rFonts w:ascii="Arial" w:cs="Arial" w:eastAsia="Arial" w:hAnsi="Arial"/>
          <w:sz w:val="18"/>
          <w:szCs w:val="18"/>
          <w:color w:val="231F20"/>
        </w:rPr>
        <w:t>, primarily due to an increase in personnel expenses of $3.2 million, due to the addition of new employees and higher stock-based compensation. We continue to significantly invest in and expand our research and development teams to continuously improve our platform and existing solutions, as well as develop new solutions and capabilities.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49,569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48,049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1,520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$1.5 million</w:t>
      </w:r>
      <w:r>
        <w:rPr>
          <w:rFonts w:ascii="Arial" w:cs="Arial" w:eastAsia="Arial" w:hAnsi="Arial"/>
          <w:sz w:val="18"/>
          <w:szCs w:val="18"/>
          <w:color w:val="231F20"/>
        </w:rPr>
        <w:t xml:space="preserve"> in </w:t>
      </w:r>
      <w:r>
        <w:rPr>
          <w:rFonts w:ascii="Arial" w:cs="Arial" w:eastAsia="Arial" w:hAnsi="Arial"/>
          <w:sz w:val="18"/>
          <w:szCs w:val="18"/>
          <w:color w:val="000000"/>
        </w:rPr>
        <w:t>2015</w:t>
      </w:r>
      <w:r>
        <w:rPr>
          <w:rFonts w:ascii="Arial" w:cs="Arial" w:eastAsia="Arial" w:hAnsi="Arial"/>
          <w:sz w:val="18"/>
          <w:szCs w:val="18"/>
          <w:color w:val="231F20"/>
        </w:rPr>
        <w:t xml:space="preserve"> compared to </w:t>
      </w:r>
      <w:r>
        <w:rPr>
          <w:rFonts w:ascii="Arial" w:cs="Arial" w:eastAsia="Arial" w:hAnsi="Arial"/>
          <w:sz w:val="18"/>
          <w:szCs w:val="18"/>
          <w:color w:val="000000"/>
        </w:rPr>
        <w:t>2014</w:t>
      </w:r>
      <w:r>
        <w:rPr>
          <w:rFonts w:ascii="Arial" w:cs="Arial" w:eastAsia="Arial" w:hAnsi="Arial"/>
          <w:sz w:val="18"/>
          <w:szCs w:val="18"/>
          <w:color w:val="231F20"/>
        </w:rPr>
        <w:t>, primarily due to increased marketing program and trade show activities of $0.8 million due to growth of the business and introduction of new solutions; and an increase in personnel expenses of $0.6 million, principally due to higher stock-based compensation.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26,573</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5,573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$5.6 million</w:t>
      </w:r>
      <w:r>
        <w:rPr>
          <w:rFonts w:ascii="Arial" w:cs="Arial" w:eastAsia="Arial" w:hAnsi="Arial"/>
          <w:sz w:val="18"/>
          <w:szCs w:val="18"/>
          <w:color w:val="231F20"/>
        </w:rPr>
        <w:t xml:space="preserve"> in </w:t>
      </w:r>
      <w:r>
        <w:rPr>
          <w:rFonts w:ascii="Arial" w:cs="Arial" w:eastAsia="Arial" w:hAnsi="Arial"/>
          <w:sz w:val="18"/>
          <w:szCs w:val="18"/>
          <w:color w:val="000000"/>
        </w:rPr>
        <w:t>2015</w:t>
      </w:r>
      <w:r>
        <w:rPr>
          <w:rFonts w:ascii="Arial" w:cs="Arial" w:eastAsia="Arial" w:hAnsi="Arial"/>
          <w:sz w:val="18"/>
          <w:szCs w:val="18"/>
          <w:color w:val="231F20"/>
        </w:rPr>
        <w:t xml:space="preserve"> compared to </w:t>
      </w:r>
      <w:r>
        <w:rPr>
          <w:rFonts w:ascii="Arial" w:cs="Arial" w:eastAsia="Arial" w:hAnsi="Arial"/>
          <w:sz w:val="18"/>
          <w:szCs w:val="18"/>
          <w:color w:val="000000"/>
        </w:rPr>
        <w:t>2014</w:t>
      </w:r>
      <w:r>
        <w:rPr>
          <w:rFonts w:ascii="Arial" w:cs="Arial" w:eastAsia="Arial" w:hAnsi="Arial"/>
          <w:sz w:val="18"/>
          <w:szCs w:val="18"/>
          <w:color w:val="231F20"/>
        </w:rPr>
        <w:t>, primarily driven by increased personnel expenses of $2.9 million, principally due to higher stock-based compensation and the addition of new employees to support the growth of our business; increased professional services of $1.0 million to support growth and compliance with legal and regulatory requirements, including the additional requirements of the Sarbanes-Oxley Act now that we are no longer an Emerging Growth Company; and increased bad debt expense and other fees of $1.0 million.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99"/>
              </w:rPr>
              <w:t>Year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6"/>
                <w:szCs w:val="16"/>
                <w:b w:val="1"/>
                <w:bCs w:val="1"/>
                <w:color w:val="auto"/>
                <w:w w:val="99"/>
              </w:rPr>
              <w:t>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(286)</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348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51"/>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0 %</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Other expense, net, decreased </w:t>
      </w:r>
      <w:r>
        <w:rPr>
          <w:rFonts w:ascii="Arial" w:cs="Arial" w:eastAsia="Arial" w:hAnsi="Arial"/>
          <w:sz w:val="18"/>
          <w:szCs w:val="18"/>
          <w:color w:val="000000"/>
        </w:rPr>
        <w:t>$0.3 million</w:t>
      </w:r>
      <w:r>
        <w:rPr>
          <w:rFonts w:ascii="Arial" w:cs="Arial" w:eastAsia="Arial" w:hAnsi="Arial"/>
          <w:sz w:val="18"/>
          <w:szCs w:val="18"/>
          <w:color w:val="231F20"/>
        </w:rPr>
        <w:t xml:space="preserve"> in </w:t>
      </w:r>
      <w:r>
        <w:rPr>
          <w:rFonts w:ascii="Arial" w:cs="Arial" w:eastAsia="Arial" w:hAnsi="Arial"/>
          <w:sz w:val="18"/>
          <w:szCs w:val="18"/>
          <w:color w:val="000000"/>
        </w:rPr>
        <w:t>2015</w:t>
      </w:r>
      <w:r>
        <w:rPr>
          <w:rFonts w:ascii="Arial" w:cs="Arial" w:eastAsia="Arial" w:hAnsi="Arial"/>
          <w:sz w:val="18"/>
          <w:szCs w:val="18"/>
          <w:color w:val="231F20"/>
        </w:rPr>
        <w:t xml:space="preserve"> compared to </w:t>
      </w:r>
      <w:r>
        <w:rPr>
          <w:rFonts w:ascii="Arial" w:cs="Arial" w:eastAsia="Arial" w:hAnsi="Arial"/>
          <w:sz w:val="18"/>
          <w:szCs w:val="18"/>
          <w:color w:val="000000"/>
        </w:rPr>
        <w:t>2014</w:t>
      </w:r>
      <w:r>
        <w:rPr>
          <w:rFonts w:ascii="Arial" w:cs="Arial" w:eastAsia="Arial" w:hAnsi="Arial"/>
          <w:sz w:val="18"/>
          <w:szCs w:val="18"/>
          <w:color w:val="231F20"/>
        </w:rPr>
        <w:t>, primarily due to lower foreign exchange losses in 2015.</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(Benefit from)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8,655</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(21,631)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30,286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3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increase in the provision for (benefit from) income taxes in 2015 compared to 2014 is primarily due to a tax benefit of $23.7 million for the recognition of our U.S. federal and certain state deferred tax assets in 2014. In the fourth quarter of 2014, management determined it was more likely than not that certain deferred tax assets were realizable, primarily due to the increased and expected sustainable profitability in our U.S. operations. The tax benefit in 2014 was partially offset by taxes on income for U.S. federal and certain state jurisdictions as well as taxes on income in foreign jurisdictions for our wholly-owned subsidiaries. The increase in the provision for tax is also due to the significant increase in income before tax of $24.5 million in 2015 compared to $8.6 million in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2014 and 2013</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3"/>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100" w:type="dxa"/>
            <w:vAlign w:val="bottom"/>
          </w:tcPr>
          <w:p>
            <w:pPr>
              <w:spacing w:after="0"/>
              <w:rPr>
                <w:sz w:val="21"/>
                <w:szCs w:val="2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133,579</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107,962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25,617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16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 xml:space="preserve">Revenues increased $25.6 million in 2014 compared to 2013. Revenues from customers existing at or prior to December 31, 2013 grew by $15.7 million to $123.7 million in 2014, </w:t>
      </w:r>
      <w:r>
        <w:rPr>
          <w:rFonts w:ascii="Arial" w:cs="Arial" w:eastAsia="Arial" w:hAnsi="Arial"/>
          <w:sz w:val="18"/>
          <w:szCs w:val="18"/>
          <w:color w:val="231F20"/>
        </w:rPr>
        <w:t>representing 115% of total revenues in 2013, primarily due to increased subscriptions and purchases</w:t>
      </w:r>
      <w:r>
        <w:rPr>
          <w:rFonts w:ascii="Arial" w:cs="Arial" w:eastAsia="Arial" w:hAnsi="Arial"/>
          <w:sz w:val="18"/>
          <w:szCs w:val="18"/>
          <w:color w:val="auto"/>
        </w:rPr>
        <w:t xml:space="preserve"> </w:t>
      </w:r>
      <w:r>
        <w:rPr>
          <w:rFonts w:ascii="Arial" w:cs="Arial" w:eastAsia="Arial" w:hAnsi="Arial"/>
          <w:sz w:val="18"/>
          <w:szCs w:val="18"/>
          <w:color w:val="231F20"/>
        </w:rPr>
        <w:t xml:space="preserve">of additional solutions. </w:t>
      </w:r>
      <w:r>
        <w:rPr>
          <w:rFonts w:ascii="Arial" w:cs="Arial" w:eastAsia="Arial" w:hAnsi="Arial"/>
          <w:sz w:val="18"/>
          <w:szCs w:val="18"/>
          <w:color w:val="000000"/>
        </w:rPr>
        <w:t>Subscriptions from new customers added in 2014 contributed $9.9 million to the increase in revenues. Of the total</w:t>
      </w:r>
      <w:r>
        <w:rPr>
          <w:rFonts w:ascii="Arial" w:cs="Arial" w:eastAsia="Arial" w:hAnsi="Arial"/>
          <w:sz w:val="18"/>
          <w:szCs w:val="18"/>
          <w:color w:val="231F20"/>
        </w:rPr>
        <w:t xml:space="preserve"> </w:t>
      </w:r>
      <w:r>
        <w:rPr>
          <w:rFonts w:ascii="Arial" w:cs="Arial" w:eastAsia="Arial" w:hAnsi="Arial"/>
          <w:sz w:val="18"/>
          <w:szCs w:val="18"/>
          <w:color w:val="000000"/>
        </w:rPr>
        <w:t>increase of $25.6 million, $17.9 million was from customers in the United States and the remaining $7.7 million was from customers in foreign countries. The growth in revenues reflects increased demand for our solutions.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28,963</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24,660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4,303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auto"/>
        </w:rPr>
        <w:t>Cost of revenues increased $4.3 million in 2014 compared to 2013, primarily due to a $1.9 million increase in depreciation expenses primarily related to additional computer hardware and software for our new and existing data centers; increased personnel expenses of $0.7 million, principally driven by the addition of employees in our operations staff and higher stock-based compensation; increased third-party software maintenance expense of $0.7 million; increased consulting expense of $0.7 million; and increased data center costs of $0.3 million, driven by new data centers, expanded storage and other data center-related costs.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26,320</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21,678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4,642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Research and development expenses increased $4.6 million in 2014 compared to 2013, primarily due to an increase in personnel expenses of $3.6 million, including higher stock-based compensation, principally driven by the addition of employees as we continue to invest in enhancing our platform and developing new solutions and capabilities; higher corporate overhead costs of $0.5 million, principally due to the expansion of our research and development team in India; and an increase of consulting and professional service expenses of $0.3 million.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48,049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5,526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Sales and marketing expenses increased $5.5 million in 2014 compared to 2013, primarily due to an increase in personnel expenses of $4.6 million, including higher commission expense and stock-based compensation, principally driven by the addition of employees as we continue to expand our domestic and international sales and marketing efforts. We also incurred increased marketing expenses of $1.2 million, primarily related to increased trade shows, public relations and marketing program activities.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6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21,000</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4,208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General and administrative expenses increased $4.2 million in 2014 compared to 2013, primarily due to an increase in personnel expenses of $3.0 million, including higher employee stock-based compensation, principally due to the addition of employees to support the growth of our business; increased professional services of $0.7 million; and increased bad debt expense, corporate and business taxes, and other fees of $0.4 million.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9"/>
              </w:rPr>
              <w:t>December 31,</w:t>
            </w:r>
          </w:p>
        </w:tc>
        <w:tc>
          <w:tcPr>
            <w:tcW w:w="340" w:type="dxa"/>
            <w:vAlign w:val="bottom"/>
          </w:tcPr>
          <w:p>
            <w:pPr>
              <w:spacing w:after="0"/>
              <w:rPr>
                <w:sz w:val="24"/>
                <w:szCs w:val="24"/>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960" w:type="dxa"/>
            <w:vAlign w:val="bottom"/>
          </w:tcPr>
          <w:p>
            <w:pPr>
              <w:spacing w:after="0"/>
              <w:rPr>
                <w:sz w:val="24"/>
                <w:szCs w:val="24"/>
                <w:color w:val="auto"/>
              </w:rPr>
            </w:pPr>
          </w:p>
        </w:tc>
      </w:tr>
      <w:tr>
        <w:trPr>
          <w:trHeight w:val="264"/>
        </w:trPr>
        <w:tc>
          <w:tcPr>
            <w:tcW w:w="5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30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(634)</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(366)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81" w:lineRule="exact"/>
        <w:rPr>
          <w:sz w:val="20"/>
          <w:szCs w:val="20"/>
          <w:color w:val="auto"/>
        </w:rPr>
      </w:pPr>
    </w:p>
    <w:p>
      <w:pPr>
        <w:ind w:right="380" w:firstLine="405"/>
        <w:spacing w:after="0" w:line="256" w:lineRule="auto"/>
        <w:rPr>
          <w:sz w:val="20"/>
          <w:szCs w:val="20"/>
          <w:color w:val="auto"/>
        </w:rPr>
      </w:pPr>
      <w:r>
        <w:rPr>
          <w:rFonts w:ascii="Arial" w:cs="Arial" w:eastAsia="Arial" w:hAnsi="Arial"/>
          <w:sz w:val="18"/>
          <w:szCs w:val="18"/>
          <w:color w:val="auto"/>
        </w:rPr>
        <w:t xml:space="preserve">Other expense, net increased $ 0.4 million in 2014 compared to 2013, </w:t>
      </w:r>
      <w:r>
        <w:rPr>
          <w:rFonts w:ascii="Arial" w:cs="Arial" w:eastAsia="Arial" w:hAnsi="Arial"/>
          <w:sz w:val="18"/>
          <w:szCs w:val="18"/>
          <w:color w:val="231F20"/>
        </w:rPr>
        <w:t>primarily due to a loss on disposal of property and equipment of</w:t>
      </w:r>
      <w:r>
        <w:rPr>
          <w:rFonts w:ascii="Arial" w:cs="Arial" w:eastAsia="Arial" w:hAnsi="Arial"/>
          <w:sz w:val="18"/>
          <w:szCs w:val="18"/>
          <w:color w:val="auto"/>
        </w:rPr>
        <w:t xml:space="preserve"> </w:t>
      </w:r>
      <w:r>
        <w:rPr>
          <w:rFonts w:ascii="Arial" w:cs="Arial" w:eastAsia="Arial" w:hAnsi="Arial"/>
          <w:sz w:val="18"/>
          <w:szCs w:val="18"/>
          <w:color w:val="231F20"/>
        </w:rPr>
        <w:t>$0.3 million, partially offset by higher investment income of $0.1 million. Additionally, in 2013, we received proceeds of $0.2 million from a negotiated settlement that was included in other income (expense) that did not recur in 2014.</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99"/>
              </w:rPr>
              <w:t>Year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80" w:type="dxa"/>
            <w:vAlign w:val="bottom"/>
            <w:gridSpan w:val="5"/>
          </w:tcPr>
          <w:p>
            <w:pPr>
              <w:ind w:left="60"/>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(21,631)</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7"/>
              </w:rPr>
              <w:t>500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(22,131)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8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81"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auto"/>
        </w:rPr>
        <w:t xml:space="preserve">The provision for (benefit from) income taxes decreased $22.1 million in 2014 compared to 2013. </w:t>
      </w:r>
      <w:r>
        <w:rPr>
          <w:rFonts w:ascii="Arial" w:cs="Arial" w:eastAsia="Arial" w:hAnsi="Arial"/>
          <w:sz w:val="18"/>
          <w:szCs w:val="18"/>
          <w:color w:val="231F20"/>
        </w:rPr>
        <w:t>The tax benefit in 2014 includes</w:t>
      </w:r>
      <w:r>
        <w:rPr>
          <w:rFonts w:ascii="Arial" w:cs="Arial" w:eastAsia="Arial" w:hAnsi="Arial"/>
          <w:sz w:val="18"/>
          <w:szCs w:val="18"/>
          <w:color w:val="auto"/>
        </w:rPr>
        <w:t xml:space="preserve"> </w:t>
      </w:r>
      <w:r>
        <w:rPr>
          <w:rFonts w:ascii="Arial" w:cs="Arial" w:eastAsia="Arial" w:hAnsi="Arial"/>
          <w:sz w:val="18"/>
          <w:szCs w:val="18"/>
          <w:color w:val="231F20"/>
        </w:rPr>
        <w:t xml:space="preserve">approximately $23.7 million </w:t>
      </w:r>
      <w:r>
        <w:rPr>
          <w:rFonts w:ascii="Arial" w:cs="Arial" w:eastAsia="Arial" w:hAnsi="Arial"/>
          <w:sz w:val="18"/>
          <w:szCs w:val="18"/>
          <w:color w:val="000000"/>
        </w:rPr>
        <w:t>for the recognition of our U.S. federal and certain state deferred tax assets. In the fourth quarter of 2014,</w:t>
      </w:r>
      <w:r>
        <w:rPr>
          <w:rFonts w:ascii="Arial" w:cs="Arial" w:eastAsia="Arial" w:hAnsi="Arial"/>
          <w:sz w:val="18"/>
          <w:szCs w:val="18"/>
          <w:color w:val="231F20"/>
        </w:rPr>
        <w:t xml:space="preserve"> </w:t>
      </w:r>
      <w:r>
        <w:rPr>
          <w:rFonts w:ascii="Arial" w:cs="Arial" w:eastAsia="Arial" w:hAnsi="Arial"/>
          <w:sz w:val="18"/>
          <w:szCs w:val="18"/>
          <w:color w:val="000000"/>
        </w:rPr>
        <w:t>management determined it was more likely than not that certain deferred tax assets were realizable, primarily due to the increased and expected sustainable profitability in our U.S. operations. The tax benefit was partially offset by taxes on income for U.S. federal and certain state jurisdictions as well as taxes on income in foreign jurisdictions for our wholly-owned subsidiaries.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2015</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$222</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w:t>
      </w:r>
      <w:r>
        <w:rPr>
          <w:rFonts w:ascii="Arial" w:cs="Arial" w:eastAsia="Arial" w:hAnsi="Arial"/>
          <w:sz w:val="18"/>
          <w:szCs w:val="18"/>
          <w:color w:val="000000"/>
        </w:rPr>
        <w:t xml:space="preserve"> $4 million </w:t>
      </w:r>
      <w:r>
        <w:rPr>
          <w:rFonts w:ascii="Arial" w:cs="Arial" w:eastAsia="Arial" w:hAnsi="Arial"/>
          <w:sz w:val="18"/>
          <w:szCs w:val="18"/>
          <w:color w:val="231F20"/>
        </w:rPr>
        <w:t>held outside of the United States by our foreign subsidiaries. We do not anticipate that we will need funds generated</w:t>
      </w:r>
      <w:r>
        <w:rPr>
          <w:rFonts w:ascii="Arial" w:cs="Arial" w:eastAsia="Arial" w:hAnsi="Arial"/>
          <w:sz w:val="18"/>
          <w:szCs w:val="18"/>
          <w:color w:val="000000"/>
        </w:rPr>
        <w:t xml:space="preserve"> </w:t>
      </w:r>
      <w:r>
        <w:rPr>
          <w:rFonts w:ascii="Arial" w:cs="Arial" w:eastAsia="Arial" w:hAnsi="Arial"/>
          <w:sz w:val="18"/>
          <w:szCs w:val="18"/>
          <w:color w:val="231F20"/>
        </w:rPr>
        <w:t>from foreign operations to fund our domestic operations. However, if we repatriate these funds, we could be subject to U.S. income taxes on such amounts, less previously paid foreign income taxes.</w:t>
      </w:r>
    </w:p>
    <w:p>
      <w:pPr>
        <w:spacing w:after="0" w:line="204"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We have experienced positive cash flows from operations during the </w:t>
      </w:r>
      <w:r>
        <w:rPr>
          <w:rFonts w:ascii="Arial" w:cs="Arial" w:eastAsia="Arial" w:hAnsi="Arial"/>
          <w:sz w:val="18"/>
          <w:szCs w:val="18"/>
          <w:color w:val="000000"/>
        </w:rPr>
        <w:t>years ended December 31, 2015, 2014 and 2013</w:t>
      </w:r>
      <w:r>
        <w:rPr>
          <w:rFonts w:ascii="Arial" w:cs="Arial" w:eastAsia="Arial" w:hAnsi="Arial"/>
          <w:sz w:val="18"/>
          <w:szCs w:val="18"/>
          <w:color w:val="231F20"/>
        </w:rPr>
        <w:t xml:space="preserve">. We believe our existing cash, cash equivalents, short-term and long-term investments, and cash from operations will be sufficient to fund our operations for at least the next twelve months. We expect to spend approximately </w:t>
      </w:r>
      <w:r>
        <w:rPr>
          <w:rFonts w:ascii="Arial" w:cs="Arial" w:eastAsia="Arial" w:hAnsi="Arial"/>
          <w:sz w:val="18"/>
          <w:szCs w:val="18"/>
          <w:color w:val="000000"/>
        </w:rPr>
        <w:t>$22 million</w:t>
      </w:r>
      <w:r>
        <w:rPr>
          <w:rFonts w:ascii="Arial" w:cs="Arial" w:eastAsia="Arial" w:hAnsi="Arial"/>
          <w:sz w:val="18"/>
          <w:szCs w:val="18"/>
          <w:color w:val="231F20"/>
        </w:rPr>
        <w:t xml:space="preserve"> through December 31, </w:t>
      </w:r>
      <w:r>
        <w:rPr>
          <w:rFonts w:ascii="Arial" w:cs="Arial" w:eastAsia="Arial" w:hAnsi="Arial"/>
          <w:sz w:val="18"/>
          <w:szCs w:val="18"/>
          <w:color w:val="000000"/>
        </w:rPr>
        <w:t>2016</w:t>
      </w:r>
      <w:r>
        <w:rPr>
          <w:rFonts w:ascii="Arial" w:cs="Arial" w:eastAsia="Arial" w:hAnsi="Arial"/>
          <w:sz w:val="18"/>
          <w:szCs w:val="18"/>
          <w:color w:val="231F20"/>
        </w:rPr>
        <w:t xml:space="preserve"> for capital expenditures, primarily related to infrastructure to support the anticipated growth in our business.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39" w:lineRule="exact"/>
        <w:rPr>
          <w:sz w:val="20"/>
          <w:szCs w:val="20"/>
          <w:color w:val="auto"/>
        </w:rPr>
      </w:pPr>
    </w:p>
    <w:p>
      <w:pPr>
        <w:ind w:right="520" w:firstLine="405"/>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247"/>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65,960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25,081</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(61,348)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(20,675)</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3,077</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34,135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7,484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39"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2015</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$66.0 million resulted primarily from our net income of approximately $15.9 million, as</w:t>
      </w:r>
      <w:r>
        <w:rPr>
          <w:rFonts w:ascii="Arial" w:cs="Arial" w:eastAsia="Arial" w:hAnsi="Arial"/>
          <w:sz w:val="18"/>
          <w:szCs w:val="18"/>
          <w:color w:val="231F20"/>
        </w:rPr>
        <w:t xml:space="preserve"> </w:t>
      </w:r>
      <w:r>
        <w:rPr>
          <w:rFonts w:ascii="Arial" w:cs="Arial" w:eastAsia="Arial" w:hAnsi="Arial"/>
          <w:sz w:val="18"/>
          <w:szCs w:val="18"/>
          <w:color w:val="000000"/>
        </w:rPr>
        <w:t>adjusted by an increase in deferred revenues of $21.4 million</w:t>
      </w:r>
      <w:r>
        <w:rPr>
          <w:rFonts w:ascii="Arial" w:cs="Arial" w:eastAsia="Arial" w:hAnsi="Arial"/>
          <w:sz w:val="18"/>
          <w:szCs w:val="18"/>
          <w:color w:val="231F20"/>
        </w:rPr>
        <w:t>, attributable to our continued growth and an increase in subscriptions exceeding</w:t>
      </w:r>
      <w:r>
        <w:rPr>
          <w:rFonts w:ascii="Arial" w:cs="Arial" w:eastAsia="Arial" w:hAnsi="Arial"/>
          <w:sz w:val="18"/>
          <w:szCs w:val="18"/>
          <w:color w:val="000000"/>
        </w:rPr>
        <w:t xml:space="preserve"> </w:t>
      </w:r>
      <w:r>
        <w:rPr>
          <w:rFonts w:ascii="Arial" w:cs="Arial" w:eastAsia="Arial" w:hAnsi="Arial"/>
          <w:sz w:val="18"/>
          <w:szCs w:val="18"/>
          <w:color w:val="231F20"/>
        </w:rPr>
        <w:t xml:space="preserve">one year, and by non-cash items including depreciation and amortization expense of </w:t>
      </w:r>
      <w:r>
        <w:rPr>
          <w:rFonts w:ascii="Arial" w:cs="Arial" w:eastAsia="Arial" w:hAnsi="Arial"/>
          <w:sz w:val="18"/>
          <w:szCs w:val="18"/>
          <w:color w:val="000000"/>
        </w:rPr>
        <w:t>$14.4 million,</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$17.5 million</w:t>
      </w:r>
      <w:r>
        <w:rPr>
          <w:rFonts w:ascii="Arial" w:cs="Arial" w:eastAsia="Arial" w:hAnsi="Arial"/>
          <w:sz w:val="18"/>
          <w:szCs w:val="18"/>
          <w:color w:val="231F20"/>
        </w:rPr>
        <w:t>, and net utilization of deferred income taxes of</w:t>
      </w:r>
      <w:r>
        <w:rPr>
          <w:rFonts w:ascii="Arial" w:cs="Arial" w:eastAsia="Arial" w:hAnsi="Arial"/>
          <w:sz w:val="18"/>
          <w:szCs w:val="18"/>
          <w:color w:val="000000"/>
        </w:rPr>
        <w:t xml:space="preserve"> $6.6 million</w:t>
      </w:r>
      <w:r>
        <w:rPr>
          <w:rFonts w:ascii="Arial" w:cs="Arial" w:eastAsia="Arial" w:hAnsi="Arial"/>
          <w:sz w:val="18"/>
          <w:szCs w:val="18"/>
          <w:color w:val="231F20"/>
        </w:rPr>
        <w:t>. These increases are partially offset by an increase in accounts</w:t>
      </w:r>
      <w:r>
        <w:rPr>
          <w:rFonts w:ascii="Arial" w:cs="Arial" w:eastAsia="Arial" w:hAnsi="Arial"/>
          <w:sz w:val="18"/>
          <w:szCs w:val="18"/>
          <w:color w:val="000000"/>
        </w:rPr>
        <w:t xml:space="preserve"> </w:t>
      </w:r>
      <w:r>
        <w:rPr>
          <w:rFonts w:ascii="Arial" w:cs="Arial" w:eastAsia="Arial" w:hAnsi="Arial"/>
          <w:sz w:val="18"/>
          <w:szCs w:val="18"/>
          <w:color w:val="231F20"/>
        </w:rPr>
        <w:t xml:space="preserve">receivable of </w:t>
      </w:r>
      <w:r>
        <w:rPr>
          <w:rFonts w:ascii="Arial" w:cs="Arial" w:eastAsia="Arial" w:hAnsi="Arial"/>
          <w:sz w:val="18"/>
          <w:szCs w:val="18"/>
          <w:color w:val="000000"/>
        </w:rPr>
        <w:t>$10.2 million</w:t>
      </w:r>
      <w:r>
        <w:rPr>
          <w:rFonts w:ascii="Arial" w:cs="Arial" w:eastAsia="Arial" w:hAnsi="Arial"/>
          <w:sz w:val="18"/>
          <w:szCs w:val="18"/>
          <w:color w:val="231F20"/>
        </w:rPr>
        <w:t xml:space="preserve"> due to the overall growth of our business</w:t>
      </w:r>
      <w:r>
        <w:rPr>
          <w:rFonts w:ascii="Arial" w:cs="Arial" w:eastAsia="Arial" w:hAnsi="Arial"/>
          <w:sz w:val="18"/>
          <w:szCs w:val="18"/>
          <w:color w:val="000000"/>
        </w:rPr>
        <w:t>.</w:t>
      </w:r>
    </w:p>
    <w:p>
      <w:pPr>
        <w:spacing w:after="0" w:line="152"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In 2014, cash flows from operating activities of $41.4 million resulted primarily from our net income of approximately $30.2 million, as adjusted by an increase in deferred revenues of $14.8 million, attributable to our continued growth. These working capital increases are further increased by non-cash items including depreciation and amortization expense of $11.9 million and stock-based compensation expense of $10.5 million. These increases are partially offset by an increase in accounts receivable of $4.9 million, due to the overall growth of our business and by a non-cash change in deferred tax assets of $22.6 million.</w:t>
      </w:r>
    </w:p>
    <w:p>
      <w:pPr>
        <w:spacing w:after="0" w:line="9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2013, cash flows from operating activities of $25.1 million resulted from our net income of approximately $1.5 million, as adjusted by an increase in deferred revenues of $11.3 million, attributable to our continued growth. These working capital increases are further increased by non-cash items including depreciation and amortization expense of $9.6 million and stock-based compensation expense of $5.5 million. These increases are partially offset by an increase in accounts receivable of $4.3 million, due to the overall growth of our business.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In 2015, cash used in investing activities of $ 61.3 million was primarily attributable to $20.1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net purchases of investments of $41.2 million, arising from cash provided from operating activities.</w:t>
      </w:r>
    </w:p>
    <w:p>
      <w:pPr>
        <w:spacing w:after="0" w:line="150" w:lineRule="exact"/>
        <w:rPr>
          <w:sz w:val="20"/>
          <w:szCs w:val="20"/>
          <w:color w:val="auto"/>
        </w:rPr>
      </w:pPr>
    </w:p>
    <w:p>
      <w:pPr>
        <w:ind w:right="440" w:firstLine="405"/>
        <w:spacing w:after="0" w:line="254" w:lineRule="auto"/>
        <w:rPr>
          <w:sz w:val="20"/>
          <w:szCs w:val="20"/>
          <w:color w:val="auto"/>
        </w:rPr>
      </w:pPr>
      <w:r>
        <w:rPr>
          <w:rFonts w:ascii="Arial" w:cs="Arial" w:eastAsia="Arial" w:hAnsi="Arial"/>
          <w:sz w:val="18"/>
          <w:szCs w:val="18"/>
          <w:color w:val="auto"/>
        </w:rPr>
        <w:t>In 2014, cash used in investing activities of $ 14.3 million was primarily attributable to $13.9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purchases of investments of $157.7 million, partially offset by the sales and maturities of investments of $157.3 million.</w:t>
      </w:r>
    </w:p>
    <w:p>
      <w:pPr>
        <w:spacing w:after="0" w:line="150" w:lineRule="exact"/>
        <w:rPr>
          <w:sz w:val="20"/>
          <w:szCs w:val="20"/>
          <w:color w:val="auto"/>
        </w:rPr>
      </w:pPr>
    </w:p>
    <w:p>
      <w:pPr>
        <w:ind w:right="440" w:firstLine="405"/>
        <w:spacing w:after="0" w:line="254" w:lineRule="auto"/>
        <w:rPr>
          <w:sz w:val="20"/>
          <w:szCs w:val="20"/>
          <w:color w:val="auto"/>
        </w:rPr>
      </w:pPr>
      <w:r>
        <w:rPr>
          <w:rFonts w:ascii="Arial" w:cs="Arial" w:eastAsia="Arial" w:hAnsi="Arial"/>
          <w:sz w:val="18"/>
          <w:szCs w:val="18"/>
          <w:color w:val="auto"/>
        </w:rPr>
        <w:t>In 2013, cash used in investing activities of $ 20.7 million was primarily attributable to $13.7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purchases of investments of $145.3 million, partially offset by the sales and maturities of investments of $138.1 million.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39"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2015</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$10.6 million</w:t>
      </w:r>
      <w:r>
        <w:rPr>
          <w:rFonts w:ascii="Arial" w:cs="Arial" w:eastAsia="Arial" w:hAnsi="Arial"/>
          <w:sz w:val="18"/>
          <w:szCs w:val="18"/>
          <w:color w:val="231F20"/>
        </w:rPr>
        <w:t xml:space="preserve"> was primarily attributable to $10.1 million of proceeds from the exercise of stock options.</w:t>
      </w:r>
    </w:p>
    <w:p>
      <w:pPr>
        <w:spacing w:after="0" w:line="142" w:lineRule="exact"/>
        <w:rPr>
          <w:sz w:val="20"/>
          <w:szCs w:val="20"/>
          <w:color w:val="auto"/>
        </w:rPr>
      </w:pPr>
    </w:p>
    <w:p>
      <w:pPr>
        <w:ind w:right="420" w:firstLine="405"/>
        <w:spacing w:after="0" w:line="262" w:lineRule="auto"/>
        <w:rPr>
          <w:sz w:val="20"/>
          <w:szCs w:val="20"/>
          <w:color w:val="auto"/>
        </w:rPr>
      </w:pPr>
      <w:r>
        <w:rPr>
          <w:rFonts w:ascii="Arial" w:cs="Arial" w:eastAsia="Arial" w:hAnsi="Arial"/>
          <w:sz w:val="18"/>
          <w:szCs w:val="18"/>
          <w:color w:val="auto"/>
        </w:rPr>
        <w:t>In 2014, cash provided by financing activities of $7.1 million was primarily attributable to $7.6 million of proceeds from the exercise of stock options, partially offset by repayments on our capital lease obligations of $0.8 million.</w:t>
      </w:r>
    </w:p>
    <w:p>
      <w:pPr>
        <w:spacing w:after="0" w:line="142" w:lineRule="exact"/>
        <w:rPr>
          <w:sz w:val="20"/>
          <w:szCs w:val="20"/>
          <w:color w:val="auto"/>
        </w:rPr>
      </w:pPr>
    </w:p>
    <w:p>
      <w:pPr>
        <w:ind w:right="420" w:firstLine="405"/>
        <w:spacing w:after="0" w:line="262" w:lineRule="auto"/>
        <w:rPr>
          <w:sz w:val="20"/>
          <w:szCs w:val="20"/>
          <w:color w:val="auto"/>
        </w:rPr>
      </w:pPr>
      <w:r>
        <w:rPr>
          <w:rFonts w:ascii="Arial" w:cs="Arial" w:eastAsia="Arial" w:hAnsi="Arial"/>
          <w:sz w:val="18"/>
          <w:szCs w:val="18"/>
          <w:color w:val="auto"/>
        </w:rPr>
        <w:t>In 2013, cash provided by financing activities of $3.1 million was primarily attributable to proceeds of $4.1 million from the exercise of stock options, partially offset by repayments on our capital lease obligations of $1.2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both"/>
        <w:ind w:right="680" w:firstLine="405"/>
        <w:spacing w:after="0" w:line="256" w:lineRule="auto"/>
        <w:rPr>
          <w:sz w:val="20"/>
          <w:szCs w:val="20"/>
          <w:color w:val="auto"/>
        </w:rPr>
      </w:pPr>
      <w:r>
        <w:rPr>
          <w:rFonts w:ascii="Arial" w:cs="Arial" w:eastAsia="Arial" w:hAnsi="Arial"/>
          <w:sz w:val="18"/>
          <w:szCs w:val="18"/>
          <w:color w:val="auto"/>
        </w:rPr>
        <w:t>Our principal commitments consist of obligations under our outstanding leases for office space, third-party data centers and office equipment. The following table summarizes our contractual cash obligations at December 31, 2015 and the effect such obligations are expected to have on our liquidity and cash flows in future periods:</w:t>
      </w:r>
    </w:p>
    <w:p>
      <w:pPr>
        <w:spacing w:after="0" w:line="190" w:lineRule="exact"/>
        <w:rPr>
          <w:sz w:val="20"/>
          <w:szCs w:val="20"/>
          <w:color w:val="auto"/>
        </w:rPr>
      </w:pPr>
    </w:p>
    <w:tbl>
      <w:tblPr>
        <w:tblLayout w:type="fixed"/>
        <w:tblInd w:w="72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6"/>
          </w:tcPr>
          <w:p>
            <w:pPr>
              <w:jc w:val="center"/>
              <w:ind w:right="119"/>
              <w:spacing w:after="0"/>
              <w:rPr>
                <w:sz w:val="20"/>
                <w:szCs w:val="20"/>
                <w:color w:val="auto"/>
              </w:rPr>
            </w:pPr>
            <w:r>
              <w:rPr>
                <w:rFonts w:ascii="Arial" w:cs="Arial" w:eastAsia="Arial" w:hAnsi="Arial"/>
                <w:sz w:val="14"/>
                <w:szCs w:val="14"/>
                <w:b w:val="1"/>
                <w:bCs w:val="1"/>
                <w:color w:val="auto"/>
              </w:rPr>
              <w:t>Payment Due by Period</w:t>
            </w:r>
          </w:p>
        </w:tc>
        <w:tc>
          <w:tcPr>
            <w:tcW w:w="1020" w:type="dxa"/>
            <w:vAlign w:val="bottom"/>
            <w:tcBorders>
              <w:bottom w:val="single" w:sz="8" w:color="auto"/>
            </w:tcBorders>
          </w:tcPr>
          <w:p>
            <w:pPr>
              <w:spacing w:after="0"/>
              <w:rPr>
                <w:sz w:val="17"/>
                <w:szCs w:val="17"/>
                <w:color w:val="auto"/>
              </w:rPr>
            </w:pPr>
          </w:p>
        </w:tc>
      </w:tr>
      <w:tr>
        <w:trPr>
          <w:trHeight w:val="197"/>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rPr>
              <w:t>Less Than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3-5</w:t>
            </w:r>
          </w:p>
        </w:tc>
      </w:tr>
      <w:tr>
        <w:trPr>
          <w:trHeight w:val="228"/>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1 Year</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6"/>
              </w:rPr>
              <w:t>Years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Years</w:t>
            </w:r>
          </w:p>
        </w:tc>
      </w:tr>
      <w:tr>
        <w:trPr>
          <w:trHeight w:val="247"/>
        </w:trPr>
        <w:tc>
          <w:tcPr>
            <w:tcW w:w="4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6"/>
          </w:tcPr>
          <w:p>
            <w:pPr>
              <w:ind w:left="6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8,118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3,892</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905</w:t>
            </w:r>
          </w:p>
        </w:tc>
      </w:tr>
      <w:tr>
        <w:trPr>
          <w:trHeight w:val="230"/>
        </w:trPr>
        <w:tc>
          <w:tcPr>
            <w:tcW w:w="4420" w:type="dxa"/>
            <w:vAlign w:val="bottom"/>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620"/>
              <w:spacing w:after="0"/>
              <w:rPr>
                <w:sz w:val="20"/>
                <w:szCs w:val="20"/>
                <w:color w:val="auto"/>
              </w:rPr>
            </w:pPr>
            <w:r>
              <w:rPr>
                <w:rFonts w:ascii="Arial" w:cs="Arial" w:eastAsia="Arial" w:hAnsi="Arial"/>
                <w:sz w:val="16"/>
                <w:szCs w:val="16"/>
                <w:color w:val="auto"/>
              </w:rPr>
              <w:t>3,892</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3,321</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905</w:t>
            </w:r>
          </w:p>
        </w:tc>
      </w:tr>
      <w:tr>
        <w:trPr>
          <w:trHeight w:val="20"/>
        </w:trPr>
        <w:tc>
          <w:tcPr>
            <w:tcW w:w="4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47" w:lineRule="exact"/>
        <w:rPr>
          <w:sz w:val="20"/>
          <w:szCs w:val="20"/>
          <w:color w:val="auto"/>
        </w:rPr>
      </w:pPr>
    </w:p>
    <w:p>
      <w:pPr>
        <w:ind w:right="600" w:firstLine="405"/>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ind w:right="660" w:firstLine="405"/>
        <w:spacing w:after="0" w:line="262" w:lineRule="auto"/>
        <w:rPr>
          <w:sz w:val="20"/>
          <w:szCs w:val="20"/>
          <w:color w:val="auto"/>
        </w:rPr>
      </w:pPr>
      <w:r>
        <w:rPr>
          <w:rFonts w:ascii="Arial" w:cs="Arial" w:eastAsia="Arial" w:hAnsi="Arial"/>
          <w:sz w:val="18"/>
          <w:szCs w:val="18"/>
          <w:color w:val="231F20"/>
        </w:rPr>
        <w:t>See Note 1 to the consolidated financial statements in Part II, Item 8 of this Annual Report on Form10-K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41" w:right="27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derive revenues from subscriptions that require customers to pay a fee in order to access our cloud-based solutions. Customers generally enter into one year renewable annual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 In some limited cases, we also provide certain computer equipment used to extend our Qualys Cloud Platform into our customers’ private cloud environment. We assess the ability to separate multiple deliverables in accordance with the relevant accounting literature.</w:t>
      </w:r>
    </w:p>
    <w:p>
      <w:pPr>
        <w:spacing w:after="0" w:line="71"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We recognize revenues when all of the following conditions are met: (a) there is persuasive evidence of an arrangement; (b) the service has been provided to the customer; (c) the collection of the fees is reasonably assured; and (d) the amount of fees to be paid by the customer is fixed or determinable.</w:t>
      </w:r>
    </w:p>
    <w:p>
      <w:pPr>
        <w:spacing w:after="0" w:line="6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Subscriptions for unlimited scans and certain limited scan arrangements with firm expiration dates are recognized ratably over the period in which the services are performed, generally one year. We recognize revenues for certain other limited scan arrangements, where expiration dates can be extended, on an as-used basis. We recognize the subscription of physical scanner appliances and other computer equipment as revenues ratably over the period of the subscription, which is commensurate with the term of the related subscription. Because the customer’s access to our cloud solutions are delivered at the same time or within close proximity to the delivery of physical scanner appliances and the terms are commensurate for these services and equipment, we consider these elements as a single unit of accounting recognized ratably over the subscription term. Costs of shipping and handling charges associated with physical scanner appliances and other computer equipment are included in cost of revenues.</w:t>
      </w:r>
    </w:p>
    <w:p>
      <w:pPr>
        <w:spacing w:after="0" w:line="71"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Deferred revenues consist of revenues billed or received that will be recognized in the future under subscriptions existing at the balance sheet date.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color w:val="auto"/>
        </w:rPr>
        <w:t>We are subject to income taxes in the United States as well as other tax jurisdictions in which we conduct business. Earnings from our non-U.S. activities are subject to local income tax and may also be subject to U.S. income tax.</w:t>
      </w:r>
    </w:p>
    <w:p>
      <w:pPr>
        <w:spacing w:after="0" w:line="142"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We must make significant assumptions, judgments and estimates to determine our current provision for (benefit from) income taxes, our deferred tax assets and liabilities, and any valuation allowance to be recorded against our deferred tax assets. Our judgments, assumptions and estimates relating to the current provision for (benefit from) income taxes include the geographic mix and amount of income (loss), our interpretation of current tax laws, and possible outcomes of current and future audits conducted by foreign and domestic tax authorities. Our judgments also include anticipating the tax positions we will record in the financial statements before actually preparing and filing the tax returns. Our estimates and assumptions may differ from the actual results as reflected in our income tax returns and we record the required adjustments when they are identified or resolved. Changes in our business, tax laws or our interpretation of tax laws, and developments in current and future tax audits, could significantly impact the amounts provided for income taxes in our results of operations, financial position, or cash flows.</w:t>
      </w:r>
    </w:p>
    <w:p>
      <w:pPr>
        <w:spacing w:after="0" w:line="7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tax benefit carry-forwards and to differences between the financial statement amounts of assets and liabilities and their respective tax basis. We regularly review our deferred tax assets for recoverability and establish a valuation allowance if it is more likely than not that some portion or all of the deferred tax assets will not be realized. To make this assessment, we take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207"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Based on the analysis of positive and negative factors noted above, we do not have a valuation allowance against U.S. federal and certain state deferred tax assets. We believe it is more likely than not that our California</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deferred tax assets will not be realized because the income attributed to California is not expected to be sufficient to recognize these deferred tax assets. Accordingly, we continue to record a valuation allowance as of December 31, 2015 for our California deferred tax assets. If, in the future, we determine that these deferred tax assets are more likely than not to be realized, a release of all or part, of the related valuation allowance could result in an income tax benefit in the period such determination is made.</w:t>
      </w:r>
    </w:p>
    <w:p>
      <w:pPr>
        <w:spacing w:after="0" w:line="15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the fourth quarter of 2014, we considered our increasing realized profitability in the fourth quarter, forecasted future profitability, our ability to better absorb uncertainties in future profits, and the cumulative effect of changes in the macro-economic environment surrounding the IT security industry, which ultimately resulted in increased demand for our solutions. We determined that the objective and verifiable positive evidence outweighed the negative evidence and recorded a $23.7 million tax benefit for the recognition of our U.S. federal and certain state deferred tax assets.</w:t>
      </w:r>
    </w:p>
    <w:p>
      <w:pPr>
        <w:spacing w:after="0" w:line="152"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We recognize an income tax expense or benefit with respect to uncertain tax positions in our financial statements that we judge is more likely than not to be sustained solely on its technical merits in a tax audit, including resolution of any related appeals or litigation processes. To make this judgment, we must interpret complex and sometimes ambiguous tax laws, regulations and administrative practices. If an income tax position meets the more likely than not recognition threshold, then we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us to determine the probability of various possible settlement outcomes. To determine if a tax position is effectively settled after a tax examination has been completed, we must also estimate the likelihood that another taxing authority could review the respective tax position. We must also determine when it is reasonably possible that the amount of unrecognized tax benefits will significantly increase or decrease in the 12 months after each fiscal year-end. These judgments are difficult because a taxing authority may change its behavior as a result of our disclosures in our financial statements. We must reevaluate our income tax positions on a quarterly basis to consider factors such as changes in facts or circumstances, changes in tax law, effectively settled issues under audit, the potential for interest and penalties, and new audit activity. Such a change in recognition or measurement would result in recognition of a tax benefit or an additional charge to the tax provision.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recognize the fair value of our employee stock options and restricted stock units over the requisite service period for those awards ultimately expected to vest. The fair value of each option is estimated on date of grant using the Black-Scholes option pricing model and the fair value of each restricted stock unit is based on the fair value of our stock on the date of grant. Forfeitures are estimated on the date of grant and revised if actual or expected forfeiture activity differs materially from original estimates.</w:t>
      </w:r>
    </w:p>
    <w:p>
      <w:pPr>
        <w:spacing w:after="0" w:line="150"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Determining the appropriate fair value model and calculating the fair value of employee stock options requires the use of highly subjective assumptions, including the expected life of the stock option and stock price volatility. The assumptions used in calculating the fair value of employee stock options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152"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We also record compensation representing the fair value of stock options granted to non-employees. Stock-based non-employee compensation is recognized over the vesting periods of the options. The value of options granted to non-employees is periodically remeasured as they vest over a performance period.</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our financial instruments, including cash and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231F20"/>
        </w:rPr>
        <w:t>We measure and report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the use of observable inputs and minimizes the use of unobservable inputs by requiring that the most observable inputs be used when available. The hierarchy is broken down into three levels based on the reliability of inputs as follows: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2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Our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using observable</w:t>
      </w:r>
      <w:r>
        <w:rPr>
          <w:rFonts w:ascii="Arial" w:cs="Arial" w:eastAsia="Arial" w:hAnsi="Arial"/>
          <w:sz w:val="18"/>
          <w:szCs w:val="18"/>
          <w:color w:val="000000"/>
        </w:rPr>
        <w:t xml:space="preserve"> </w:t>
      </w:r>
      <w:r>
        <w:rPr>
          <w:rFonts w:ascii="Arial" w:cs="Arial" w:eastAsia="Arial" w:hAnsi="Arial"/>
          <w:sz w:val="18"/>
          <w:szCs w:val="18"/>
          <w:color w:val="231F20"/>
        </w:rPr>
        <w:t>inputs.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41" w:right="29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1" w:lineRule="exact"/>
        <w:rPr>
          <w:sz w:val="20"/>
          <w:szCs w:val="20"/>
          <w:color w:val="auto"/>
        </w:rPr>
      </w:pPr>
    </w:p>
    <w:p>
      <w:pPr>
        <w:jc w:val="both"/>
        <w:ind w:right="140" w:firstLine="405"/>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9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 xml:space="preserve">We have $222 million in cash, cash equivalents and short-term and long-term investments at December 31, 2015. Cash and cash equivalents </w:t>
      </w:r>
      <w:r>
        <w:rPr>
          <w:rFonts w:ascii="Arial" w:cs="Arial" w:eastAsia="Arial" w:hAnsi="Arial"/>
          <w:sz w:val="18"/>
          <w:szCs w:val="18"/>
          <w:color w:val="231F20"/>
        </w:rPr>
        <w:t>include cash held in banks, highly liquid money market funds, U.S. government agency securities, and commercial paper</w:t>
      </w:r>
      <w:r>
        <w:rPr>
          <w:rFonts w:ascii="Arial" w:cs="Arial" w:eastAsia="Arial" w:hAnsi="Arial"/>
          <w:sz w:val="18"/>
          <w:szCs w:val="18"/>
          <w:color w:val="auto"/>
        </w:rPr>
        <w:t>. Investments consist of fixed-income U.S. government agency securities, corporate bonds, asset-backed securities and commercial paper. We determine the appropriate balance sheet classification of our investments at the time of purchase and reevaluate such designation at each balance sheet date. We classify our investments as either short-term or long-term based on each instrument's underlying contractual maturity date.</w:t>
      </w:r>
    </w:p>
    <w:p>
      <w:pPr>
        <w:spacing w:after="0" w:line="209" w:lineRule="exact"/>
        <w:rPr>
          <w:sz w:val="20"/>
          <w:szCs w:val="20"/>
          <w:color w:val="auto"/>
        </w:rPr>
      </w:pPr>
    </w:p>
    <w:p>
      <w:pPr>
        <w:jc w:val="both"/>
        <w:ind w:right="180"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141" w:right="29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INDEX TO CONSOLIDATED FINANCIAL STATEMENTS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6800" w:type="dxa"/>
            <w:vAlign w:val="bottom"/>
            <w:gridSpan w:val="4"/>
          </w:tcPr>
          <w:p>
            <w:pPr>
              <w:jc w:val="center"/>
              <w:ind w:right="4620"/>
              <w:spacing w:after="0"/>
              <w:rPr>
                <w:sz w:val="20"/>
                <w:szCs w:val="20"/>
                <w:color w:val="auto"/>
              </w:rPr>
            </w:pPr>
            <w:r>
              <w:rPr>
                <w:rFonts w:ascii="Arial" w:cs="Arial" w:eastAsia="Arial" w:hAnsi="Arial"/>
                <w:sz w:val="18"/>
                <w:szCs w:val="18"/>
                <w:b w:val="1"/>
                <w:bCs w:val="1"/>
                <w:color w:val="auto"/>
                <w:w w:val="98"/>
              </w:rPr>
              <w:t>Table of Contents</w:t>
            </w:r>
          </w:p>
        </w:tc>
      </w:tr>
      <w:tr>
        <w:trPr>
          <w:trHeight w:val="588"/>
        </w:trPr>
        <w:tc>
          <w:tcPr>
            <w:tcW w:w="4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6100" w:type="dxa"/>
            <w:vAlign w:val="bottom"/>
            <w:gridSpan w:val="3"/>
          </w:tcPr>
          <w:p>
            <w:pPr>
              <w:jc w:val="center"/>
              <w:ind w:left="5837"/>
              <w:spacing w:after="0"/>
              <w:rPr>
                <w:rFonts w:ascii="Arial" w:cs="Arial" w:eastAsia="Arial" w:hAnsi="Arial"/>
                <w:sz w:val="16"/>
                <w:szCs w:val="16"/>
                <w:color w:val="0000EE"/>
              </w:rPr>
            </w:pPr>
            <w:hyperlink w:anchor="page57">
              <w:r>
                <w:rPr>
                  <w:rFonts w:ascii="Arial" w:cs="Arial" w:eastAsia="Arial" w:hAnsi="Arial"/>
                  <w:sz w:val="16"/>
                  <w:szCs w:val="16"/>
                  <w:color w:val="0000EE"/>
                </w:rPr>
                <w:t>57</w:t>
              </w:r>
            </w:hyperlink>
          </w:p>
        </w:tc>
        <w:tc>
          <w:tcPr>
            <w:tcW w:w="700" w:type="dxa"/>
            <w:vAlign w:val="bottom"/>
          </w:tcPr>
          <w:p>
            <w:pPr>
              <w:spacing w:after="0"/>
              <w:rPr>
                <w:sz w:val="16"/>
                <w:szCs w:val="16"/>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Balance Sheets</w:t>
            </w:r>
          </w:p>
        </w:tc>
        <w:tc>
          <w:tcPr>
            <w:tcW w:w="6100" w:type="dxa"/>
            <w:vAlign w:val="bottom"/>
            <w:gridSpan w:val="3"/>
          </w:tcPr>
          <w:p>
            <w:pPr>
              <w:jc w:val="center"/>
              <w:ind w:left="5837"/>
              <w:spacing w:after="0"/>
              <w:rPr>
                <w:rFonts w:ascii="Arial" w:cs="Arial" w:eastAsia="Arial" w:hAnsi="Arial"/>
                <w:sz w:val="16"/>
                <w:szCs w:val="16"/>
                <w:color w:val="0000EE"/>
              </w:rPr>
            </w:pPr>
            <w:hyperlink w:anchor="page59">
              <w:r>
                <w:rPr>
                  <w:rFonts w:ascii="Arial" w:cs="Arial" w:eastAsia="Arial" w:hAnsi="Arial"/>
                  <w:sz w:val="16"/>
                  <w:szCs w:val="16"/>
                  <w:color w:val="0000EE"/>
                </w:rPr>
                <w:t>59</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Statements of Operations</w:t>
            </w:r>
          </w:p>
        </w:tc>
        <w:tc>
          <w:tcPr>
            <w:tcW w:w="6100" w:type="dxa"/>
            <w:vAlign w:val="bottom"/>
            <w:gridSpan w:val="3"/>
          </w:tcPr>
          <w:p>
            <w:pPr>
              <w:jc w:val="center"/>
              <w:ind w:left="5837"/>
              <w:spacing w:after="0"/>
              <w:rPr>
                <w:rFonts w:ascii="Arial" w:cs="Arial" w:eastAsia="Arial" w:hAnsi="Arial"/>
                <w:sz w:val="16"/>
                <w:szCs w:val="16"/>
                <w:color w:val="0000EE"/>
              </w:rPr>
            </w:pPr>
            <w:hyperlink w:anchor="page60">
              <w:r>
                <w:rPr>
                  <w:rFonts w:ascii="Arial" w:cs="Arial" w:eastAsia="Arial" w:hAnsi="Arial"/>
                  <w:sz w:val="16"/>
                  <w:szCs w:val="16"/>
                  <w:color w:val="0000EE"/>
                </w:rPr>
                <w:t>60</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Statements of Comprehensive Income</w:t>
            </w:r>
          </w:p>
        </w:tc>
        <w:tc>
          <w:tcPr>
            <w:tcW w:w="6100" w:type="dxa"/>
            <w:vAlign w:val="bottom"/>
            <w:gridSpan w:val="3"/>
          </w:tcPr>
          <w:p>
            <w:pPr>
              <w:jc w:val="center"/>
              <w:ind w:left="5837"/>
              <w:spacing w:after="0"/>
              <w:rPr>
                <w:rFonts w:ascii="Arial" w:cs="Arial" w:eastAsia="Arial" w:hAnsi="Arial"/>
                <w:sz w:val="16"/>
                <w:szCs w:val="16"/>
                <w:color w:val="0000EE"/>
              </w:rPr>
            </w:pPr>
            <w:hyperlink w:anchor="page61">
              <w:r>
                <w:rPr>
                  <w:rFonts w:ascii="Arial" w:cs="Arial" w:eastAsia="Arial" w:hAnsi="Arial"/>
                  <w:sz w:val="16"/>
                  <w:szCs w:val="16"/>
                  <w:color w:val="0000EE"/>
                </w:rPr>
                <w:t>61</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Statements of Cash Flows</w:t>
            </w:r>
          </w:p>
        </w:tc>
        <w:tc>
          <w:tcPr>
            <w:tcW w:w="6100" w:type="dxa"/>
            <w:vAlign w:val="bottom"/>
            <w:gridSpan w:val="3"/>
          </w:tcPr>
          <w:p>
            <w:pPr>
              <w:jc w:val="center"/>
              <w:ind w:left="5837"/>
              <w:spacing w:after="0"/>
              <w:rPr>
                <w:rFonts w:ascii="Arial" w:cs="Arial" w:eastAsia="Arial" w:hAnsi="Arial"/>
                <w:sz w:val="16"/>
                <w:szCs w:val="16"/>
                <w:color w:val="0000EE"/>
              </w:rPr>
            </w:pPr>
            <w:hyperlink w:anchor="page62">
              <w:r>
                <w:rPr>
                  <w:rFonts w:ascii="Arial" w:cs="Arial" w:eastAsia="Arial" w:hAnsi="Arial"/>
                  <w:sz w:val="16"/>
                  <w:szCs w:val="16"/>
                  <w:color w:val="0000EE"/>
                </w:rPr>
                <w:t>62</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Statements of Stockholders' Equity</w:t>
            </w:r>
          </w:p>
        </w:tc>
        <w:tc>
          <w:tcPr>
            <w:tcW w:w="6100" w:type="dxa"/>
            <w:vAlign w:val="bottom"/>
            <w:gridSpan w:val="3"/>
          </w:tcPr>
          <w:p>
            <w:pPr>
              <w:jc w:val="center"/>
              <w:ind w:left="5837"/>
              <w:spacing w:after="0"/>
              <w:rPr>
                <w:rFonts w:ascii="Arial" w:cs="Arial" w:eastAsia="Arial" w:hAnsi="Arial"/>
                <w:sz w:val="16"/>
                <w:szCs w:val="16"/>
                <w:color w:val="0000EE"/>
              </w:rPr>
            </w:pPr>
            <w:hyperlink w:anchor="page63">
              <w:r>
                <w:rPr>
                  <w:rFonts w:ascii="Arial" w:cs="Arial" w:eastAsia="Arial" w:hAnsi="Arial"/>
                  <w:sz w:val="16"/>
                  <w:szCs w:val="16"/>
                  <w:color w:val="0000EE"/>
                </w:rPr>
                <w:t>63</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6100" w:type="dxa"/>
            <w:vAlign w:val="bottom"/>
            <w:gridSpan w:val="3"/>
          </w:tcPr>
          <w:p>
            <w:pPr>
              <w:jc w:val="center"/>
              <w:ind w:left="5837"/>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700" w:type="dxa"/>
            <w:vAlign w:val="bottom"/>
          </w:tcPr>
          <w:p>
            <w:pPr>
              <w:spacing w:after="0"/>
              <w:rPr>
                <w:sz w:val="19"/>
                <w:szCs w:val="19"/>
                <w:color w:val="auto"/>
              </w:rPr>
            </w:pPr>
          </w:p>
        </w:tc>
      </w:tr>
      <w:tr>
        <w:trPr>
          <w:trHeight w:val="925"/>
        </w:trPr>
        <w:tc>
          <w:tcPr>
            <w:tcW w:w="4580" w:type="dxa"/>
            <w:vAlign w:val="bottom"/>
          </w:tcPr>
          <w:p>
            <w:pPr>
              <w:spacing w:after="0"/>
              <w:rPr>
                <w:sz w:val="24"/>
                <w:szCs w:val="24"/>
                <w:color w:val="auto"/>
              </w:rPr>
            </w:pPr>
          </w:p>
        </w:tc>
        <w:tc>
          <w:tcPr>
            <w:tcW w:w="5200" w:type="dxa"/>
            <w:vAlign w:val="bottom"/>
          </w:tcPr>
          <w:p>
            <w:pPr>
              <w:jc w:val="right"/>
              <w:ind w:right="3937"/>
              <w:spacing w:after="0"/>
              <w:rPr>
                <w:sz w:val="20"/>
                <w:szCs w:val="20"/>
                <w:color w:val="auto"/>
              </w:rPr>
            </w:pPr>
            <w:r>
              <w:rPr>
                <w:rFonts w:ascii="Arial" w:cs="Arial" w:eastAsia="Arial" w:hAnsi="Arial"/>
                <w:sz w:val="18"/>
                <w:szCs w:val="18"/>
                <w:color w:val="auto"/>
              </w:rPr>
              <w:t>56</w:t>
            </w:r>
          </w:p>
        </w:tc>
        <w:tc>
          <w:tcPr>
            <w:tcW w:w="7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2015 and 2014 and the related consolidated statements of operations, comprehensive income, cash flows and stockholders’ equity for each of the three years in the period ended December 31, 2015. Our audits of the basic consolidated financial statements included the schedule listed in the index appearing under item 15(a)(2). These consolidated financial statements are the responsibility of the Company’s management. Our responsibility is to express an opinion on these consolidated financial statements based on our audits.</w:t>
      </w:r>
    </w:p>
    <w:p>
      <w:pPr>
        <w:spacing w:after="0" w:line="206"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Qualys, Inc.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20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Company’s internal control over financial reporting as of December 31, 2015, based on criteria established in the 2013 Internal Control-Integrated Framework issued by the Committee of Sponsoring Organizations of the Treadway Commission (COSO), and our report dated February 25, 2016 expressed an unqualified opinion.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41" w:right="27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3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We have audited the internal control over financial reporting of Qualys, Inc. (a Delaware corporation) and subsidiaries (the “Company”) as of December 31, 2015,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w:t>
      </w:r>
      <w:r>
        <w:rPr>
          <w:rFonts w:ascii="Arial" w:cs="Arial" w:eastAsia="Arial" w:hAnsi="Arial"/>
          <w:sz w:val="19"/>
          <w:szCs w:val="19"/>
          <w:color w:val="auto"/>
        </w:rPr>
        <w:t>.</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 We also have audited, in accordance with the standards of the Public Company Accounting Oversight Board (United States), the consolidated financial statements of the Company as of and for the year ended December 31, 2015, and our report dated February 25, 2016 expressed an unqualified opinion on those financial statements.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3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91,698</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76,504</w:t>
            </w: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87,268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50,714</w:t>
            </w:r>
          </w:p>
        </w:tc>
        <w:tc>
          <w:tcPr>
            <w:tcW w:w="0" w:type="dxa"/>
            <w:vAlign w:val="bottom"/>
          </w:tcPr>
          <w:p>
            <w:pPr>
              <w:spacing w:after="0"/>
              <w:rPr>
                <w:sz w:val="1"/>
                <w:szCs w:val="1"/>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Accounts receivable, net of allowance of $769 and $590 at December 31, 2015 and 2014, respectively</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42,325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32,993</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7,945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6,528</w:t>
            </w:r>
          </w:p>
        </w:tc>
        <w:tc>
          <w:tcPr>
            <w:tcW w:w="0" w:type="dxa"/>
            <w:vAlign w:val="bottom"/>
          </w:tcPr>
          <w:p>
            <w:pPr>
              <w:spacing w:after="0"/>
              <w:rPr>
                <w:sz w:val="1"/>
                <w:szCs w:val="1"/>
                <w:color w:val="auto"/>
              </w:rPr>
            </w:pP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229,236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166,739</w:t>
            </w: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43,277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39,448</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31,329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26,618</w:t>
            </w: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16,079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22,639</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1,360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323,514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260,024</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2,368</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5,661</w:t>
            </w: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11,786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10,353</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 current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98,025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81,147</w:t>
            </w:r>
          </w:p>
        </w:tc>
        <w:tc>
          <w:tcPr>
            <w:tcW w:w="0" w:type="dxa"/>
            <w:vAlign w:val="bottom"/>
          </w:tcPr>
          <w:p>
            <w:pPr>
              <w:spacing w:after="0"/>
              <w:rPr>
                <w:sz w:val="1"/>
                <w:szCs w:val="1"/>
                <w:color w:val="auto"/>
              </w:rPr>
            </w:pPr>
          </w:p>
        </w:tc>
      </w:tr>
      <w:tr>
        <w:trPr>
          <w:trHeight w:val="256"/>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112,179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97,161</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14,564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127,948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108,197</w:t>
            </w: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December 31, 2015</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and 2014</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36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34,414,631 and 33,594,285 shares issued and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360" w:type="dxa"/>
            <w:vAlign w:val="bottom"/>
          </w:tcPr>
          <w:p>
            <w:pPr>
              <w:ind w:left="520"/>
              <w:spacing w:after="0"/>
              <w:rPr>
                <w:sz w:val="20"/>
                <w:szCs w:val="20"/>
                <w:color w:val="auto"/>
              </w:rPr>
            </w:pPr>
            <w:r>
              <w:rPr>
                <w:rFonts w:ascii="Arial" w:cs="Arial" w:eastAsia="Arial" w:hAnsi="Arial"/>
                <w:sz w:val="14"/>
                <w:szCs w:val="14"/>
                <w:color w:val="auto"/>
              </w:rPr>
              <w:t>outstanding at December 31, 2015 and 2014, respectively</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223,228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195,133</w:t>
            </w:r>
          </w:p>
        </w:tc>
        <w:tc>
          <w:tcPr>
            <w:tcW w:w="0" w:type="dxa"/>
            <w:vAlign w:val="bottom"/>
          </w:tcPr>
          <w:p>
            <w:pPr>
              <w:spacing w:after="0"/>
              <w:rPr>
                <w:sz w:val="1"/>
                <w:szCs w:val="1"/>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(27,485)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(43,350)</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195,566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151,827</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323,514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260,024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164,284</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133,579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107,962</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33,885</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28,963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24,660</w:t>
            </w:r>
          </w:p>
        </w:tc>
      </w:tr>
      <w:tr>
        <w:trPr>
          <w:trHeight w:val="25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130,399</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83,302</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29,451</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21,678</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49,569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48,049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42,523</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26,573</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21,000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16,792</w:t>
            </w:r>
          </w:p>
        </w:tc>
      </w:tr>
      <w:tr>
        <w:trPr>
          <w:trHeight w:val="250"/>
        </w:trPr>
        <w:tc>
          <w:tcPr>
            <w:tcW w:w="7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105,593</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95,369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80,993</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24,806</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2,309</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375</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r>
      <w:tr>
        <w:trPr>
          <w:trHeight w:val="250"/>
        </w:trPr>
        <w:tc>
          <w:tcPr>
            <w:tcW w:w="7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(286)</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24,520</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2,041</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8,655</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(21,631)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w:t>
            </w: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15,865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1,541</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15,865</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30,244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1,539</w:t>
            </w:r>
          </w:p>
        </w:tc>
      </w:tr>
      <w:tr>
        <w:trPr>
          <w:trHeight w:val="251"/>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 attributable to common stockholders: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97"/>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0.47</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r>
      <w:tr>
        <w:trPr>
          <w:trHeight w:val="21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0.42</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shares used in computing net income per share attributable to common stockholders: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34,050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31,914</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7100" w:type="dxa"/>
            <w:vAlign w:val="bottom"/>
          </w:tcPr>
          <w:p>
            <w:pPr>
              <w:ind w:left="280"/>
              <w:spacing w:after="0"/>
              <w:rPr>
                <w:sz w:val="20"/>
                <w:szCs w:val="20"/>
                <w:color w:val="auto"/>
              </w:rPr>
            </w:pPr>
            <w:r>
              <w:rPr>
                <w:rFonts w:ascii="Arial" w:cs="Arial" w:eastAsia="Arial" w:hAnsi="Arial"/>
                <w:sz w:val="14"/>
                <w:szCs w:val="14"/>
                <w:color w:val="auto"/>
              </w:rPr>
              <w:t>Diluted</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38,184</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37,170</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35,973</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15,865</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1,541</w:t>
            </w:r>
          </w:p>
        </w:tc>
      </w:tr>
      <w:tr>
        <w:trPr>
          <w:trHeight w:val="264"/>
        </w:trPr>
        <w:tc>
          <w:tcPr>
            <w:tcW w:w="7100" w:type="dxa"/>
            <w:vAlign w:val="bottom"/>
          </w:tcPr>
          <w:p>
            <w:pPr>
              <w:ind w:left="120"/>
              <w:spacing w:after="0"/>
              <w:rPr>
                <w:sz w:val="20"/>
                <w:szCs w:val="20"/>
                <w:color w:val="auto"/>
              </w:rPr>
            </w:pPr>
            <w:r>
              <w:rPr>
                <w:rFonts w:ascii="Arial" w:cs="Arial" w:eastAsia="Arial" w:hAnsi="Arial"/>
                <w:sz w:val="14"/>
                <w:szCs w:val="14"/>
                <w:color w:val="231F20"/>
              </w:rPr>
              <w:t>Available-for-sale investments: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Change in net unrealized gain (loss) on investments, net of tax</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r>
        <w:trPr>
          <w:trHeight w:val="264"/>
        </w:trPr>
        <w:tc>
          <w:tcPr>
            <w:tcW w:w="7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231F20"/>
              </w:rPr>
              <w:t>Less: reclassification adjustment for net realized gain included in net income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50"/>
        </w:trPr>
        <w:tc>
          <w:tcPr>
            <w:tcW w:w="7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Net change, net of tax</w:t>
            </w:r>
          </w:p>
        </w:tc>
        <w:tc>
          <w:tcPr>
            <w:tcW w:w="320" w:type="dxa"/>
            <w:vAlign w:val="bottom"/>
            <w:tcBorders>
              <w:bottom w:val="single" w:sz="8" w:color="231F20"/>
            </w:tcBorders>
            <w:shd w:val="clear" w:color="auto" w:fill="CCEEFF"/>
          </w:tcPr>
          <w:p>
            <w:pPr>
              <w:spacing w:after="0"/>
              <w:rPr>
                <w:sz w:val="21"/>
                <w:szCs w:val="21"/>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50"/>
        </w:trPr>
        <w:tc>
          <w:tcPr>
            <w:tcW w:w="71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(loss),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(221)</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30</w:t>
            </w: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15,644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1,571</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15,865</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1,541</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14,360</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9,612</w:t>
            </w:r>
          </w:p>
        </w:tc>
        <w:tc>
          <w:tcPr>
            <w:tcW w:w="0" w:type="dxa"/>
            <w:vAlign w:val="bottom"/>
          </w:tcPr>
          <w:p>
            <w:pPr>
              <w:spacing w:after="0"/>
              <w:rPr>
                <w:sz w:val="1"/>
                <w:szCs w:val="1"/>
                <w:color w:val="auto"/>
              </w:rPr>
            </w:pP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17,494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10,549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Impairment of intangible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6,564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(10,183)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(4,343)</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(3,293)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21,378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14,817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11,281</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65,960</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41,423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25,081</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(146,707)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(157,660)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(145,263)</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105,509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138,124</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(20,051)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(13,650)</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Release of restricted cash</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56"/>
        </w:trPr>
        <w:tc>
          <w:tcPr>
            <w:tcW w:w="710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(61,348)</w:t>
            </w:r>
          </w:p>
        </w:tc>
        <w:tc>
          <w:tcPr>
            <w:tcW w:w="1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(14,333)</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(20,675)</w:t>
            </w:r>
          </w:p>
        </w:tc>
        <w:tc>
          <w:tcPr>
            <w:tcW w:w="0" w:type="dxa"/>
            <w:vAlign w:val="bottom"/>
          </w:tcPr>
          <w:p>
            <w:pPr>
              <w:spacing w:after="0"/>
              <w:rPr>
                <w:sz w:val="1"/>
                <w:szCs w:val="1"/>
                <w:color w:val="auto"/>
              </w:rPr>
            </w:pPr>
          </w:p>
        </w:tc>
      </w:tr>
      <w:tr>
        <w:trPr>
          <w:trHeight w:val="258"/>
        </w:trPr>
        <w:tc>
          <w:tcPr>
            <w:tcW w:w="71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10,095</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4,073</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Proceeds from early exercise of stock options</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250"/>
        </w:trPr>
        <w:tc>
          <w:tcPr>
            <w:tcW w:w="710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10,582</w:t>
            </w:r>
          </w:p>
        </w:tc>
        <w:tc>
          <w:tcPr>
            <w:tcW w:w="1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7,093</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250"/>
        </w:trPr>
        <w:tc>
          <w:tcPr>
            <w:tcW w:w="710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7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15,194</w:t>
            </w:r>
          </w:p>
        </w:tc>
        <w:tc>
          <w:tcPr>
            <w:tcW w:w="14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34,135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76,504</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42,369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34,885</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91,698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42,369</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 expense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339"/>
        </w:trPr>
        <w:tc>
          <w:tcPr>
            <w:tcW w:w="8620" w:type="dxa"/>
            <w:vAlign w:val="bottom"/>
            <w:gridSpan w:val="4"/>
          </w:tcPr>
          <w:p>
            <w:pPr>
              <w:ind w:left="3680"/>
              <w:spacing w:after="0"/>
              <w:rPr>
                <w:sz w:val="20"/>
                <w:szCs w:val="20"/>
                <w:color w:val="auto"/>
              </w:rPr>
            </w:pPr>
            <w:r>
              <w:rPr>
                <w:rFonts w:ascii="Arial" w:cs="Arial" w:eastAsia="Arial" w:hAnsi="Arial"/>
                <w:sz w:val="14"/>
                <w:szCs w:val="14"/>
                <w:color w:val="231F20"/>
              </w:rPr>
              <w:t>See accompanying Notes to Consolidated Financial Statements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41" w:right="2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right"/>
        <w:ind w:right="18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0219"/>
          </w:cols>
          <w:pgMar w:left="24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2012</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unrealized gain (loss) on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upon exercise of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Excess tax benefits from 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2013</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unrealized gain (loss) on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upon exercise of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Excess tax benefits from 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2014</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net unrealized gain (loss) on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upon exercise of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vesting of restricted stock units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Excess tax benefits from 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20" w:type="dxa"/>
            <w:vAlign w:val="bottom"/>
            <w:gridSpan w:val="5"/>
            <w:vMerge w:val="restart"/>
          </w:tcPr>
          <w:p>
            <w:pPr>
              <w:ind w:left="5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49"/>
              <w:spacing w:after="0" w:line="14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7"/>
        </w:trPr>
        <w:tc>
          <w:tcPr>
            <w:tcW w:w="9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24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40"/>
              <w:spacing w:after="0" w:line="107" w:lineRule="exact"/>
              <w:rPr>
                <w:sz w:val="20"/>
                <w:szCs w:val="20"/>
                <w:color w:val="auto"/>
              </w:rPr>
            </w:pPr>
            <w:r>
              <w:rPr>
                <w:rFonts w:ascii="Arial" w:cs="Arial" w:eastAsia="Arial" w:hAnsi="Arial"/>
                <w:sz w:val="12"/>
                <w:szCs w:val="12"/>
                <w:b w:val="1"/>
                <w:bCs w:val="1"/>
                <w:color w:val="auto"/>
              </w:rPr>
              <w:t>Comprehensive</w:t>
            </w:r>
          </w:p>
        </w:tc>
        <w:tc>
          <w:tcPr>
            <w:tcW w:w="1000" w:type="dxa"/>
            <w:vAlign w:val="bottom"/>
            <w:gridSpan w:val="3"/>
          </w:tcPr>
          <w:p>
            <w:pPr>
              <w:ind w:left="40"/>
              <w:spacing w:after="0" w:line="107" w:lineRule="exact"/>
              <w:rPr>
                <w:sz w:val="20"/>
                <w:szCs w:val="20"/>
                <w:color w:val="auto"/>
              </w:rPr>
            </w:pPr>
            <w:r>
              <w:rPr>
                <w:rFonts w:ascii="Arial" w:cs="Arial" w:eastAsia="Arial" w:hAnsi="Arial"/>
                <w:sz w:val="12"/>
                <w:szCs w:val="12"/>
                <w:b w:val="1"/>
                <w:bCs w:val="1"/>
                <w:color w:val="auto"/>
              </w:rPr>
              <w:t>Accumulated</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8"/>
        </w:trPr>
        <w:tc>
          <w:tcPr>
            <w:tcW w:w="100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Income (Loss)</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5"/>
                <w:szCs w:val="15"/>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45"/>
        </w:trPr>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31,420,028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166,651</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(75,135)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91,555</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1,541</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900" w:type="dxa"/>
            <w:vAlign w:val="bottom"/>
          </w:tcPr>
          <w:p>
            <w:pPr>
              <w:jc w:val="right"/>
              <w:ind w:right="29"/>
              <w:spacing w:after="0"/>
              <w:rPr>
                <w:sz w:val="20"/>
                <w:szCs w:val="20"/>
                <w:color w:val="auto"/>
              </w:rPr>
            </w:pPr>
            <w:r>
              <w:rPr>
                <w:rFonts w:ascii="Arial" w:cs="Arial" w:eastAsia="Arial" w:hAnsi="Arial"/>
                <w:sz w:val="14"/>
                <w:szCs w:val="14"/>
                <w:color w:val="auto"/>
              </w:rPr>
              <w:t>952,871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4,072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4,073</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0"/>
        </w:trPr>
        <w:tc>
          <w:tcPr>
            <w:tcW w:w="9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00" w:type="dxa"/>
            <w:vAlign w:val="bottom"/>
          </w:tcPr>
          <w:p>
            <w:pPr>
              <w:jc w:val="right"/>
              <w:ind w:right="29"/>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5,465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250"/>
        </w:trPr>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32,375,299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176,641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(73,594)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103,117</w:t>
            </w:r>
          </w:p>
        </w:tc>
        <w:tc>
          <w:tcPr>
            <w:tcW w:w="0" w:type="dxa"/>
            <w:vAlign w:val="bottom"/>
          </w:tcPr>
          <w:p>
            <w:pPr>
              <w:spacing w:after="0"/>
              <w:rPr>
                <w:sz w:val="1"/>
                <w:szCs w:val="1"/>
                <w:color w:val="auto"/>
              </w:rPr>
            </w:pPr>
          </w:p>
        </w:tc>
      </w:tr>
      <w:tr>
        <w:trPr>
          <w:trHeight w:val="244"/>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30,244</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0"/>
        </w:trPr>
        <w:tc>
          <w:tcPr>
            <w:tcW w:w="900" w:type="dxa"/>
            <w:vAlign w:val="bottom"/>
          </w:tcPr>
          <w:p>
            <w:pPr>
              <w:jc w:val="right"/>
              <w:ind w:right="29"/>
              <w:spacing w:after="0"/>
              <w:rPr>
                <w:sz w:val="20"/>
                <w:szCs w:val="20"/>
                <w:color w:val="auto"/>
              </w:rPr>
            </w:pPr>
            <w:r>
              <w:rPr>
                <w:rFonts w:ascii="Arial" w:cs="Arial" w:eastAsia="Arial" w:hAnsi="Arial"/>
                <w:sz w:val="14"/>
                <w:szCs w:val="14"/>
                <w:color w:val="auto"/>
              </w:rPr>
              <w:t>1,216,710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7,637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7,639</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70"/>
        </w:trPr>
        <w:tc>
          <w:tcPr>
            <w:tcW w:w="9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00" w:type="dxa"/>
            <w:vAlign w:val="bottom"/>
          </w:tcPr>
          <w:p>
            <w:pPr>
              <w:jc w:val="right"/>
              <w:ind w:right="29"/>
              <w:spacing w:after="0"/>
              <w:rPr>
                <w:sz w:val="20"/>
                <w:szCs w:val="20"/>
                <w:color w:val="auto"/>
              </w:rPr>
            </w:pPr>
            <w:r>
              <w:rPr>
                <w:rFonts w:ascii="Arial" w:cs="Arial" w:eastAsia="Arial" w:hAnsi="Arial"/>
                <w:sz w:val="14"/>
                <w:szCs w:val="14"/>
                <w:color w:val="auto"/>
              </w:rPr>
              <w:t>2,401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10,499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10,499</w:t>
            </w:r>
          </w:p>
        </w:tc>
        <w:tc>
          <w:tcPr>
            <w:tcW w:w="0" w:type="dxa"/>
            <w:vAlign w:val="bottom"/>
          </w:tcPr>
          <w:p>
            <w:pPr>
              <w:spacing w:after="0"/>
              <w:rPr>
                <w:sz w:val="1"/>
                <w:szCs w:val="1"/>
                <w:color w:val="auto"/>
              </w:rPr>
            </w:pPr>
          </w:p>
        </w:tc>
      </w:tr>
      <w:tr>
        <w:trPr>
          <w:trHeight w:val="250"/>
        </w:trPr>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33,594,285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195,133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(43,350)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151,827</w:t>
            </w:r>
          </w:p>
        </w:tc>
        <w:tc>
          <w:tcPr>
            <w:tcW w:w="0" w:type="dxa"/>
            <w:vAlign w:val="bottom"/>
          </w:tcPr>
          <w:p>
            <w:pPr>
              <w:spacing w:after="0"/>
              <w:rPr>
                <w:sz w:val="1"/>
                <w:szCs w:val="1"/>
                <w:color w:val="auto"/>
              </w:rPr>
            </w:pPr>
          </w:p>
        </w:tc>
      </w:tr>
      <w:tr>
        <w:trPr>
          <w:trHeight w:val="244"/>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0"/>
        </w:trPr>
        <w:tc>
          <w:tcPr>
            <w:tcW w:w="900" w:type="dxa"/>
            <w:vAlign w:val="bottom"/>
          </w:tcPr>
          <w:p>
            <w:pPr>
              <w:jc w:val="right"/>
              <w:ind w:right="29"/>
              <w:spacing w:after="0"/>
              <w:rPr>
                <w:sz w:val="20"/>
                <w:szCs w:val="20"/>
                <w:color w:val="auto"/>
              </w:rPr>
            </w:pPr>
            <w:r>
              <w:rPr>
                <w:rFonts w:ascii="Arial" w:cs="Arial" w:eastAsia="Arial" w:hAnsi="Arial"/>
                <w:sz w:val="14"/>
                <w:szCs w:val="14"/>
                <w:color w:val="auto"/>
              </w:rPr>
              <w:t>807,846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10,095</w:t>
            </w:r>
          </w:p>
        </w:tc>
        <w:tc>
          <w:tcPr>
            <w:tcW w:w="0" w:type="dxa"/>
            <w:vAlign w:val="bottom"/>
          </w:tcPr>
          <w:p>
            <w:pPr>
              <w:spacing w:after="0"/>
              <w:rPr>
                <w:sz w:val="1"/>
                <w:szCs w:val="1"/>
                <w:color w:val="auto"/>
              </w:rPr>
            </w:pPr>
          </w:p>
        </w:tc>
      </w:tr>
      <w:tr>
        <w:trPr>
          <w:trHeight w:val="270"/>
        </w:trPr>
        <w:tc>
          <w:tcPr>
            <w:tcW w:w="900" w:type="dxa"/>
            <w:vAlign w:val="bottom"/>
          </w:tcPr>
          <w:p>
            <w:pPr>
              <w:jc w:val="right"/>
              <w:ind w:right="29"/>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76"/>
        </w:trPr>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17,494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17,494</w:t>
            </w:r>
          </w:p>
        </w:tc>
        <w:tc>
          <w:tcPr>
            <w:tcW w:w="0" w:type="dxa"/>
            <w:vAlign w:val="bottom"/>
          </w:tcPr>
          <w:p>
            <w:pPr>
              <w:spacing w:after="0"/>
              <w:rPr>
                <w:sz w:val="1"/>
                <w:szCs w:val="1"/>
                <w:color w:val="auto"/>
              </w:rPr>
            </w:pPr>
          </w:p>
        </w:tc>
      </w:tr>
      <w:tr>
        <w:trPr>
          <w:trHeight w:val="237"/>
        </w:trPr>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34,414,631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223,228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(27,485)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195,566</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-4647565</wp:posOffset>
            </wp:positionV>
            <wp:extent cx="645731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-4304665</wp:posOffset>
            </wp:positionV>
            <wp:extent cx="645731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-3961130</wp:posOffset>
            </wp:positionV>
            <wp:extent cx="645731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-3618230</wp:posOffset>
            </wp:positionV>
            <wp:extent cx="645731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-3275330</wp:posOffset>
            </wp:positionV>
            <wp:extent cx="64573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-2932430</wp:posOffset>
            </wp:positionV>
            <wp:extent cx="64573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-2589530</wp:posOffset>
            </wp:positionV>
            <wp:extent cx="645731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-2245995</wp:posOffset>
            </wp:positionV>
            <wp:extent cx="645731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-1903095</wp:posOffset>
            </wp:positionV>
            <wp:extent cx="645731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-1560195</wp:posOffset>
            </wp:positionV>
            <wp:extent cx="645731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-1217295</wp:posOffset>
            </wp:positionV>
            <wp:extent cx="645731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-874395</wp:posOffset>
            </wp:positionV>
            <wp:extent cx="64573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-530860</wp:posOffset>
            </wp:positionV>
            <wp:extent cx="64573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57315"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-187960</wp:posOffset>
            </wp:positionV>
            <wp:extent cx="64573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57315" cy="17145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3840" w:space="160"/>
            <w:col w:w="6219"/>
          </w:cols>
          <w:pgMar w:left="240" w:top="141" w:right="1440" w:bottom="1440" w:gutter="0" w:footer="0" w:header="0"/>
          <w:type w:val="continuous"/>
        </w:sectPr>
      </w:pPr>
    </w:p>
    <w:p>
      <w:pPr>
        <w:ind w:left="368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141" w:right="1440"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Company and Summary of Significant Accounting Policies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The accompanying consolidated financial statements and footnotes have been prepared by the Company in accordance with accounting principles generally accepted in the United States (“U.S. GAAP”) as well as the instructions to Form 10-K and the rules and regulations of the U.S. Securities and Exchange Commission ("SEC"). In the opinion of management, the accompanying consolidated financial statements include all adjustments necessary for the fair presentation of the Company’s consolidated financial position, results of operations and cash flows for the periods presented. The accompanying consolidated financial statements include the accounts of the Company and its majority-owned subsidiaries. All significant intercompany transactions and balances have been eliminated upon consolidation.</w:t>
      </w:r>
    </w:p>
    <w:p>
      <w:pPr>
        <w:spacing w:after="0" w:line="101"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 xml:space="preserve">Certain prior year amounts related to income taxes have been reclassified to conform to the current year presentation related to Accounting Standards Update (ASU) No. 2015-17, </w:t>
      </w:r>
      <w:r>
        <w:rPr>
          <w:rFonts w:ascii="Arial" w:cs="Arial" w:eastAsia="Arial" w:hAnsi="Arial"/>
          <w:sz w:val="18"/>
          <w:szCs w:val="18"/>
          <w:i w:val="1"/>
          <w:iCs w:val="1"/>
          <w:color w:val="231F20"/>
        </w:rPr>
        <w:t>Balance Sheet Classification of Deferred Taxes,</w:t>
      </w:r>
      <w:r>
        <w:rPr>
          <w:rFonts w:ascii="Arial" w:cs="Arial" w:eastAsia="Arial" w:hAnsi="Arial"/>
          <w:sz w:val="18"/>
          <w:szCs w:val="18"/>
          <w:color w:val="231F20"/>
        </w:rPr>
        <w:t xml:space="preserve"> </w:t>
      </w:r>
      <w:r>
        <w:rPr>
          <w:rFonts w:ascii="Arial" w:cs="Arial" w:eastAsia="Arial" w:hAnsi="Arial"/>
          <w:sz w:val="18"/>
          <w:szCs w:val="18"/>
          <w:color w:val="000000"/>
        </w:rPr>
        <w:t>which requires that all deferred tax assets</w:t>
      </w:r>
      <w:r>
        <w:rPr>
          <w:rFonts w:ascii="Arial" w:cs="Arial" w:eastAsia="Arial" w:hAnsi="Arial"/>
          <w:sz w:val="18"/>
          <w:szCs w:val="18"/>
          <w:color w:val="231F20"/>
        </w:rPr>
        <w:t xml:space="preserve"> </w:t>
      </w:r>
      <w:r>
        <w:rPr>
          <w:rFonts w:ascii="Arial" w:cs="Arial" w:eastAsia="Arial" w:hAnsi="Arial"/>
          <w:sz w:val="18"/>
          <w:szCs w:val="18"/>
          <w:color w:val="000000"/>
        </w:rPr>
        <w:t xml:space="preserve">and liabilities, along with any related valuation allowance, be classified as non-current on the balance sheet. The Company adopted this standard retrospectively. </w:t>
      </w:r>
      <w:r>
        <w:rPr>
          <w:rFonts w:ascii="Arial" w:cs="Arial" w:eastAsia="Arial" w:hAnsi="Arial"/>
          <w:sz w:val="18"/>
          <w:szCs w:val="18"/>
          <w:color w:val="231F20"/>
        </w:rPr>
        <w:t>These reclassifications did not change previously reported total assets, liabilities, stockholders' equity, income from</w:t>
      </w:r>
      <w:r>
        <w:rPr>
          <w:rFonts w:ascii="Arial" w:cs="Arial" w:eastAsia="Arial" w:hAnsi="Arial"/>
          <w:sz w:val="18"/>
          <w:szCs w:val="18"/>
          <w:color w:val="000000"/>
        </w:rPr>
        <w:t xml:space="preserve"> </w:t>
      </w:r>
      <w:r>
        <w:rPr>
          <w:rFonts w:ascii="Arial" w:cs="Arial" w:eastAsia="Arial" w:hAnsi="Arial"/>
          <w:sz w:val="18"/>
          <w:szCs w:val="18"/>
          <w:color w:val="231F20"/>
        </w:rPr>
        <w:t>operations or net income.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contingent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provision for income taxes. Actual results could differ from those estimates and such differences may be material to the accompanying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94"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The Company maintains an allowance for potential credit losses based upon the expected collectability of accounts receivable. The Company writes off its receivables once collection efforts are unsuccessful. As of December 31, 2015 and 2014,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w:t>
      </w:r>
      <w:r>
        <w:rPr>
          <w:rFonts w:ascii="Arial" w:cs="Arial" w:eastAsia="Arial" w:hAnsi="Arial"/>
          <w:sz w:val="18"/>
          <w:szCs w:val="18"/>
          <w:color w:val="000000"/>
        </w:rPr>
        <w:t>10%</w:t>
      </w:r>
      <w:r>
        <w:rPr>
          <w:rFonts w:ascii="Arial" w:cs="Arial" w:eastAsia="Arial" w:hAnsi="Arial"/>
          <w:sz w:val="18"/>
          <w:szCs w:val="18"/>
          <w:color w:val="231F20"/>
        </w:rPr>
        <w:t xml:space="preserve"> of the Company's accounts receivable balance.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33"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39"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97"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w:t>
      </w:r>
    </w:p>
    <w:p>
      <w:pPr>
        <w:spacing w:after="0" w:line="204"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39"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231F20"/>
        </w:rPr>
        <w:t xml:space="preserve">Property and equipment are stated at cost less accumulated depreciation and amortization. Depreciation is computed using the straight-line method over the estimated useful lives of the assets, which range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five</w:t>
      </w:r>
      <w:r>
        <w:rPr>
          <w:rFonts w:ascii="Arial" w:cs="Arial" w:eastAsia="Arial" w:hAnsi="Arial"/>
          <w:sz w:val="18"/>
          <w:szCs w:val="18"/>
          <w:color w:val="231F20"/>
        </w:rPr>
        <w:t xml:space="preserve"> years. Leasehold improvements are amortized on a straight-line basis over the lesser of the estimated useful life of the asset or the lease term.</w:t>
      </w:r>
    </w:p>
    <w:p>
      <w:pPr>
        <w:spacing w:after="0" w:line="94"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on a subscription basis. This equipment is recorded within property and equipment on the accompanying consolidated balance sheet, and the depreciation is recorded to cost of revenues over an estimated useful life of </w:t>
      </w:r>
      <w:r>
        <w:rPr>
          <w:rFonts w:ascii="Arial" w:cs="Arial" w:eastAsia="Arial" w:hAnsi="Arial"/>
          <w:sz w:val="18"/>
          <w:szCs w:val="18"/>
          <w:color w:val="000000"/>
        </w:rPr>
        <w:t>three</w:t>
      </w:r>
      <w:r>
        <w:rPr>
          <w:rFonts w:ascii="Arial" w:cs="Arial" w:eastAsia="Arial" w:hAnsi="Arial"/>
          <w:sz w:val="18"/>
          <w:szCs w:val="18"/>
          <w:color w:val="231F20"/>
        </w:rPr>
        <w:t xml:space="preserve"> years.</w:t>
      </w:r>
    </w:p>
    <w:p>
      <w:pPr>
        <w:spacing w:after="0" w:line="202"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139"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231F20"/>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333"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231F20"/>
        </w:rPr>
        <w:t>impairment exist, the impairment loss would be measured based on the excess carrying value of the asset over the asset’s estimated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As of December 31, 2015, the Company has not written down any of its long-lived assets as a result of impairment.</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annually or if certain circumstances indicate a possible impairment may exist. These tests are performed at the reporting unit level. The Company’s operations are organized as one reporting unit.</w:t>
      </w:r>
    </w:p>
    <w:p>
      <w:pPr>
        <w:spacing w:after="0" w:line="20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qualitative assessment for the year ended </w:t>
      </w:r>
      <w:r>
        <w:rPr>
          <w:rFonts w:ascii="Arial" w:cs="Arial" w:eastAsia="Arial" w:hAnsi="Arial"/>
          <w:sz w:val="18"/>
          <w:szCs w:val="18"/>
          <w:color w:val="000000"/>
        </w:rPr>
        <w:t>December 31, 2015</w:t>
      </w:r>
      <w:r>
        <w:rPr>
          <w:rFonts w:ascii="Arial" w:cs="Arial" w:eastAsia="Arial" w:hAnsi="Arial"/>
          <w:sz w:val="18"/>
          <w:szCs w:val="18"/>
          <w:color w:val="231F20"/>
        </w:rPr>
        <w:t xml:space="preserve"> and concluded there was no impairment of goodwill.</w:t>
      </w:r>
    </w:p>
    <w:p>
      <w:pPr>
        <w:spacing w:after="0" w:line="20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performed the annual qualitative assessment in 2015 and concluded that as of </w:t>
      </w:r>
      <w:r>
        <w:rPr>
          <w:rFonts w:ascii="Arial" w:cs="Arial" w:eastAsia="Arial" w:hAnsi="Arial"/>
          <w:sz w:val="18"/>
          <w:szCs w:val="18"/>
          <w:color w:val="000000"/>
        </w:rPr>
        <w:t>December 31, 2015</w:t>
      </w:r>
      <w:r>
        <w:rPr>
          <w:rFonts w:ascii="Arial" w:cs="Arial" w:eastAsia="Arial" w:hAnsi="Arial"/>
          <w:sz w:val="18"/>
          <w:szCs w:val="18"/>
          <w:color w:val="231F20"/>
        </w:rPr>
        <w:t>, there was an impairment of certain indefinite-lived intangible assets.</w:t>
      </w:r>
    </w:p>
    <w:p>
      <w:pPr>
        <w:spacing w:after="0" w:line="20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If the qualitative assessment indicates there is more than a 50% likelihood that the fair value is less than the carrying amount, the Company would perform a two-step test. In the first step, the carrying value of the reporting unit or intangible asset is compared to its estimated fair value. If the estimated fair value is less than the carrying value, then potential impairment exists. In the second step, for goodwill, the Company calculates the amount of any impairment by determining the implied fair value of goodwill using a hypothetical purchase price allocation, similar to that which would be applied if it were an acquisition and the purchase price was equivalent to fair value as calculated in the first step. Impairment is equivalent to any excess of goodwill carrying value over its implied fair value. For indefinite-lived intangible assets, the Company performs the currently prescribed quantitative impairment test by comparing the fair value of the indefinite-lived intangible asset with its carrying value. In 2015, the Company determined there was an impairment of certain indefinite-lived intangible assets and recorded a write-off of </w:t>
      </w:r>
      <w:r>
        <w:rPr>
          <w:rFonts w:ascii="Arial" w:cs="Arial" w:eastAsia="Arial" w:hAnsi="Arial"/>
          <w:sz w:val="18"/>
          <w:szCs w:val="18"/>
          <w:color w:val="000000"/>
        </w:rPr>
        <w:t>$0.3 million</w:t>
      </w:r>
      <w:r>
        <w:rPr>
          <w:rFonts w:ascii="Arial" w:cs="Arial" w:eastAsia="Arial" w:hAnsi="Arial"/>
          <w:sz w:val="18"/>
          <w:szCs w:val="18"/>
          <w:color w:val="231F20"/>
        </w:rPr>
        <w:t>, recorded in other expense, net.</w:t>
      </w:r>
    </w:p>
    <w:p>
      <w:pPr>
        <w:spacing w:after="0" w:line="21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Certain other intangible assets acquired are amortized over their estimated useful lives and tested for impairment if certain circumstances indicate an impairment may exist. The Company’s intangible assets are comprised primarily of existing technology, patent license, and non-competition agreements and are amortized over periods ranging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fourteen</w:t>
      </w:r>
      <w:r>
        <w:rPr>
          <w:rFonts w:ascii="Arial" w:cs="Arial" w:eastAsia="Arial" w:hAnsi="Arial"/>
          <w:sz w:val="18"/>
          <w:szCs w:val="18"/>
          <w:color w:val="231F20"/>
        </w:rPr>
        <w:t xml:space="preserve"> years on a straight-line basis. As of December 31, 2015, the Company has not written down any of these intangible assets as a result of impairment.</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139" w:lineRule="exact"/>
        <w:rPr>
          <w:sz w:val="20"/>
          <w:szCs w:val="20"/>
          <w:color w:val="auto"/>
        </w:rPr>
      </w:pPr>
    </w:p>
    <w:p>
      <w:pPr>
        <w:ind w:right="280" w:firstLine="405"/>
        <w:spacing w:after="0" w:line="253" w:lineRule="auto"/>
        <w:rPr>
          <w:sz w:val="20"/>
          <w:szCs w:val="20"/>
          <w:color w:val="auto"/>
        </w:rPr>
      </w:pPr>
      <w:r>
        <w:rPr>
          <w:rFonts w:ascii="Arial" w:cs="Arial" w:eastAsia="Arial" w:hAnsi="Arial"/>
          <w:sz w:val="18"/>
          <w:szCs w:val="18"/>
          <w:color w:val="231F20"/>
        </w:rPr>
        <w:t xml:space="preserve">The Company capitalizes qualifying software costs developed or obtained for internal use. These costs generally include internal costs, such as payroll and benefits of those employees directly associated with the development of the software, and other consulting expenses. During each of the years ended December 31, 2015 and 2014, the Company capitalized software development costs of </w:t>
      </w:r>
      <w:r>
        <w:rPr>
          <w:rFonts w:ascii="Arial" w:cs="Arial" w:eastAsia="Arial" w:hAnsi="Arial"/>
          <w:sz w:val="18"/>
          <w:szCs w:val="18"/>
          <w:color w:val="000000"/>
        </w:rPr>
        <w:t>$0.1 million</w:t>
      </w:r>
      <w:r>
        <w:rPr>
          <w:rFonts w:ascii="Arial" w:cs="Arial" w:eastAsia="Arial" w:hAnsi="Arial"/>
          <w:sz w:val="18"/>
          <w:szCs w:val="18"/>
          <w:color w:val="231F20"/>
        </w:rPr>
        <w:t xml:space="preserve">. Total capitalized development costs are </w:t>
      </w:r>
      <w:r>
        <w:rPr>
          <w:rFonts w:ascii="Arial" w:cs="Arial" w:eastAsia="Arial" w:hAnsi="Arial"/>
          <w:sz w:val="18"/>
          <w:szCs w:val="18"/>
          <w:color w:val="000000"/>
        </w:rPr>
        <w:t>$0.4 million</w:t>
      </w:r>
      <w:r>
        <w:rPr>
          <w:rFonts w:ascii="Arial" w:cs="Arial" w:eastAsia="Arial" w:hAnsi="Arial"/>
          <w:sz w:val="18"/>
          <w:szCs w:val="18"/>
          <w:color w:val="231F20"/>
        </w:rPr>
        <w:t xml:space="preserve"> and $0.3 million </w:t>
      </w:r>
      <w:r>
        <w:rPr>
          <w:rFonts w:ascii="Arial" w:cs="Arial" w:eastAsia="Arial" w:hAnsi="Arial"/>
          <w:sz w:val="18"/>
          <w:szCs w:val="18"/>
          <w:color w:val="000000"/>
        </w:rPr>
        <w:t>at December 31, 2015</w:t>
      </w:r>
      <w:r>
        <w:rPr>
          <w:rFonts w:ascii="Arial" w:cs="Arial" w:eastAsia="Arial" w:hAnsi="Arial"/>
          <w:sz w:val="18"/>
          <w:szCs w:val="18"/>
          <w:color w:val="231F20"/>
        </w:rPr>
        <w:t xml:space="preserve"> and 2014</w:t>
      </w:r>
      <w:r>
        <w:rPr>
          <w:rFonts w:ascii="Arial" w:cs="Arial" w:eastAsia="Arial" w:hAnsi="Arial"/>
          <w:sz w:val="18"/>
          <w:szCs w:val="18"/>
          <w:color w:val="000000"/>
        </w:rPr>
        <w:t>, respectively, and the related accumulated</w:t>
      </w:r>
      <w:r>
        <w:rPr>
          <w:rFonts w:ascii="Arial" w:cs="Arial" w:eastAsia="Arial" w:hAnsi="Arial"/>
          <w:sz w:val="18"/>
          <w:szCs w:val="18"/>
          <w:color w:val="231F20"/>
        </w:rPr>
        <w:t xml:space="preserve"> </w:t>
      </w:r>
      <w:r>
        <w:rPr>
          <w:rFonts w:ascii="Arial" w:cs="Arial" w:eastAsia="Arial" w:hAnsi="Arial"/>
          <w:sz w:val="18"/>
          <w:szCs w:val="18"/>
          <w:color w:val="000000"/>
        </w:rPr>
        <w:t>amortization is $0.3 million at December 31, 2015 and 2014.</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39" w:lineRule="exact"/>
        <w:rPr>
          <w:sz w:val="20"/>
          <w:szCs w:val="20"/>
          <w:color w:val="auto"/>
        </w:rPr>
      </w:pPr>
    </w:p>
    <w:p>
      <w:pPr>
        <w:jc w:val="both"/>
        <w:ind w:right="580" w:firstLine="405"/>
        <w:spacing w:after="0" w:line="256"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3"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231F20"/>
        </w:rPr>
        <w:t>within prepaid expenses and other current assets in the consolidated balance sheets. Gains and losses resulting from currency exchange rate movements on these forward contracts are recognized in other income (expense) in the accompanying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4"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2015</w:t>
      </w:r>
      <w:r>
        <w:rPr>
          <w:rFonts w:ascii="Arial" w:cs="Arial" w:eastAsia="Arial" w:hAnsi="Arial"/>
          <w:sz w:val="18"/>
          <w:szCs w:val="18"/>
          <w:color w:val="231F20"/>
        </w:rPr>
        <w:t xml:space="preserve">, the Company had </w:t>
      </w:r>
      <w:r>
        <w:rPr>
          <w:rFonts w:ascii="Arial" w:cs="Arial" w:eastAsia="Arial" w:hAnsi="Arial"/>
          <w:sz w:val="18"/>
          <w:szCs w:val="18"/>
          <w:color w:val="000000"/>
        </w:rPr>
        <w:t>two</w:t>
      </w:r>
      <w:r>
        <w:rPr>
          <w:rFonts w:ascii="Arial" w:cs="Arial" w:eastAsia="Arial" w:hAnsi="Arial"/>
          <w:sz w:val="18"/>
          <w:szCs w:val="18"/>
          <w:color w:val="231F20"/>
        </w:rPr>
        <w:t xml:space="preserve"> outstanding forward contracts with notional amounts of </w:t>
      </w:r>
      <w:r>
        <w:rPr>
          <w:rFonts w:ascii="Arial" w:cs="Arial" w:eastAsia="Arial" w:hAnsi="Arial"/>
          <w:sz w:val="18"/>
          <w:szCs w:val="18"/>
          <w:color w:val="000000"/>
        </w:rPr>
        <w:t>6.1 million Euro</w:t>
      </w:r>
      <w:r>
        <w:rPr>
          <w:rFonts w:ascii="Arial" w:cs="Arial" w:eastAsia="Arial" w:hAnsi="Arial"/>
          <w:sz w:val="18"/>
          <w:szCs w:val="18"/>
          <w:color w:val="231F20"/>
        </w:rPr>
        <w:t xml:space="preserve">s and </w:t>
      </w:r>
      <w:r>
        <w:rPr>
          <w:rFonts w:ascii="Arial" w:cs="Arial" w:eastAsia="Arial" w:hAnsi="Arial"/>
          <w:sz w:val="18"/>
          <w:szCs w:val="18"/>
          <w:color w:val="000000"/>
        </w:rPr>
        <w:t>2.6 million</w:t>
      </w:r>
      <w:r>
        <w:rPr>
          <w:rFonts w:ascii="Arial" w:cs="Arial" w:eastAsia="Arial" w:hAnsi="Arial"/>
          <w:sz w:val="18"/>
          <w:szCs w:val="18"/>
          <w:color w:val="231F20"/>
        </w:rPr>
        <w:t xml:space="preserve"> British Pounds, which expired on January 31, 2016</w:t>
      </w:r>
      <w:r>
        <w:rPr>
          <w:rFonts w:ascii="Arial" w:cs="Arial" w:eastAsia="Arial" w:hAnsi="Arial"/>
          <w:sz w:val="18"/>
          <w:szCs w:val="18"/>
          <w:color w:val="000000"/>
        </w:rPr>
        <w:t>.</w:t>
      </w:r>
      <w:r>
        <w:rPr>
          <w:rFonts w:ascii="Arial" w:cs="Arial" w:eastAsia="Arial" w:hAnsi="Arial"/>
          <w:sz w:val="18"/>
          <w:szCs w:val="18"/>
          <w:color w:val="231F20"/>
        </w:rPr>
        <w:t xml:space="preserve"> At </w:t>
      </w:r>
      <w:r>
        <w:rPr>
          <w:rFonts w:ascii="Arial" w:cs="Arial" w:eastAsia="Arial" w:hAnsi="Arial"/>
          <w:sz w:val="18"/>
          <w:szCs w:val="18"/>
          <w:color w:val="000000"/>
        </w:rPr>
        <w:t>December 31, 2014</w:t>
      </w:r>
      <w:r>
        <w:rPr>
          <w:rFonts w:ascii="Arial" w:cs="Arial" w:eastAsia="Arial" w:hAnsi="Arial"/>
          <w:sz w:val="18"/>
          <w:szCs w:val="18"/>
          <w:color w:val="231F20"/>
        </w:rPr>
        <w:t xml:space="preserve">, the Company had </w:t>
      </w:r>
      <w:r>
        <w:rPr>
          <w:rFonts w:ascii="Arial" w:cs="Arial" w:eastAsia="Arial" w:hAnsi="Arial"/>
          <w:sz w:val="18"/>
          <w:szCs w:val="18"/>
          <w:color w:val="000000"/>
        </w:rPr>
        <w:t>two</w:t>
      </w:r>
      <w:r>
        <w:rPr>
          <w:rFonts w:ascii="Arial" w:cs="Arial" w:eastAsia="Arial" w:hAnsi="Arial"/>
          <w:sz w:val="18"/>
          <w:szCs w:val="18"/>
          <w:color w:val="231F20"/>
        </w:rPr>
        <w:t xml:space="preserve"> outstanding forward contracts with notional amounts of 6.0 million Euros and 2.1 million British Pounds, which expired on </w:t>
      </w:r>
      <w:r>
        <w:rPr>
          <w:rFonts w:ascii="Arial" w:cs="Arial" w:eastAsia="Arial" w:hAnsi="Arial"/>
          <w:sz w:val="18"/>
          <w:szCs w:val="18"/>
          <w:color w:val="000000"/>
        </w:rPr>
        <w:t>January 31, 2015</w:t>
      </w:r>
      <w:r>
        <w:rPr>
          <w:rFonts w:ascii="Arial" w:cs="Arial" w:eastAsia="Arial" w:hAnsi="Arial"/>
          <w:sz w:val="18"/>
          <w:szCs w:val="18"/>
          <w:color w:val="231F20"/>
        </w:rPr>
        <w:t xml:space="preserve">. These forward contracts were entered into as of </w:t>
      </w:r>
      <w:r>
        <w:rPr>
          <w:rFonts w:ascii="Arial" w:cs="Arial" w:eastAsia="Arial" w:hAnsi="Arial"/>
          <w:sz w:val="18"/>
          <w:szCs w:val="18"/>
          <w:color w:val="000000"/>
        </w:rPr>
        <w:t>December 31,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respectively, and thus the fair value of the contracts was </w:t>
      </w:r>
      <w:r>
        <w:rPr>
          <w:rFonts w:ascii="Arial" w:cs="Arial" w:eastAsia="Arial" w:hAnsi="Arial"/>
          <w:sz w:val="18"/>
          <w:szCs w:val="18"/>
          <w:color w:val="000000"/>
        </w:rPr>
        <w:t>$0</w:t>
      </w:r>
      <w:r>
        <w:rPr>
          <w:rFonts w:ascii="Arial" w:cs="Arial" w:eastAsia="Arial" w:hAnsi="Arial"/>
          <w:sz w:val="18"/>
          <w:szCs w:val="18"/>
          <w:color w:val="231F20"/>
        </w:rPr>
        <w:t xml:space="preserve"> at both December 31, 2015 and 2014. In 2015, the Company recorded a net gain of </w:t>
      </w:r>
      <w:r>
        <w:rPr>
          <w:rFonts w:ascii="Arial" w:cs="Arial" w:eastAsia="Arial" w:hAnsi="Arial"/>
          <w:sz w:val="18"/>
          <w:szCs w:val="18"/>
          <w:color w:val="000000"/>
        </w:rPr>
        <w:t>$0.6 million</w:t>
      </w:r>
      <w:r>
        <w:rPr>
          <w:rFonts w:ascii="Arial" w:cs="Arial" w:eastAsia="Arial" w:hAnsi="Arial"/>
          <w:sz w:val="18"/>
          <w:szCs w:val="18"/>
          <w:color w:val="231F20"/>
        </w:rPr>
        <w:t xml:space="preserve"> from forward contracts, which was offset by foreign currency transaction losses of </w:t>
      </w:r>
      <w:r>
        <w:rPr>
          <w:rFonts w:ascii="Arial" w:cs="Arial" w:eastAsia="Arial" w:hAnsi="Arial"/>
          <w:sz w:val="18"/>
          <w:szCs w:val="18"/>
          <w:color w:val="000000"/>
        </w:rPr>
        <w:t>$1.0 million</w:t>
      </w:r>
      <w:r>
        <w:rPr>
          <w:rFonts w:ascii="Arial" w:cs="Arial" w:eastAsia="Arial" w:hAnsi="Arial"/>
          <w:sz w:val="18"/>
          <w:szCs w:val="18"/>
          <w:color w:val="231F20"/>
        </w:rPr>
        <w:t xml:space="preserve"> for the year. In 2014, the Company recorded a net gain of </w:t>
      </w:r>
      <w:r>
        <w:rPr>
          <w:rFonts w:ascii="Arial" w:cs="Arial" w:eastAsia="Arial" w:hAnsi="Arial"/>
          <w:sz w:val="18"/>
          <w:szCs w:val="18"/>
          <w:color w:val="000000"/>
        </w:rPr>
        <w:t>$0.7 million</w:t>
      </w:r>
      <w:r>
        <w:rPr>
          <w:rFonts w:ascii="Arial" w:cs="Arial" w:eastAsia="Arial" w:hAnsi="Arial"/>
          <w:sz w:val="18"/>
          <w:szCs w:val="18"/>
          <w:color w:val="231F20"/>
        </w:rPr>
        <w:t xml:space="preserve"> from forward contracts, which was offset by foreign currency transaction losses of </w:t>
      </w:r>
      <w:r>
        <w:rPr>
          <w:rFonts w:ascii="Arial" w:cs="Arial" w:eastAsia="Arial" w:hAnsi="Arial"/>
          <w:sz w:val="18"/>
          <w:szCs w:val="18"/>
          <w:color w:val="000000"/>
        </w:rPr>
        <w:t>$1.4 million</w:t>
      </w:r>
      <w:r>
        <w:rPr>
          <w:rFonts w:ascii="Arial" w:cs="Arial" w:eastAsia="Arial" w:hAnsi="Arial"/>
          <w:sz w:val="18"/>
          <w:szCs w:val="18"/>
          <w:color w:val="231F20"/>
        </w:rPr>
        <w:t xml:space="preserve"> for the year. These derivatives did not meet the criteria to be designated as hedges.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Company recognizes the fair value of its employee stock options and restricted stock units (RSUs) over the requisite service period for those awards ultimately expected to vest. The fair value of each option is estimated on date of grant using the Black-Scholes option pricing model and the fair value of each restricted stock unit is based on the fair value of the Company's stock on the date of grant. Forfeitures are estimated on the date of grant and revised if actual or expected forfeiture activity differs materially from original estimates.</w:t>
      </w:r>
    </w:p>
    <w:p>
      <w:pPr>
        <w:spacing w:after="0" w:line="204"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231F20"/>
        </w:rPr>
        <w:t>Option grants to non-employees are accounted for at the fair value of the equity instrument issued, as calculated using the Black-Scholes option-pricing model and the expense is recognized over the vesting periods of the options. The value of options granted to non-employees is remeasured as they vest over a performance period.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The Company derives revenues from subscriptions that require customers to pay a fee in order to access the Company’s cloud solutions.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w:t>
      </w:r>
      <w:r>
        <w:rPr>
          <w:rFonts w:ascii="Arial" w:cs="Arial" w:eastAsia="Arial" w:hAnsi="Arial"/>
          <w:sz w:val="18"/>
          <w:szCs w:val="18"/>
          <w:color w:val="000000"/>
        </w:rPr>
        <w:t>In some limited cases, the Company also provides certain computer equipment used to extend</w:t>
      </w:r>
      <w:r>
        <w:rPr>
          <w:rFonts w:ascii="Arial" w:cs="Arial" w:eastAsia="Arial" w:hAnsi="Arial"/>
          <w:sz w:val="18"/>
          <w:szCs w:val="18"/>
          <w:color w:val="231F20"/>
        </w:rPr>
        <w:t xml:space="preserve"> </w:t>
      </w:r>
      <w:r>
        <w:rPr>
          <w:rFonts w:ascii="Arial" w:cs="Arial" w:eastAsia="Arial" w:hAnsi="Arial"/>
          <w:sz w:val="18"/>
          <w:szCs w:val="18"/>
          <w:color w:val="000000"/>
        </w:rPr>
        <w:t xml:space="preserve">its Qualys Cloud Platform into its customers’ private cloud environment. </w:t>
      </w:r>
      <w:r>
        <w:rPr>
          <w:rFonts w:ascii="Arial" w:cs="Arial" w:eastAsia="Arial" w:hAnsi="Arial"/>
          <w:sz w:val="18"/>
          <w:szCs w:val="18"/>
          <w:color w:val="231F20"/>
        </w:rPr>
        <w:t>Customers are required to return physical scanner appliances and</w:t>
      </w:r>
      <w:r>
        <w:rPr>
          <w:rFonts w:ascii="Arial" w:cs="Arial" w:eastAsia="Arial" w:hAnsi="Arial"/>
          <w:sz w:val="18"/>
          <w:szCs w:val="18"/>
          <w:color w:val="000000"/>
        </w:rPr>
        <w:t xml:space="preserve"> </w:t>
      </w:r>
      <w:r>
        <w:rPr>
          <w:rFonts w:ascii="Arial" w:cs="Arial" w:eastAsia="Arial" w:hAnsi="Arial"/>
          <w:sz w:val="18"/>
          <w:szCs w:val="18"/>
          <w:color w:val="231F20"/>
        </w:rPr>
        <w:t>computer equipment if they do not renew their subscriptions.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recognizes revenues when all of the following conditions are met:</w:t>
      </w:r>
    </w:p>
    <w:p>
      <w:pPr>
        <w:spacing w:after="0" w:line="225"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service has been provided to the customer.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collection of the fees is reasonably assured.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17"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Subscriptions are recognized ratably over the subscription period. The Company recognizes revenues from subscriptions that include physical scanner appliances and other computer equipment ratably over the period of the subscription. Because the customer’s access to the Company’s cloud solutions are delivered at the same time as or within close proximity to the delivery of physical scanner appliances and the terms are commensurate for these services and equipment, the Company considers these elements as a single unit of accounting recognized ratably over the subscription period.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3"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231F20"/>
        </w:rPr>
        <w:t>Deferred revenues consist of revenues billed or received that will be recognized in the future under subscriptions existing at the balance sheet date. The current portion of deferred revenues represents amounts that are expected to be recognized within one year of the balance sheet date.</w:t>
      </w:r>
    </w:p>
    <w:p>
      <w:pPr>
        <w:spacing w:after="0" w:line="202" w:lineRule="exact"/>
        <w:rPr>
          <w:sz w:val="20"/>
          <w:szCs w:val="20"/>
          <w:color w:val="auto"/>
        </w:rPr>
      </w:pPr>
    </w:p>
    <w:p>
      <w:pPr>
        <w:ind w:right="600" w:firstLine="405"/>
        <w:spacing w:after="0" w:line="26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39"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231F20"/>
        </w:rPr>
        <w:t xml:space="preserve">Advertising costs are expensed as incurred and include costs of advertising, trade show costs and </w:t>
      </w:r>
      <w:r>
        <w:rPr>
          <w:rFonts w:ascii="Arial" w:cs="Arial" w:eastAsia="Arial" w:hAnsi="Arial"/>
          <w:sz w:val="18"/>
          <w:szCs w:val="18"/>
          <w:color w:val="000000"/>
        </w:rPr>
        <w:t>promotional</w:t>
      </w:r>
      <w:r>
        <w:rPr>
          <w:rFonts w:ascii="Arial" w:cs="Arial" w:eastAsia="Arial" w:hAnsi="Arial"/>
          <w:sz w:val="18"/>
          <w:szCs w:val="18"/>
          <w:color w:val="231F20"/>
        </w:rPr>
        <w:t xml:space="preserve"> materials. The Company incurred advertising costs of </w:t>
      </w:r>
      <w:r>
        <w:rPr>
          <w:rFonts w:ascii="Arial" w:cs="Arial" w:eastAsia="Arial" w:hAnsi="Arial"/>
          <w:sz w:val="18"/>
          <w:szCs w:val="18"/>
          <w:color w:val="000000"/>
        </w:rPr>
        <w:t>$6.1 million,</w:t>
      </w:r>
      <w:r>
        <w:rPr>
          <w:rFonts w:ascii="Arial" w:cs="Arial" w:eastAsia="Arial" w:hAnsi="Arial"/>
          <w:sz w:val="18"/>
          <w:szCs w:val="18"/>
          <w:color w:val="231F20"/>
        </w:rPr>
        <w:t xml:space="preserve"> </w:t>
      </w:r>
      <w:r>
        <w:rPr>
          <w:rFonts w:ascii="Arial" w:cs="Arial" w:eastAsia="Arial" w:hAnsi="Arial"/>
          <w:sz w:val="18"/>
          <w:szCs w:val="18"/>
          <w:color w:val="000000"/>
        </w:rPr>
        <w:t>$5.3 million</w:t>
      </w:r>
      <w:r>
        <w:rPr>
          <w:rFonts w:ascii="Arial" w:cs="Arial" w:eastAsia="Arial" w:hAnsi="Arial"/>
          <w:sz w:val="18"/>
          <w:szCs w:val="18"/>
          <w:color w:val="231F20"/>
        </w:rPr>
        <w:t xml:space="preserve">, and </w:t>
      </w:r>
      <w:r>
        <w:rPr>
          <w:rFonts w:ascii="Arial" w:cs="Arial" w:eastAsia="Arial" w:hAnsi="Arial"/>
          <w:sz w:val="18"/>
          <w:szCs w:val="18"/>
          <w:color w:val="000000"/>
        </w:rPr>
        <w:t>$4.2 million</w:t>
      </w:r>
      <w:r>
        <w:rPr>
          <w:rFonts w:ascii="Arial" w:cs="Arial" w:eastAsia="Arial" w:hAnsi="Arial"/>
          <w:sz w:val="18"/>
          <w:szCs w:val="18"/>
          <w:color w:val="231F20"/>
        </w:rPr>
        <w:t xml:space="preserve"> for </w:t>
      </w:r>
      <w:r>
        <w:rPr>
          <w:rFonts w:ascii="Arial" w:cs="Arial" w:eastAsia="Arial" w:hAnsi="Arial"/>
          <w:sz w:val="18"/>
          <w:szCs w:val="18"/>
          <w:color w:val="000000"/>
        </w:rPr>
        <w:t>2015,</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112"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153"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provision (benefit) for income taxes, its deferred tax assets and liabilities, and any valuation allowance to be recorded against its deferred tax assets. The Company's judgments, assumptions and estimates relating to the current provision (benefit) for income taxes include the geographic mix and amount of income (loss), its interpretation of current tax laws, and possible outcomes of current and future audits conducted by foreign and domestic tax authorities. The Company's judgments also include anticipating the tax positions the Company will record in the consolidated financial statements before actually preparing and filing the tax returns. The Company's estimates and assumptions may differ from the actual results as reflected in its income tax returns and the Company records the required adjustments when they are identified or resolved. Changes in the Company's business, tax laws or the Company's interpretation of tax laws, and developments in current and future tax audits, could significantly impact the amounts provided for income taxes in the Company's results of operations, financial position, or cash flows.</w:t>
      </w:r>
    </w:p>
    <w:p>
      <w:pPr>
        <w:spacing w:after="0" w:line="158"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tax benefit carry-forwards and to differences between the financial statement amounts of assets and liabilities and their respective tax basis.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15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3" w:right="2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Comprehensive Income (Loss)</w:t>
      </w:r>
    </w:p>
    <w:p>
      <w:pPr>
        <w:spacing w:after="0" w:line="247" w:lineRule="exact"/>
        <w:rPr>
          <w:sz w:val="20"/>
          <w:szCs w:val="20"/>
          <w:color w:val="auto"/>
        </w:rPr>
      </w:pPr>
    </w:p>
    <w:p>
      <w:pPr>
        <w:jc w:val="both"/>
        <w:ind w:right="500" w:firstLine="405"/>
        <w:spacing w:after="0" w:line="256" w:lineRule="auto"/>
        <w:rPr>
          <w:sz w:val="20"/>
          <w:szCs w:val="20"/>
          <w:color w:val="auto"/>
        </w:rPr>
      </w:pPr>
      <w:r>
        <w:rPr>
          <w:rFonts w:ascii="Arial" w:cs="Arial" w:eastAsia="Arial" w:hAnsi="Arial"/>
          <w:sz w:val="18"/>
          <w:szCs w:val="18"/>
          <w:color w:val="231F20"/>
        </w:rPr>
        <w:t>Other comprehensive income (loss) consists of unrealized gains (losses) on available-for-sale investments, net of tax, which are not included in the Company’s net income. Total comprehensive income includes net income and other comprehensive income (loss) and is included in the consolidated statements of comprehensive income.</w:t>
      </w:r>
    </w:p>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Transactions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 The Company recorded total foreign currency transaction losses of </w:t>
      </w:r>
      <w:r>
        <w:rPr>
          <w:rFonts w:ascii="Arial" w:cs="Arial" w:eastAsia="Arial" w:hAnsi="Arial"/>
          <w:sz w:val="18"/>
          <w:szCs w:val="18"/>
          <w:color w:val="000000"/>
        </w:rPr>
        <w:t>$0.4 million $0.7</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and</w:t>
      </w:r>
      <w:r>
        <w:rPr>
          <w:rFonts w:ascii="Arial" w:cs="Arial" w:eastAsia="Arial" w:hAnsi="Arial"/>
          <w:sz w:val="18"/>
          <w:szCs w:val="18"/>
          <w:color w:val="000000"/>
        </w:rPr>
        <w:t xml:space="preserve"> $0.7 million </w:t>
      </w:r>
      <w:r>
        <w:rPr>
          <w:rFonts w:ascii="Arial" w:cs="Arial" w:eastAsia="Arial" w:hAnsi="Arial"/>
          <w:sz w:val="18"/>
          <w:szCs w:val="18"/>
          <w:color w:val="231F20"/>
        </w:rPr>
        <w:t>during</w:t>
      </w:r>
      <w:r>
        <w:rPr>
          <w:rFonts w:ascii="Arial" w:cs="Arial" w:eastAsia="Arial" w:hAnsi="Arial"/>
          <w:sz w:val="18"/>
          <w:szCs w:val="18"/>
          <w:color w:val="000000"/>
        </w:rPr>
        <w:t xml:space="preserve"> 2015, 2014 </w:t>
      </w:r>
      <w:r>
        <w:rPr>
          <w:rFonts w:ascii="Arial" w:cs="Arial" w:eastAsia="Arial" w:hAnsi="Arial"/>
          <w:sz w:val="18"/>
          <w:szCs w:val="18"/>
          <w:color w:val="231F20"/>
        </w:rPr>
        <w:t>and</w:t>
      </w:r>
      <w:r>
        <w:rPr>
          <w:rFonts w:ascii="Arial" w:cs="Arial" w:eastAsia="Arial" w:hAnsi="Arial"/>
          <w:sz w:val="18"/>
          <w:szCs w:val="18"/>
          <w:color w:val="000000"/>
        </w:rPr>
        <w:t xml:space="preserve"> 2013</w:t>
      </w:r>
      <w:r>
        <w:rPr>
          <w:rFonts w:ascii="Arial" w:cs="Arial" w:eastAsia="Arial" w:hAnsi="Arial"/>
          <w:sz w:val="18"/>
          <w:szCs w:val="18"/>
          <w:color w:val="231F20"/>
        </w:rPr>
        <w:t>, respectively.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Fair Value Measurements</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231F20"/>
        </w:rPr>
        <w:t>The Company's financial instruments consist of assets measured using Level 1 and 2 inputs. Level 1 assets include a highly liquid money market fund, which is valued using unadjusted quoted prices that are available in an</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333" w:right="27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31F20"/>
        </w:rPr>
        <w:t xml:space="preserve">active market for an identical asset. Level 2 assets include </w:t>
      </w:r>
      <w:r>
        <w:rPr>
          <w:rFonts w:ascii="Arial" w:cs="Arial" w:eastAsia="Arial" w:hAnsi="Arial"/>
          <w:sz w:val="18"/>
          <w:szCs w:val="18"/>
          <w:color w:val="000000"/>
        </w:rPr>
        <w:t>fixed-income U.S. government agency securities, commercial paper, corporate</w:t>
      </w:r>
      <w:r>
        <w:rPr>
          <w:rFonts w:ascii="Arial" w:cs="Arial" w:eastAsia="Arial" w:hAnsi="Arial"/>
          <w:sz w:val="18"/>
          <w:szCs w:val="18"/>
          <w:color w:val="231F20"/>
        </w:rPr>
        <w:t xml:space="preserve"> </w:t>
      </w:r>
      <w:r>
        <w:rPr>
          <w:rFonts w:ascii="Arial" w:cs="Arial" w:eastAsia="Arial" w:hAnsi="Arial"/>
          <w:sz w:val="18"/>
          <w:szCs w:val="18"/>
          <w:color w:val="000000"/>
        </w:rPr>
        <w:t xml:space="preserve">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w:t>
      </w:r>
      <w:r>
        <w:rPr>
          <w:rFonts w:ascii="Arial" w:cs="Arial" w:eastAsia="Arial" w:hAnsi="Arial"/>
          <w:sz w:val="18"/>
          <w:szCs w:val="18"/>
          <w:color w:val="000000"/>
        </w:rPr>
        <w:t xml:space="preserve"> </w:t>
      </w:r>
      <w:r>
        <w:rPr>
          <w:rFonts w:ascii="Arial" w:cs="Arial" w:eastAsia="Arial" w:hAnsi="Arial"/>
          <w:sz w:val="18"/>
          <w:szCs w:val="18"/>
          <w:color w:val="231F20"/>
        </w:rPr>
        <w:t>foreign currency forward contracts are valued using observable inputs</w:t>
      </w:r>
      <w:r>
        <w:rPr>
          <w:rFonts w:ascii="Arial" w:cs="Arial" w:eastAsia="Arial" w:hAnsi="Arial"/>
          <w:sz w:val="18"/>
          <w:szCs w:val="18"/>
          <w:color w:val="000000"/>
        </w:rPr>
        <w:t>, such as quotations on forward foreign exchange points and foreign</w:t>
      </w:r>
      <w:r>
        <w:rPr>
          <w:rFonts w:ascii="Arial" w:cs="Arial" w:eastAsia="Arial" w:hAnsi="Arial"/>
          <w:sz w:val="18"/>
          <w:szCs w:val="18"/>
          <w:color w:val="231F20"/>
        </w:rPr>
        <w:t xml:space="preserve"> </w:t>
      </w:r>
      <w:r>
        <w:rPr>
          <w:rFonts w:ascii="Arial" w:cs="Arial" w:eastAsia="Arial" w:hAnsi="Arial"/>
          <w:sz w:val="18"/>
          <w:szCs w:val="18"/>
          <w:color w:val="000000"/>
        </w:rPr>
        <w:t>interest rates</w:t>
      </w:r>
      <w:r>
        <w:rPr>
          <w:rFonts w:ascii="Arial" w:cs="Arial" w:eastAsia="Arial" w:hAnsi="Arial"/>
          <w:sz w:val="18"/>
          <w:szCs w:val="18"/>
          <w:color w:val="231F20"/>
        </w:rPr>
        <w:t>. See Note 2 for more information regarding the fair value measurement of the Company's financial instruments.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Net Income Per Share Attributable to Common Stockholders</w:t>
      </w:r>
    </w:p>
    <w:p>
      <w:pPr>
        <w:spacing w:after="0" w:line="13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The Company computes net income attributable to common stockholders using the two-class method required for participating securities. Common stock subject to repurchase resulting from the early exercise of stock options are considered to be participating securities since they contain non-forfeitable rights to dividends or dividend equivalents in the event the Company declares a dividend for common stock. In accordance with the two-class method, earnings allocated to these participating securities are subtracted from net income after deducting preferred stock dividends, if any, to determine total undistributed earnings to be allocated to common stockholders.</w:t>
      </w:r>
    </w:p>
    <w:p>
      <w:pPr>
        <w:spacing w:after="0" w:line="20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Basic net income per share attributable to common stockholders is computed by dividing net income attributable to common stockholders by the weighted-average number of common shares outstanding during the period. All participating securities are excluded from basic weighted average common shares outstanding. In computing diluted net income attributable to common stockholders, undistributed earnings are reallocated to reflect the potential impact of dilutive securities. Diluted net income per share is computed by dividing net income attributable to common stockholders by the weighted-average number of shares of common stock outstanding during the period, adjusted for the effects of potentially dilutive common shares, which comprise of outstanding stock options. The dilutive potential common shares are computed using the treasury stock method or the as-if converted method, as applicable. The effects of outstanding stock options are excluded from the computation of diluted net income per common share in periods in which the effect would be antidilutive.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 xml:space="preserve">In May 2014, the Financial Accounting Standards Board (FASB) issued an Accounting Standards Update (ASU) amending revenue recognition guidance and requiring more detailed disclosures to enable users of financial statements to understand the nature, amount, timing, and uncertainty of revenue and cash flows arising from contracts with customers. </w:t>
      </w:r>
      <w:r>
        <w:rPr>
          <w:rFonts w:ascii="Arial" w:cs="Arial" w:eastAsia="Arial" w:hAnsi="Arial"/>
          <w:sz w:val="18"/>
          <w:szCs w:val="18"/>
          <w:color w:val="231F20"/>
        </w:rPr>
        <w:t>In August 2015, the FASB issued an ASU to defer the</w:t>
      </w:r>
      <w:r>
        <w:rPr>
          <w:rFonts w:ascii="Arial" w:cs="Arial" w:eastAsia="Arial" w:hAnsi="Arial"/>
          <w:sz w:val="18"/>
          <w:szCs w:val="18"/>
          <w:color w:val="auto"/>
        </w:rPr>
        <w:t xml:space="preserve"> </w:t>
      </w:r>
      <w:r>
        <w:rPr>
          <w:rFonts w:ascii="Arial" w:cs="Arial" w:eastAsia="Arial" w:hAnsi="Arial"/>
          <w:sz w:val="18"/>
          <w:szCs w:val="18"/>
          <w:color w:val="231F20"/>
        </w:rPr>
        <w:t xml:space="preserve">effective date of ASU 2014-09 for all entities by one year. Thus, ASU 2014-09 will be effective for fiscal years, and interim periods within those years, beginning after December 15, 2017, but entities will be permitted to early adopt the standard only as of annual reporting periods beginning after December 15, 2016, including interim reporting periods within that reporting period. The new revenue standard may be applied retrospectively to each prior period presented or retrospectively with the cumulative effect recognized on date of adoption. </w:t>
      </w:r>
      <w:r>
        <w:rPr>
          <w:rFonts w:ascii="Arial" w:cs="Arial" w:eastAsia="Arial" w:hAnsi="Arial"/>
          <w:sz w:val="18"/>
          <w:szCs w:val="18"/>
          <w:color w:val="000000"/>
        </w:rPr>
        <w:t>The Company is</w:t>
      </w:r>
      <w:r>
        <w:rPr>
          <w:rFonts w:ascii="Arial" w:cs="Arial" w:eastAsia="Arial" w:hAnsi="Arial"/>
          <w:sz w:val="18"/>
          <w:szCs w:val="18"/>
          <w:color w:val="231F20"/>
        </w:rPr>
        <w:t xml:space="preserve"> </w:t>
      </w:r>
      <w:r>
        <w:rPr>
          <w:rFonts w:ascii="Arial" w:cs="Arial" w:eastAsia="Arial" w:hAnsi="Arial"/>
          <w:sz w:val="18"/>
          <w:szCs w:val="18"/>
          <w:color w:val="000000"/>
        </w:rPr>
        <w:t>currently evaluating the impact this ASU will have on its consolidated financial statements.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 xml:space="preserve">In April 2015, the FASB issued an ASU amending existing guidance which clarifies that software licenses contained in a cloud computing arrangement should be capitalized if the customer has the right to take possession of the software and the ability to run the software outside of the cloud computing arrangement. If a cloud computing arrangement does not include a software license, the customer should account for the arrangement as a service contract under existing guidelines. This guidance is effective for </w:t>
      </w:r>
      <w:r>
        <w:rPr>
          <w:rFonts w:ascii="Arial" w:cs="Arial" w:eastAsia="Arial" w:hAnsi="Arial"/>
          <w:sz w:val="18"/>
          <w:szCs w:val="18"/>
          <w:color w:val="000000"/>
        </w:rPr>
        <w:t>fiscal years, and interim periods within those fiscal</w:t>
      </w:r>
      <w:r>
        <w:rPr>
          <w:rFonts w:ascii="Arial" w:cs="Arial" w:eastAsia="Arial" w:hAnsi="Arial"/>
          <w:sz w:val="18"/>
          <w:szCs w:val="18"/>
          <w:color w:val="231F20"/>
        </w:rPr>
        <w:t xml:space="preserve"> </w:t>
      </w:r>
      <w:r>
        <w:rPr>
          <w:rFonts w:ascii="Arial" w:cs="Arial" w:eastAsia="Arial" w:hAnsi="Arial"/>
          <w:sz w:val="18"/>
          <w:szCs w:val="18"/>
          <w:color w:val="000000"/>
        </w:rPr>
        <w:t xml:space="preserve">years, </w:t>
      </w:r>
      <w:r>
        <w:rPr>
          <w:rFonts w:ascii="Arial" w:cs="Arial" w:eastAsia="Arial" w:hAnsi="Arial"/>
          <w:sz w:val="18"/>
          <w:szCs w:val="18"/>
          <w:color w:val="231F20"/>
        </w:rPr>
        <w:t>beginning after December 15, 2015.</w:t>
      </w:r>
      <w:r>
        <w:rPr>
          <w:rFonts w:ascii="Arial" w:cs="Arial" w:eastAsia="Arial" w:hAnsi="Arial"/>
          <w:sz w:val="18"/>
          <w:szCs w:val="18"/>
          <w:color w:val="000000"/>
        </w:rPr>
        <w:t xml:space="preserve"> A reporting entity may apply the amendments prospectively to all arrangements entered into or materially modified after the effective date or retrospectively. </w:t>
      </w:r>
      <w:r>
        <w:rPr>
          <w:rFonts w:ascii="Arial" w:cs="Arial" w:eastAsia="Arial" w:hAnsi="Arial"/>
          <w:sz w:val="18"/>
          <w:szCs w:val="18"/>
          <w:color w:val="231F20"/>
        </w:rPr>
        <w:t>Early adoption is permitted. The Company is currently evaluating the impact this</w:t>
      </w:r>
      <w:r>
        <w:rPr>
          <w:rFonts w:ascii="Arial" w:cs="Arial" w:eastAsia="Arial" w:hAnsi="Arial"/>
          <w:sz w:val="18"/>
          <w:szCs w:val="18"/>
          <w:color w:val="000000"/>
        </w:rPr>
        <w:t xml:space="preserve"> </w:t>
      </w:r>
      <w:r>
        <w:rPr>
          <w:rFonts w:ascii="Arial" w:cs="Arial" w:eastAsia="Arial" w:hAnsi="Arial"/>
          <w:sz w:val="18"/>
          <w:szCs w:val="18"/>
          <w:color w:val="231F20"/>
        </w:rPr>
        <w:t>ASU will have on its consolidated financial statements.</w:t>
      </w:r>
    </w:p>
    <w:p>
      <w:pPr>
        <w:spacing w:after="0" w:line="20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November 2015, the FASB issued an ASU which requires that all deferred tax assets and liabilities, along with any related valuation allowance, be classified as non-current on the balance sheet. As a result, each jurisdiction will only have one net non-current deferred tax asset or liability. The guidance does not change the existing requirement that allows for offsetting of deferred tax assets and liabilities within the same jurisdiction.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Although the new guidance is effective for public business entities in fiscal years beginning after December 15, 2016, earlier adoption is permitted for all entities as of the beginning of the current interim or annual reporting period. Furthermore, the standard permits prospective or retrospective application for all deferred tax assets and liabilities (i.e., by reclassifying the comparative balance sheet). The Company has early adopted retrospectively, and, accordingly, has applied the new guidance to its deferred taxes for the years ended December 31, 2015 and 2014. As a result of the adoption, the Company made the following adjustments to the consolidated balance sheet as of December 31,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 $8.5 million decrease to current deferred tax assets and total current assets; and an $8.5 million increase to non-current deferred tax assets.</w:t>
      </w:r>
    </w:p>
    <w:p>
      <w:pPr>
        <w:spacing w:after="0" w:line="36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Fair Value of Financial Instruments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6"/>
                <w:szCs w:val="16"/>
                <w:b w:val="1"/>
                <w:bCs w:val="1"/>
                <w:color w:val="auto"/>
              </w:rPr>
              <w:t>December 31, 2015</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98"/>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Unrealized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8"/>
        </w:trPr>
        <w:tc>
          <w:tcPr>
            <w:tcW w:w="5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80" w:type="dxa"/>
            <w:vAlign w:val="bottom"/>
            <w:gridSpan w:val="5"/>
          </w:tcPr>
          <w:p>
            <w:pPr>
              <w:jc w:val="center"/>
              <w:ind w:right="8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0"/>
        </w:trPr>
        <w:tc>
          <w:tcPr>
            <w:tcW w:w="528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61,372</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61,372</w:t>
            </w:r>
          </w:p>
        </w:tc>
      </w:tr>
      <w:tr>
        <w:trPr>
          <w:trHeight w:val="280"/>
        </w:trPr>
        <w:tc>
          <w:tcPr>
            <w:tcW w:w="5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r>
      <w:tr>
        <w:trPr>
          <w:trHeight w:val="260"/>
        </w:trPr>
        <w:tc>
          <w:tcPr>
            <w:tcW w:w="528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8,999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9,000</w:t>
            </w:r>
          </w:p>
        </w:tc>
      </w:tr>
      <w:tr>
        <w:trPr>
          <w:trHeight w:val="273"/>
        </w:trPr>
        <w:tc>
          <w:tcPr>
            <w:tcW w:w="5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17,345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17,346</w:t>
            </w:r>
          </w:p>
        </w:tc>
      </w:tr>
      <w:tr>
        <w:trPr>
          <w:trHeight w:val="250"/>
        </w:trPr>
        <w:tc>
          <w:tcPr>
            <w:tcW w:w="528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91,696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91,698</w:t>
            </w:r>
          </w:p>
        </w:tc>
      </w:tr>
      <w:tr>
        <w:trPr>
          <w:trHeight w:val="270"/>
        </w:trPr>
        <w:tc>
          <w:tcPr>
            <w:tcW w:w="5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0"/>
        </w:trPr>
        <w:tc>
          <w:tcPr>
            <w:tcW w:w="528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10,448</w:t>
            </w:r>
          </w:p>
        </w:tc>
      </w:tr>
      <w:tr>
        <w:trPr>
          <w:trHeight w:val="280"/>
        </w:trPr>
        <w:tc>
          <w:tcPr>
            <w:tcW w:w="5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12,435</w:t>
            </w:r>
          </w:p>
        </w:tc>
      </w:tr>
      <w:tr>
        <w:trPr>
          <w:trHeight w:val="264"/>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64,385</w:t>
            </w:r>
          </w:p>
        </w:tc>
      </w:tr>
      <w:tr>
        <w:trPr>
          <w:trHeight w:val="257"/>
        </w:trPr>
        <w:tc>
          <w:tcPr>
            <w:tcW w:w="52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87,317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87,268</w:t>
            </w:r>
          </w:p>
        </w:tc>
      </w:tr>
      <w:tr>
        <w:trPr>
          <w:trHeight w:val="254"/>
        </w:trPr>
        <w:tc>
          <w:tcPr>
            <w:tcW w:w="528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0"/>
        </w:trPr>
        <w:tc>
          <w:tcPr>
            <w:tcW w:w="5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r>
      <w:tr>
        <w:trPr>
          <w:trHeight w:val="260"/>
        </w:trPr>
        <w:tc>
          <w:tcPr>
            <w:tcW w:w="528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32,683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32,541</w:t>
            </w:r>
          </w:p>
        </w:tc>
      </w:tr>
      <w:tr>
        <w:trPr>
          <w:trHeight w:val="273"/>
        </w:trPr>
        <w:tc>
          <w:tcPr>
            <w:tcW w:w="5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3,751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r>
      <w:tr>
        <w:trPr>
          <w:trHeight w:val="250"/>
        </w:trPr>
        <w:tc>
          <w:tcPr>
            <w:tcW w:w="528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43,441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43,277</w:t>
            </w:r>
          </w:p>
        </w:tc>
      </w:tr>
      <w:tr>
        <w:trPr>
          <w:trHeight w:val="24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222,243</w:t>
            </w: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December 31, 2014</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36,024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36,024</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39,180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50"/>
        </w:trPr>
        <w:tc>
          <w:tcPr>
            <w:tcW w:w="4700" w:type="dxa"/>
            <w:vAlign w:val="bottom"/>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76,504</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4,999</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33,277</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50,716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50,714</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16,094</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20,243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20,255</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39,436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39,448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166,656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166,666</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2015</w:t>
            </w: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0"/>
        </w:trPr>
        <w:tc>
          <w:tcPr>
            <w:tcW w:w="20" w:type="dxa"/>
            <w:vAlign w:val="bottom"/>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c>
          <w:tcPr>
            <w:tcW w:w="20" w:type="dxa"/>
            <w:vAlign w:val="bottom"/>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1200" w:type="dxa"/>
            <w:vAlign w:val="bottom"/>
          </w:tcPr>
          <w:p>
            <w:pPr>
              <w:spacing w:after="0"/>
              <w:rPr>
                <w:sz w:val="22"/>
                <w:szCs w:val="22"/>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105,926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105,926</w:t>
            </w:r>
          </w:p>
        </w:tc>
        <w:tc>
          <w:tcPr>
            <w:tcW w:w="20" w:type="dxa"/>
            <w:vAlign w:val="bottom"/>
          </w:tcPr>
          <w:p>
            <w:pPr>
              <w:spacing w:after="0"/>
              <w:rPr>
                <w:sz w:val="22"/>
                <w:szCs w:val="22"/>
                <w:color w:val="auto"/>
              </w:rPr>
            </w:pPr>
          </w:p>
        </w:tc>
      </w:tr>
      <w:tr>
        <w:trPr>
          <w:trHeight w:val="280"/>
        </w:trPr>
        <w:tc>
          <w:tcPr>
            <w:tcW w:w="20" w:type="dxa"/>
            <w:vAlign w:val="bottom"/>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2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c>
          <w:tcPr>
            <w:tcW w:w="20" w:type="dxa"/>
            <w:vAlign w:val="bottom"/>
          </w:tcPr>
          <w:p>
            <w:pPr>
              <w:spacing w:after="0"/>
              <w:rPr>
                <w:sz w:val="22"/>
                <w:szCs w:val="22"/>
                <w:color w:val="auto"/>
              </w:rPr>
            </w:pPr>
          </w:p>
        </w:tc>
      </w:tr>
      <w:tr>
        <w:trPr>
          <w:trHeight w:val="240"/>
        </w:trPr>
        <w:tc>
          <w:tcPr>
            <w:tcW w:w="20" w:type="dxa"/>
            <w:vAlign w:val="bottom"/>
          </w:tcPr>
          <w:p>
            <w:pPr>
              <w:spacing w:after="0"/>
              <w:rPr>
                <w:sz w:val="20"/>
                <w:szCs w:val="20"/>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2014</w:t>
            </w: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20" w:type="dxa"/>
            <w:vAlign w:val="bottom"/>
            <w:tcBorders>
              <w:bottom w:val="single" w:sz="8" w:color="auto"/>
            </w:tcBorders>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4"/>
          </w:tcPr>
          <w:p>
            <w:pPr>
              <w:jc w:val="center"/>
              <w:ind w:left="19"/>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0"/>
        </w:trPr>
        <w:tc>
          <w:tcPr>
            <w:tcW w:w="20" w:type="dxa"/>
            <w:vAlign w:val="bottom"/>
            <w:shd w:val="clear" w:color="auto" w:fill="CCEEFF"/>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20" w:type="dxa"/>
            <w:vAlign w:val="bottom"/>
            <w:shd w:val="clear" w:color="auto" w:fill="CCEEFF"/>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1200" w:type="dxa"/>
            <w:vAlign w:val="bottom"/>
          </w:tcPr>
          <w:p>
            <w:pPr>
              <w:spacing w:after="0"/>
              <w:rPr>
                <w:sz w:val="22"/>
                <w:szCs w:val="22"/>
                <w:color w:val="auto"/>
              </w:rPr>
            </w:pP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53,832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53,832</w:t>
            </w:r>
          </w:p>
        </w:tc>
        <w:tc>
          <w:tcPr>
            <w:tcW w:w="20" w:type="dxa"/>
            <w:vAlign w:val="bottom"/>
          </w:tcPr>
          <w:p>
            <w:pPr>
              <w:spacing w:after="0"/>
              <w:rPr>
                <w:sz w:val="22"/>
                <w:szCs w:val="22"/>
                <w:color w:val="auto"/>
              </w:rPr>
            </w:pPr>
          </w:p>
        </w:tc>
      </w:tr>
      <w:tr>
        <w:trPr>
          <w:trHeight w:val="280"/>
        </w:trPr>
        <w:tc>
          <w:tcPr>
            <w:tcW w:w="20" w:type="dxa"/>
            <w:vAlign w:val="bottom"/>
            <w:shd w:val="clear" w:color="auto" w:fill="CCEEFF"/>
          </w:tcPr>
          <w:p>
            <w:pPr>
              <w:spacing w:after="0"/>
              <w:rPr>
                <w:sz w:val="24"/>
                <w:szCs w:val="24"/>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2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15,537</w:t>
            </w:r>
          </w:p>
        </w:tc>
        <w:tc>
          <w:tcPr>
            <w:tcW w:w="2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16,094</w:t>
            </w:r>
          </w:p>
        </w:tc>
        <w:tc>
          <w:tcPr>
            <w:tcW w:w="20" w:type="dxa"/>
            <w:vAlign w:val="bottom"/>
            <w:tcBorders>
              <w:bottom w:val="single" w:sz="8" w:color="auto"/>
            </w:tcBorders>
          </w:tcPr>
          <w:p>
            <w:pPr>
              <w:spacing w:after="0"/>
              <w:rPr>
                <w:sz w:val="22"/>
                <w:szCs w:val="22"/>
                <w:color w:val="auto"/>
              </w:rPr>
            </w:pPr>
          </w:p>
        </w:tc>
      </w:tr>
      <w:tr>
        <w:trPr>
          <w:trHeight w:val="240"/>
        </w:trPr>
        <w:tc>
          <w:tcPr>
            <w:tcW w:w="20" w:type="dxa"/>
            <w:vAlign w:val="bottom"/>
            <w:shd w:val="clear" w:color="auto" w:fill="CCEEFF"/>
          </w:tcPr>
          <w:p>
            <w:pPr>
              <w:spacing w:after="0"/>
              <w:rPr>
                <w:sz w:val="20"/>
                <w:szCs w:val="20"/>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91,462</w:t>
            </w:r>
          </w:p>
        </w:tc>
        <w:tc>
          <w:tcPr>
            <w:tcW w:w="20" w:type="dxa"/>
            <w:vAlign w:val="bottom"/>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33" w:right="239" w:bottom="1440" w:gutter="0" w:footer="0" w:header="0"/>
          <w:type w:val="continuous"/>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December 31, 2015</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198"/>
        </w:trPr>
        <w:tc>
          <w:tcPr>
            <w:tcW w:w="3980" w:type="dxa"/>
            <w:vAlign w:val="bottom"/>
          </w:tcPr>
          <w:p>
            <w:pPr>
              <w:spacing w:after="0"/>
              <w:rPr>
                <w:sz w:val="17"/>
                <w:szCs w:val="17"/>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Mature within One</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After One Year</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8"/>
        </w:trPr>
        <w:tc>
          <w:tcPr>
            <w:tcW w:w="3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7"/>
              </w:rPr>
              <w:t>Year</w:t>
            </w: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9"/>
              </w:rPr>
              <w:t>through Two Years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27,794</w:t>
            </w:r>
          </w:p>
        </w:tc>
      </w:tr>
      <w:tr>
        <w:trPr>
          <w:trHeight w:val="260"/>
        </w:trPr>
        <w:tc>
          <w:tcPr>
            <w:tcW w:w="398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3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73,385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32,541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105,926</w:t>
            </w:r>
          </w:p>
        </w:tc>
      </w:tr>
      <w:tr>
        <w:trPr>
          <w:trHeight w:val="28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16,182</w:t>
            </w:r>
          </w:p>
        </w:tc>
      </w:tr>
      <w:tr>
        <w:trPr>
          <w:trHeight w:val="264"/>
        </w:trPr>
        <w:tc>
          <w:tcPr>
            <w:tcW w:w="398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3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6,989</w:t>
            </w:r>
          </w:p>
        </w:tc>
      </w:tr>
      <w:tr>
        <w:trPr>
          <w:trHeight w:val="24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113,614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156,891</w:t>
            </w:r>
          </w:p>
        </w:tc>
      </w:tr>
      <w:tr>
        <w:trPr>
          <w:trHeight w:val="20"/>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December 31, 2014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98"/>
        </w:trPr>
        <w:tc>
          <w:tcPr>
            <w:tcW w:w="4000" w:type="dxa"/>
            <w:vAlign w:val="bottom"/>
          </w:tcPr>
          <w:p>
            <w:pPr>
              <w:spacing w:after="0"/>
              <w:rPr>
                <w:sz w:val="17"/>
                <w:szCs w:val="17"/>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Mature within One</w:t>
            </w:r>
          </w:p>
        </w:tc>
        <w:tc>
          <w:tcPr>
            <w:tcW w:w="18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After One Year</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8"/>
        </w:trPr>
        <w:tc>
          <w:tcPr>
            <w:tcW w:w="4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7"/>
              </w:rPr>
              <w:t>Year</w:t>
            </w:r>
          </w:p>
        </w:tc>
        <w:tc>
          <w:tcPr>
            <w:tcW w:w="17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through Two Years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Over Two Years</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8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r>
      <w:tr>
        <w:trPr>
          <w:trHeight w:val="260"/>
        </w:trPr>
        <w:tc>
          <w:tcPr>
            <w:tcW w:w="400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40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33,577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20,255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53,832</w:t>
            </w:r>
          </w:p>
        </w:tc>
      </w:tr>
      <w:tr>
        <w:trPr>
          <w:trHeight w:val="28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r>
      <w:tr>
        <w:trPr>
          <w:trHeight w:val="264"/>
        </w:trPr>
        <w:tc>
          <w:tcPr>
            <w:tcW w:w="400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4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7,327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8,767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16,094</w:t>
            </w:r>
          </w:p>
        </w:tc>
      </w:tr>
      <w:tr>
        <w:trPr>
          <w:trHeight w:val="240"/>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30,681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8,767</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r>
      <w:tr>
        <w:trPr>
          <w:trHeight w:val="20"/>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2015</w:t>
      </w:r>
      <w:r>
        <w:rPr>
          <w:rFonts w:ascii="Arial" w:cs="Arial" w:eastAsia="Arial" w:hAnsi="Arial"/>
          <w:sz w:val="18"/>
          <w:szCs w:val="18"/>
          <w:color w:val="231F20"/>
        </w:rPr>
        <w:t xml:space="preserve"> and 2014, derivative financial instruments, consisting of foreign currency forward contracts, were valued at </w:t>
      </w:r>
      <w:r>
        <w:rPr>
          <w:rFonts w:ascii="Arial" w:cs="Arial" w:eastAsia="Arial" w:hAnsi="Arial"/>
          <w:sz w:val="18"/>
          <w:szCs w:val="18"/>
          <w:color w:val="000000"/>
        </w:rPr>
        <w:t>$0</w:t>
      </w:r>
      <w:r>
        <w:rPr>
          <w:rFonts w:ascii="Arial" w:cs="Arial" w:eastAsia="Arial" w:hAnsi="Arial"/>
          <w:sz w:val="18"/>
          <w:szCs w:val="18"/>
          <w:color w:val="231F20"/>
        </w:rPr>
        <w:t xml:space="preserve"> as the contracts were entered into on the last day of the respective reporting periods. These instruments were valued using Level 2 inputs.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333" w:right="29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3.</w:t>
            </w:r>
          </w:p>
        </w:tc>
        <w:tc>
          <w:tcPr>
            <w:tcW w:w="696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7980" w:type="dxa"/>
            <w:vAlign w:val="bottom"/>
            <w:gridSpan w:val="2"/>
          </w:tcPr>
          <w:p>
            <w:pPr>
              <w:ind w:left="420"/>
              <w:spacing w:after="0"/>
              <w:rPr>
                <w:sz w:val="20"/>
                <w:szCs w:val="20"/>
                <w:color w:val="auto"/>
              </w:rPr>
            </w:pPr>
            <w:r>
              <w:rPr>
                <w:rFonts w:ascii="Arial" w:cs="Arial" w:eastAsia="Arial" w:hAnsi="Arial"/>
                <w:sz w:val="18"/>
                <w:szCs w:val="18"/>
                <w:color w:val="231F20"/>
              </w:rPr>
              <w:t>Property and equipment consists of the following:</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10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47"/>
        </w:trPr>
        <w:tc>
          <w:tcPr>
            <w:tcW w:w="10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1"/>
                <w:szCs w:val="21"/>
                <w:color w:val="auto"/>
              </w:rPr>
            </w:pP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48,192</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35,576</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Computer software</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12,484</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10,899</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2,804</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2,931</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Scanner appliances</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22,627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19,861</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r>
      <w:tr>
        <w:trPr>
          <w:trHeight w:val="247"/>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Total property and equipment</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89,474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71,889</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(58,145)</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(45,271)</w:t>
            </w:r>
          </w:p>
        </w:tc>
      </w:tr>
      <w:tr>
        <w:trPr>
          <w:trHeight w:val="24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Property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31,329</w:t>
            </w: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26,618</w:t>
            </w:r>
          </w:p>
        </w:tc>
      </w:tr>
      <w:tr>
        <w:trPr>
          <w:trHeight w:val="20"/>
        </w:trPr>
        <w:tc>
          <w:tcPr>
            <w:tcW w:w="10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$8.4 million and $6.0 million</w:t>
      </w:r>
      <w:r>
        <w:rPr>
          <w:rFonts w:ascii="Arial" w:cs="Arial" w:eastAsia="Arial" w:hAnsi="Arial"/>
          <w:sz w:val="18"/>
          <w:szCs w:val="18"/>
          <w:color w:val="231F20"/>
        </w:rPr>
        <w:t xml:space="preserve"> at </w:t>
      </w:r>
      <w:r>
        <w:rPr>
          <w:rFonts w:ascii="Arial" w:cs="Arial" w:eastAsia="Arial" w:hAnsi="Arial"/>
          <w:sz w:val="18"/>
          <w:szCs w:val="18"/>
          <w:color w:val="000000"/>
        </w:rPr>
        <w:t>December 31, 2015</w:t>
      </w:r>
      <w:r>
        <w:rPr>
          <w:rFonts w:ascii="Arial" w:cs="Arial" w:eastAsia="Arial" w:hAnsi="Arial"/>
          <w:sz w:val="18"/>
          <w:szCs w:val="18"/>
          <w:color w:val="231F20"/>
        </w:rPr>
        <w:t xml:space="preserve"> and 2014, respectively, including assets that have not been placed in service of </w:t>
      </w:r>
      <w:r>
        <w:rPr>
          <w:rFonts w:ascii="Arial" w:cs="Arial" w:eastAsia="Arial" w:hAnsi="Arial"/>
          <w:sz w:val="18"/>
          <w:szCs w:val="18"/>
          <w:color w:val="000000"/>
        </w:rPr>
        <w:t xml:space="preserve">$1.4 million </w:t>
      </w:r>
      <w:r>
        <w:rPr>
          <w:rFonts w:ascii="Arial" w:cs="Arial" w:eastAsia="Arial" w:hAnsi="Arial"/>
          <w:sz w:val="18"/>
          <w:szCs w:val="18"/>
          <w:color w:val="231F20"/>
        </w:rPr>
        <w:t>and</w:t>
      </w:r>
      <w:r>
        <w:rPr>
          <w:rFonts w:ascii="Arial" w:cs="Arial" w:eastAsia="Arial" w:hAnsi="Arial"/>
          <w:sz w:val="18"/>
          <w:szCs w:val="18"/>
          <w:color w:val="000000"/>
        </w:rPr>
        <w:t xml:space="preserve"> $1.4 million, </w:t>
      </w:r>
      <w:r>
        <w:rPr>
          <w:rFonts w:ascii="Arial" w:cs="Arial" w:eastAsia="Arial" w:hAnsi="Arial"/>
          <w:sz w:val="18"/>
          <w:szCs w:val="18"/>
          <w:color w:val="231F20"/>
        </w:rPr>
        <w:t>respectively. Other fixed assets not placed in service at</w:t>
      </w:r>
      <w:r>
        <w:rPr>
          <w:rFonts w:ascii="Arial" w:cs="Arial" w:eastAsia="Arial" w:hAnsi="Arial"/>
          <w:sz w:val="18"/>
          <w:szCs w:val="18"/>
          <w:color w:val="000000"/>
        </w:rPr>
        <w:t xml:space="preserve"> December 31, 2015 </w:t>
      </w:r>
      <w:r>
        <w:rPr>
          <w:rFonts w:ascii="Arial" w:cs="Arial" w:eastAsia="Arial" w:hAnsi="Arial"/>
          <w:sz w:val="18"/>
          <w:szCs w:val="18"/>
          <w:color w:val="231F20"/>
        </w:rPr>
        <w:t>and 2014, included in computer</w:t>
      </w:r>
      <w:r>
        <w:rPr>
          <w:rFonts w:ascii="Arial" w:cs="Arial" w:eastAsia="Arial" w:hAnsi="Arial"/>
          <w:sz w:val="18"/>
          <w:szCs w:val="18"/>
          <w:color w:val="000000"/>
        </w:rPr>
        <w:t xml:space="preserve"> </w:t>
      </w:r>
      <w:r>
        <w:rPr>
          <w:rFonts w:ascii="Arial" w:cs="Arial" w:eastAsia="Arial" w:hAnsi="Arial"/>
          <w:sz w:val="18"/>
          <w:szCs w:val="18"/>
          <w:color w:val="231F20"/>
        </w:rPr>
        <w:t xml:space="preserve">equipment and leasehold improvements, were </w:t>
      </w:r>
      <w:r>
        <w:rPr>
          <w:rFonts w:ascii="Arial" w:cs="Arial" w:eastAsia="Arial" w:hAnsi="Arial"/>
          <w:sz w:val="18"/>
          <w:szCs w:val="18"/>
          <w:color w:val="000000"/>
        </w:rPr>
        <w:t>$4.3 million</w:t>
      </w:r>
      <w:r>
        <w:rPr>
          <w:rFonts w:ascii="Arial" w:cs="Arial" w:eastAsia="Arial" w:hAnsi="Arial"/>
          <w:sz w:val="18"/>
          <w:szCs w:val="18"/>
          <w:color w:val="231F20"/>
        </w:rPr>
        <w:t xml:space="preserve"> and </w:t>
      </w:r>
      <w:r>
        <w:rPr>
          <w:rFonts w:ascii="Arial" w:cs="Arial" w:eastAsia="Arial" w:hAnsi="Arial"/>
          <w:sz w:val="18"/>
          <w:szCs w:val="18"/>
          <w:color w:val="000000"/>
        </w:rPr>
        <w:t>$2.8 million,</w:t>
      </w:r>
      <w:r>
        <w:rPr>
          <w:rFonts w:ascii="Arial" w:cs="Arial" w:eastAsia="Arial" w:hAnsi="Arial"/>
          <w:sz w:val="18"/>
          <w:szCs w:val="18"/>
          <w:color w:val="231F20"/>
        </w:rPr>
        <w:t xml:space="preserve"> respectively. </w:t>
      </w:r>
      <w:r>
        <w:rPr>
          <w:rFonts w:ascii="Arial" w:cs="Arial" w:eastAsia="Arial" w:hAnsi="Arial"/>
          <w:sz w:val="18"/>
          <w:szCs w:val="18"/>
          <w:color w:val="000000"/>
        </w:rPr>
        <w:t>Depreciation</w:t>
      </w:r>
      <w:r>
        <w:rPr>
          <w:rFonts w:ascii="Arial" w:cs="Arial" w:eastAsia="Arial" w:hAnsi="Arial"/>
          <w:sz w:val="18"/>
          <w:szCs w:val="18"/>
          <w:color w:val="231F20"/>
        </w:rPr>
        <w:t xml:space="preserve"> and amortization expense relating to property and equipment was </w:t>
      </w:r>
      <w:r>
        <w:rPr>
          <w:rFonts w:ascii="Arial" w:cs="Arial" w:eastAsia="Arial" w:hAnsi="Arial"/>
          <w:sz w:val="18"/>
          <w:szCs w:val="18"/>
          <w:color w:val="000000"/>
        </w:rPr>
        <w:t>$13.9 million, $11.5 million</w:t>
      </w:r>
      <w:r>
        <w:rPr>
          <w:rFonts w:ascii="Arial" w:cs="Arial" w:eastAsia="Arial" w:hAnsi="Arial"/>
          <w:sz w:val="18"/>
          <w:szCs w:val="18"/>
          <w:color w:val="231F20"/>
        </w:rPr>
        <w:t xml:space="preserve"> and </w:t>
      </w:r>
      <w:r>
        <w:rPr>
          <w:rFonts w:ascii="Arial" w:cs="Arial" w:eastAsia="Arial" w:hAnsi="Arial"/>
          <w:sz w:val="18"/>
          <w:szCs w:val="18"/>
          <w:color w:val="000000"/>
        </w:rPr>
        <w:t>$9.2 million</w:t>
      </w:r>
      <w:r>
        <w:rPr>
          <w:rFonts w:ascii="Arial" w:cs="Arial" w:eastAsia="Arial" w:hAnsi="Arial"/>
          <w:sz w:val="18"/>
          <w:szCs w:val="18"/>
          <w:color w:val="231F20"/>
        </w:rPr>
        <w:t xml:space="preserve"> for </w:t>
      </w:r>
      <w:r>
        <w:rPr>
          <w:rFonts w:ascii="Arial" w:cs="Arial" w:eastAsia="Arial" w:hAnsi="Arial"/>
          <w:sz w:val="18"/>
          <w:szCs w:val="18"/>
          <w:color w:val="000000"/>
        </w:rPr>
        <w:t>2015,</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respectively.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333"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Goodwill and Intangible Assets, Net</w:t>
      </w:r>
    </w:p>
    <w:p>
      <w:pPr>
        <w:spacing w:after="0" w:line="261" w:lineRule="exact"/>
        <w:rPr>
          <w:sz w:val="20"/>
          <w:szCs w:val="20"/>
          <w:color w:val="auto"/>
        </w:rPr>
      </w:pPr>
    </w:p>
    <w:p>
      <w:pPr>
        <w:ind w:right="940" w:firstLine="405"/>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820" w:type="dxa"/>
            <w:vAlign w:val="bottom"/>
          </w:tcPr>
          <w:p>
            <w:pPr>
              <w:jc w:val="right"/>
              <w:ind w:right="82"/>
              <w:spacing w:after="0"/>
              <w:rPr>
                <w:sz w:val="20"/>
                <w:szCs w:val="20"/>
                <w:color w:val="auto"/>
              </w:rPr>
            </w:pPr>
            <w:r>
              <w:rPr>
                <w:rFonts w:ascii="Arial" w:cs="Arial" w:eastAsia="Arial" w:hAnsi="Arial"/>
                <w:sz w:val="14"/>
                <w:szCs w:val="14"/>
                <w:b w:val="1"/>
                <w:bCs w:val="1"/>
                <w:color w:val="auto"/>
              </w:rPr>
              <w:t>Net Book</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Net Book</w:t>
            </w:r>
          </w:p>
        </w:tc>
      </w:tr>
      <w:tr>
        <w:trPr>
          <w:trHeight w:val="196"/>
        </w:trPr>
        <w:tc>
          <w:tcPr>
            <w:tcW w:w="33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Lives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Value</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 years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727</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Patent license</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 years</w:t>
            </w:r>
          </w:p>
        </w:tc>
        <w:tc>
          <w:tcPr>
            <w:tcW w:w="22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966</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Non-competition agreements and other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 years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80"/>
        </w:trPr>
        <w:tc>
          <w:tcPr>
            <w:tcW w:w="3340" w:type="dxa"/>
            <w:vAlign w:val="bottom"/>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1,320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1,706</w:t>
            </w:r>
          </w:p>
        </w:tc>
      </w:tr>
      <w:tr>
        <w:trPr>
          <w:trHeight w:val="22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spacing w:after="0"/>
              <w:rPr>
                <w:sz w:val="19"/>
                <w:szCs w:val="19"/>
                <w:color w:val="auto"/>
              </w:rPr>
            </w:pPr>
          </w:p>
        </w:tc>
        <w:tc>
          <w:tcPr>
            <w:tcW w:w="82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spacing w:after="0"/>
              <w:rPr>
                <w:sz w:val="19"/>
                <w:szCs w:val="19"/>
                <w:color w:val="auto"/>
              </w:rPr>
            </w:pPr>
          </w:p>
        </w:tc>
        <w:tc>
          <w:tcPr>
            <w:tcW w:w="680" w:type="dxa"/>
            <w:vAlign w:val="bottom"/>
            <w:tcBorders>
              <w:top w:val="single" w:sz="8" w:color="CCEEFF"/>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r>
      <w:tr>
        <w:trPr>
          <w:trHeight w:val="240"/>
        </w:trPr>
        <w:tc>
          <w:tcPr>
            <w:tcW w:w="3340" w:type="dxa"/>
            <w:vAlign w:val="bottom"/>
          </w:tcPr>
          <w:p>
            <w:pPr>
              <w:ind w:left="280"/>
              <w:spacing w:after="0"/>
              <w:rPr>
                <w:sz w:val="20"/>
                <w:szCs w:val="20"/>
                <w:color w:val="auto"/>
              </w:rPr>
            </w:pPr>
            <w:r>
              <w:rPr>
                <w:rFonts w:ascii="Arial" w:cs="Arial" w:eastAsia="Arial" w:hAnsi="Arial"/>
                <w:sz w:val="16"/>
                <w:szCs w:val="16"/>
                <w:color w:val="auto"/>
              </w:rPr>
              <w:t>Total intangible assets,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2,001</w:t>
            </w:r>
          </w:p>
        </w:tc>
      </w:tr>
      <w:tr>
        <w:trPr>
          <w:trHeight w:val="20"/>
        </w:trPr>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231F20"/>
        </w:rPr>
        <w:t xml:space="preserve">Intangibles amortization expense for each of </w:t>
      </w:r>
      <w:r>
        <w:rPr>
          <w:rFonts w:ascii="Arial" w:cs="Arial" w:eastAsia="Arial" w:hAnsi="Arial"/>
          <w:sz w:val="18"/>
          <w:szCs w:val="18"/>
          <w:color w:val="000000"/>
        </w:rPr>
        <w:t>2015,</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was </w:t>
      </w:r>
      <w:r>
        <w:rPr>
          <w:rFonts w:ascii="Arial" w:cs="Arial" w:eastAsia="Arial" w:hAnsi="Arial"/>
          <w:sz w:val="18"/>
          <w:szCs w:val="18"/>
          <w:color w:val="000000"/>
        </w:rPr>
        <w:t>$0.4 million. In 2015, the Company wrote off $0.3 million related to</w:t>
      </w:r>
      <w:r>
        <w:rPr>
          <w:rFonts w:ascii="Arial" w:cs="Arial" w:eastAsia="Arial" w:hAnsi="Arial"/>
          <w:sz w:val="18"/>
          <w:szCs w:val="18"/>
          <w:color w:val="231F20"/>
        </w:rPr>
        <w:t xml:space="preserve"> </w:t>
      </w:r>
      <w:r>
        <w:rPr>
          <w:rFonts w:ascii="Arial" w:cs="Arial" w:eastAsia="Arial" w:hAnsi="Arial"/>
          <w:sz w:val="18"/>
          <w:szCs w:val="18"/>
          <w:color w:val="000000"/>
        </w:rPr>
        <w:t>the impairment of certain intangible assets that were not subject to amortization.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2015</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282</w:t>
            </w:r>
          </w:p>
        </w:tc>
      </w:tr>
      <w:tr>
        <w:trPr>
          <w:trHeight w:val="25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100</w:t>
            </w:r>
          </w:p>
        </w:tc>
      </w:tr>
      <w:tr>
        <w:trPr>
          <w:trHeight w:val="25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37"/>
        </w:trPr>
        <w:tc>
          <w:tcPr>
            <w:tcW w:w="9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2021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365</w:t>
            </w:r>
          </w:p>
        </w:tc>
      </w:tr>
      <w:tr>
        <w:trPr>
          <w:trHeight w:val="240"/>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1,320</w:t>
            </w:r>
          </w:p>
        </w:tc>
      </w:tr>
      <w:tr>
        <w:trPr>
          <w:trHeight w:val="20"/>
        </w:trPr>
        <w:tc>
          <w:tcPr>
            <w:tcW w:w="9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333"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Commitments and Contingencies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39"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2020.</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December 31, 2015</w:t>
      </w:r>
      <w:r>
        <w:rPr>
          <w:rFonts w:ascii="Arial" w:cs="Arial" w:eastAsia="Arial" w:hAnsi="Arial"/>
          <w:sz w:val="18"/>
          <w:szCs w:val="18"/>
          <w:color w:val="231F20"/>
        </w:rPr>
        <w:t xml:space="preserve">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40" w:type="dxa"/>
            <w:vAlign w:val="bottom"/>
            <w:shd w:val="clear" w:color="auto" w:fill="CCEEFF"/>
          </w:tcPr>
          <w:p>
            <w:pPr>
              <w:jc w:val="right"/>
              <w:ind w:right="8759"/>
              <w:spacing w:after="0"/>
              <w:rPr>
                <w:sz w:val="20"/>
                <w:szCs w:val="20"/>
                <w:color w:val="auto"/>
              </w:rPr>
            </w:pPr>
            <w:r>
              <w:rPr>
                <w:rFonts w:ascii="Arial" w:cs="Arial" w:eastAsia="Arial" w:hAnsi="Arial"/>
                <w:sz w:val="16"/>
                <w:szCs w:val="16"/>
                <w:color w:val="auto"/>
              </w:rPr>
              <w:t>2016</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3,892</w:t>
            </w:r>
          </w:p>
        </w:tc>
      </w:tr>
      <w:tr>
        <w:trPr>
          <w:trHeight w:val="260"/>
        </w:trPr>
        <w:tc>
          <w:tcPr>
            <w:tcW w:w="9240" w:type="dxa"/>
            <w:vAlign w:val="bottom"/>
          </w:tcPr>
          <w:p>
            <w:pPr>
              <w:jc w:val="right"/>
              <w:ind w:right="8759"/>
              <w:spacing w:after="0"/>
              <w:rPr>
                <w:sz w:val="20"/>
                <w:szCs w:val="20"/>
                <w:color w:val="auto"/>
              </w:rPr>
            </w:pPr>
            <w:r>
              <w:rPr>
                <w:rFonts w:ascii="Arial" w:cs="Arial" w:eastAsia="Arial" w:hAnsi="Arial"/>
                <w:sz w:val="16"/>
                <w:szCs w:val="16"/>
                <w:color w:val="auto"/>
              </w:rPr>
              <w:t>2017</w:t>
            </w:r>
          </w:p>
        </w:tc>
        <w:tc>
          <w:tcPr>
            <w:tcW w:w="6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2,377</w:t>
            </w:r>
          </w:p>
        </w:tc>
      </w:tr>
      <w:tr>
        <w:trPr>
          <w:trHeight w:val="280"/>
        </w:trPr>
        <w:tc>
          <w:tcPr>
            <w:tcW w:w="9240" w:type="dxa"/>
            <w:vAlign w:val="bottom"/>
            <w:shd w:val="clear" w:color="auto" w:fill="CCEEFF"/>
          </w:tcPr>
          <w:p>
            <w:pPr>
              <w:jc w:val="right"/>
              <w:ind w:right="8759"/>
              <w:spacing w:after="0"/>
              <w:rPr>
                <w:sz w:val="20"/>
                <w:szCs w:val="20"/>
                <w:color w:val="auto"/>
              </w:rPr>
            </w:pPr>
            <w:r>
              <w:rPr>
                <w:rFonts w:ascii="Arial" w:cs="Arial" w:eastAsia="Arial" w:hAnsi="Arial"/>
                <w:sz w:val="16"/>
                <w:szCs w:val="16"/>
                <w:color w:val="auto"/>
              </w:rPr>
              <w:t>2018</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w:t>
            </w:r>
          </w:p>
        </w:tc>
      </w:tr>
      <w:tr>
        <w:trPr>
          <w:trHeight w:val="260"/>
        </w:trPr>
        <w:tc>
          <w:tcPr>
            <w:tcW w:w="9240" w:type="dxa"/>
            <w:vAlign w:val="bottom"/>
          </w:tcPr>
          <w:p>
            <w:pPr>
              <w:jc w:val="right"/>
              <w:ind w:right="8759"/>
              <w:spacing w:after="0"/>
              <w:rPr>
                <w:sz w:val="20"/>
                <w:szCs w:val="20"/>
                <w:color w:val="auto"/>
              </w:rPr>
            </w:pPr>
            <w:r>
              <w:rPr>
                <w:rFonts w:ascii="Arial" w:cs="Arial" w:eastAsia="Arial" w:hAnsi="Arial"/>
                <w:sz w:val="16"/>
                <w:szCs w:val="16"/>
                <w:color w:val="auto"/>
              </w:rPr>
              <w:t>2019</w:t>
            </w:r>
          </w:p>
        </w:tc>
        <w:tc>
          <w:tcPr>
            <w:tcW w:w="6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273"/>
        </w:trPr>
        <w:tc>
          <w:tcPr>
            <w:tcW w:w="9240" w:type="dxa"/>
            <w:vAlign w:val="bottom"/>
            <w:shd w:val="clear" w:color="auto" w:fill="CCEEFF"/>
          </w:tcPr>
          <w:p>
            <w:pPr>
              <w:jc w:val="right"/>
              <w:ind w:right="8759"/>
              <w:spacing w:after="0"/>
              <w:rPr>
                <w:sz w:val="20"/>
                <w:szCs w:val="20"/>
                <w:color w:val="auto"/>
              </w:rPr>
            </w:pPr>
            <w:r>
              <w:rPr>
                <w:rFonts w:ascii="Arial" w:cs="Arial" w:eastAsia="Arial" w:hAnsi="Arial"/>
                <w:sz w:val="16"/>
                <w:szCs w:val="16"/>
                <w:color w:val="auto"/>
              </w:rPr>
              <w:t>2020</w:t>
            </w:r>
          </w:p>
        </w:tc>
        <w:tc>
          <w:tcPr>
            <w:tcW w:w="6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r>
      <w:tr>
        <w:trPr>
          <w:trHeight w:val="240"/>
        </w:trPr>
        <w:tc>
          <w:tcPr>
            <w:tcW w:w="9240" w:type="dxa"/>
            <w:vAlign w:val="bottom"/>
          </w:tcPr>
          <w:p>
            <w:pPr>
              <w:jc w:val="right"/>
              <w:ind w:right="6739"/>
              <w:spacing w:after="0"/>
              <w:rPr>
                <w:sz w:val="20"/>
                <w:szCs w:val="20"/>
                <w:color w:val="auto"/>
              </w:rPr>
            </w:pPr>
            <w:r>
              <w:rPr>
                <w:rFonts w:ascii="Arial" w:cs="Arial" w:eastAsia="Arial" w:hAnsi="Arial"/>
                <w:sz w:val="16"/>
                <w:szCs w:val="16"/>
                <w:color w:val="auto"/>
              </w:rPr>
              <w:t>Total minimum lease payments</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8,118</w:t>
            </w:r>
          </w:p>
        </w:tc>
      </w:tr>
      <w:tr>
        <w:trPr>
          <w:trHeight w:val="20"/>
        </w:trPr>
        <w:tc>
          <w:tcPr>
            <w:tcW w:w="9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231F20"/>
        </w:rPr>
        <w:t xml:space="preserve">Rent expense was </w:t>
      </w:r>
      <w:r>
        <w:rPr>
          <w:rFonts w:ascii="Arial" w:cs="Arial" w:eastAsia="Arial" w:hAnsi="Arial"/>
          <w:sz w:val="18"/>
          <w:szCs w:val="18"/>
          <w:color w:val="000000"/>
        </w:rPr>
        <w:t>$6.6 million,</w:t>
      </w:r>
      <w:r>
        <w:rPr>
          <w:rFonts w:ascii="Arial" w:cs="Arial" w:eastAsia="Arial" w:hAnsi="Arial"/>
          <w:sz w:val="18"/>
          <w:szCs w:val="18"/>
          <w:color w:val="231F20"/>
        </w:rPr>
        <w:t xml:space="preserve"> </w:t>
      </w:r>
      <w:r>
        <w:rPr>
          <w:rFonts w:ascii="Arial" w:cs="Arial" w:eastAsia="Arial" w:hAnsi="Arial"/>
          <w:sz w:val="18"/>
          <w:szCs w:val="18"/>
          <w:color w:val="000000"/>
        </w:rPr>
        <w:t>$6.2 million and $ 5.4 million for 2015,</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December 31, 2015 and 2014, the Company has accrued </w:t>
      </w:r>
      <w:r>
        <w:rPr>
          <w:rFonts w:ascii="Arial" w:cs="Arial" w:eastAsia="Arial" w:hAnsi="Arial"/>
          <w:sz w:val="18"/>
          <w:szCs w:val="18"/>
          <w:color w:val="000000"/>
        </w:rPr>
        <w:t>$0.5 million</w:t>
      </w:r>
      <w:r>
        <w:rPr>
          <w:rFonts w:ascii="Arial" w:cs="Arial" w:eastAsia="Arial" w:hAnsi="Arial"/>
          <w:sz w:val="18"/>
          <w:szCs w:val="18"/>
          <w:color w:val="231F20"/>
        </w:rPr>
        <w:t xml:space="preserve"> of deferred rent related to these agreements, which is reflected in accrued liabilities and other noncurrent liabilities in the accompanying consolidated balance sheets.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39" w:lineRule="exact"/>
        <w:rPr>
          <w:sz w:val="20"/>
          <w:szCs w:val="20"/>
          <w:color w:val="auto"/>
        </w:rPr>
      </w:pPr>
    </w:p>
    <w:p>
      <w:pPr>
        <w:jc w:val="both"/>
        <w:ind w:right="500" w:firstLine="405"/>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December 31, 2015</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3"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NOTE 6.</w:t>
            </w:r>
          </w:p>
        </w:tc>
        <w:tc>
          <w:tcPr>
            <w:tcW w:w="8540" w:type="dxa"/>
            <w:vAlign w:val="bottom"/>
          </w:tcPr>
          <w:p>
            <w:pPr>
              <w:ind w:left="280"/>
              <w:spacing w:after="0"/>
              <w:rPr>
                <w:sz w:val="20"/>
                <w:szCs w:val="20"/>
                <w:color w:val="auto"/>
              </w:rPr>
            </w:pPr>
            <w:r>
              <w:rPr>
                <w:rFonts w:ascii="Arial" w:cs="Arial" w:eastAsia="Arial" w:hAnsi="Arial"/>
                <w:sz w:val="18"/>
                <w:szCs w:val="18"/>
                <w:b w:val="1"/>
                <w:bCs w:val="1"/>
                <w:color w:val="auto"/>
              </w:rPr>
              <w:t>Stockholders' Equity</w:t>
            </w:r>
          </w:p>
        </w:tc>
        <w:tc>
          <w:tcPr>
            <w:tcW w:w="1800" w:type="dxa"/>
            <w:vAlign w:val="bottom"/>
          </w:tcPr>
          <w:p>
            <w:pPr>
              <w:spacing w:after="0"/>
              <w:rPr>
                <w:sz w:val="20"/>
                <w:szCs w:val="20"/>
                <w:color w:val="auto"/>
              </w:rPr>
            </w:pPr>
          </w:p>
        </w:tc>
      </w:tr>
      <w:tr>
        <w:trPr>
          <w:trHeight w:val="446"/>
        </w:trPr>
        <w:tc>
          <w:tcPr>
            <w:tcW w:w="956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231F20"/>
              </w:rPr>
              <w:t>Common Stock</w:t>
            </w:r>
          </w:p>
        </w:tc>
        <w:tc>
          <w:tcPr>
            <w:tcW w:w="1800" w:type="dxa"/>
            <w:vAlign w:val="bottom"/>
          </w:tcPr>
          <w:p>
            <w:pPr>
              <w:spacing w:after="0"/>
              <w:rPr>
                <w:sz w:val="24"/>
                <w:szCs w:val="24"/>
                <w:color w:val="auto"/>
              </w:rPr>
            </w:pPr>
          </w:p>
        </w:tc>
      </w:tr>
      <w:tr>
        <w:trPr>
          <w:trHeight w:val="432"/>
        </w:trPr>
        <w:tc>
          <w:tcPr>
            <w:tcW w:w="9560" w:type="dxa"/>
            <w:vAlign w:val="bottom"/>
            <w:gridSpan w:val="3"/>
          </w:tcPr>
          <w:p>
            <w:pPr>
              <w:ind w:left="420"/>
              <w:spacing w:after="0"/>
              <w:rPr>
                <w:sz w:val="20"/>
                <w:szCs w:val="20"/>
                <w:color w:val="auto"/>
              </w:rPr>
            </w:pPr>
            <w:r>
              <w:rPr>
                <w:rFonts w:ascii="Arial" w:cs="Arial" w:eastAsia="Arial" w:hAnsi="Arial"/>
                <w:sz w:val="18"/>
                <w:szCs w:val="18"/>
                <w:color w:val="231F20"/>
              </w:rPr>
              <w:t xml:space="preserve">The Company had reserved shares of common stock for future issuance as of </w:t>
            </w:r>
            <w:r>
              <w:rPr>
                <w:rFonts w:ascii="Arial" w:cs="Arial" w:eastAsia="Arial" w:hAnsi="Arial"/>
                <w:sz w:val="18"/>
                <w:szCs w:val="18"/>
                <w:color w:val="000000"/>
              </w:rPr>
              <w:t>December 31, 2015</w:t>
            </w:r>
            <w:r>
              <w:rPr>
                <w:rFonts w:ascii="Arial" w:cs="Arial" w:eastAsia="Arial" w:hAnsi="Arial"/>
                <w:sz w:val="18"/>
                <w:szCs w:val="18"/>
                <w:color w:val="231F20"/>
              </w:rPr>
              <w:t>:</w:t>
            </w:r>
          </w:p>
        </w:tc>
        <w:tc>
          <w:tcPr>
            <w:tcW w:w="1800" w:type="dxa"/>
            <w:vAlign w:val="bottom"/>
          </w:tcPr>
          <w:p>
            <w:pPr>
              <w:spacing w:after="0"/>
              <w:rPr>
                <w:sz w:val="24"/>
                <w:szCs w:val="24"/>
                <w:color w:val="auto"/>
              </w:rPr>
            </w:pPr>
          </w:p>
        </w:tc>
      </w:tr>
      <w:tr>
        <w:trPr>
          <w:trHeight w:val="611"/>
        </w:trPr>
        <w:tc>
          <w:tcPr>
            <w:tcW w:w="9560" w:type="dxa"/>
            <w:vAlign w:val="bottom"/>
            <w:gridSpan w:val="3"/>
          </w:tcPr>
          <w:p>
            <w:pPr>
              <w:ind w:left="40"/>
              <w:spacing w:after="0"/>
              <w:rPr>
                <w:sz w:val="20"/>
                <w:szCs w:val="20"/>
                <w:color w:val="auto"/>
              </w:rPr>
            </w:pPr>
            <w:r>
              <w:rPr>
                <w:rFonts w:ascii="Arial" w:cs="Arial" w:eastAsia="Arial" w:hAnsi="Arial"/>
                <w:sz w:val="16"/>
                <w:szCs w:val="16"/>
                <w:color w:val="auto"/>
              </w:rPr>
              <w:t>Options and RSUs outstanding under equity incentive plans</w:t>
            </w:r>
          </w:p>
        </w:tc>
        <w:tc>
          <w:tcPr>
            <w:tcW w:w="1800" w:type="dxa"/>
            <w:vAlign w:val="bottom"/>
          </w:tcPr>
          <w:p>
            <w:pPr>
              <w:spacing w:after="0"/>
              <w:rPr>
                <w:sz w:val="24"/>
                <w:szCs w:val="24"/>
                <w:color w:val="auto"/>
              </w:rPr>
            </w:pPr>
          </w:p>
        </w:tc>
      </w:tr>
      <w:tr>
        <w:trPr>
          <w:trHeight w:val="280"/>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2000</w:t>
            </w:r>
          </w:p>
        </w:tc>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3,527,674</w:t>
            </w:r>
          </w:p>
        </w:tc>
      </w:tr>
      <w:tr>
        <w:trPr>
          <w:trHeight w:val="270"/>
        </w:trPr>
        <w:tc>
          <w:tcPr>
            <w:tcW w:w="660" w:type="dxa"/>
            <w:vAlign w:val="bottom"/>
          </w:tcPr>
          <w:p>
            <w:pPr>
              <w:ind w:left="280"/>
              <w:spacing w:after="0"/>
              <w:rPr>
                <w:sz w:val="20"/>
                <w:szCs w:val="20"/>
                <w:color w:val="auto"/>
              </w:rPr>
            </w:pPr>
            <w:r>
              <w:rPr>
                <w:rFonts w:ascii="Arial" w:cs="Arial" w:eastAsia="Arial" w:hAnsi="Arial"/>
                <w:sz w:val="16"/>
                <w:szCs w:val="16"/>
                <w:color w:val="auto"/>
              </w:rPr>
              <w:t>2012</w:t>
            </w:r>
          </w:p>
        </w:tc>
        <w:tc>
          <w:tcPr>
            <w:tcW w:w="8900" w:type="dxa"/>
            <w:vAlign w:val="bottom"/>
            <w:gridSpan w:val="2"/>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4,098,884</w:t>
            </w:r>
          </w:p>
        </w:tc>
      </w:tr>
      <w:tr>
        <w:trPr>
          <w:trHeight w:val="270"/>
        </w:trPr>
        <w:tc>
          <w:tcPr>
            <w:tcW w:w="9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under an equity incentive plan</w:t>
            </w:r>
          </w:p>
        </w:tc>
        <w:tc>
          <w:tcPr>
            <w:tcW w:w="1800" w:type="dxa"/>
            <w:vAlign w:val="bottom"/>
            <w:shd w:val="clear" w:color="auto" w:fill="CCEEFF"/>
          </w:tcPr>
          <w:p>
            <w:pPr>
              <w:spacing w:after="0"/>
              <w:rPr>
                <w:sz w:val="23"/>
                <w:szCs w:val="23"/>
                <w:color w:val="auto"/>
              </w:rPr>
            </w:pPr>
          </w:p>
        </w:tc>
      </w:tr>
      <w:tr>
        <w:trPr>
          <w:trHeight w:val="270"/>
        </w:trPr>
        <w:tc>
          <w:tcPr>
            <w:tcW w:w="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2012</w:t>
            </w:r>
          </w:p>
        </w:tc>
        <w:tc>
          <w:tcPr>
            <w:tcW w:w="8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1,618,861</w:t>
            </w:r>
          </w:p>
        </w:tc>
      </w:tr>
      <w:tr>
        <w:trPr>
          <w:trHeight w:val="23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shares reserved for future issuance</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9,245,419</w:t>
            </w: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1"/>
          <w:szCs w:val="11"/>
          <w:color w:val="231F20"/>
        </w:rPr>
      </w:pPr>
      <w:r>
        <w:rPr>
          <w:rFonts w:ascii="Arial" w:cs="Arial" w:eastAsia="Arial" w:hAnsi="Arial"/>
          <w:sz w:val="14"/>
          <w:szCs w:val="14"/>
          <w:color w:val="231F20"/>
        </w:rPr>
        <w:t>See Note 7 for a description of these plans.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39" w:lineRule="exact"/>
        <w:rPr>
          <w:sz w:val="20"/>
          <w:szCs w:val="20"/>
          <w:color w:val="auto"/>
        </w:rPr>
      </w:pPr>
    </w:p>
    <w:p>
      <w:pPr>
        <w:ind w:right="420" w:firstLine="405"/>
        <w:spacing w:after="0" w:line="274" w:lineRule="auto"/>
        <w:rPr>
          <w:sz w:val="20"/>
          <w:szCs w:val="20"/>
          <w:color w:val="auto"/>
        </w:rPr>
      </w:pPr>
      <w:r>
        <w:rPr>
          <w:rFonts w:ascii="Arial" w:cs="Arial" w:eastAsia="Arial" w:hAnsi="Arial"/>
          <w:sz w:val="17"/>
          <w:szCs w:val="17"/>
          <w:color w:val="231F20"/>
        </w:rPr>
        <w:t xml:space="preserve">Effective October 3, 2012, the Company is authorized to issue </w:t>
      </w:r>
      <w:r>
        <w:rPr>
          <w:rFonts w:ascii="Arial" w:cs="Arial" w:eastAsia="Arial" w:hAnsi="Arial"/>
          <w:sz w:val="17"/>
          <w:szCs w:val="17"/>
          <w:color w:val="000000"/>
        </w:rPr>
        <w:t>20,000,000</w:t>
      </w:r>
      <w:r>
        <w:rPr>
          <w:rFonts w:ascii="Arial" w:cs="Arial" w:eastAsia="Arial" w:hAnsi="Arial"/>
          <w:sz w:val="17"/>
          <w:szCs w:val="17"/>
          <w:color w:val="231F20"/>
        </w:rPr>
        <w:t xml:space="preserve"> shares of undesignated preferred stock with a par value of </w:t>
      </w:r>
      <w:r>
        <w:rPr>
          <w:rFonts w:ascii="Arial" w:cs="Arial" w:eastAsia="Arial" w:hAnsi="Arial"/>
          <w:sz w:val="17"/>
          <w:szCs w:val="17"/>
          <w:color w:val="000000"/>
        </w:rPr>
        <w:t xml:space="preserve">$0.001 </w:t>
      </w:r>
      <w:r>
        <w:rPr>
          <w:rFonts w:ascii="Arial" w:cs="Arial" w:eastAsia="Arial" w:hAnsi="Arial"/>
          <w:sz w:val="17"/>
          <w:szCs w:val="17"/>
          <w:color w:val="231F20"/>
        </w:rPr>
        <w:t>per share. Each series of preferred stock will have such</w:t>
      </w:r>
      <w:r>
        <w:rPr>
          <w:rFonts w:ascii="Arial" w:cs="Arial" w:eastAsia="Arial" w:hAnsi="Arial"/>
          <w:sz w:val="17"/>
          <w:szCs w:val="17"/>
          <w:color w:val="000000"/>
        </w:rPr>
        <w:t xml:space="preserve"> rights and preferences including dividend rights, dividend rate, conversion rights, voting rights, rights and terms of redemption (including sinking fund provisions), redemption price, and liquidation preferences as determined by the Board. </w:t>
      </w:r>
      <w:r>
        <w:rPr>
          <w:rFonts w:ascii="Arial" w:cs="Arial" w:eastAsia="Arial" w:hAnsi="Arial"/>
          <w:sz w:val="17"/>
          <w:szCs w:val="17"/>
          <w:color w:val="231F20"/>
        </w:rPr>
        <w:t>As of December 31, 2015 and 2014, there are no issued or outstanding shares of preferred stock.</w:t>
      </w:r>
    </w:p>
    <w:p>
      <w:pPr>
        <w:spacing w:after="0" w:line="32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Employee Stock and Benefit Plans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6,348,478</w:t>
      </w:r>
      <w:r>
        <w:rPr>
          <w:rFonts w:ascii="Arial" w:cs="Arial" w:eastAsia="Arial" w:hAnsi="Arial"/>
          <w:sz w:val="18"/>
          <w:szCs w:val="18"/>
          <w:color w:val="231F20"/>
        </w:rPr>
        <w:t xml:space="preserve"> shares of common stock as of December 31, 2015. The number of shares of common stock available for issuance under the 2012 Plan includes an annual increase on January 1 of each year by an amount equal to the least of</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3,050,000 </w:t>
      </w:r>
      <w:r>
        <w:rPr>
          <w:rFonts w:ascii="Arial" w:cs="Arial" w:eastAsia="Arial" w:hAnsi="Arial"/>
          <w:sz w:val="18"/>
          <w:szCs w:val="18"/>
          <w:color w:val="231F20"/>
        </w:rPr>
        <w:t>shares;</w:t>
      </w:r>
      <w:r>
        <w:rPr>
          <w:rFonts w:ascii="Arial" w:cs="Arial" w:eastAsia="Arial" w:hAnsi="Arial"/>
          <w:sz w:val="18"/>
          <w:szCs w:val="18"/>
          <w:color w:val="auto"/>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auto"/>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subsidiary corporations' employees and consultants. </w:t>
      </w:r>
      <w:r>
        <w:rPr>
          <w:rFonts w:ascii="Arial" w:cs="Arial" w:eastAsia="Arial" w:hAnsi="Arial"/>
          <w:sz w:val="18"/>
          <w:szCs w:val="18"/>
          <w:color w:val="000000"/>
        </w:rPr>
        <w:t>Options, SARs, RSAs, RSUs, performance</w:t>
      </w:r>
      <w:r>
        <w:rPr>
          <w:rFonts w:ascii="Arial" w:cs="Arial" w:eastAsia="Arial" w:hAnsi="Arial"/>
          <w:sz w:val="18"/>
          <w:szCs w:val="18"/>
          <w:color w:val="231F20"/>
        </w:rPr>
        <w:t xml:space="preserve"> </w:t>
      </w:r>
      <w:r>
        <w:rPr>
          <w:rFonts w:ascii="Arial" w:cs="Arial" w:eastAsia="Arial" w:hAnsi="Arial"/>
          <w:sz w:val="18"/>
          <w:szCs w:val="18"/>
          <w:color w:val="000000"/>
        </w:rPr>
        <w:t xml:space="preserve">units and performance awards may be granted with vesting terms as determined by the board of directors and expire no more than ten years after the date of grant or earlier if employment or service is terminated. </w:t>
      </w:r>
      <w:r>
        <w:rPr>
          <w:rFonts w:ascii="Arial" w:cs="Arial" w:eastAsia="Arial" w:hAnsi="Arial"/>
          <w:sz w:val="18"/>
          <w:szCs w:val="18"/>
          <w:color w:val="231F20"/>
        </w:rPr>
        <w:t>As of</w:t>
      </w:r>
      <w:r>
        <w:rPr>
          <w:rFonts w:ascii="Arial" w:cs="Arial" w:eastAsia="Arial" w:hAnsi="Arial"/>
          <w:sz w:val="18"/>
          <w:szCs w:val="18"/>
          <w:color w:val="000000"/>
        </w:rPr>
        <w:t xml:space="preserve"> December 31, 2015</w:t>
      </w:r>
      <w:r>
        <w:rPr>
          <w:rFonts w:ascii="Arial" w:cs="Arial" w:eastAsia="Arial" w:hAnsi="Arial"/>
          <w:sz w:val="18"/>
          <w:szCs w:val="18"/>
          <w:color w:val="231F20"/>
        </w:rPr>
        <w:t>,</w:t>
      </w:r>
      <w:r>
        <w:rPr>
          <w:rFonts w:ascii="Arial" w:cs="Arial" w:eastAsia="Arial" w:hAnsi="Arial"/>
          <w:sz w:val="18"/>
          <w:szCs w:val="18"/>
          <w:color w:val="000000"/>
        </w:rPr>
        <w:t xml:space="preserve"> 1,618,861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IPO, and accordingly, </w:t>
      </w:r>
      <w:r>
        <w:rPr>
          <w:rFonts w:ascii="Arial" w:cs="Arial" w:eastAsia="Arial" w:hAnsi="Arial"/>
          <w:sz w:val="18"/>
          <w:szCs w:val="18"/>
          <w:color w:val="000000"/>
        </w:rPr>
        <w:t>no</w:t>
      </w:r>
      <w:r>
        <w:rPr>
          <w:rFonts w:ascii="Arial" w:cs="Arial" w:eastAsia="Arial" w:hAnsi="Arial"/>
          <w:sz w:val="18"/>
          <w:szCs w:val="18"/>
          <w:color w:val="231F20"/>
        </w:rPr>
        <w:t xml:space="preserve"> shares are currently available for issuance under the 2000 Plan. The 2000 Plan continues to govern outstanding awards granted thereunder.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33"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The amounts paid for shares purchased under an early exercise of stock options and subject to repurchase by the Company are not reported as a component of </w:t>
      </w:r>
      <w:r>
        <w:rPr>
          <w:rFonts w:ascii="Arial" w:cs="Arial" w:eastAsia="Arial" w:hAnsi="Arial"/>
          <w:sz w:val="18"/>
          <w:szCs w:val="18"/>
          <w:color w:val="000000"/>
        </w:rPr>
        <w:t>stockholders</w:t>
      </w:r>
      <w:r>
        <w:rPr>
          <w:rFonts w:ascii="Arial" w:cs="Arial" w:eastAsia="Arial" w:hAnsi="Arial"/>
          <w:sz w:val="18"/>
          <w:szCs w:val="18"/>
          <w:color w:val="231F20"/>
        </w:rPr>
        <w:t>’ equity (deficit) until those shares vest. The amounts received in exchange for these shares are recorded as an accrued liability in the accompanying consolidated balance sheets and will be reclassified to common stock and additional paid-in capital as the shares vest.</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for employee stock options is included in the consolidated statements of operations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47"/>
        </w:trPr>
        <w:tc>
          <w:tcPr>
            <w:tcW w:w="7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1,038</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1,244</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1,842</w:t>
            </w: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2015</w:t>
      </w:r>
      <w:r>
        <w:rPr>
          <w:rFonts w:ascii="Arial" w:cs="Arial" w:eastAsia="Arial" w:hAnsi="Arial"/>
          <w:sz w:val="18"/>
          <w:szCs w:val="18"/>
          <w:color w:val="231F20"/>
        </w:rPr>
        <w:t xml:space="preserve">, the Company had </w:t>
      </w:r>
      <w:r>
        <w:rPr>
          <w:rFonts w:ascii="Arial" w:cs="Arial" w:eastAsia="Arial" w:hAnsi="Arial"/>
          <w:sz w:val="18"/>
          <w:szCs w:val="18"/>
          <w:color w:val="000000"/>
        </w:rPr>
        <w:t>$25.2 million</w:t>
      </w:r>
      <w:r>
        <w:rPr>
          <w:rFonts w:ascii="Arial" w:cs="Arial" w:eastAsia="Arial" w:hAnsi="Arial"/>
          <w:sz w:val="18"/>
          <w:szCs w:val="18"/>
          <w:color w:val="231F20"/>
        </w:rPr>
        <w:t xml:space="preserve"> of total unrecognized employee compensation cost related to unvested awards that it expects to recognize over a weighted-average period of </w:t>
      </w:r>
      <w:r>
        <w:rPr>
          <w:rFonts w:ascii="Arial" w:cs="Arial" w:eastAsia="Arial" w:hAnsi="Arial"/>
          <w:sz w:val="18"/>
          <w:szCs w:val="18"/>
          <w:color w:val="000000"/>
        </w:rPr>
        <w:t>2.3</w:t>
      </w:r>
      <w:r>
        <w:rPr>
          <w:rFonts w:ascii="Arial" w:cs="Arial" w:eastAsia="Arial" w:hAnsi="Arial"/>
          <w:sz w:val="18"/>
          <w:szCs w:val="18"/>
          <w:color w:val="231F20"/>
        </w:rPr>
        <w:t xml:space="preserve"> years.</w:t>
      </w:r>
    </w:p>
    <w:p>
      <w:pPr>
        <w:spacing w:after="0" w:line="14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9"/>
              </w:rPr>
              <w:t>Year Ended December 31,</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to</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780" w:type="dxa"/>
            <w:vAlign w:val="bottom"/>
          </w:tcPr>
          <w:p>
            <w:pPr>
              <w:jc w:val="right"/>
              <w:spacing w:after="0"/>
              <w:rPr>
                <w:sz w:val="20"/>
                <w:szCs w:val="20"/>
                <w:color w:val="auto"/>
              </w:rPr>
            </w:pPr>
            <w:r>
              <w:rPr>
                <w:rFonts w:ascii="Arial" w:cs="Arial" w:eastAsia="Arial" w:hAnsi="Arial"/>
                <w:sz w:val="16"/>
                <w:szCs w:val="16"/>
                <w:color w:val="auto"/>
              </w:rPr>
              <w:t>45% to</w:t>
            </w:r>
          </w:p>
        </w:tc>
        <w:tc>
          <w:tcPr>
            <w:tcW w:w="380" w:type="dxa"/>
            <w:vAlign w:val="bottom"/>
          </w:tcPr>
          <w:p>
            <w:pPr>
              <w:ind w:left="20"/>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 to</w:t>
            </w:r>
          </w:p>
        </w:tc>
        <w:tc>
          <w:tcPr>
            <w:tcW w:w="580" w:type="dxa"/>
            <w:vAlign w:val="bottom"/>
          </w:tcPr>
          <w:p>
            <w:pPr>
              <w:ind w:lef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 to</w:t>
            </w:r>
          </w:p>
        </w:tc>
        <w:tc>
          <w:tcPr>
            <w:tcW w:w="600" w:type="dxa"/>
            <w:vAlign w:val="bottom"/>
          </w:tcPr>
          <w:p>
            <w:pPr>
              <w:ind w:left="20"/>
              <w:spacing w:after="0"/>
              <w:rPr>
                <w:sz w:val="20"/>
                <w:szCs w:val="20"/>
                <w:color w:val="auto"/>
              </w:rPr>
            </w:pPr>
            <w:r>
              <w:rPr>
                <w:rFonts w:ascii="Arial" w:cs="Arial" w:eastAsia="Arial" w:hAnsi="Arial"/>
                <w:sz w:val="16"/>
                <w:szCs w:val="16"/>
                <w:color w:val="auto"/>
              </w:rPr>
              <w:t>53%</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to</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1.7%</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to</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0.7% to</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21"/>
                <w:szCs w:val="21"/>
                <w:color w:val="auto"/>
              </w:rPr>
            </w:pPr>
          </w:p>
        </w:tc>
      </w:tr>
    </w:tbl>
    <w:p>
      <w:pPr>
        <w:spacing w:after="0" w:line="2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declared any dividends and does not expect to in the future.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$0.6 million, $0.7 million</w:t>
      </w:r>
      <w:r>
        <w:rPr>
          <w:rFonts w:ascii="Arial" w:cs="Arial" w:eastAsia="Arial" w:hAnsi="Arial"/>
          <w:sz w:val="18"/>
          <w:szCs w:val="18"/>
          <w:color w:val="231F20"/>
        </w:rPr>
        <w:t xml:space="preserve"> and </w:t>
      </w:r>
      <w:r>
        <w:rPr>
          <w:rFonts w:ascii="Arial" w:cs="Arial" w:eastAsia="Arial" w:hAnsi="Arial"/>
          <w:sz w:val="18"/>
          <w:szCs w:val="18"/>
          <w:color w:val="000000"/>
        </w:rPr>
        <w:t>$0.9 million</w:t>
      </w:r>
      <w:r>
        <w:rPr>
          <w:rFonts w:ascii="Arial" w:cs="Arial" w:eastAsia="Arial" w:hAnsi="Arial"/>
          <w:sz w:val="18"/>
          <w:szCs w:val="18"/>
          <w:color w:val="231F20"/>
        </w:rPr>
        <w:t xml:space="preserve"> for </w:t>
      </w:r>
      <w:r>
        <w:rPr>
          <w:rFonts w:ascii="Arial" w:cs="Arial" w:eastAsia="Arial" w:hAnsi="Arial"/>
          <w:sz w:val="18"/>
          <w:szCs w:val="18"/>
          <w:color w:val="000000"/>
        </w:rPr>
        <w:t>2015</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ectPr>
          <w:pgSz w:w="11900" w:h="16838" w:orient="portrait"/>
          <w:cols w:equalWidth="0" w:num="1">
            <w:col w:w="11400"/>
          </w:cols>
          <w:pgMar w:left="240" w:top="333" w:right="2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333" w:right="25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 Option Plan Activity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62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228"/>
        </w:trPr>
        <w:tc>
          <w:tcPr>
            <w:tcW w:w="5620" w:type="dxa"/>
            <w:vAlign w:val="bottom"/>
          </w:tcPr>
          <w:p>
            <w:pPr>
              <w:spacing w:after="0"/>
              <w:rPr>
                <w:sz w:val="19"/>
                <w:szCs w:val="19"/>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Life (Years)</w:t>
            </w:r>
          </w:p>
        </w:tc>
        <w:tc>
          <w:tcPr>
            <w:tcW w:w="180" w:type="dxa"/>
            <w:vAlign w:val="bottom"/>
          </w:tcPr>
          <w:p>
            <w:pPr>
              <w:spacing w:after="0"/>
              <w:rPr>
                <w:sz w:val="19"/>
                <w:szCs w:val="19"/>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6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6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31, 2012</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6,513,508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67,711</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2,001,400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15.78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(952,871)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(522,944)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31, 2013</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7,039,093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112,312</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2,744,150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26.16</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(1,216,710)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16.91</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31, 2014</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7,605,407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188,743</w:t>
            </w: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1,526,450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39.50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(807,846)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27.67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31, 2015</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7,579,058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131,345</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Vested and expected to vest—December 31, 2015</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7,111,282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130,208</w:t>
            </w:r>
          </w:p>
        </w:tc>
      </w:tr>
      <w:tr>
        <w:trPr>
          <w:trHeight w:val="25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Exercisable—December 31, 2015</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5,195,339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121,098</w:t>
            </w:r>
          </w:p>
        </w:tc>
      </w:tr>
      <w:tr>
        <w:trPr>
          <w:trHeight w:val="27"/>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3"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outstanding and vested stock options at December 31,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Vested</w:t>
            </w:r>
          </w:p>
        </w:tc>
        <w:tc>
          <w:tcPr>
            <w:tcW w:w="1200" w:type="dxa"/>
            <w:vAlign w:val="bottom"/>
            <w:tcBorders>
              <w:bottom w:val="single" w:sz="8" w:color="auto"/>
            </w:tcBorders>
          </w:tcPr>
          <w:p>
            <w:pPr>
              <w:spacing w:after="0"/>
              <w:rPr>
                <w:sz w:val="17"/>
                <w:szCs w:val="17"/>
                <w:color w:val="auto"/>
              </w:rPr>
            </w:pPr>
          </w:p>
        </w:tc>
      </w:tr>
      <w:tr>
        <w:trPr>
          <w:trHeight w:val="197"/>
        </w:trPr>
        <w:tc>
          <w:tcPr>
            <w:tcW w:w="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Exercise</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Price Per</w:t>
            </w:r>
          </w:p>
        </w:tc>
        <w:tc>
          <w:tcPr>
            <w:tcW w:w="1200" w:type="dxa"/>
            <w:vAlign w:val="bottom"/>
          </w:tcPr>
          <w:p>
            <w:pPr>
              <w:jc w:val="center"/>
              <w:ind w:left="179"/>
              <w:spacing w:after="0"/>
              <w:rPr>
                <w:sz w:val="20"/>
                <w:szCs w:val="20"/>
                <w:color w:val="auto"/>
              </w:rPr>
            </w:pPr>
            <w:r>
              <w:rPr>
                <w:rFonts w:ascii="Arial" w:cs="Arial" w:eastAsia="Arial" w:hAnsi="Arial"/>
                <w:sz w:val="16"/>
                <w:szCs w:val="16"/>
                <w:b w:val="1"/>
                <w:bCs w:val="1"/>
                <w:color w:val="auto"/>
              </w:rPr>
              <w:t>Contractual</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rPr>
              <w:t>Price Per</w:t>
            </w:r>
          </w:p>
        </w:tc>
      </w:tr>
      <w:tr>
        <w:trPr>
          <w:trHeight w:val="228"/>
        </w:trPr>
        <w:tc>
          <w:tcPr>
            <w:tcW w:w="3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Life (Years)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Share</w:t>
            </w:r>
          </w:p>
        </w:tc>
      </w:tr>
      <w:tr>
        <w:trPr>
          <w:trHeight w:val="257"/>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$1.40 - $1.40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156,259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156,259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r>
      <w:tr>
        <w:trPr>
          <w:trHeight w:val="260"/>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$1.90 - $1.90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940,082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940,082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1.90</w:t>
            </w:r>
          </w:p>
        </w:tc>
      </w:tr>
      <w:tr>
        <w:trPr>
          <w:trHeight w:val="280"/>
        </w:trPr>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$2.10</w:t>
            </w:r>
          </w:p>
        </w:tc>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$2.80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415,220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415,220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w:t>
            </w:r>
          </w:p>
        </w:tc>
      </w:tr>
      <w:tr>
        <w:trPr>
          <w:trHeight w:val="260"/>
        </w:trPr>
        <w:tc>
          <w:tcPr>
            <w:tcW w:w="460" w:type="dxa"/>
            <w:vAlign w:val="bottom"/>
          </w:tcPr>
          <w:p>
            <w:pPr>
              <w:ind w:left="40"/>
              <w:spacing w:after="0"/>
              <w:rPr>
                <w:sz w:val="20"/>
                <w:szCs w:val="20"/>
                <w:color w:val="auto"/>
              </w:rPr>
            </w:pPr>
            <w:r>
              <w:rPr>
                <w:rFonts w:ascii="Arial" w:cs="Arial" w:eastAsia="Arial" w:hAnsi="Arial"/>
                <w:sz w:val="16"/>
                <w:szCs w:val="16"/>
                <w:color w:val="auto"/>
                <w:w w:val="99"/>
              </w:rPr>
              <w:t>$3.80</w:t>
            </w:r>
          </w:p>
        </w:tc>
        <w:tc>
          <w:tcPr>
            <w:tcW w:w="2960" w:type="dxa"/>
            <w:vAlign w:val="bottom"/>
          </w:tcPr>
          <w:p>
            <w:pPr>
              <w:ind w:left="20"/>
              <w:spacing w:after="0"/>
              <w:rPr>
                <w:sz w:val="20"/>
                <w:szCs w:val="20"/>
                <w:color w:val="auto"/>
              </w:rPr>
            </w:pPr>
            <w:r>
              <w:rPr>
                <w:rFonts w:ascii="Arial" w:cs="Arial" w:eastAsia="Arial" w:hAnsi="Arial"/>
                <w:sz w:val="16"/>
                <w:szCs w:val="16"/>
                <w:color w:val="auto"/>
              </w:rPr>
              <w:t>- $3.80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1,117,235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3.9</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1,117,235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3.80</w:t>
            </w:r>
          </w:p>
        </w:tc>
      </w:tr>
      <w:tr>
        <w:trPr>
          <w:trHeight w:val="280"/>
        </w:trPr>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$4.10</w:t>
            </w:r>
          </w:p>
        </w:tc>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$8.90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868,867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842,958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6.08</w:t>
            </w:r>
          </w:p>
        </w:tc>
      </w:tr>
      <w:tr>
        <w:trPr>
          <w:trHeight w:val="260"/>
        </w:trPr>
        <w:tc>
          <w:tcPr>
            <w:tcW w:w="460" w:type="dxa"/>
            <w:vAlign w:val="bottom"/>
          </w:tcPr>
          <w:p>
            <w:pPr>
              <w:ind w:left="40"/>
              <w:spacing w:after="0"/>
              <w:rPr>
                <w:sz w:val="20"/>
                <w:szCs w:val="20"/>
                <w:color w:val="auto"/>
              </w:rPr>
            </w:pPr>
            <w:r>
              <w:rPr>
                <w:rFonts w:ascii="Arial" w:cs="Arial" w:eastAsia="Arial" w:hAnsi="Arial"/>
                <w:sz w:val="16"/>
                <w:szCs w:val="16"/>
                <w:color w:val="auto"/>
                <w:w w:val="99"/>
              </w:rPr>
              <w:t>$9.40</w:t>
            </w:r>
          </w:p>
        </w:tc>
        <w:tc>
          <w:tcPr>
            <w:tcW w:w="2960" w:type="dxa"/>
            <w:vAlign w:val="bottom"/>
          </w:tcPr>
          <w:p>
            <w:pPr>
              <w:ind w:left="20"/>
              <w:spacing w:after="0"/>
              <w:rPr>
                <w:sz w:val="20"/>
                <w:szCs w:val="20"/>
                <w:color w:val="auto"/>
              </w:rPr>
            </w:pPr>
            <w:r>
              <w:rPr>
                <w:rFonts w:ascii="Arial" w:cs="Arial" w:eastAsia="Arial" w:hAnsi="Arial"/>
                <w:sz w:val="16"/>
                <w:szCs w:val="16"/>
                <w:color w:val="auto"/>
              </w:rPr>
              <w:t>- $16.68</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786,624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6.9</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606,364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12.95</w:t>
            </w:r>
          </w:p>
        </w:tc>
      </w:tr>
      <w:tr>
        <w:trPr>
          <w:trHeight w:val="28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$19.26 - $26.86</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1,156,772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24.00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575,066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23.69</w:t>
            </w:r>
          </w:p>
        </w:tc>
      </w:tr>
      <w:tr>
        <w:trPr>
          <w:trHeight w:val="260"/>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$30.58 - $30.58</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827,997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30.58</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8.7</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423,645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30.58</w:t>
            </w:r>
          </w:p>
        </w:tc>
      </w:tr>
      <w:tr>
        <w:trPr>
          <w:trHeight w:val="28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$34.97 - $37.28</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824,344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36.31</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14,381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37.18</w:t>
            </w:r>
          </w:p>
        </w:tc>
      </w:tr>
      <w:tr>
        <w:trPr>
          <w:trHeight w:val="264"/>
        </w:trPr>
        <w:tc>
          <w:tcPr>
            <w:tcW w:w="3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$40.68 - $52.14</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485,658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45.13</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8"/>
              </w:rPr>
              <w:t>8.9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75,635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41.39</w:t>
            </w:r>
          </w:p>
        </w:tc>
      </w:tr>
      <w:tr>
        <w:trPr>
          <w:trHeight w:val="240"/>
        </w:trPr>
        <w:tc>
          <w:tcPr>
            <w:tcW w:w="46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7,579,058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5,166,845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w:t>
            </w:r>
          </w:p>
        </w:tc>
      </w:tr>
      <w:tr>
        <w:trPr>
          <w:trHeight w:val="20"/>
        </w:trPr>
        <w:tc>
          <w:tcPr>
            <w:tcW w:w="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weighted-average grant date fair value of the Company’s stock options granted during 2015</w:t>
      </w:r>
      <w:r>
        <w:rPr>
          <w:rFonts w:ascii="Arial" w:cs="Arial" w:eastAsia="Arial" w:hAnsi="Arial"/>
          <w:sz w:val="18"/>
          <w:szCs w:val="18"/>
          <w:color w:val="231F20"/>
        </w:rPr>
        <w:t>, 2014 and</w:t>
      </w:r>
      <w:r>
        <w:rPr>
          <w:rFonts w:ascii="Arial" w:cs="Arial" w:eastAsia="Arial" w:hAnsi="Arial"/>
          <w:sz w:val="18"/>
          <w:szCs w:val="18"/>
          <w:color w:val="auto"/>
        </w:rPr>
        <w:t xml:space="preserve"> 2013 was $16.51, $12.07 and $7.62, respectively. The aggregate grant date fair value of the Company’s stock options granted during 2015</w:t>
      </w:r>
      <w:r>
        <w:rPr>
          <w:rFonts w:ascii="Arial" w:cs="Arial" w:eastAsia="Arial" w:hAnsi="Arial"/>
          <w:sz w:val="18"/>
          <w:szCs w:val="18"/>
          <w:color w:val="231F20"/>
        </w:rPr>
        <w:t>,</w:t>
      </w:r>
      <w:r>
        <w:rPr>
          <w:rFonts w:ascii="Arial" w:cs="Arial" w:eastAsia="Arial" w:hAnsi="Arial"/>
          <w:sz w:val="18"/>
          <w:szCs w:val="18"/>
          <w:color w:val="auto"/>
        </w:rPr>
        <w:t xml:space="preserve"> 2014 </w:t>
      </w:r>
      <w:r>
        <w:rPr>
          <w:rFonts w:ascii="Arial" w:cs="Arial" w:eastAsia="Arial" w:hAnsi="Arial"/>
          <w:sz w:val="18"/>
          <w:szCs w:val="18"/>
          <w:color w:val="231F20"/>
        </w:rPr>
        <w:t>and</w:t>
      </w:r>
      <w:r>
        <w:rPr>
          <w:rFonts w:ascii="Arial" w:cs="Arial" w:eastAsia="Arial" w:hAnsi="Arial"/>
          <w:sz w:val="18"/>
          <w:szCs w:val="18"/>
          <w:color w:val="auto"/>
        </w:rPr>
        <w:t xml:space="preserve"> 2013 was $25.2 million, $33.1 million and $15.2 million, respectively.</w:t>
      </w:r>
    </w:p>
    <w:p>
      <w:pPr>
        <w:spacing w:after="0" w:line="148" w:lineRule="exact"/>
        <w:rPr>
          <w:sz w:val="20"/>
          <w:szCs w:val="20"/>
          <w:color w:val="auto"/>
        </w:rPr>
      </w:pPr>
    </w:p>
    <w:p>
      <w:pPr>
        <w:ind w:right="340" w:firstLine="405"/>
        <w:spacing w:after="0" w:line="256" w:lineRule="auto"/>
        <w:rPr>
          <w:sz w:val="20"/>
          <w:szCs w:val="20"/>
          <w:color w:val="auto"/>
        </w:rPr>
      </w:pPr>
      <w:r>
        <w:rPr>
          <w:rFonts w:ascii="Arial" w:cs="Arial" w:eastAsia="Arial" w:hAnsi="Arial"/>
          <w:sz w:val="18"/>
          <w:szCs w:val="18"/>
          <w:color w:val="auto"/>
        </w:rPr>
        <w:t>The intrinsic value of options exercised was $22.7 million, $25.7 million and $11.1 million during 2015</w:t>
      </w:r>
      <w:r>
        <w:rPr>
          <w:rFonts w:ascii="Arial" w:cs="Arial" w:eastAsia="Arial" w:hAnsi="Arial"/>
          <w:sz w:val="18"/>
          <w:szCs w:val="18"/>
          <w:color w:val="231F20"/>
        </w:rPr>
        <w:t>, 2014 and</w:t>
      </w:r>
      <w:r>
        <w:rPr>
          <w:rFonts w:ascii="Arial" w:cs="Arial" w:eastAsia="Arial" w:hAnsi="Arial"/>
          <w:sz w:val="18"/>
          <w:szCs w:val="18"/>
          <w:color w:val="auto"/>
        </w:rPr>
        <w:t xml:space="preserve"> 2013, respectively. Intrinsic value of an option is the difference between the fair value of the Company’s common stock at the time of exercise and the exercise price paid.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terms and conditions of RSUs and RSAs, including vesting criteria and timing are set by the board of directors. The cost of RSUs and RSAs is determined using the fair value of the Company’s common stock on the date of the grant. Compensation cost is recognized on a straight-line basis over the requisite service period of each grant adjusted for estimated forfeitures.</w:t>
      </w:r>
    </w:p>
    <w:p>
      <w:pPr>
        <w:spacing w:after="0" w:line="20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During 2015, the Company granted 60,000 units of restricted stock with a grant date fair value of $37.28. The Company did not issue restricted stock units in 2014 and 2013. The Company recorded compensation expense of $0.5 million in 2015. During 2015, 12,500 units were vested and released, and there were no cancellations or forfeitures. The restricted stock units outstanding and expected to vest as of December 31, 2015 is 47,500 units.</w:t>
      </w:r>
    </w:p>
    <w:p>
      <w:pPr>
        <w:spacing w:after="0" w:line="204"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As of December 31, 2015, the Company has $1.8 million of unrecognized compensation cost related to unvested awards that it expects to recognize over a weighted-average period of 1.6 years.</w:t>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401(k) Plan</w:t>
      </w:r>
    </w:p>
    <w:p>
      <w:pPr>
        <w:spacing w:after="0" w:line="13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The Company’s 401(k) Plan (the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To date, the Company has not made any contributions to the 401(k) Plan.</w:t>
      </w:r>
    </w:p>
    <w:p>
      <w:pPr>
        <w:sectPr>
          <w:pgSz w:w="11900" w:h="16838" w:orient="portrait"/>
          <w:cols w:equalWidth="0" w:num="1">
            <w:col w:w="11400"/>
          </w:cols>
          <w:pgMar w:left="240" w:top="333" w:right="2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333" w:right="259" w:bottom="1440"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8.</w:t>
            </w:r>
          </w:p>
        </w:tc>
        <w:tc>
          <w:tcPr>
            <w:tcW w:w="5360" w:type="dxa"/>
            <w:vAlign w:val="bottom"/>
          </w:tcPr>
          <w:p>
            <w:pPr>
              <w:ind w:left="280"/>
              <w:spacing w:after="0"/>
              <w:rPr>
                <w:sz w:val="20"/>
                <w:szCs w:val="20"/>
                <w:color w:val="auto"/>
              </w:rPr>
            </w:pPr>
            <w:r>
              <w:rPr>
                <w:rFonts w:ascii="Arial" w:cs="Arial" w:eastAsia="Arial" w:hAnsi="Arial"/>
                <w:sz w:val="18"/>
                <w:szCs w:val="18"/>
                <w:b w:val="1"/>
                <w:bCs w:val="1"/>
                <w:color w:val="auto"/>
              </w:rPr>
              <w:t>Other Income (Expense), Net</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380" w:type="dxa"/>
            <w:vAlign w:val="bottom"/>
            <w:gridSpan w:val="2"/>
          </w:tcPr>
          <w:p>
            <w:pPr>
              <w:ind w:left="420"/>
              <w:spacing w:after="0"/>
              <w:rPr>
                <w:sz w:val="20"/>
                <w:szCs w:val="20"/>
                <w:color w:val="auto"/>
              </w:rPr>
            </w:pPr>
            <w:r>
              <w:rPr>
                <w:rFonts w:ascii="Arial" w:cs="Arial" w:eastAsia="Arial" w:hAnsi="Arial"/>
                <w:sz w:val="18"/>
                <w:szCs w:val="18"/>
                <w:color w:val="auto"/>
              </w:rPr>
              <w:t>Other income (expense), net consists of the following:</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left="9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47"/>
        </w:trPr>
        <w:tc>
          <w:tcPr>
            <w:tcW w:w="10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losses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income (expense)</w:t>
            </w:r>
          </w:p>
        </w:tc>
        <w:tc>
          <w:tcPr>
            <w:tcW w:w="10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(406)</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67"/>
        </w:trPr>
        <w:tc>
          <w:tcPr>
            <w:tcW w:w="6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expense, net</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NOTE 9.</w:t>
            </w:r>
          </w:p>
        </w:tc>
        <w:tc>
          <w:tcPr>
            <w:tcW w:w="53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Income Taxes</w:t>
            </w: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102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geographical breakdown of income before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6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22,540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947</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1,094</w:t>
            </w:r>
          </w:p>
        </w:tc>
      </w:tr>
      <w:tr>
        <w:trPr>
          <w:trHeight w:val="24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24,520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8,613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provision for (benefit from) income taxes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15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6400" w:type="dxa"/>
            <w:vAlign w:val="bottom"/>
          </w:tcPr>
          <w:p>
            <w:pPr>
              <w:ind w:left="380"/>
              <w:spacing w:after="0"/>
              <w:rPr>
                <w:sz w:val="20"/>
                <w:szCs w:val="20"/>
                <w:color w:val="auto"/>
              </w:rPr>
            </w:pPr>
            <w:r>
              <w:rPr>
                <w:rFonts w:ascii="Arial" w:cs="Arial" w:eastAsia="Arial" w:hAnsi="Arial"/>
                <w:sz w:val="16"/>
                <w:szCs w:val="16"/>
                <w:color w:val="auto"/>
              </w:rPr>
              <w:t>Federal</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8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r>
      <w:tr>
        <w:trPr>
          <w:trHeight w:val="264"/>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Foreign</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w:t>
            </w:r>
          </w:p>
        </w:tc>
      </w:tr>
      <w:tr>
        <w:trPr>
          <w:trHeight w:val="257"/>
        </w:trPr>
        <w:tc>
          <w:tcPr>
            <w:tcW w:w="64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current provision</w:t>
            </w:r>
          </w:p>
        </w:tc>
        <w:tc>
          <w:tcPr>
            <w:tcW w:w="10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r>
      <w:tr>
        <w:trPr>
          <w:trHeight w:val="254"/>
        </w:trPr>
        <w:tc>
          <w:tcPr>
            <w:tcW w:w="6400" w:type="dxa"/>
            <w:vAlign w:val="bottom"/>
          </w:tcPr>
          <w:p>
            <w:pPr>
              <w:ind w:left="40"/>
              <w:spacing w:after="0"/>
              <w:rPr>
                <w:sz w:val="20"/>
                <w:szCs w:val="20"/>
                <w:color w:val="auto"/>
              </w:rPr>
            </w:pPr>
            <w:r>
              <w:rPr>
                <w:rFonts w:ascii="Arial" w:cs="Arial" w:eastAsia="Arial" w:hAnsi="Arial"/>
                <w:sz w:val="16"/>
                <w:szCs w:val="16"/>
                <w:color w:val="auto"/>
              </w:rPr>
              <w:t>Deferred</w:t>
            </w: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r>
      <w:tr>
        <w:trPr>
          <w:trHeight w:val="260"/>
        </w:trPr>
        <w:tc>
          <w:tcPr>
            <w:tcW w:w="6400" w:type="dxa"/>
            <w:vAlign w:val="bottom"/>
          </w:tcPr>
          <w:p>
            <w:pPr>
              <w:ind w:left="380"/>
              <w:spacing w:after="0"/>
              <w:rPr>
                <w:sz w:val="20"/>
                <w:szCs w:val="20"/>
                <w:color w:val="auto"/>
              </w:rPr>
            </w:pPr>
            <w:r>
              <w:rPr>
                <w:rFonts w:ascii="Arial" w:cs="Arial" w:eastAsia="Arial" w:hAnsi="Arial"/>
                <w:sz w:val="16"/>
                <w:szCs w:val="16"/>
                <w:color w:val="auto"/>
              </w:rPr>
              <w:t>State</w:t>
            </w:r>
          </w:p>
        </w:tc>
        <w:tc>
          <w:tcPr>
            <w:tcW w:w="10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50"/>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deferred provision (benefit)</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40"/>
        </w:trPr>
        <w:tc>
          <w:tcPr>
            <w:tcW w:w="6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provision for (benefit from) income taxes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333" w:right="25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181"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r>
      <w:tr>
        <w:trPr>
          <w:trHeight w:val="432"/>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statutory rate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r>
      <w:tr>
        <w:trPr>
          <w:trHeight w:val="260"/>
        </w:trPr>
        <w:tc>
          <w:tcPr>
            <w:tcW w:w="7240" w:type="dxa"/>
            <w:vAlign w:val="bottom"/>
            <w:gridSpan w:val="2"/>
          </w:tcPr>
          <w:p>
            <w:pPr>
              <w:ind w:left="40"/>
              <w:spacing w:after="0"/>
              <w:rPr>
                <w:sz w:val="20"/>
                <w:szCs w:val="20"/>
                <w:color w:val="auto"/>
              </w:rPr>
            </w:pPr>
            <w:r>
              <w:rPr>
                <w:rFonts w:ascii="Arial" w:cs="Arial" w:eastAsia="Arial" w:hAnsi="Arial"/>
                <w:sz w:val="16"/>
                <w:szCs w:val="16"/>
                <w:color w:val="auto"/>
              </w:rPr>
              <w:t>State taxes</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5.1</w:t>
            </w:r>
          </w:p>
        </w:tc>
      </w:tr>
      <w:tr>
        <w:trPr>
          <w:trHeight w:val="280"/>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w:t>
            </w:r>
          </w:p>
        </w:tc>
      </w:tr>
      <w:tr>
        <w:trPr>
          <w:trHeight w:val="260"/>
        </w:trPr>
        <w:tc>
          <w:tcPr>
            <w:tcW w:w="7240" w:type="dxa"/>
            <w:vAlign w:val="bottom"/>
            <w:gridSpan w:val="2"/>
          </w:tcPr>
          <w:p>
            <w:pPr>
              <w:ind w:left="40"/>
              <w:spacing w:after="0"/>
              <w:rPr>
                <w:sz w:val="20"/>
                <w:szCs w:val="20"/>
                <w:color w:val="auto"/>
              </w:rPr>
            </w:pPr>
            <w:r>
              <w:rPr>
                <w:rFonts w:ascii="Arial" w:cs="Arial" w:eastAsia="Arial" w:hAnsi="Arial"/>
                <w:sz w:val="16"/>
                <w:szCs w:val="16"/>
                <w:color w:val="auto"/>
              </w:rPr>
              <w:t>Foreign source income</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1.9</w:t>
            </w:r>
          </w:p>
        </w:tc>
      </w:tr>
      <w:tr>
        <w:trPr>
          <w:trHeight w:val="280"/>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(270.5)</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(28.4)</w:t>
            </w:r>
          </w:p>
        </w:tc>
      </w:tr>
      <w:tr>
        <w:trPr>
          <w:trHeight w:val="260"/>
        </w:trPr>
        <w:tc>
          <w:tcPr>
            <w:tcW w:w="7240" w:type="dxa"/>
            <w:vAlign w:val="bottom"/>
            <w:gridSpan w:val="2"/>
          </w:tcPr>
          <w:p>
            <w:pPr>
              <w:ind w:left="40"/>
              <w:spacing w:after="0"/>
              <w:rPr>
                <w:sz w:val="20"/>
                <w:szCs w:val="20"/>
                <w:color w:val="auto"/>
              </w:rPr>
            </w:pPr>
            <w:r>
              <w:rPr>
                <w:rFonts w:ascii="Arial" w:cs="Arial" w:eastAsia="Arial" w:hAnsi="Arial"/>
                <w:sz w:val="16"/>
                <w:szCs w:val="16"/>
                <w:color w:val="auto"/>
              </w:rPr>
              <w:t>Incremental federal rate benefit previously not recognized</w:t>
            </w: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2"/>
                <w:szCs w:val="22"/>
                <w:color w:val="auto"/>
              </w:rPr>
            </w:pPr>
          </w:p>
        </w:tc>
        <w:tc>
          <w:tcPr>
            <w:tcW w:w="1680" w:type="dxa"/>
            <w:vAlign w:val="bottom"/>
          </w:tcPr>
          <w:p>
            <w:pPr>
              <w:jc w:val="right"/>
              <w:ind w:right="159"/>
              <w:spacing w:after="0"/>
              <w:rPr>
                <w:sz w:val="20"/>
                <w:szCs w:val="20"/>
                <w:color w:val="auto"/>
              </w:rPr>
            </w:pPr>
            <w:r>
              <w:rPr>
                <w:rFonts w:ascii="Arial" w:cs="Arial" w:eastAsia="Arial" w:hAnsi="Arial"/>
                <w:sz w:val="16"/>
                <w:szCs w:val="16"/>
                <w:color w:val="auto"/>
              </w:rPr>
              <w:t>—</w:t>
            </w:r>
          </w:p>
        </w:tc>
      </w:tr>
      <w:tr>
        <w:trPr>
          <w:trHeight w:val="280"/>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and state research and development credit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r>
      <w:tr>
        <w:trPr>
          <w:trHeight w:val="26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w:t>
            </w:r>
          </w:p>
        </w:tc>
      </w:tr>
      <w:tr>
        <w:trPr>
          <w:trHeight w:val="240"/>
        </w:trPr>
        <w:tc>
          <w:tcPr>
            <w:tcW w:w="7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35.3 %</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247"/>
        </w:trPr>
        <w:tc>
          <w:tcPr>
            <w:tcW w:w="8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21"/>
                <w:szCs w:val="21"/>
                <w:color w:val="auto"/>
              </w:rPr>
            </w:pP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12,849</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credit carryforwards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6,508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6,392</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98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583</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3,291</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Deferred rent</w:t>
            </w:r>
          </w:p>
        </w:tc>
        <w:tc>
          <w:tcPr>
            <w:tcW w:w="98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191</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8,301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4,149</w:t>
            </w:r>
          </w:p>
        </w:tc>
      </w:tr>
      <w:tr>
        <w:trPr>
          <w:trHeight w:val="273"/>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903</w:t>
            </w:r>
          </w:p>
        </w:tc>
      </w:tr>
      <w:tr>
        <w:trPr>
          <w:trHeight w:val="247"/>
        </w:trPr>
        <w:tc>
          <w:tcPr>
            <w:tcW w:w="8100" w:type="dxa"/>
            <w:vAlign w:val="bottom"/>
          </w:tcPr>
          <w:p>
            <w:pPr>
              <w:ind w:left="720"/>
              <w:spacing w:after="0"/>
              <w:rPr>
                <w:sz w:val="20"/>
                <w:szCs w:val="20"/>
                <w:color w:val="auto"/>
              </w:rPr>
            </w:pPr>
            <w:r>
              <w:rPr>
                <w:rFonts w:ascii="Arial" w:cs="Arial" w:eastAsia="Arial" w:hAnsi="Arial"/>
                <w:sz w:val="16"/>
                <w:szCs w:val="16"/>
                <w:color w:val="auto"/>
              </w:rPr>
              <w:t>Gross deferred tax assets</w:t>
            </w:r>
          </w:p>
        </w:tc>
        <w:tc>
          <w:tcPr>
            <w:tcW w:w="98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22,981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28,759</w:t>
            </w:r>
          </w:p>
        </w:tc>
      </w:tr>
      <w:tr>
        <w:trPr>
          <w:trHeight w:val="273"/>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Valuation allowance</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r>
      <w:tr>
        <w:trPr>
          <w:trHeight w:val="247"/>
        </w:trPr>
        <w:tc>
          <w:tcPr>
            <w:tcW w:w="810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98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19,678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25,680</w:t>
            </w: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Fixed assets</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(3,599)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(3,039)</w:t>
            </w:r>
          </w:p>
        </w:tc>
      </w:tr>
      <w:tr>
        <w:trPr>
          <w:trHeight w:val="273"/>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9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deferred tax liabilities</w:t>
            </w:r>
          </w:p>
        </w:tc>
        <w:tc>
          <w:tcPr>
            <w:tcW w:w="9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(3,599)</w:t>
            </w:r>
          </w:p>
        </w:tc>
        <w:tc>
          <w:tcPr>
            <w:tcW w:w="1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(3,041)</w:t>
            </w:r>
          </w:p>
        </w:tc>
      </w:tr>
      <w:tr>
        <w:trPr>
          <w:trHeight w:val="24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16,079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22,639</w:t>
            </w: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Realization of deferred tax assets is dependent upon future earnings, if any, and the timing and amount of such assets are uncertain. Prior to the fourth quarter of 2014, the Company had provided a valuation allowance for its U.S. federal and state deferred tax assets that it believed were not more likely than not realizable. Management determined that the objective and verifiable negative evidence, such as relatively low U.S. operating income and uncertainty of sustaining or growing future operating profits, continued to outweigh positive evidence that would be necessary to reduce the valuation allowance.</w:t>
      </w:r>
    </w:p>
    <w:p>
      <w:pPr>
        <w:spacing w:after="0" w:line="152"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In the fourth quarter of 2014, the Company recorded a $23.7 million tax benefit for the recognition of its U.S. federal and certain state deferred tax assets, primarily due to the increased and expected sustainable profitability in its U.S. operations. In reaching this conclusion, management considered the Company's increasing realized profitability in the fourth quarter of 2014, forecasted future profitability, its ability to better absorb uncertainties in future profits, and the cumulative effect of changes in the macro-economic environment surrounding the IT security industry, which ultimately resulted in increased demand for its solutions.</w:t>
      </w:r>
    </w:p>
    <w:p>
      <w:pPr>
        <w:sectPr>
          <w:pgSz w:w="11900" w:h="16838" w:orient="portrait"/>
          <w:cols w:equalWidth="0" w:num="1">
            <w:col w:w="11420"/>
          </w:cols>
          <w:pgMar w:left="240" w:top="333"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33" w:right="23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Company believes it is more likely than not that its California deferred tax assets will not be realized because the income attributed to California is not expected to be sufficient to recognize these deferred tax assets. Accordingly, the Company continues to record the valuation allowance of $3.3 million as of December 31, 2015 for its California deferred tax assets During the year ended December 31, 2015, the valuation allowance had increased by $0.2 million to $3.3 million.</w:t>
      </w:r>
    </w:p>
    <w:p>
      <w:pPr>
        <w:spacing w:after="0" w:line="150"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At December 31, 2015, the Company had federal and state net operating loss carryforwards of approximately $35.6 million and $4.8 million respectively, available to reduce federal and state taxable income. The excess tax benefits included in net operating loss carryforwards but not reflected in deferred tax assets for federal and state are $30.8 million and $0.2 million, respectively. The Company’s federal net operating losses expire in the years 2022 to 2035, and its state net operating losses expire from 2016 to 2035. Utilization of the Company’s net operating loss carryforwards may be subject to a substantial annual limitation due to the ownership change limitations provided by the Internal Revenue Code and similar state provisions. Such an annual limitation could result in the expiration of the net operating loss carryforwards before utilization. As of December 31, 2015, the Company had federal and state research and development credits of $5.0 million and $5.7 million, respectively. Federal research and development credits expire in the years 2023 to 2035. State research and development credits do not expire.</w:t>
      </w:r>
    </w:p>
    <w:p>
      <w:pPr>
        <w:spacing w:after="0" w:line="15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U.S. income taxes and foreign withholding taxes have not been provided on undistributed earnings for non-U.S. subsidiaries. The Company intends to continue to reinvest the earnings of these foreign subsidiaries indefinitely. The Company’s share of undistributed earnings of foreign subsidiaries that could be subject to additional U.S. income tax if remitted was approximately $8.7 million and $6.8 million as of December 31, 2015 and 2014, respectively. Determination of the amount of unrecognized deferred tax liability for temporary differences related to investments in these non-U.S. subsidiaries that are essentially permanent in duration is not practicable. If the undistributed earnings are remitted to the U.S. these amounts would be taxable in the U.S. at the current federal and state tax rates net of foreign tax credits. Also, depending on the jurisdiction any distribution would potentially be subject to withholding taxes at rates applicable to that jurisdiction.</w:t>
      </w:r>
    </w:p>
    <w:p>
      <w:pPr>
        <w:spacing w:after="0" w:line="153"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auto"/>
        </w:rPr>
        <w:t>The evaluation of a tax position is a two-step process. The first step requires the Company to determine whether it is more likely than not that a tax position will be sustained upon examination based on the technical merits of the position. The second step requires the Company to recognize in the financial statement each tax position that meets the more likely than not criteria, measured at the amount of benefit that has a greater than fifty percent likelihood of being realized.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15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beginning balance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2,647</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Gross increase for tax positions of prior years</w:t>
            </w:r>
          </w:p>
        </w:tc>
        <w:tc>
          <w:tcPr>
            <w:tcW w:w="102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decrease for tax positions of prior years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Gross increase for tax positions of current year</w:t>
            </w:r>
          </w:p>
        </w:tc>
        <w:tc>
          <w:tcPr>
            <w:tcW w:w="102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446</w:t>
            </w:r>
          </w:p>
        </w:tc>
      </w:tr>
      <w:tr>
        <w:trPr>
          <w:trHeight w:val="27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Lapse of statute of limitations</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40"/>
        </w:trPr>
        <w:tc>
          <w:tcPr>
            <w:tcW w:w="6400" w:type="dxa"/>
            <w:vAlign w:val="bottom"/>
          </w:tcPr>
          <w:p>
            <w:pPr>
              <w:ind w:left="380"/>
              <w:spacing w:after="0"/>
              <w:rPr>
                <w:sz w:val="20"/>
                <w:szCs w:val="20"/>
                <w:color w:val="auto"/>
              </w:rPr>
            </w:pPr>
            <w:r>
              <w:rPr>
                <w:rFonts w:ascii="Arial" w:cs="Arial" w:eastAsia="Arial" w:hAnsi="Arial"/>
                <w:sz w:val="16"/>
                <w:szCs w:val="16"/>
                <w:color w:val="auto"/>
              </w:rPr>
              <w:t>Total unrecognized tax benefits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3,255</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color w:val="auto"/>
        </w:rPr>
        <w:t>The unrecognized tax benefits, if recognized, would impact the income tax provision by $2.1 million, $2.1 million and $1.0 million as of December 31, 2015, 2014 and 2013, respectively.</w:t>
      </w:r>
    </w:p>
    <w:p>
      <w:pPr>
        <w:spacing w:after="0" w:line="156"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auto"/>
        </w:rPr>
        <w:t xml:space="preserve">The Company has elected to include interest and penalties as a component of income tax expense. The amounts were not material for 2015, 2014 </w:t>
      </w:r>
      <w:r>
        <w:rPr>
          <w:rFonts w:ascii="Arial" w:cs="Arial" w:eastAsia="Arial" w:hAnsi="Arial"/>
          <w:sz w:val="18"/>
          <w:szCs w:val="18"/>
          <w:color w:val="231F20"/>
        </w:rPr>
        <w:t>and</w:t>
      </w:r>
      <w:r>
        <w:rPr>
          <w:rFonts w:ascii="Arial" w:cs="Arial" w:eastAsia="Arial" w:hAnsi="Arial"/>
          <w:sz w:val="18"/>
          <w:szCs w:val="18"/>
          <w:color w:val="auto"/>
        </w:rPr>
        <w:t xml:space="preserve"> 2013.</w:t>
      </w:r>
    </w:p>
    <w:p>
      <w:pPr>
        <w:spacing w:after="0" w:line="142"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2010 to 2015 remain open to examination by the major taxing jurisdictions in which the Company is subject to tax, with the exception of France which remains open to examination for the 2012 through 2015 tax years only. As of December 31, 2015, the Company was not under examination by the Internal Revenue Service or any state tax jurisdictions.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33"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A retroactive and permanent reinstatement of the federal research and development tax credit was signed into law on December 18, 2015 in accordance with the Protecting Americans from Tax Hikes Act of 2015. The Company recorded a 2015 federal research and development credit of $ 0.6 million, net of reserves, in the fourth quarter of 2015. The California research and development credit estimated for 2015, net of reserves, is $0.5 million.</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Segment Information and Information about Geographic Area</w:t>
      </w:r>
    </w:p>
    <w:p>
      <w:pPr>
        <w:spacing w:after="0" w:line="26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115,384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93,425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75,485</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40,154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32,477</w:t>
            </w:r>
          </w:p>
        </w:tc>
      </w:tr>
      <w:tr>
        <w:trPr>
          <w:trHeight w:val="24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164,284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107,962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r>
      <w:tr>
        <w:trPr>
          <w:trHeight w:val="264"/>
        </w:trPr>
        <w:tc>
          <w:tcPr>
            <w:tcW w:w="78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r>
      <w:tr>
        <w:trPr>
          <w:trHeight w:val="247"/>
        </w:trPr>
        <w:tc>
          <w:tcPr>
            <w:tcW w:w="7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21"/>
                <w:szCs w:val="21"/>
                <w:color w:val="auto"/>
              </w:rPr>
            </w:pPr>
          </w:p>
        </w:tc>
      </w:tr>
      <w:tr>
        <w:trPr>
          <w:trHeight w:val="28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25,623</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23,650</w:t>
            </w:r>
          </w:p>
        </w:tc>
      </w:tr>
      <w:tr>
        <w:trPr>
          <w:trHeight w:val="264"/>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5,706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2,968</w:t>
            </w:r>
          </w:p>
        </w:tc>
      </w:tr>
      <w:tr>
        <w:trPr>
          <w:trHeight w:val="24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and equipment, net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31,329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26,618</w:t>
            </w:r>
          </w:p>
        </w:tc>
      </w:tr>
      <w:tr>
        <w:trPr>
          <w:trHeight w:val="20"/>
        </w:trPr>
        <w:tc>
          <w:tcPr>
            <w:tcW w:w="7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3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NOTE 11.</w:t>
            </w:r>
          </w:p>
        </w:tc>
        <w:tc>
          <w:tcPr>
            <w:tcW w:w="544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Net Income Per Share Attributable to Common Stockholders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400" w:type="dxa"/>
            <w:vAlign w:val="bottom"/>
            <w:gridSpan w:val="10"/>
          </w:tcPr>
          <w:p>
            <w:pPr>
              <w:ind w:left="420"/>
              <w:spacing w:after="0"/>
              <w:rPr>
                <w:sz w:val="20"/>
                <w:szCs w:val="20"/>
                <w:color w:val="auto"/>
              </w:rPr>
            </w:pPr>
            <w:r>
              <w:rPr>
                <w:rFonts w:ascii="Arial" w:cs="Arial" w:eastAsia="Arial" w:hAnsi="Arial"/>
                <w:sz w:val="18"/>
                <w:szCs w:val="18"/>
                <w:color w:val="231F20"/>
                <w:w w:val="99"/>
              </w:rPr>
              <w:t>The computations for basic and diluted net income per share attributable to common stockholders are as follows: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right="35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5"/>
              </w:rPr>
              <w:t>2013</w:t>
            </w: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80" w:type="dxa"/>
            <w:vAlign w:val="bottom"/>
            <w:gridSpan w:val="8"/>
          </w:tcPr>
          <w:p>
            <w:pPr>
              <w:jc w:val="center"/>
              <w:ind w:left="419"/>
              <w:spacing w:after="0"/>
              <w:rPr>
                <w:sz w:val="20"/>
                <w:szCs w:val="20"/>
                <w:color w:val="auto"/>
              </w:rPr>
            </w:pPr>
            <w:r>
              <w:rPr>
                <w:rFonts w:ascii="Arial" w:cs="Arial" w:eastAsia="Arial" w:hAnsi="Arial"/>
                <w:sz w:val="16"/>
                <w:szCs w:val="16"/>
                <w:b w:val="1"/>
                <w:bCs w:val="1"/>
                <w:color w:val="auto"/>
              </w:rPr>
              <w:t>(in thousands, except per share data)</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49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1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980" w:type="dxa"/>
            <w:vAlign w:val="bottom"/>
          </w:tcPr>
          <w:p>
            <w:pPr>
              <w:spacing w:after="0"/>
              <w:rPr>
                <w:sz w:val="22"/>
                <w:szCs w:val="22"/>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15,865</w:t>
            </w:r>
          </w:p>
        </w:tc>
        <w:tc>
          <w:tcPr>
            <w:tcW w:w="56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30,244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273"/>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participating securities</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attributable to common stockholders - basic</w:t>
            </w:r>
          </w:p>
        </w:tc>
        <w:tc>
          <w:tcPr>
            <w:tcW w:w="4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15,865</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30,244</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40"/>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common stockholders - diluted</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15,865</w:t>
            </w:r>
          </w:p>
        </w:tc>
        <w:tc>
          <w:tcPr>
            <w:tcW w:w="56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30,244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Denominator:</w:t>
            </w:r>
          </w:p>
        </w:tc>
        <w:tc>
          <w:tcPr>
            <w:tcW w:w="4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140" w:type="dxa"/>
            <w:vAlign w:val="bottom"/>
            <w:vMerge w:val="continue"/>
          </w:tcPr>
          <w:p>
            <w:pPr>
              <w:spacing w:after="0"/>
              <w:rPr>
                <w:sz w:val="21"/>
                <w:szCs w:val="21"/>
                <w:color w:val="auto"/>
              </w:rPr>
            </w:pPr>
          </w:p>
        </w:tc>
        <w:tc>
          <w:tcPr>
            <w:tcW w:w="4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attributable to common stockholders - basic</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31,914</w:t>
            </w:r>
          </w:p>
        </w:tc>
        <w:tc>
          <w:tcPr>
            <w:tcW w:w="0" w:type="dxa"/>
            <w:vAlign w:val="bottom"/>
          </w:tcPr>
          <w:p>
            <w:pPr>
              <w:spacing w:after="0"/>
              <w:rPr>
                <w:sz w:val="1"/>
                <w:szCs w:val="1"/>
                <w:color w:val="auto"/>
              </w:rPr>
            </w:pPr>
          </w:p>
        </w:tc>
      </w:tr>
      <w:tr>
        <w:trPr>
          <w:trHeight w:val="260"/>
        </w:trPr>
        <w:tc>
          <w:tcPr>
            <w:tcW w:w="6120" w:type="dxa"/>
            <w:vAlign w:val="bottom"/>
            <w:gridSpan w:val="2"/>
          </w:tcPr>
          <w:p>
            <w:pPr>
              <w:ind w:left="360"/>
              <w:spacing w:after="0"/>
              <w:rPr>
                <w:sz w:val="20"/>
                <w:szCs w:val="20"/>
                <w:color w:val="auto"/>
              </w:rPr>
            </w:pPr>
            <w:r>
              <w:rPr>
                <w:rFonts w:ascii="Arial" w:cs="Arial" w:eastAsia="Arial" w:hAnsi="Arial"/>
                <w:sz w:val="16"/>
                <w:szCs w:val="16"/>
                <w:color w:val="auto"/>
              </w:rPr>
              <w:t>Effect of potentially dilutive securities:</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1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4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4,191</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198"/>
        </w:trPr>
        <w:tc>
          <w:tcPr>
            <w:tcW w:w="6120" w:type="dxa"/>
            <w:vAlign w:val="bottom"/>
            <w:gridSpan w:val="2"/>
          </w:tcPr>
          <w:p>
            <w:pPr>
              <w:ind w:left="360"/>
              <w:spacing w:after="0"/>
              <w:rPr>
                <w:sz w:val="20"/>
                <w:szCs w:val="20"/>
                <w:color w:val="auto"/>
              </w:rPr>
            </w:pPr>
            <w:r>
              <w:rPr>
                <w:rFonts w:ascii="Arial" w:cs="Arial" w:eastAsia="Arial" w:hAnsi="Arial"/>
                <w:sz w:val="16"/>
                <w:szCs w:val="16"/>
                <w:color w:val="auto"/>
              </w:rPr>
              <w:t>Weighted-average shares used in computing net income per share</w:t>
            </w:r>
          </w:p>
        </w:tc>
        <w:tc>
          <w:tcPr>
            <w:tcW w:w="4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38,184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restart"/>
          </w:tcPr>
          <w:p>
            <w:pPr>
              <w:jc w:val="right"/>
              <w:ind w:right="39"/>
              <w:spacing w:after="0"/>
              <w:rPr>
                <w:sz w:val="20"/>
                <w:szCs w:val="20"/>
                <w:color w:val="auto"/>
              </w:rPr>
            </w:pPr>
            <w:r>
              <w:rPr>
                <w:rFonts w:ascii="Arial" w:cs="Arial" w:eastAsia="Arial" w:hAnsi="Arial"/>
                <w:sz w:val="16"/>
                <w:szCs w:val="16"/>
                <w:color w:val="auto"/>
              </w:rPr>
              <w:t>37,170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35,973</w:t>
            </w:r>
          </w:p>
        </w:tc>
        <w:tc>
          <w:tcPr>
            <w:tcW w:w="0" w:type="dxa"/>
            <w:vAlign w:val="bottom"/>
          </w:tcPr>
          <w:p>
            <w:pPr>
              <w:spacing w:after="0"/>
              <w:rPr>
                <w:sz w:val="1"/>
                <w:szCs w:val="1"/>
                <w:color w:val="auto"/>
              </w:rPr>
            </w:pPr>
          </w:p>
        </w:tc>
      </w:tr>
      <w:tr>
        <w:trPr>
          <w:trHeight w:val="238"/>
        </w:trPr>
        <w:tc>
          <w:tcPr>
            <w:tcW w:w="6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attributable to common stockholders - diluted</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attributable to common stockholders</w:t>
            </w: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Basic</w:t>
            </w:r>
          </w:p>
        </w:tc>
        <w:tc>
          <w:tcPr>
            <w:tcW w:w="49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24"/>
        </w:trPr>
        <w:tc>
          <w:tcPr>
            <w:tcW w:w="1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49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56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52"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19"/>
                <w:szCs w:val="19"/>
                <w:color w:val="auto"/>
              </w:rPr>
            </w:pPr>
          </w:p>
        </w:tc>
        <w:tc>
          <w:tcPr>
            <w:tcW w:w="1900" w:type="dxa"/>
            <w:vAlign w:val="bottom"/>
          </w:tcPr>
          <w:p>
            <w:pPr>
              <w:jc w:val="right"/>
              <w:ind w:right="839"/>
              <w:spacing w:after="0"/>
              <w:rPr>
                <w:sz w:val="20"/>
                <w:szCs w:val="20"/>
                <w:color w:val="auto"/>
              </w:rPr>
            </w:pPr>
            <w:r>
              <w:rPr>
                <w:rFonts w:ascii="Arial" w:cs="Arial" w:eastAsia="Arial" w:hAnsi="Arial"/>
                <w:sz w:val="16"/>
                <w:szCs w:val="16"/>
                <w:b w:val="1"/>
                <w:bCs w:val="1"/>
                <w:color w:val="auto"/>
              </w:rPr>
              <w:t>2014</w:t>
            </w: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2013</w:t>
            </w:r>
          </w:p>
        </w:tc>
      </w:tr>
      <w:tr>
        <w:trPr>
          <w:trHeight w:val="247"/>
        </w:trPr>
        <w:tc>
          <w:tcPr>
            <w:tcW w:w="64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(in thousands)</w:t>
            </w:r>
          </w:p>
        </w:tc>
        <w:tc>
          <w:tcPr>
            <w:tcW w:w="1380" w:type="dxa"/>
            <w:vAlign w:val="bottom"/>
            <w:tcBorders>
              <w:top w:val="single" w:sz="8" w:color="auto"/>
            </w:tcBorders>
          </w:tcPr>
          <w:p>
            <w:pPr>
              <w:spacing w:after="0"/>
              <w:rPr>
                <w:sz w:val="21"/>
                <w:szCs w:val="21"/>
                <w:color w:val="auto"/>
              </w:rPr>
            </w:pPr>
          </w:p>
        </w:tc>
      </w:tr>
      <w:tr>
        <w:trPr>
          <w:trHeight w:val="280"/>
        </w:trPr>
        <w:tc>
          <w:tcPr>
            <w:tcW w:w="7440" w:type="dxa"/>
            <w:vAlign w:val="bottom"/>
            <w:gridSpan w:val="2"/>
            <w:shd w:val="clear" w:color="auto" w:fill="CCEEFF"/>
          </w:tcPr>
          <w:p>
            <w:pPr>
              <w:jc w:val="right"/>
              <w:ind w:right="5760"/>
              <w:spacing w:after="0"/>
              <w:rPr>
                <w:sz w:val="20"/>
                <w:szCs w:val="20"/>
                <w:color w:val="auto"/>
              </w:rPr>
            </w:pPr>
            <w:r>
              <w:rPr>
                <w:rFonts w:ascii="Arial" w:cs="Arial" w:eastAsia="Arial" w:hAnsi="Arial"/>
                <w:sz w:val="16"/>
                <w:szCs w:val="16"/>
                <w:color w:val="auto"/>
              </w:rPr>
              <w:t>Common stock options</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1,582</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1,689</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952</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3"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Quarterly Financial Information (Unaudited)</w:t>
      </w:r>
    </w:p>
    <w:p>
      <w:pPr>
        <w:spacing w:after="0" w:line="126"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The following table sets forth unaudited consolidated statements of operations data for each of the quarters in the two-year period ended December 31, 2015. The unaudited quarterly consolidated statements of operations data set forth below have been prepared on the same basis as the audited consolidated financial statements included elsewhere in this Annual Report on Form 10-K and, in the opinion of management, reflect all necessary adjustments, which consist only of normal recurring adjustments, necessary for a fair presentation of such data. Historical results are not necessarily indicative of the results for the full year or any other period. This data should be read together with the consolidated financial statements and the related notes included elsewhere in this Annual Report on Form 10-K.</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9"/>
          </w:tcPr>
          <w:p>
            <w:pPr>
              <w:jc w:val="center"/>
              <w:ind w:left="448"/>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44,445</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7,421</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8,762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9,002</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26,927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35,443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7,532</w:t>
            </w:r>
          </w:p>
        </w:tc>
        <w:tc>
          <w:tcPr>
            <w:tcW w:w="0" w:type="dxa"/>
            <w:vAlign w:val="bottom"/>
          </w:tcPr>
          <w:p>
            <w:pPr>
              <w:spacing w:after="0"/>
              <w:rPr>
                <w:sz w:val="1"/>
                <w:szCs w:val="1"/>
                <w:color w:val="auto"/>
              </w:rPr>
            </w:pP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12,492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11,845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11,774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11,938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11,443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12,776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12,282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13,068</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5,156</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5,888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7,147</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23,771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23,337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23,420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24,609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26,408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27,747</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7,696</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7,513</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17"/>
                <w:szCs w:val="17"/>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3,105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5,424</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income (loss) per share:</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36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right="580" w:hanging="250"/>
        <w:spacing w:after="0" w:line="218" w:lineRule="auto"/>
        <w:tabs>
          <w:tab w:leader="none" w:pos="327"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Provision for income taxes consists primarily of taxes on income in foreign jurisdictions and state income taxes in the U.S. In the fourth quarter of 2014, the Company recorded a tax benefit of $23.7 million to recognize its U.S. federal and certain state deferred tax assets.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333" w:right="25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ind w:right="160" w:firstLine="405"/>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2015,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or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2015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2015.</w:t>
      </w:r>
    </w:p>
    <w:p>
      <w:pPr>
        <w:spacing w:after="0" w:line="206"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effectiveness of the Company's internal control over financial reporting as of December 31, 2015 has been audited by Grant Thornton LLP, an independent registered public accounting firm, as stated in its report, which is included in Item 8 of this Annual Report on Form 10-K.</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41" w:right="2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2015 that has materially affected, or is reasonably likely to materially affect, our internal control over financial reporting.</w:t>
      </w:r>
    </w:p>
    <w:p>
      <w:pPr>
        <w:spacing w:after="0" w:line="34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141" w:right="29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31F20"/>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2016 Annual Meeting of Stockholders to be filed with the SEC within 120 days after the end of the fiscal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2016 Annual Meeting of Stockholders to be filed with the SEC within 120 days after the end of the fiscal year ended December 31, 2015.</w:t>
      </w:r>
    </w:p>
    <w:p>
      <w:pPr>
        <w:spacing w:after="0" w:line="200" w:lineRule="exact"/>
        <w:rPr>
          <w:sz w:val="20"/>
          <w:szCs w:val="20"/>
          <w:color w:val="auto"/>
        </w:rPr>
      </w:pPr>
    </w:p>
    <w:p>
      <w:pPr>
        <w:spacing w:after="0" w:line="352" w:lineRule="exact"/>
        <w:rPr>
          <w:sz w:val="20"/>
          <w:szCs w:val="20"/>
          <w:color w:val="auto"/>
        </w:rPr>
      </w:pPr>
    </w:p>
    <w:p>
      <w:pPr>
        <w:ind w:left="40" w:right="2400" w:firstLine="1040"/>
        <w:spacing w:after="0" w:line="271"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Item 12.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ind w:firstLine="405"/>
        <w:spacing w:after="0" w:line="250" w:lineRule="auto"/>
        <w:rPr>
          <w:sz w:val="20"/>
          <w:szCs w:val="20"/>
          <w:color w:val="auto"/>
        </w:rPr>
      </w:pPr>
      <w:r>
        <w:rPr>
          <w:rFonts w:ascii="Arial" w:cs="Arial" w:eastAsia="Arial" w:hAnsi="Arial"/>
          <w:sz w:val="18"/>
          <w:szCs w:val="18"/>
          <w:color w:val="auto"/>
        </w:rPr>
        <w:t>The information required by this item with respect to Item 403 of Regulation S-K regarding security ownership of certain beneficial owners and management is incorporated by reference to our Proxy Statement for our 2016 Annual Meeting of Stockholders to be filed with the SEC within 120 days after the end of the fiscal year ended December 31, 2015. For the information required by this item with respect to</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Item 201(d) of Regulation S-K regarding securities authorized for issuance under equity compensation plans, see “Item 5: Market for Registrant’s Common Equity, Related Stockholder Matters and Issuer Purchases of Equity Securities—Securities Authorized for Issuance under Equity Compensation Plans.”</w:t>
      </w: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2016 Annual Meeting of Stockholders to be filed with the SEC within 120 days after the end of the fiscal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141" w:right="31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61"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2016 Annual Meeting of Stockholders to be filed with the SEC within 120 days after the end of the fiscal year ended December 31,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IV</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SCHEDULE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SUPPLEMENTARY CONSOLIDATED FINANCIAL STATEMENT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98"/>
        </w:trPr>
        <w:tc>
          <w:tcPr>
            <w:tcW w:w="3780" w:type="dxa"/>
            <w:vAlign w:val="bottom"/>
          </w:tcPr>
          <w:p>
            <w:pPr>
              <w:spacing w:after="0"/>
              <w:rPr>
                <w:sz w:val="17"/>
                <w:szCs w:val="17"/>
                <w:color w:val="auto"/>
              </w:rPr>
            </w:pPr>
          </w:p>
        </w:tc>
        <w:tc>
          <w:tcPr>
            <w:tcW w:w="2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Balance at Beginning of</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Charged to Costs and</w:t>
            </w:r>
          </w:p>
        </w:tc>
        <w:tc>
          <w:tcPr>
            <w:tcW w:w="2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Deductions and</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7"/>
              </w:rPr>
              <w:t>Year</w:t>
            </w:r>
          </w:p>
        </w:tc>
        <w:tc>
          <w:tcPr>
            <w:tcW w:w="320" w:type="dxa"/>
            <w:vAlign w:val="bottom"/>
          </w:tcPr>
          <w:p>
            <w:pPr>
              <w:spacing w:after="0"/>
              <w:rPr>
                <w:sz w:val="20"/>
                <w:szCs w:val="20"/>
                <w:color w:val="auto"/>
              </w:rPr>
            </w:pPr>
          </w:p>
        </w:tc>
        <w:tc>
          <w:tcPr>
            <w:tcW w:w="1500" w:type="dxa"/>
            <w:vAlign w:val="bottom"/>
          </w:tcPr>
          <w:p>
            <w:pPr>
              <w:jc w:val="right"/>
              <w:ind w:right="459"/>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0"/>
                <w:szCs w:val="20"/>
                <w:color w:val="auto"/>
              </w:rPr>
            </w:pPr>
          </w:p>
        </w:tc>
        <w:tc>
          <w:tcPr>
            <w:tcW w:w="1640" w:type="dxa"/>
            <w:vAlign w:val="bottom"/>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(1)</w:t>
            </w: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at End of Year</w:t>
            </w:r>
          </w:p>
        </w:tc>
      </w:tr>
      <w:tr>
        <w:trPr>
          <w:trHeight w:val="264"/>
        </w:trPr>
        <w:tc>
          <w:tcPr>
            <w:tcW w:w="3780" w:type="dxa"/>
            <w:vAlign w:val="bottom"/>
            <w:tcBorders>
              <w:top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Allowance for Doubtful Accounts</w:t>
            </w:r>
          </w:p>
        </w:tc>
        <w:tc>
          <w:tcPr>
            <w:tcW w:w="48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r>
      <w:tr>
        <w:trPr>
          <w:trHeight w:val="260"/>
        </w:trPr>
        <w:tc>
          <w:tcPr>
            <w:tcW w:w="3780" w:type="dxa"/>
            <w:vAlign w:val="bottom"/>
          </w:tcPr>
          <w:p>
            <w:pPr>
              <w:jc w:val="right"/>
              <w:ind w:right="1119"/>
              <w:spacing w:after="0"/>
              <w:rPr>
                <w:sz w:val="20"/>
                <w:szCs w:val="20"/>
                <w:color w:val="auto"/>
              </w:rPr>
            </w:pPr>
            <w:r>
              <w:rPr>
                <w:rFonts w:ascii="Arial" w:cs="Arial" w:eastAsia="Arial" w:hAnsi="Arial"/>
                <w:sz w:val="16"/>
                <w:szCs w:val="16"/>
                <w:color w:val="auto"/>
              </w:rPr>
              <w:t>Year Ended December 31, 2015</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851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769</w:t>
            </w:r>
          </w:p>
        </w:tc>
      </w:tr>
      <w:tr>
        <w:trPr>
          <w:trHeight w:val="280"/>
        </w:trPr>
        <w:tc>
          <w:tcPr>
            <w:tcW w:w="378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Year Ended December 31, 2014</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r>
      <w:tr>
        <w:trPr>
          <w:trHeight w:val="251"/>
        </w:trPr>
        <w:tc>
          <w:tcPr>
            <w:tcW w:w="3780" w:type="dxa"/>
            <w:vAlign w:val="bottom"/>
          </w:tcPr>
          <w:p>
            <w:pPr>
              <w:jc w:val="right"/>
              <w:ind w:right="1119"/>
              <w:spacing w:after="0"/>
              <w:rPr>
                <w:sz w:val="20"/>
                <w:szCs w:val="20"/>
                <w:color w:val="auto"/>
              </w:rPr>
            </w:pPr>
            <w:r>
              <w:rPr>
                <w:rFonts w:ascii="Arial" w:cs="Arial" w:eastAsia="Arial" w:hAnsi="Arial"/>
                <w:sz w:val="16"/>
                <w:szCs w:val="16"/>
                <w:color w:val="auto"/>
              </w:rPr>
              <w:t>Year Ended December 31, 2013</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389</w:t>
            </w:r>
          </w:p>
        </w:tc>
      </w:tr>
    </w:tbl>
    <w:p>
      <w:pPr>
        <w:spacing w:after="0" w:line="204"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Primarily represents write-offs of uncollectible accounts, net of recoveries.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The exhibits listed on the Exhibit Index (following the Signatures section of this report) are included, or incorporated by reference, in this Annual Report on Form 10-K.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41"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SIGNATURES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r>
        <w:rPr>
          <w:rFonts w:ascii="Arial" w:cs="Arial" w:eastAsia="Arial" w:hAnsi="Arial"/>
          <w:sz w:val="18"/>
          <w:szCs w:val="18"/>
          <w:color w:val="231F20"/>
        </w:rPr>
        <w:t>, in the City of Redwood City, State of California</w:t>
      </w:r>
      <w:r>
        <w:rPr>
          <w:rFonts w:ascii="Arial" w:cs="Arial" w:eastAsia="Arial" w:hAnsi="Arial"/>
          <w:sz w:val="18"/>
          <w:szCs w:val="18"/>
          <w:color w:val="auto"/>
        </w:rPr>
        <w:t xml:space="preserve"> </w:t>
      </w:r>
      <w:r>
        <w:rPr>
          <w:rFonts w:ascii="Arial" w:cs="Arial" w:eastAsia="Arial" w:hAnsi="Arial"/>
          <w:sz w:val="18"/>
          <w:szCs w:val="18"/>
          <w:color w:val="231F20"/>
        </w:rPr>
        <w:t xml:space="preserve">on </w:t>
      </w:r>
      <w:r>
        <w:rPr>
          <w:rFonts w:ascii="Arial" w:cs="Arial" w:eastAsia="Arial" w:hAnsi="Arial"/>
          <w:sz w:val="18"/>
          <w:szCs w:val="18"/>
          <w:color w:val="000000"/>
        </w:rPr>
        <w:t>February 26, 2016.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5700"/>
        <w:spacing w:after="0"/>
        <w:tabs>
          <w:tab w:leader="none" w:pos="6300" w:val="left"/>
        </w:tabs>
        <w:rPr>
          <w:sz w:val="20"/>
          <w:szCs w:val="20"/>
          <w:color w:val="auto"/>
        </w:rPr>
      </w:pPr>
      <w:r>
        <w:rPr>
          <w:rFonts w:ascii="Arial" w:cs="Arial" w:eastAsia="Arial" w:hAnsi="Arial"/>
          <w:sz w:val="14"/>
          <w:szCs w:val="14"/>
          <w:b w:val="1"/>
          <w:bCs w:val="1"/>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Philippe F. Courtot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Chairman,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right="500" w:firstLine="405"/>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400"/>
          </w:cols>
          <w:pgMar w:left="240" w:top="141" w:right="259" w:bottom="1440" w:gutter="0" w:footer="0" w:header="0"/>
        </w:sectPr>
      </w:pPr>
    </w:p>
    <w:p>
      <w:pPr>
        <w:spacing w:after="0" w:line="372" w:lineRule="exact"/>
        <w:rPr>
          <w:sz w:val="20"/>
          <w:szCs w:val="20"/>
          <w:color w:val="auto"/>
        </w:rPr>
      </w:pPr>
    </w:p>
    <w:p>
      <w:pPr>
        <w:jc w:val="right"/>
        <w:ind w:right="1500"/>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SANDRA E.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Bergeron</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DONALD R.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R. Dixon</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JEFFREY P. 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Hank</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TODD P. HEADLEY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P. Headley</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GENERAL PETER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Peter Pace</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KRISTI 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 M. Rogers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HOWARD A.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Howard A. Schmidt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2140" w:type="dxa"/>
            <w:vAlign w:val="bottom"/>
            <w:gridSpan w:val="3"/>
          </w:tcPr>
          <w:p>
            <w:pPr>
              <w:ind w:left="880"/>
              <w:spacing w:after="0"/>
              <w:rPr>
                <w:sz w:val="20"/>
                <w:szCs w:val="20"/>
                <w:color w:val="auto"/>
              </w:rPr>
            </w:pPr>
            <w:r>
              <w:rPr>
                <w:rFonts w:ascii="Arial" w:cs="Arial" w:eastAsia="Arial" w:hAnsi="Arial"/>
                <w:sz w:val="18"/>
                <w:szCs w:val="18"/>
                <w:color w:val="auto"/>
              </w:rPr>
              <w:t>Date</w:t>
            </w:r>
          </w:p>
        </w:tc>
      </w:tr>
      <w:tr>
        <w:trPr>
          <w:trHeight w:val="20"/>
        </w:trPr>
        <w:tc>
          <w:tcPr>
            <w:tcW w:w="2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87"/>
        </w:trPr>
        <w:tc>
          <w:tcPr>
            <w:tcW w:w="4540" w:type="dxa"/>
            <w:vAlign w:val="bottom"/>
            <w:gridSpan w:val="3"/>
          </w:tcPr>
          <w:p>
            <w:pPr>
              <w:spacing w:after="0"/>
              <w:rPr>
                <w:sz w:val="20"/>
                <w:szCs w:val="20"/>
                <w:color w:val="auto"/>
              </w:rPr>
            </w:pPr>
            <w:r>
              <w:rPr>
                <w:rFonts w:ascii="Arial" w:cs="Arial" w:eastAsia="Arial" w:hAnsi="Arial"/>
                <w:sz w:val="18"/>
                <w:szCs w:val="18"/>
                <w:color w:val="auto"/>
              </w:rPr>
              <w:t>Chairman, President and Chief Executive Officer</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45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r>
        <w:trPr>
          <w:trHeight w:val="836"/>
        </w:trPr>
        <w:tc>
          <w:tcPr>
            <w:tcW w:w="454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and</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454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26, 2016</w:t>
            </w:r>
          </w:p>
        </w:tc>
      </w:tr>
    </w:tbl>
    <w:p>
      <w:pPr>
        <w:spacing w:after="0" w:line="460" w:lineRule="exact"/>
        <w:rPr>
          <w:sz w:val="20"/>
          <w:szCs w:val="20"/>
          <w:color w:val="auto"/>
        </w:rPr>
      </w:pPr>
    </w:p>
    <w:p>
      <w:pPr>
        <w:sectPr>
          <w:pgSz w:w="11900" w:h="16838" w:orient="portrait"/>
          <w:cols w:equalWidth="0" w:num="2">
            <w:col w:w="4000" w:space="720"/>
            <w:col w:w="6680"/>
          </w:cols>
          <w:pgMar w:left="240" w:top="141" w:right="25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41" w:right="259" w:bottom="1440" w:gutter="0" w:footer="0" w:header="0"/>
          <w:type w:val="continuous"/>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940" w:type="dxa"/>
            <w:vAlign w:val="bottom"/>
            <w:gridSpan w:val="2"/>
          </w:tcPr>
          <w:p>
            <w:pPr>
              <w:ind w:left="2320"/>
              <w:spacing w:after="0"/>
              <w:rPr>
                <w:sz w:val="20"/>
                <w:szCs w:val="20"/>
                <w:color w:val="auto"/>
              </w:rPr>
            </w:pPr>
            <w:r>
              <w:rPr>
                <w:rFonts w:ascii="Arial" w:cs="Arial" w:eastAsia="Arial" w:hAnsi="Arial"/>
                <w:sz w:val="13"/>
                <w:szCs w:val="13"/>
                <w:color w:val="auto"/>
              </w:rPr>
              <w:t>Incorporated by Reference</w:t>
            </w:r>
          </w:p>
        </w:tc>
        <w:tc>
          <w:tcPr>
            <w:tcW w:w="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97"/>
              </w:rPr>
              <w:t>Exhibit</w:t>
            </w:r>
          </w:p>
        </w:tc>
        <w:tc>
          <w:tcPr>
            <w:tcW w:w="3180" w:type="dxa"/>
            <w:vAlign w:val="bottom"/>
          </w:tcPr>
          <w:p>
            <w:pPr>
              <w:spacing w:after="0"/>
              <w:rPr>
                <w:sz w:val="16"/>
                <w:szCs w:val="16"/>
                <w:color w:val="auto"/>
              </w:rPr>
            </w:pPr>
          </w:p>
        </w:tc>
        <w:tc>
          <w:tcPr>
            <w:tcW w:w="3120" w:type="dxa"/>
            <w:vAlign w:val="bottom"/>
            <w:vMerge w:val="restart"/>
          </w:tcPr>
          <w:p>
            <w:pPr>
              <w:jc w:val="center"/>
              <w:ind w:left="2217"/>
              <w:spacing w:after="0"/>
              <w:rPr>
                <w:sz w:val="20"/>
                <w:szCs w:val="20"/>
                <w:color w:val="auto"/>
              </w:rPr>
            </w:pPr>
            <w:r>
              <w:rPr>
                <w:rFonts w:ascii="Arial" w:cs="Arial" w:eastAsia="Arial" w:hAnsi="Arial"/>
                <w:sz w:val="13"/>
                <w:szCs w:val="13"/>
                <w:color w:val="auto"/>
                <w:w w:val="99"/>
              </w:rPr>
              <w:t>Filed</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99"/>
              </w:rPr>
              <w:t>Number</w:t>
            </w:r>
          </w:p>
        </w:tc>
        <w:tc>
          <w:tcPr>
            <w:tcW w:w="3180" w:type="dxa"/>
            <w:vAlign w:val="bottom"/>
          </w:tcPr>
          <w:p>
            <w:pPr>
              <w:ind w:left="240"/>
              <w:spacing w:after="0"/>
              <w:rPr>
                <w:sz w:val="20"/>
                <w:szCs w:val="20"/>
                <w:color w:val="auto"/>
              </w:rPr>
            </w:pPr>
            <w:r>
              <w:rPr>
                <w:rFonts w:ascii="Arial" w:cs="Arial" w:eastAsia="Arial" w:hAnsi="Arial"/>
                <w:sz w:val="13"/>
                <w:szCs w:val="13"/>
                <w:color w:val="auto"/>
              </w:rPr>
              <w:t>Description</w:t>
            </w:r>
          </w:p>
        </w:tc>
        <w:tc>
          <w:tcPr>
            <w:tcW w:w="3120" w:type="dxa"/>
            <w:vAlign w:val="bottom"/>
          </w:tcPr>
          <w:p>
            <w:pPr>
              <w:jc w:val="center"/>
              <w:ind w:left="2197"/>
              <w:spacing w:after="0"/>
              <w:rPr>
                <w:sz w:val="20"/>
                <w:szCs w:val="20"/>
                <w:color w:val="auto"/>
              </w:rPr>
            </w:pPr>
            <w:r>
              <w:rPr>
                <w:rFonts w:ascii="Arial" w:cs="Arial" w:eastAsia="Arial" w:hAnsi="Arial"/>
                <w:sz w:val="13"/>
                <w:szCs w:val="13"/>
                <w:color w:val="auto"/>
                <w:w w:val="97"/>
              </w:rPr>
              <w:t>Herewith</w:t>
            </w:r>
          </w:p>
        </w:tc>
        <w:tc>
          <w:tcPr>
            <w:tcW w:w="820" w:type="dxa"/>
            <w:vAlign w:val="bottom"/>
          </w:tcPr>
          <w:p>
            <w:pPr>
              <w:ind w:left="180"/>
              <w:spacing w:after="0"/>
              <w:rPr>
                <w:sz w:val="20"/>
                <w:szCs w:val="20"/>
                <w:color w:val="auto"/>
              </w:rPr>
            </w:pPr>
            <w:r>
              <w:rPr>
                <w:rFonts w:ascii="Arial" w:cs="Arial" w:eastAsia="Arial" w:hAnsi="Arial"/>
                <w:sz w:val="13"/>
                <w:szCs w:val="13"/>
                <w:color w:val="auto"/>
              </w:rPr>
              <w:t>Form</w:t>
            </w:r>
          </w:p>
        </w:tc>
        <w:tc>
          <w:tcPr>
            <w:tcW w:w="780" w:type="dxa"/>
            <w:vAlign w:val="bottom"/>
          </w:tcPr>
          <w:p>
            <w:pPr>
              <w:ind w:left="140"/>
              <w:spacing w:after="0"/>
              <w:rPr>
                <w:sz w:val="20"/>
                <w:szCs w:val="20"/>
                <w:color w:val="auto"/>
              </w:rPr>
            </w:pPr>
            <w:r>
              <w:rPr>
                <w:rFonts w:ascii="Arial" w:cs="Arial" w:eastAsia="Arial" w:hAnsi="Arial"/>
                <w:sz w:val="13"/>
                <w:szCs w:val="13"/>
                <w:color w:val="auto"/>
              </w:rPr>
              <w:t>File No.</w:t>
            </w:r>
          </w:p>
        </w:tc>
        <w:tc>
          <w:tcPr>
            <w:tcW w:w="1620" w:type="dxa"/>
            <w:vAlign w:val="bottom"/>
          </w:tcPr>
          <w:p>
            <w:pPr>
              <w:ind w:left="220"/>
              <w:spacing w:after="0"/>
              <w:rPr>
                <w:sz w:val="20"/>
                <w:szCs w:val="20"/>
                <w:color w:val="auto"/>
              </w:rPr>
            </w:pPr>
            <w:r>
              <w:rPr>
                <w:rFonts w:ascii="Arial" w:cs="Arial" w:eastAsia="Arial" w:hAnsi="Arial"/>
                <w:sz w:val="13"/>
                <w:szCs w:val="13"/>
                <w:color w:val="auto"/>
              </w:rPr>
              <w:t>Exhibit No.   Filing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3.1</w:t>
            </w:r>
          </w:p>
        </w:tc>
        <w:tc>
          <w:tcPr>
            <w:tcW w:w="5960" w:type="dxa"/>
            <w:vAlign w:val="bottom"/>
          </w:tcPr>
          <w:p>
            <w:pPr>
              <w:ind w:left="260"/>
              <w:spacing w:after="0"/>
              <w:rPr>
                <w:sz w:val="20"/>
                <w:szCs w:val="20"/>
                <w:color w:val="auto"/>
              </w:rPr>
            </w:pPr>
            <w:r>
              <w:rPr>
                <w:rFonts w:ascii="Arial" w:cs="Arial" w:eastAsia="Arial" w:hAnsi="Arial"/>
                <w:sz w:val="13"/>
                <w:szCs w:val="13"/>
                <w:color w:val="auto"/>
              </w:rPr>
              <w:t>Amended and Restated Certificate of Incorporation of Qualys, Inc.</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3.3</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3.2</w:t>
            </w:r>
          </w:p>
        </w:tc>
        <w:tc>
          <w:tcPr>
            <w:tcW w:w="5960" w:type="dxa"/>
            <w:vAlign w:val="bottom"/>
          </w:tcPr>
          <w:p>
            <w:pPr>
              <w:ind w:left="260"/>
              <w:spacing w:after="0"/>
              <w:rPr>
                <w:sz w:val="20"/>
                <w:szCs w:val="20"/>
                <w:color w:val="auto"/>
              </w:rPr>
            </w:pPr>
            <w:r>
              <w:rPr>
                <w:rFonts w:ascii="Arial" w:cs="Arial" w:eastAsia="Arial" w:hAnsi="Arial"/>
                <w:sz w:val="13"/>
                <w:szCs w:val="13"/>
                <w:color w:val="auto"/>
              </w:rPr>
              <w:t>Amended and Restated Bylaws of Qualys, Inc.</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3.5</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4.1</w:t>
            </w:r>
          </w:p>
        </w:tc>
        <w:tc>
          <w:tcPr>
            <w:tcW w:w="5960" w:type="dxa"/>
            <w:vAlign w:val="bottom"/>
          </w:tcPr>
          <w:p>
            <w:pPr>
              <w:ind w:left="260"/>
              <w:spacing w:after="0"/>
              <w:rPr>
                <w:sz w:val="20"/>
                <w:szCs w:val="20"/>
                <w:color w:val="auto"/>
              </w:rPr>
            </w:pPr>
            <w:r>
              <w:rPr>
                <w:rFonts w:ascii="Arial" w:cs="Arial" w:eastAsia="Arial" w:hAnsi="Arial"/>
                <w:sz w:val="13"/>
                <w:szCs w:val="13"/>
                <w:color w:val="auto"/>
              </w:rPr>
              <w:t>Form of common stock certificate.</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Amended and Restated Investor Rights Agreement, by and among Qualys, Inc. and the</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4.2</w:t>
            </w:r>
          </w:p>
        </w:tc>
        <w:tc>
          <w:tcPr>
            <w:tcW w:w="5960" w:type="dxa"/>
            <w:vAlign w:val="bottom"/>
          </w:tcPr>
          <w:p>
            <w:pPr>
              <w:ind w:left="260"/>
              <w:spacing w:after="0"/>
              <w:rPr>
                <w:sz w:val="20"/>
                <w:szCs w:val="20"/>
                <w:color w:val="auto"/>
              </w:rPr>
            </w:pPr>
            <w:r>
              <w:rPr>
                <w:rFonts w:ascii="Arial" w:cs="Arial" w:eastAsia="Arial" w:hAnsi="Arial"/>
                <w:sz w:val="13"/>
                <w:szCs w:val="13"/>
                <w:color w:val="auto"/>
              </w:rPr>
              <w:t>investors party thereto, dated July 12, 2005.</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10.1*</w:t>
            </w:r>
          </w:p>
        </w:tc>
        <w:tc>
          <w:tcPr>
            <w:tcW w:w="5960" w:type="dxa"/>
            <w:vAlign w:val="bottom"/>
          </w:tcPr>
          <w:p>
            <w:pPr>
              <w:ind w:left="260"/>
              <w:spacing w:after="0"/>
              <w:rPr>
                <w:sz w:val="20"/>
                <w:szCs w:val="20"/>
                <w:color w:val="auto"/>
              </w:rPr>
            </w:pPr>
            <w:r>
              <w:rPr>
                <w:rFonts w:ascii="Arial" w:cs="Arial" w:eastAsia="Arial" w:hAnsi="Arial"/>
                <w:sz w:val="13"/>
                <w:szCs w:val="13"/>
                <w:color w:val="auto"/>
              </w:rPr>
              <w:t>2000 Equity Incentive Plan, as amended, and the form of stock option agreement thereunder.</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10.1</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10.2*</w:t>
            </w:r>
          </w:p>
        </w:tc>
        <w:tc>
          <w:tcPr>
            <w:tcW w:w="5960" w:type="dxa"/>
            <w:vAlign w:val="bottom"/>
          </w:tcPr>
          <w:p>
            <w:pPr>
              <w:ind w:left="260"/>
              <w:spacing w:after="0"/>
              <w:rPr>
                <w:sz w:val="20"/>
                <w:szCs w:val="20"/>
                <w:color w:val="auto"/>
              </w:rPr>
            </w:pPr>
            <w:r>
              <w:rPr>
                <w:rFonts w:ascii="Arial" w:cs="Arial" w:eastAsia="Arial" w:hAnsi="Arial"/>
                <w:sz w:val="13"/>
                <w:szCs w:val="13"/>
                <w:color w:val="auto"/>
              </w:rPr>
              <w:t>2012 Equity Incentive Plan and forms of agreements thereunder.</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10.2</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10.3*</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Philippe F. Courtot, dated December 7, 2000.</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10.3</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10.4*</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Amer S. Deeba, dated September 4, 2001.</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10.4</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10.5*</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Sumedh S. Thakar, dated January 20, 2003.</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10.5</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Donald C. McCauley, dated February 7, 2006, as</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10.6*</w:t>
            </w:r>
          </w:p>
        </w:tc>
        <w:tc>
          <w:tcPr>
            <w:tcW w:w="5960" w:type="dxa"/>
            <w:vAlign w:val="bottom"/>
          </w:tcPr>
          <w:p>
            <w:pPr>
              <w:ind w:left="260"/>
              <w:spacing w:after="0"/>
              <w:rPr>
                <w:sz w:val="20"/>
                <w:szCs w:val="20"/>
                <w:color w:val="auto"/>
              </w:rPr>
            </w:pPr>
            <w:r>
              <w:rPr>
                <w:rFonts w:ascii="Arial" w:cs="Arial" w:eastAsia="Arial" w:hAnsi="Arial"/>
                <w:sz w:val="13"/>
                <w:szCs w:val="13"/>
                <w:color w:val="auto"/>
              </w:rPr>
              <w:t>amended.</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10.6</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10.7*</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Bruce K. Posey, dated May 8, 2012.</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10.9</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13"/>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10.8*</w:t>
            </w:r>
          </w:p>
        </w:tc>
        <w:tc>
          <w:tcPr>
            <w:tcW w:w="5960" w:type="dxa"/>
            <w:vAlign w:val="bottom"/>
          </w:tcPr>
          <w:p>
            <w:pPr>
              <w:ind w:left="260"/>
              <w:spacing w:after="0"/>
              <w:rPr>
                <w:sz w:val="20"/>
                <w:szCs w:val="20"/>
                <w:color w:val="auto"/>
              </w:rPr>
            </w:pPr>
            <w:r>
              <w:rPr>
                <w:rFonts w:ascii="Arial" w:cs="Arial" w:eastAsia="Arial" w:hAnsi="Arial"/>
                <w:sz w:val="13"/>
                <w:szCs w:val="13"/>
                <w:color w:val="auto"/>
              </w:rPr>
              <w:t>Form of director and executive officer indemnification agreement.</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vMerge w:val="restart"/>
          </w:tcPr>
          <w:p>
            <w:pPr>
              <w:jc w:val="center"/>
              <w:ind w:left="17"/>
              <w:spacing w:after="0"/>
              <w:rPr>
                <w:sz w:val="20"/>
                <w:szCs w:val="20"/>
                <w:color w:val="auto"/>
              </w:rPr>
            </w:pPr>
            <w:r>
              <w:rPr>
                <w:rFonts w:ascii="Arial" w:cs="Arial" w:eastAsia="Arial" w:hAnsi="Arial"/>
                <w:sz w:val="13"/>
                <w:szCs w:val="13"/>
                <w:color w:val="auto"/>
                <w:w w:val="94"/>
              </w:rPr>
              <w:t>10.1</w:t>
            </w:r>
          </w:p>
        </w:tc>
        <w:tc>
          <w:tcPr>
            <w:tcW w:w="1300" w:type="dxa"/>
            <w:vAlign w:val="bottom"/>
          </w:tcPr>
          <w:p>
            <w:pPr>
              <w:ind w:left="160"/>
              <w:spacing w:after="0"/>
              <w:rPr>
                <w:sz w:val="20"/>
                <w:szCs w:val="20"/>
                <w:color w:val="auto"/>
              </w:rPr>
            </w:pPr>
            <w:r>
              <w:rPr>
                <w:rFonts w:ascii="Arial" w:cs="Arial" w:eastAsia="Arial" w:hAnsi="Arial"/>
                <w:sz w:val="13"/>
                <w:szCs w:val="13"/>
                <w:color w:val="auto"/>
              </w:rPr>
              <w:t>August 10, 2012</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Lease Agreement, between Qualys, Inc. and Westport Office Park, LLC, dated July 11, 2006,</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vMerge w:val="restart"/>
          </w:tcPr>
          <w:p>
            <w:pPr>
              <w:jc w:val="center"/>
              <w:ind w:right="217"/>
              <w:spacing w:after="0"/>
              <w:rPr>
                <w:sz w:val="20"/>
                <w:szCs w:val="20"/>
                <w:color w:val="auto"/>
              </w:rPr>
            </w:pPr>
            <w:r>
              <w:rPr>
                <w:rFonts w:ascii="Arial" w:cs="Arial" w:eastAsia="Arial" w:hAnsi="Arial"/>
                <w:sz w:val="13"/>
                <w:szCs w:val="13"/>
                <w:color w:val="auto"/>
                <w:w w:val="94"/>
              </w:rPr>
              <w:t>10.9</w:t>
            </w:r>
          </w:p>
        </w:tc>
        <w:tc>
          <w:tcPr>
            <w:tcW w:w="5960" w:type="dxa"/>
            <w:vAlign w:val="bottom"/>
          </w:tcPr>
          <w:p>
            <w:pPr>
              <w:ind w:left="260"/>
              <w:spacing w:after="0"/>
              <w:rPr>
                <w:sz w:val="20"/>
                <w:szCs w:val="20"/>
                <w:color w:val="auto"/>
              </w:rPr>
            </w:pPr>
            <w:r>
              <w:rPr>
                <w:rFonts w:ascii="Arial" w:cs="Arial" w:eastAsia="Arial" w:hAnsi="Arial"/>
                <w:sz w:val="13"/>
                <w:szCs w:val="13"/>
                <w:color w:val="auto"/>
              </w:rPr>
              <w:t>as amended August 10, 2007, May 20, 2010 and December 5, 2011.</w:t>
            </w:r>
          </w:p>
        </w:tc>
        <w:tc>
          <w:tcPr>
            <w:tcW w:w="1020" w:type="dxa"/>
            <w:vAlign w:val="bottom"/>
            <w:vMerge w:val="restart"/>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vMerge w:val="restart"/>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vMerge w:val="restart"/>
          </w:tcPr>
          <w:p>
            <w:pPr>
              <w:jc w:val="center"/>
              <w:ind w:left="17"/>
              <w:spacing w:after="0"/>
              <w:rPr>
                <w:sz w:val="20"/>
                <w:szCs w:val="20"/>
                <w:color w:val="auto"/>
              </w:rPr>
            </w:pPr>
            <w:r>
              <w:rPr>
                <w:rFonts w:ascii="Arial" w:cs="Arial" w:eastAsia="Arial" w:hAnsi="Arial"/>
                <w:sz w:val="13"/>
                <w:szCs w:val="13"/>
                <w:color w:val="auto"/>
                <w:w w:val="98"/>
              </w:rPr>
              <w:t>10.11</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3"/>
        </w:trPr>
        <w:tc>
          <w:tcPr>
            <w:tcW w:w="640" w:type="dxa"/>
            <w:vAlign w:val="bottom"/>
            <w:vMerge w:val="restart"/>
          </w:tcPr>
          <w:p>
            <w:pPr>
              <w:jc w:val="center"/>
              <w:ind w:right="217"/>
              <w:spacing w:after="0"/>
              <w:rPr>
                <w:sz w:val="20"/>
                <w:szCs w:val="20"/>
                <w:color w:val="auto"/>
              </w:rPr>
            </w:pPr>
            <w:r>
              <w:rPr>
                <w:rFonts w:ascii="Arial" w:cs="Arial" w:eastAsia="Arial" w:hAnsi="Arial"/>
                <w:sz w:val="13"/>
                <w:szCs w:val="13"/>
                <w:color w:val="auto"/>
                <w:w w:val="95"/>
              </w:rPr>
              <w:t>10.10*</w:t>
            </w:r>
          </w:p>
        </w:tc>
        <w:tc>
          <w:tcPr>
            <w:tcW w:w="5960" w:type="dxa"/>
            <w:vAlign w:val="bottom"/>
          </w:tcPr>
          <w:p>
            <w:pPr>
              <w:ind w:left="260"/>
              <w:spacing w:after="0"/>
              <w:rPr>
                <w:sz w:val="20"/>
                <w:szCs w:val="20"/>
                <w:color w:val="auto"/>
              </w:rPr>
            </w:pPr>
            <w:r>
              <w:rPr>
                <w:rFonts w:ascii="Arial" w:cs="Arial" w:eastAsia="Arial" w:hAnsi="Arial"/>
                <w:sz w:val="13"/>
                <w:szCs w:val="13"/>
                <w:color w:val="auto"/>
              </w:rPr>
              <w:t>2011 Corporate Bonus Plan.</w:t>
            </w:r>
          </w:p>
        </w:tc>
        <w:tc>
          <w:tcPr>
            <w:tcW w:w="1020" w:type="dxa"/>
            <w:vAlign w:val="bottom"/>
            <w:vMerge w:val="restart"/>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vMerge w:val="restart"/>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vMerge w:val="restart"/>
          </w:tcPr>
          <w:p>
            <w:pPr>
              <w:jc w:val="center"/>
              <w:ind w:left="17"/>
              <w:spacing w:after="0"/>
              <w:rPr>
                <w:sz w:val="20"/>
                <w:szCs w:val="20"/>
                <w:color w:val="auto"/>
              </w:rPr>
            </w:pPr>
            <w:r>
              <w:rPr>
                <w:rFonts w:ascii="Arial" w:cs="Arial" w:eastAsia="Arial" w:hAnsi="Arial"/>
                <w:sz w:val="13"/>
                <w:szCs w:val="13"/>
                <w:color w:val="auto"/>
                <w:w w:val="98"/>
              </w:rPr>
              <w:t>10.12</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10.11*</w:t>
            </w:r>
          </w:p>
        </w:tc>
        <w:tc>
          <w:tcPr>
            <w:tcW w:w="5960" w:type="dxa"/>
            <w:vAlign w:val="bottom"/>
          </w:tcPr>
          <w:p>
            <w:pPr>
              <w:ind w:left="260"/>
              <w:spacing w:after="0"/>
              <w:rPr>
                <w:sz w:val="20"/>
                <w:szCs w:val="20"/>
                <w:color w:val="auto"/>
              </w:rPr>
            </w:pPr>
            <w:r>
              <w:rPr>
                <w:rFonts w:ascii="Arial" w:cs="Arial" w:eastAsia="Arial" w:hAnsi="Arial"/>
                <w:sz w:val="13"/>
                <w:szCs w:val="13"/>
                <w:color w:val="auto"/>
              </w:rPr>
              <w:t>2012 Corporate Bonus Plan.</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10.13</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Master Services Agreement, between Qualys, Inc. and Savvis Communications Corporation,</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8"/>
              </w:rPr>
              <w:t>10.12</w:t>
            </w:r>
          </w:p>
        </w:tc>
        <w:tc>
          <w:tcPr>
            <w:tcW w:w="5960" w:type="dxa"/>
            <w:vAlign w:val="bottom"/>
          </w:tcPr>
          <w:p>
            <w:pPr>
              <w:ind w:left="260"/>
              <w:spacing w:after="0"/>
              <w:rPr>
                <w:sz w:val="20"/>
                <w:szCs w:val="20"/>
                <w:color w:val="auto"/>
              </w:rPr>
            </w:pPr>
            <w:r>
              <w:rPr>
                <w:rFonts w:ascii="Arial" w:cs="Arial" w:eastAsia="Arial" w:hAnsi="Arial"/>
                <w:sz w:val="13"/>
                <w:szCs w:val="13"/>
                <w:color w:val="auto"/>
              </w:rPr>
              <w:t>dated June 22, 2010.</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10.14</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Master Agreement, between Qualys, Inc. and Interoute Communications Limited, dated</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5"/>
              </w:rPr>
              <w:t>10.13†</w:t>
            </w:r>
          </w:p>
        </w:tc>
        <w:tc>
          <w:tcPr>
            <w:tcW w:w="5960" w:type="dxa"/>
            <w:vAlign w:val="bottom"/>
          </w:tcPr>
          <w:p>
            <w:pPr>
              <w:ind w:left="260"/>
              <w:spacing w:after="0"/>
              <w:rPr>
                <w:sz w:val="20"/>
                <w:szCs w:val="20"/>
                <w:color w:val="auto"/>
              </w:rPr>
            </w:pPr>
            <w:r>
              <w:rPr>
                <w:rFonts w:ascii="Arial" w:cs="Arial" w:eastAsia="Arial" w:hAnsi="Arial"/>
                <w:sz w:val="13"/>
                <w:szCs w:val="13"/>
                <w:color w:val="auto"/>
              </w:rPr>
              <w:t>March 31, 2008.</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10.15</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Manufacturing Services Agreement, between Qualys, Inc. and Synnex Corporation, dated</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5"/>
              </w:rPr>
              <w:t>10.14†</w:t>
            </w:r>
          </w:p>
        </w:tc>
        <w:tc>
          <w:tcPr>
            <w:tcW w:w="5960" w:type="dxa"/>
            <w:vAlign w:val="bottom"/>
          </w:tcPr>
          <w:p>
            <w:pPr>
              <w:ind w:left="260"/>
              <w:spacing w:after="0"/>
              <w:rPr>
                <w:sz w:val="20"/>
                <w:szCs w:val="20"/>
                <w:color w:val="auto"/>
              </w:rPr>
            </w:pPr>
            <w:r>
              <w:rPr>
                <w:rFonts w:ascii="Arial" w:cs="Arial" w:eastAsia="Arial" w:hAnsi="Arial"/>
                <w:sz w:val="13"/>
                <w:szCs w:val="13"/>
                <w:color w:val="auto"/>
              </w:rPr>
              <w:t>March 1, 2011.</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10.16</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4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000"/>
          </w:cols>
          <w:pgMar w:left="240" w:top="141" w:right="659" w:bottom="1440" w:gutter="0" w:footer="0" w:header="0"/>
          <w:type w:val="continuous"/>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20" w:type="dxa"/>
        <w:tblCellMar>
          <w:top w:w="0" w:type="dxa"/>
          <w:left w:w="0" w:type="dxa"/>
          <w:bottom w:w="0" w:type="dxa"/>
          <w:right w:w="0" w:type="dxa"/>
        </w:tblCellMar>
      </w:tblP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21.1</w:t>
            </w:r>
          </w:p>
        </w:tc>
        <w:tc>
          <w:tcPr>
            <w:tcW w:w="5620" w:type="dxa"/>
            <w:vAlign w:val="bottom"/>
          </w:tcPr>
          <w:p>
            <w:pPr>
              <w:ind w:left="220"/>
              <w:spacing w:after="0"/>
              <w:rPr>
                <w:sz w:val="20"/>
                <w:szCs w:val="20"/>
                <w:color w:val="auto"/>
              </w:rPr>
            </w:pPr>
            <w:r>
              <w:rPr>
                <w:rFonts w:ascii="Arial" w:cs="Arial" w:eastAsia="Arial" w:hAnsi="Arial"/>
                <w:sz w:val="13"/>
                <w:szCs w:val="13"/>
                <w:color w:val="auto"/>
              </w:rPr>
              <w:t>List of subsidiaries of Qualys, Inc.</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594"/>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23.1</w:t>
            </w:r>
          </w:p>
        </w:tc>
        <w:tc>
          <w:tcPr>
            <w:tcW w:w="5620" w:type="dxa"/>
            <w:vAlign w:val="bottom"/>
          </w:tcPr>
          <w:p>
            <w:pPr>
              <w:ind w:left="220"/>
              <w:spacing w:after="0"/>
              <w:rPr>
                <w:sz w:val="20"/>
                <w:szCs w:val="20"/>
                <w:color w:val="auto"/>
              </w:rPr>
            </w:pPr>
            <w:r>
              <w:rPr>
                <w:rFonts w:ascii="Arial" w:cs="Arial" w:eastAsia="Arial" w:hAnsi="Arial"/>
                <w:sz w:val="13"/>
                <w:szCs w:val="13"/>
                <w:color w:val="auto"/>
              </w:rPr>
              <w:t>Consent of Grant Thornton LLP, independent registered public accounting firm.</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Executive Officer pursuant to Rule 13a-14(a) or Rule 15d-14(a) of the</w:t>
            </w:r>
          </w:p>
        </w:tc>
        <w:tc>
          <w:tcPr>
            <w:tcW w:w="28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as adopted pursuant to Section 302 of The Sarbanes-</w:t>
            </w:r>
          </w:p>
        </w:tc>
        <w:tc>
          <w:tcPr>
            <w:tcW w:w="28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31.1</w:t>
            </w:r>
          </w:p>
        </w:tc>
        <w:tc>
          <w:tcPr>
            <w:tcW w:w="5620" w:type="dxa"/>
            <w:vAlign w:val="bottom"/>
          </w:tcPr>
          <w:p>
            <w:pPr>
              <w:ind w:left="220"/>
              <w:spacing w:after="0"/>
              <w:rPr>
                <w:sz w:val="20"/>
                <w:szCs w:val="20"/>
                <w:color w:val="auto"/>
              </w:rPr>
            </w:pPr>
            <w:r>
              <w:rPr>
                <w:rFonts w:ascii="Arial" w:cs="Arial" w:eastAsia="Arial" w:hAnsi="Arial"/>
                <w:sz w:val="13"/>
                <w:szCs w:val="13"/>
                <w:color w:val="auto"/>
              </w:rPr>
              <w:t>Oxley Act of 2002.</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Financial Officer pursuant to Rule 13a-14(a) or Rule 15d-14(a) of the</w:t>
            </w:r>
          </w:p>
        </w:tc>
        <w:tc>
          <w:tcPr>
            <w:tcW w:w="28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as adopted pursuant to Section 302 of The Sarbanes-</w:t>
            </w:r>
          </w:p>
        </w:tc>
        <w:tc>
          <w:tcPr>
            <w:tcW w:w="28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31.2</w:t>
            </w:r>
          </w:p>
        </w:tc>
        <w:tc>
          <w:tcPr>
            <w:tcW w:w="5620" w:type="dxa"/>
            <w:vAlign w:val="bottom"/>
          </w:tcPr>
          <w:p>
            <w:pPr>
              <w:ind w:left="220"/>
              <w:spacing w:after="0"/>
              <w:rPr>
                <w:sz w:val="20"/>
                <w:szCs w:val="20"/>
                <w:color w:val="auto"/>
              </w:rPr>
            </w:pPr>
            <w:r>
              <w:rPr>
                <w:rFonts w:ascii="Arial" w:cs="Arial" w:eastAsia="Arial" w:hAnsi="Arial"/>
                <w:sz w:val="13"/>
                <w:szCs w:val="13"/>
                <w:color w:val="auto"/>
              </w:rPr>
              <w:t>Oxley Act of 2002.</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Executive Officer pursuant to Rule 13a-14(b) or Rule 15d-14(b) of the</w:t>
            </w:r>
          </w:p>
        </w:tc>
        <w:tc>
          <w:tcPr>
            <w:tcW w:w="28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and 18 U.S.C. Section 1350 as adopted pursuant to Section</w:t>
            </w:r>
          </w:p>
        </w:tc>
        <w:tc>
          <w:tcPr>
            <w:tcW w:w="28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32.1</w:t>
            </w:r>
          </w:p>
        </w:tc>
        <w:tc>
          <w:tcPr>
            <w:tcW w:w="5620" w:type="dxa"/>
            <w:vAlign w:val="bottom"/>
          </w:tcPr>
          <w:p>
            <w:pPr>
              <w:ind w:left="220"/>
              <w:spacing w:after="0"/>
              <w:rPr>
                <w:sz w:val="20"/>
                <w:szCs w:val="20"/>
                <w:color w:val="auto"/>
              </w:rPr>
            </w:pPr>
            <w:r>
              <w:rPr>
                <w:rFonts w:ascii="Arial" w:cs="Arial" w:eastAsia="Arial" w:hAnsi="Arial"/>
                <w:sz w:val="13"/>
                <w:szCs w:val="13"/>
                <w:color w:val="auto"/>
              </w:rPr>
              <w:t>906 of The Sarbanes-Oxley Act of 2002.</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Financial Officer pursuant to Rule 13a-14(b) or Rule 15d-14(b) of the</w:t>
            </w:r>
          </w:p>
        </w:tc>
        <w:tc>
          <w:tcPr>
            <w:tcW w:w="28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and 18 U.S.C. Section 1350 as adopted pursuant to Section</w:t>
            </w:r>
          </w:p>
        </w:tc>
        <w:tc>
          <w:tcPr>
            <w:tcW w:w="28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32.2</w:t>
            </w:r>
          </w:p>
        </w:tc>
        <w:tc>
          <w:tcPr>
            <w:tcW w:w="5620" w:type="dxa"/>
            <w:vAlign w:val="bottom"/>
          </w:tcPr>
          <w:p>
            <w:pPr>
              <w:ind w:left="220"/>
              <w:spacing w:after="0"/>
              <w:rPr>
                <w:sz w:val="20"/>
                <w:szCs w:val="20"/>
                <w:color w:val="auto"/>
              </w:rPr>
            </w:pPr>
            <w:r>
              <w:rPr>
                <w:rFonts w:ascii="Arial" w:cs="Arial" w:eastAsia="Arial" w:hAnsi="Arial"/>
                <w:sz w:val="13"/>
                <w:szCs w:val="13"/>
                <w:color w:val="auto"/>
              </w:rPr>
              <w:t>906 of The Sarbanes-Oxley Act of 2002.</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7"/>
              </w:rPr>
              <w:t>101.INS</w:t>
            </w:r>
          </w:p>
        </w:tc>
        <w:tc>
          <w:tcPr>
            <w:tcW w:w="5620" w:type="dxa"/>
            <w:vAlign w:val="bottom"/>
          </w:tcPr>
          <w:p>
            <w:pPr>
              <w:ind w:left="220"/>
              <w:spacing w:after="0"/>
              <w:rPr>
                <w:sz w:val="20"/>
                <w:szCs w:val="20"/>
                <w:color w:val="auto"/>
              </w:rPr>
            </w:pPr>
            <w:r>
              <w:rPr>
                <w:rFonts w:ascii="Arial" w:cs="Arial" w:eastAsia="Arial" w:hAnsi="Arial"/>
                <w:sz w:val="13"/>
                <w:szCs w:val="13"/>
                <w:color w:val="auto"/>
              </w:rPr>
              <w:t>XBRL Instance Document</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4"/>
              </w:rPr>
              <w:t>101.SCH</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Schema Document</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8"/>
              </w:rPr>
              <w:t>101.CAL</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Calculation Linkbase Document</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7"/>
              </w:rPr>
              <w:t>101.DEF</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Definition Linkbase</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594"/>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6"/>
              </w:rPr>
              <w:t>101.LAB</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Labels Linkbase Document</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6"/>
              </w:rPr>
              <w:t>101.PRE</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Presentation Linkbase Document</w:t>
            </w:r>
          </w:p>
        </w:tc>
        <w:tc>
          <w:tcPr>
            <w:tcW w:w="280" w:type="dxa"/>
            <w:vAlign w:val="bottom"/>
          </w:tcPr>
          <w:p>
            <w:pPr>
              <w:ind w:left="200"/>
              <w:spacing w:after="0"/>
              <w:rPr>
                <w:sz w:val="20"/>
                <w:szCs w:val="20"/>
                <w:color w:val="auto"/>
              </w:rPr>
            </w:pPr>
            <w:r>
              <w:rPr>
                <w:rFonts w:ascii="Arial" w:cs="Arial" w:eastAsia="Arial" w:hAnsi="Arial"/>
                <w:sz w:val="12"/>
                <w:szCs w:val="12"/>
                <w:color w:val="auto"/>
                <w:w w:val="74"/>
              </w:rPr>
              <w:t>X</w:t>
            </w:r>
          </w:p>
        </w:tc>
      </w:tr>
    </w:tbl>
    <w:p>
      <w:pPr>
        <w:spacing w:after="0" w:line="200" w:lineRule="exact"/>
        <w:rPr>
          <w:sz w:val="20"/>
          <w:szCs w:val="20"/>
          <w:color w:val="auto"/>
        </w:rPr>
      </w:pPr>
    </w:p>
    <w:p>
      <w:pPr>
        <w:spacing w:after="0" w:line="242" w:lineRule="exact"/>
        <w:rPr>
          <w:sz w:val="20"/>
          <w:szCs w:val="20"/>
          <w:color w:val="auto"/>
        </w:rPr>
      </w:pPr>
    </w:p>
    <w:p>
      <w:pPr>
        <w:ind w:left="1180" w:hanging="227"/>
        <w:spacing w:after="0"/>
        <w:tabs>
          <w:tab w:leader="none" w:pos="11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Portions of this exhibit have been omitted due to a determination by the Securities and</w:t>
      </w:r>
    </w:p>
    <w:p>
      <w:pPr>
        <w:ind w:left="1180" w:hanging="227"/>
        <w:spacing w:after="0"/>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Exchange Commission that these portions should be granted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219"/>
          </w:cols>
          <w:pgMar w:left="240" w:top="141"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 of Qualys,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of Subsidiary</w:t>
            </w:r>
          </w:p>
        </w:tc>
        <w:tc>
          <w:tcPr>
            <w:tcW w:w="380" w:type="dxa"/>
            <w:vAlign w:val="bottom"/>
          </w:tcPr>
          <w:p>
            <w:pPr>
              <w:spacing w:after="0"/>
              <w:rPr>
                <w:sz w:val="19"/>
                <w:szCs w:val="19"/>
                <w:color w:val="auto"/>
              </w:rPr>
            </w:pP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Jurisdiction of Incorporation</w:t>
            </w:r>
          </w:p>
        </w:tc>
      </w:tr>
      <w:tr>
        <w:trPr>
          <w:trHeight w:val="581"/>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International, Inc.</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242"/>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Brazil Desenvolvimento de Produtos e Consultoria de Tecnologias</w:t>
            </w:r>
          </w:p>
        </w:tc>
        <w:tc>
          <w:tcPr>
            <w:tcW w:w="3560" w:type="dxa"/>
            <w:vAlign w:val="bottom"/>
          </w:tcPr>
          <w:p>
            <w:pPr>
              <w:spacing w:after="0"/>
              <w:rPr>
                <w:sz w:val="21"/>
                <w:szCs w:val="21"/>
                <w:color w:val="auto"/>
              </w:rPr>
            </w:pPr>
          </w:p>
        </w:tc>
      </w:tr>
      <w:tr>
        <w:trPr>
          <w:trHeight w:val="217"/>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de Seguranca LTDA.</w:t>
            </w:r>
          </w:p>
        </w:tc>
        <w:tc>
          <w:tcPr>
            <w:tcW w:w="356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Canada, Ltd.</w:t>
            </w:r>
          </w:p>
        </w:tc>
        <w:tc>
          <w:tcPr>
            <w:tcW w:w="356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Technologies, S.A.</w:t>
            </w:r>
          </w:p>
        </w:tc>
        <w:tc>
          <w:tcPr>
            <w:tcW w:w="35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GmbH</w:t>
            </w:r>
          </w:p>
        </w:tc>
        <w:tc>
          <w:tcPr>
            <w:tcW w:w="35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Hong Kong Limited</w:t>
            </w:r>
          </w:p>
        </w:tc>
        <w:tc>
          <w:tcPr>
            <w:tcW w:w="35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Security TechServices Private Ltd.</w:t>
            </w:r>
          </w:p>
        </w:tc>
        <w:tc>
          <w:tcPr>
            <w:tcW w:w="35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Japan K.K.</w:t>
            </w:r>
          </w:p>
        </w:tc>
        <w:tc>
          <w:tcPr>
            <w:tcW w:w="35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32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(Beijing) Information Technology Ltd. Corp.</w:t>
            </w:r>
            <w:r>
              <w:rPr>
                <w:rFonts w:ascii="Arial" w:cs="Arial" w:eastAsia="Arial" w:hAnsi="Arial"/>
                <w:sz w:val="21"/>
                <w:szCs w:val="21"/>
                <w:color w:val="auto"/>
                <w:vertAlign w:val="superscript"/>
              </w:rPr>
              <w:t>(1)</w:t>
            </w:r>
          </w:p>
        </w:tc>
        <w:tc>
          <w:tcPr>
            <w:tcW w:w="356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r>
      <w:tr>
        <w:trPr>
          <w:trHeight w:val="217"/>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Singapore Pte. Ltd.</w:t>
            </w:r>
          </w:p>
        </w:tc>
        <w:tc>
          <w:tcPr>
            <w:tcW w:w="35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Middle East FZE</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Arab Emirates</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Ltd.</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Australia Pty Ltd.</w:t>
            </w:r>
          </w:p>
        </w:tc>
        <w:tc>
          <w:tcPr>
            <w:tcW w:w="356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Switzerland Sarl</w:t>
            </w:r>
          </w:p>
        </w:tc>
        <w:tc>
          <w:tcPr>
            <w:tcW w:w="3560" w:type="dxa"/>
            <w:vAlign w:val="bottom"/>
          </w:tcPr>
          <w:p>
            <w:pPr>
              <w:ind w:left="40"/>
              <w:spacing w:after="0"/>
              <w:rPr>
                <w:sz w:val="20"/>
                <w:szCs w:val="20"/>
                <w:color w:val="auto"/>
              </w:rPr>
            </w:pPr>
            <w:r>
              <w:rPr>
                <w:rFonts w:ascii="Arial" w:cs="Arial" w:eastAsia="Arial" w:hAnsi="Arial"/>
                <w:sz w:val="18"/>
                <w:szCs w:val="18"/>
                <w:color w:val="auto"/>
              </w:rPr>
              <w:t>Switzerland</w:t>
            </w:r>
          </w:p>
        </w:tc>
      </w:tr>
    </w:tbl>
    <w:p>
      <w:pPr>
        <w:spacing w:after="0" w:line="200"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As of December 31, 2015, this entity is inactive and in the process of being dissolved.</w:t>
      </w:r>
    </w:p>
    <w:p>
      <w:pPr>
        <w:sectPr>
          <w:pgSz w:w="11900" w:h="16838" w:orient="portrait"/>
          <w:cols w:equalWidth="0" w:num="1">
            <w:col w:w="11420"/>
          </w:cols>
          <w:pgMar w:left="240" w:top="589"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We have issued our reports dated February 25, 2016, with respect to the consolidated financial statements, schedule, and internal control over financial reporting included in the Annual Report of Qualys, Inc. on Form 10-K for the year ended December 31, 2015. We consent to the incorporation by reference of said reports in the Registration Statements of Qualys, Inc. on Forms S-8 (File Nos. 333-184394, 333-193576 and 333-202587).</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25, 2016</w:t>
      </w:r>
    </w:p>
    <w:p>
      <w:pPr>
        <w:sectPr>
          <w:pgSz w:w="11900" w:h="16838" w:orient="portrait"/>
          <w:cols w:equalWidth="0" w:num="1">
            <w:col w:w="11420"/>
          </w:cols>
          <w:pgMar w:left="240" w:top="576"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26, 2016</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26, 2016</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2015,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26, 2016</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2015,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decimal"/>
      <w:start w:val="2"/>
    </w:lvl>
  </w:abstractNum>
  <w:abstractNum w:abstractNumId="33">
    <w:nsid w:val="614FD4A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2019-12-29T15:10:09Z</dcterms:created>
  <dcterms:modified xsi:type="dcterms:W3CDTF">2019-12-29T15:10:09Z</dcterms:modified>
</cp:coreProperties>
</file>