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76" w:lineRule="exact"/>
        <w:rPr>
          <w:sz w:val="24"/>
          <w:szCs w:val="24"/>
          <w:color w:val="auto"/>
        </w:rPr>
      </w:pPr>
    </w:p>
    <w:p>
      <w:pPr>
        <w:ind w:left="540" w:hanging="505"/>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jc w:val="center"/>
        <w:ind w:right="-39"/>
        <w:spacing w:after="0"/>
        <w:tabs>
          <w:tab w:leader="none" w:pos="4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001-35662</w:t>
      </w:r>
    </w:p>
    <w:p>
      <w:pPr>
        <w:ind w:left="47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00" w:type="dxa"/>
        <w:tblCellMar>
          <w:top w:w="0" w:type="dxa"/>
          <w:left w:w="0" w:type="dxa"/>
          <w:bottom w:w="0" w:type="dxa"/>
          <w:right w:w="0" w:type="dxa"/>
        </w:tblCellMar>
      </w:tblPr>
      <w:tr>
        <w:trPr>
          <w:trHeight w:val="442"/>
        </w:trPr>
        <w:tc>
          <w:tcPr>
            <w:tcW w:w="6580" w:type="dxa"/>
            <w:vAlign w:val="bottom"/>
          </w:tcPr>
          <w:p>
            <w:pPr>
              <w:jc w:val="center"/>
              <w:ind w:left="1793"/>
              <w:spacing w:after="0" w:line="441" w:lineRule="exact"/>
              <w:rPr>
                <w:sz w:val="20"/>
                <w:szCs w:val="20"/>
                <w:color w:val="auto"/>
              </w:rPr>
            </w:pPr>
            <w:r>
              <w:rPr>
                <w:rFonts w:ascii="Arial" w:cs="Arial" w:eastAsia="Arial" w:hAnsi="Arial"/>
                <w:sz w:val="40"/>
                <w:szCs w:val="40"/>
                <w:b w:val="1"/>
                <w:bCs w:val="1"/>
                <w:color w:val="231F20"/>
                <w:w w:val="97"/>
              </w:rPr>
              <w:t>QUALYS, INC.</w:t>
            </w:r>
          </w:p>
        </w:tc>
        <w:tc>
          <w:tcPr>
            <w:tcW w:w="1620" w:type="dxa"/>
            <w:vAlign w:val="bottom"/>
          </w:tcPr>
          <w:p>
            <w:pPr>
              <w:spacing w:after="0"/>
              <w:rPr>
                <w:sz w:val="24"/>
                <w:szCs w:val="24"/>
                <w:color w:val="auto"/>
              </w:rPr>
            </w:pPr>
          </w:p>
        </w:tc>
      </w:tr>
      <w:tr>
        <w:trPr>
          <w:trHeight w:val="148"/>
        </w:trPr>
        <w:tc>
          <w:tcPr>
            <w:tcW w:w="6580" w:type="dxa"/>
            <w:vAlign w:val="bottom"/>
          </w:tcPr>
          <w:p>
            <w:pPr>
              <w:jc w:val="center"/>
              <w:ind w:left="1793"/>
              <w:spacing w:after="0" w:line="148" w:lineRule="exact"/>
              <w:rPr>
                <w:sz w:val="20"/>
                <w:szCs w:val="20"/>
                <w:color w:val="auto"/>
              </w:rPr>
            </w:pPr>
            <w:r>
              <w:rPr>
                <w:rFonts w:ascii="Arial" w:cs="Arial" w:eastAsia="Arial" w:hAnsi="Arial"/>
                <w:sz w:val="14"/>
                <w:szCs w:val="14"/>
                <w:b w:val="1"/>
                <w:bCs w:val="1"/>
                <w:color w:val="231F20"/>
              </w:rPr>
              <w:t>(Exact name of registrant as specified in its charter)</w:t>
            </w:r>
          </w:p>
        </w:tc>
        <w:tc>
          <w:tcPr>
            <w:tcW w:w="1620" w:type="dxa"/>
            <w:vAlign w:val="bottom"/>
          </w:tcPr>
          <w:p>
            <w:pPr>
              <w:spacing w:after="0"/>
              <w:rPr>
                <w:sz w:val="12"/>
                <w:szCs w:val="12"/>
                <w:color w:val="auto"/>
              </w:rPr>
            </w:pPr>
          </w:p>
        </w:tc>
      </w:tr>
      <w:tr>
        <w:trPr>
          <w:trHeight w:val="239"/>
        </w:trPr>
        <w:tc>
          <w:tcPr>
            <w:tcW w:w="6580" w:type="dxa"/>
            <w:vAlign w:val="bottom"/>
          </w:tcPr>
          <w:p>
            <w:pPr>
              <w:jc w:val="center"/>
              <w:ind w:left="1773"/>
              <w:spacing w:after="0"/>
              <w:rPr>
                <w:sz w:val="20"/>
                <w:szCs w:val="20"/>
                <w:color w:val="auto"/>
              </w:rPr>
            </w:pPr>
            <w:r>
              <w:rPr>
                <w:rFonts w:ascii="Arial" w:cs="Arial" w:eastAsia="Arial" w:hAnsi="Arial"/>
                <w:sz w:val="18"/>
                <w:szCs w:val="18"/>
                <w:b w:val="1"/>
                <w:bCs w:val="1"/>
                <w:color w:val="231F20"/>
                <w:w w:val="99"/>
              </w:rPr>
              <w:t>__________________</w:t>
            </w:r>
          </w:p>
        </w:tc>
        <w:tc>
          <w:tcPr>
            <w:tcW w:w="1620" w:type="dxa"/>
            <w:vAlign w:val="bottom"/>
          </w:tcPr>
          <w:p>
            <w:pPr>
              <w:spacing w:after="0"/>
              <w:rPr>
                <w:sz w:val="20"/>
                <w:szCs w:val="20"/>
                <w:color w:val="auto"/>
              </w:rPr>
            </w:pPr>
          </w:p>
        </w:tc>
      </w:tr>
      <w:tr>
        <w:trPr>
          <w:trHeight w:val="357"/>
        </w:trPr>
        <w:tc>
          <w:tcPr>
            <w:tcW w:w="6580" w:type="dxa"/>
            <w:vAlign w:val="bottom"/>
          </w:tcPr>
          <w:p>
            <w:pPr>
              <w:jc w:val="center"/>
              <w:ind w:right="4453"/>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6580" w:type="dxa"/>
            <w:vAlign w:val="bottom"/>
          </w:tcPr>
          <w:p>
            <w:pPr>
              <w:jc w:val="center"/>
              <w:ind w:right="4433"/>
              <w:spacing w:after="0"/>
              <w:rPr>
                <w:sz w:val="20"/>
                <w:szCs w:val="20"/>
                <w:color w:val="auto"/>
              </w:rPr>
            </w:pPr>
            <w:r>
              <w:rPr>
                <w:rFonts w:ascii="Arial" w:cs="Arial" w:eastAsia="Arial" w:hAnsi="Arial"/>
                <w:sz w:val="14"/>
                <w:szCs w:val="14"/>
                <w:b w:val="1"/>
                <w:bCs w:val="1"/>
                <w:color w:val="auto"/>
              </w:rPr>
              <w:t>(State or other jurisdiction of</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6580" w:type="dxa"/>
            <w:vAlign w:val="bottom"/>
          </w:tcPr>
          <w:p>
            <w:pPr>
              <w:jc w:val="center"/>
              <w:ind w:right="4433"/>
              <w:spacing w:after="0"/>
              <w:rPr>
                <w:sz w:val="20"/>
                <w:szCs w:val="20"/>
                <w:color w:val="auto"/>
              </w:rPr>
            </w:pPr>
            <w:r>
              <w:rPr>
                <w:rFonts w:ascii="Arial" w:cs="Arial" w:eastAsia="Arial" w:hAnsi="Arial"/>
                <w:sz w:val="14"/>
                <w:szCs w:val="14"/>
                <w:b w:val="1"/>
                <w:bCs w:val="1"/>
                <w:color w:val="auto"/>
              </w:rPr>
              <w:t>incorporation or organization)</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6580" w:type="dxa"/>
            <w:vAlign w:val="bottom"/>
          </w:tcPr>
          <w:p>
            <w:pPr>
              <w:jc w:val="center"/>
              <w:ind w:left="1793"/>
              <w:spacing w:after="0"/>
              <w:rPr>
                <w:sz w:val="20"/>
                <w:szCs w:val="20"/>
                <w:color w:val="auto"/>
              </w:rPr>
            </w:pPr>
            <w:r>
              <w:rPr>
                <w:rFonts w:ascii="Arial" w:cs="Arial" w:eastAsia="Arial" w:hAnsi="Arial"/>
                <w:sz w:val="14"/>
                <w:szCs w:val="14"/>
                <w:b w:val="1"/>
                <w:bCs w:val="1"/>
                <w:color w:val="auto"/>
              </w:rPr>
              <w:t>919 E. Hillsdale Boulevard, 4th Floor, Foster City, California 94404</w:t>
            </w:r>
          </w:p>
        </w:tc>
        <w:tc>
          <w:tcPr>
            <w:tcW w:w="1620" w:type="dxa"/>
            <w:vAlign w:val="bottom"/>
          </w:tcPr>
          <w:p>
            <w:pPr>
              <w:spacing w:after="0"/>
              <w:rPr>
                <w:sz w:val="24"/>
                <w:szCs w:val="24"/>
                <w:color w:val="auto"/>
              </w:rPr>
            </w:pPr>
          </w:p>
        </w:tc>
      </w:tr>
      <w:tr>
        <w:trPr>
          <w:trHeight w:val="190"/>
        </w:trPr>
        <w:tc>
          <w:tcPr>
            <w:tcW w:w="6580" w:type="dxa"/>
            <w:vAlign w:val="bottom"/>
          </w:tcPr>
          <w:p>
            <w:pPr>
              <w:jc w:val="center"/>
              <w:ind w:left="1793"/>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620" w:type="dxa"/>
            <w:vAlign w:val="bottom"/>
          </w:tcPr>
          <w:p>
            <w:pPr>
              <w:spacing w:after="0"/>
              <w:rPr>
                <w:sz w:val="16"/>
                <w:szCs w:val="16"/>
                <w:color w:val="auto"/>
              </w:rPr>
            </w:pPr>
          </w:p>
        </w:tc>
      </w:tr>
      <w:tr>
        <w:trPr>
          <w:trHeight w:val="296"/>
        </w:trPr>
        <w:tc>
          <w:tcPr>
            <w:tcW w:w="6580" w:type="dxa"/>
            <w:vAlign w:val="bottom"/>
          </w:tcPr>
          <w:p>
            <w:pPr>
              <w:jc w:val="center"/>
              <w:ind w:left="1793"/>
              <w:spacing w:after="0"/>
              <w:rPr>
                <w:sz w:val="20"/>
                <w:szCs w:val="20"/>
                <w:color w:val="auto"/>
              </w:rPr>
            </w:pPr>
            <w:r>
              <w:rPr>
                <w:rFonts w:ascii="Arial" w:cs="Arial" w:eastAsia="Arial" w:hAnsi="Arial"/>
                <w:sz w:val="14"/>
                <w:szCs w:val="14"/>
                <w:b w:val="1"/>
                <w:bCs w:val="1"/>
                <w:color w:val="auto"/>
              </w:rPr>
              <w:t>(650) 801-6100</w:t>
            </w:r>
          </w:p>
        </w:tc>
        <w:tc>
          <w:tcPr>
            <w:tcW w:w="1620" w:type="dxa"/>
            <w:vAlign w:val="bottom"/>
          </w:tcPr>
          <w:p>
            <w:pPr>
              <w:spacing w:after="0"/>
              <w:rPr>
                <w:sz w:val="24"/>
                <w:szCs w:val="24"/>
                <w:color w:val="auto"/>
              </w:rPr>
            </w:pPr>
          </w:p>
        </w:tc>
      </w:tr>
      <w:tr>
        <w:trPr>
          <w:trHeight w:val="148"/>
        </w:trPr>
        <w:tc>
          <w:tcPr>
            <w:tcW w:w="6580" w:type="dxa"/>
            <w:vAlign w:val="bottom"/>
          </w:tcPr>
          <w:p>
            <w:pPr>
              <w:jc w:val="center"/>
              <w:ind w:left="1773"/>
              <w:spacing w:after="0" w:line="148" w:lineRule="exact"/>
              <w:rPr>
                <w:sz w:val="20"/>
                <w:szCs w:val="20"/>
                <w:color w:val="auto"/>
              </w:rPr>
            </w:pPr>
            <w:r>
              <w:rPr>
                <w:rFonts w:ascii="Arial" w:cs="Arial" w:eastAsia="Arial" w:hAnsi="Arial"/>
                <w:sz w:val="14"/>
                <w:szCs w:val="14"/>
                <w:b w:val="1"/>
                <w:bCs w:val="1"/>
                <w:color w:val="auto"/>
              </w:rPr>
              <w:t>(Registrant’s telephone number, including area code)</w:t>
            </w:r>
          </w:p>
        </w:tc>
        <w:tc>
          <w:tcPr>
            <w:tcW w:w="1620" w:type="dxa"/>
            <w:vAlign w:val="bottom"/>
          </w:tcPr>
          <w:p>
            <w:pPr>
              <w:spacing w:after="0"/>
              <w:rPr>
                <w:sz w:val="12"/>
                <w:szCs w:val="12"/>
                <w:color w:val="auto"/>
              </w:rPr>
            </w:pPr>
          </w:p>
        </w:tc>
      </w:tr>
      <w:tr>
        <w:trPr>
          <w:trHeight w:val="239"/>
        </w:trPr>
        <w:tc>
          <w:tcPr>
            <w:tcW w:w="6580" w:type="dxa"/>
            <w:vAlign w:val="bottom"/>
          </w:tcPr>
          <w:p>
            <w:pPr>
              <w:jc w:val="center"/>
              <w:ind w:left="1773"/>
              <w:spacing w:after="0"/>
              <w:rPr>
                <w:sz w:val="20"/>
                <w:szCs w:val="20"/>
                <w:color w:val="auto"/>
              </w:rPr>
            </w:pPr>
            <w:r>
              <w:rPr>
                <w:rFonts w:ascii="Arial" w:cs="Arial" w:eastAsia="Arial" w:hAnsi="Arial"/>
                <w:sz w:val="18"/>
                <w:szCs w:val="18"/>
                <w:b w:val="1"/>
                <w:bCs w:val="1"/>
                <w:color w:val="231F20"/>
                <w:w w:val="99"/>
              </w:rPr>
              <w:t>__________________</w:t>
            </w:r>
          </w:p>
        </w:tc>
        <w:tc>
          <w:tcPr>
            <w:tcW w:w="1620" w:type="dxa"/>
            <w:vAlign w:val="bottom"/>
          </w:tcPr>
          <w:p>
            <w:pPr>
              <w:spacing w:after="0"/>
              <w:rPr>
                <w:sz w:val="20"/>
                <w:szCs w:val="20"/>
                <w:color w:val="auto"/>
              </w:rPr>
            </w:pPr>
          </w:p>
        </w:tc>
      </w:tr>
    </w:tbl>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00"/>
          </w:cols>
          <w:pgMar w:left="320" w:top="249" w:right="379" w:bottom="1440" w:gutter="0" w:footer="0" w:header="0"/>
        </w:sectPr>
      </w:pPr>
    </w:p>
    <w:p>
      <w:pPr>
        <w:spacing w:after="0" w:line="198"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Title of each class</w:t>
      </w:r>
    </w:p>
    <w:p>
      <w:pPr>
        <w:spacing w:after="0" w:line="55"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Trading Symbol(s)</w:t>
      </w:r>
    </w:p>
    <w:p>
      <w:pPr>
        <w:spacing w:after="0" w:line="55"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QLYS</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5"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4060" w:space="720"/>
            <w:col w:w="2200" w:space="720"/>
            <w:col w:w="3500"/>
          </w:cols>
          <w:pgMar w:left="320" w:top="249" w:right="379" w:bottom="1440" w:gutter="0" w:footer="0" w:header="0"/>
          <w:type w:val="continuous"/>
        </w:sectPr>
      </w:pPr>
    </w:p>
    <w:p>
      <w:pPr>
        <w:spacing w:after="0" w:line="5" w:lineRule="exact"/>
        <w:rPr>
          <w:sz w:val="24"/>
          <w:szCs w:val="24"/>
          <w:color w:val="auto"/>
        </w:rPr>
      </w:pPr>
    </w:p>
    <w:p>
      <w:pPr>
        <w:jc w:val="both"/>
        <w:ind w:right="4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4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020" w:type="dxa"/>
            <w:vAlign w:val="bottom"/>
          </w:tcPr>
          <w:p>
            <w:pPr>
              <w:spacing w:after="0"/>
              <w:rPr>
                <w:sz w:val="20"/>
                <w:szCs w:val="20"/>
                <w:color w:val="auto"/>
              </w:rPr>
            </w:pPr>
            <w:r>
              <w:rPr>
                <w:rFonts w:ascii="Arial" w:cs="Arial" w:eastAsia="Arial" w:hAnsi="Arial"/>
                <w:sz w:val="14"/>
                <w:szCs w:val="14"/>
                <w:color w:val="231F20"/>
              </w:rPr>
              <w:t>Large accelerated filer</w:t>
            </w:r>
          </w:p>
        </w:tc>
        <w:tc>
          <w:tcPr>
            <w:tcW w:w="2100" w:type="dxa"/>
            <w:vAlign w:val="bottom"/>
          </w:tcPr>
          <w:p>
            <w:pPr>
              <w:jc w:val="center"/>
              <w:ind w:left="1148"/>
              <w:spacing w:after="0"/>
              <w:rPr>
                <w:sz w:val="20"/>
                <w:szCs w:val="20"/>
                <w:color w:val="auto"/>
              </w:rPr>
            </w:pPr>
            <w:r>
              <w:rPr>
                <w:rFonts w:ascii="Arial" w:cs="Arial" w:eastAsia="Arial" w:hAnsi="Arial"/>
                <w:sz w:val="14"/>
                <w:szCs w:val="14"/>
                <w:color w:val="auto"/>
              </w:rPr>
              <w:t>x</w:t>
            </w:r>
          </w:p>
        </w:tc>
        <w:tc>
          <w:tcPr>
            <w:tcW w:w="3880" w:type="dxa"/>
            <w:vAlign w:val="bottom"/>
          </w:tcPr>
          <w:p>
            <w:pPr>
              <w:ind w:left="380"/>
              <w:spacing w:after="0"/>
              <w:rPr>
                <w:sz w:val="20"/>
                <w:szCs w:val="20"/>
                <w:color w:val="auto"/>
              </w:rPr>
            </w:pPr>
            <w:r>
              <w:rPr>
                <w:rFonts w:ascii="Arial" w:cs="Arial" w:eastAsia="Arial" w:hAnsi="Arial"/>
                <w:sz w:val="14"/>
                <w:szCs w:val="14"/>
                <w:color w:val="231F20"/>
              </w:rPr>
              <w:t>Accelerated filer</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3020" w:type="dxa"/>
            <w:vAlign w:val="bottom"/>
          </w:tcPr>
          <w:p>
            <w:pPr>
              <w:spacing w:after="0"/>
              <w:rPr>
                <w:sz w:val="20"/>
                <w:szCs w:val="20"/>
                <w:color w:val="auto"/>
              </w:rPr>
            </w:pPr>
            <w:r>
              <w:rPr>
                <w:rFonts w:ascii="Arial" w:cs="Arial" w:eastAsia="Arial" w:hAnsi="Arial"/>
                <w:sz w:val="14"/>
                <w:szCs w:val="14"/>
                <w:color w:val="auto"/>
              </w:rPr>
              <w:t>Non-accelerated filer</w:t>
            </w:r>
          </w:p>
        </w:tc>
        <w:tc>
          <w:tcPr>
            <w:tcW w:w="2100" w:type="dxa"/>
            <w:vAlign w:val="bottom"/>
          </w:tcPr>
          <w:p>
            <w:pPr>
              <w:jc w:val="center"/>
              <w:ind w:left="1148"/>
              <w:spacing w:after="0" w:line="141" w:lineRule="exact"/>
              <w:rPr>
                <w:sz w:val="20"/>
                <w:szCs w:val="20"/>
                <w:color w:val="auto"/>
              </w:rPr>
            </w:pPr>
            <w:r>
              <w:rPr>
                <w:rFonts w:ascii="MS PGothic" w:cs="MS PGothic" w:eastAsia="MS PGothic" w:hAnsi="MS PGothic"/>
                <w:sz w:val="14"/>
                <w:szCs w:val="14"/>
                <w:color w:val="auto"/>
                <w:w w:val="85"/>
              </w:rPr>
              <w:t>☐</w:t>
            </w:r>
          </w:p>
        </w:tc>
        <w:tc>
          <w:tcPr>
            <w:tcW w:w="3880" w:type="dxa"/>
            <w:vAlign w:val="bottom"/>
          </w:tcPr>
          <w:p>
            <w:pPr>
              <w:ind w:left="380"/>
              <w:spacing w:after="0"/>
              <w:rPr>
                <w:sz w:val="20"/>
                <w:szCs w:val="20"/>
                <w:color w:val="auto"/>
              </w:rPr>
            </w:pPr>
            <w:r>
              <w:rPr>
                <w:rFonts w:ascii="Arial" w:cs="Arial" w:eastAsia="Arial" w:hAnsi="Arial"/>
                <w:sz w:val="14"/>
                <w:szCs w:val="14"/>
                <w:color w:val="auto"/>
              </w:rPr>
              <w:t>Smaller reporting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3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80" w:type="dxa"/>
            <w:vAlign w:val="bottom"/>
          </w:tcPr>
          <w:p>
            <w:pPr>
              <w:ind w:left="380"/>
              <w:spacing w:after="0"/>
              <w:rPr>
                <w:sz w:val="20"/>
                <w:szCs w:val="20"/>
                <w:color w:val="auto"/>
              </w:rPr>
            </w:pPr>
            <w:r>
              <w:rPr>
                <w:rFonts w:ascii="Arial" w:cs="Arial" w:eastAsia="Arial" w:hAnsi="Arial"/>
                <w:sz w:val="14"/>
                <w:szCs w:val="14"/>
                <w:color w:val="auto"/>
              </w:rPr>
              <w:t>Emerging growth company</w:t>
            </w:r>
          </w:p>
        </w:tc>
        <w:tc>
          <w:tcPr>
            <w:tcW w:w="1900" w:type="dxa"/>
            <w:vAlign w:val="bottom"/>
          </w:tcPr>
          <w:p>
            <w:pPr>
              <w:ind w:left="17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ind w:left="40" w:right="80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6" w:lineRule="exact"/>
        <w:rPr>
          <w:sz w:val="24"/>
          <w:szCs w:val="24"/>
          <w:color w:val="auto"/>
        </w:rPr>
      </w:pPr>
    </w:p>
    <w:p>
      <w:pPr>
        <w:ind w:right="184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April 30, 2020 was 38,958,981.</w:t>
      </w:r>
    </w:p>
    <w:p>
      <w:pPr>
        <w:sectPr>
          <w:pgSz w:w="11900" w:h="16838" w:orient="portrait"/>
          <w:cols w:equalWidth="0" w:num="1">
            <w:col w:w="11200"/>
          </w:cols>
          <w:pgMar w:left="320" w:top="249" w:right="3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w w:val="96"/>
              </w:rPr>
              <w:t>Page</w:t>
            </w:r>
          </w:p>
        </w:tc>
      </w:tr>
      <w:tr>
        <w:trPr>
          <w:trHeight w:val="243"/>
        </w:trPr>
        <w:tc>
          <w:tcPr>
            <w:tcW w:w="800" w:type="dxa"/>
            <w:vAlign w:val="bottom"/>
          </w:tcPr>
          <w:p>
            <w:pPr>
              <w:spacing w:after="0"/>
              <w:rPr>
                <w:sz w:val="21"/>
                <w:szCs w:val="21"/>
                <w:color w:val="auto"/>
              </w:rPr>
            </w:pPr>
          </w:p>
        </w:tc>
        <w:tc>
          <w:tcPr>
            <w:tcW w:w="9300" w:type="dxa"/>
            <w:vAlign w:val="bottom"/>
            <w:gridSpan w:val="6"/>
          </w:tcPr>
          <w:p>
            <w:pPr>
              <w:ind w:left="3420"/>
              <w:spacing w:after="0"/>
              <w:rPr>
                <w:sz w:val="20"/>
                <w:szCs w:val="20"/>
                <w:color w:val="auto"/>
              </w:rPr>
            </w:pPr>
            <w:r>
              <w:rPr>
                <w:rFonts w:ascii="Arial" w:cs="Arial" w:eastAsia="Arial" w:hAnsi="Arial"/>
                <w:sz w:val="16"/>
                <w:szCs w:val="16"/>
                <w:b w:val="1"/>
                <w:bCs w:val="1"/>
                <w:color w:val="auto"/>
              </w:rPr>
              <w:t>PART I – FINANCIAL INFORMATION</w:t>
            </w:r>
          </w:p>
        </w:tc>
        <w:tc>
          <w:tcPr>
            <w:tcW w:w="960" w:type="dxa"/>
            <w:vAlign w:val="bottom"/>
          </w:tcPr>
          <w:p>
            <w:pPr>
              <w:spacing w:after="0"/>
              <w:rPr>
                <w:sz w:val="21"/>
                <w:szCs w:val="2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6"/>
                <w:szCs w:val="16"/>
                <w:color w:val="auto"/>
              </w:rPr>
              <w:t>Item 1.</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3">
              <w:r>
                <w:rPr>
                  <w:rFonts w:ascii="Arial" w:cs="Arial" w:eastAsia="Arial" w:hAnsi="Arial"/>
                  <w:sz w:val="16"/>
                  <w:szCs w:val="16"/>
                  <w:u w:val="single" w:color="auto"/>
                  <w:color w:val="384BFF"/>
                </w:rPr>
                <w:t>Financial Statements</w:t>
              </w:r>
            </w:hyperlink>
          </w:p>
        </w:tc>
        <w:tc>
          <w:tcPr>
            <w:tcW w:w="960" w:type="dxa"/>
            <w:vAlign w:val="bottom"/>
          </w:tcPr>
          <w:p>
            <w:pPr>
              <w:spacing w:after="0"/>
              <w:rPr>
                <w:sz w:val="23"/>
                <w:szCs w:val="23"/>
                <w:color w:val="auto"/>
              </w:rPr>
            </w:pPr>
          </w:p>
        </w:tc>
      </w:tr>
      <w:tr>
        <w:trPr>
          <w:trHeight w:val="235"/>
        </w:trPr>
        <w:tc>
          <w:tcPr>
            <w:tcW w:w="800" w:type="dxa"/>
            <w:vAlign w:val="bottom"/>
          </w:tcPr>
          <w:p>
            <w:pPr>
              <w:spacing w:after="0"/>
              <w:rPr>
                <w:sz w:val="20"/>
                <w:szCs w:val="20"/>
                <w:color w:val="auto"/>
              </w:rPr>
            </w:pPr>
          </w:p>
        </w:tc>
        <w:tc>
          <w:tcPr>
            <w:tcW w:w="9300" w:type="dxa"/>
            <w:vAlign w:val="bottom"/>
            <w:gridSpan w:val="6"/>
          </w:tcPr>
          <w:p>
            <w:pPr>
              <w:ind w:left="200"/>
              <w:spacing w:after="0"/>
              <w:rPr>
                <w:rFonts w:ascii="Arial" w:cs="Arial" w:eastAsia="Arial" w:hAnsi="Arial"/>
                <w:sz w:val="16"/>
                <w:szCs w:val="16"/>
                <w:color w:val="384BFF"/>
              </w:rPr>
            </w:pPr>
            <w:hyperlink w:anchor="page3">
              <w:r>
                <w:rPr>
                  <w:rFonts w:ascii="Arial" w:cs="Arial" w:eastAsia="Arial" w:hAnsi="Arial"/>
                  <w:sz w:val="16"/>
                  <w:szCs w:val="16"/>
                  <w:u w:val="single" w:color="auto"/>
                  <w:color w:val="384BFF"/>
                </w:rPr>
                <w:t>Condensed Consolidated Balance Sheets as of</w:t>
              </w:r>
              <w:r>
                <w:rPr>
                  <w:rFonts w:ascii="Arial" w:cs="Arial" w:eastAsia="Arial" w:hAnsi="Arial"/>
                  <w:sz w:val="16"/>
                  <w:szCs w:val="16"/>
                  <w:color w:val="384BFF"/>
                </w:rPr>
                <w:t xml:space="preserve"> </w:t>
              </w:r>
            </w:hyperlink>
            <w:r>
              <w:rPr>
                <w:rFonts w:ascii="Arial" w:cs="Arial" w:eastAsia="Arial" w:hAnsi="Arial"/>
                <w:sz w:val="16"/>
                <w:szCs w:val="16"/>
                <w:color w:val="384BFF"/>
              </w:rPr>
              <w:t>March 31, 2020 and December 31, 2019</w:t>
            </w:r>
          </w:p>
        </w:tc>
        <w:tc>
          <w:tcPr>
            <w:tcW w:w="960" w:type="dxa"/>
            <w:vAlign w:val="bottom"/>
          </w:tcPr>
          <w:p>
            <w:pPr>
              <w:ind w:left="580"/>
              <w:spacing w:after="0"/>
              <w:rPr>
                <w:rFonts w:ascii="Arial" w:cs="Arial" w:eastAsia="Arial" w:hAnsi="Arial"/>
                <w:sz w:val="16"/>
                <w:szCs w:val="16"/>
                <w:u w:val="single" w:color="auto"/>
                <w:color w:val="384BFF"/>
              </w:rPr>
            </w:pPr>
            <w:hyperlink w:anchor="page3">
              <w:r>
                <w:rPr>
                  <w:rFonts w:ascii="Arial" w:cs="Arial" w:eastAsia="Arial" w:hAnsi="Arial"/>
                  <w:sz w:val="16"/>
                  <w:szCs w:val="16"/>
                  <w:u w:val="single" w:color="auto"/>
                  <w:color w:val="384BFF"/>
                </w:rPr>
                <w:t>3</w:t>
              </w:r>
            </w:hyperlink>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Borders>
              <w:right w:val="single" w:sz="8" w:color="384BFF"/>
            </w:tcBorders>
            <w:shd w:val="clear" w:color="auto" w:fill="384BFF"/>
          </w:tcPr>
          <w:p>
            <w:pPr>
              <w:spacing w:after="0" w:line="20" w:lineRule="exact"/>
              <w:rPr>
                <w:sz w:val="1"/>
                <w:szCs w:val="1"/>
                <w:color w:val="auto"/>
              </w:rPr>
            </w:pPr>
          </w:p>
        </w:tc>
        <w:tc>
          <w:tcPr>
            <w:tcW w:w="2040" w:type="dxa"/>
            <w:vAlign w:val="bottom"/>
            <w:shd w:val="clear" w:color="auto" w:fill="384B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9300" w:type="dxa"/>
            <w:vAlign w:val="bottom"/>
            <w:gridSpan w:val="6"/>
          </w:tcPr>
          <w:p>
            <w:pPr>
              <w:ind w:left="200"/>
              <w:spacing w:after="0"/>
              <w:rPr>
                <w:rFonts w:ascii="Arial" w:cs="Arial" w:eastAsia="Arial" w:hAnsi="Arial"/>
                <w:sz w:val="16"/>
                <w:szCs w:val="16"/>
                <w:color w:val="384BFF"/>
              </w:rPr>
            </w:pPr>
            <w:hyperlink w:anchor="page4">
              <w:r>
                <w:rPr>
                  <w:rFonts w:ascii="Arial" w:cs="Arial" w:eastAsia="Arial" w:hAnsi="Arial"/>
                  <w:sz w:val="16"/>
                  <w:szCs w:val="16"/>
                  <w:u w:val="single" w:color="auto"/>
                  <w:color w:val="384BFF"/>
                </w:rPr>
                <w:t>Condensed Consolidated Statements of Operations for the</w:t>
              </w:r>
              <w:r>
                <w:rPr>
                  <w:rFonts w:ascii="Arial" w:cs="Arial" w:eastAsia="Arial" w:hAnsi="Arial"/>
                  <w:sz w:val="16"/>
                  <w:szCs w:val="16"/>
                  <w:color w:val="384BFF"/>
                </w:rPr>
                <w:t xml:space="preserve"> </w:t>
              </w:r>
            </w:hyperlink>
            <w:r>
              <w:rPr>
                <w:rFonts w:ascii="Arial" w:cs="Arial" w:eastAsia="Arial" w:hAnsi="Arial"/>
                <w:sz w:val="16"/>
                <w:szCs w:val="16"/>
                <w:color w:val="384BFF"/>
              </w:rPr>
              <w:t>three months ended March 31, 2020 and 2019</w:t>
            </w:r>
          </w:p>
        </w:tc>
        <w:tc>
          <w:tcPr>
            <w:tcW w:w="960" w:type="dxa"/>
            <w:vAlign w:val="bottom"/>
          </w:tcPr>
          <w:p>
            <w:pPr>
              <w:ind w:left="580"/>
              <w:spacing w:after="0"/>
              <w:rPr>
                <w:rFonts w:ascii="Arial" w:cs="Arial" w:eastAsia="Arial" w:hAnsi="Arial"/>
                <w:sz w:val="16"/>
                <w:szCs w:val="16"/>
                <w:u w:val="single" w:color="auto"/>
                <w:color w:val="384BFF"/>
              </w:rPr>
            </w:pPr>
            <w:hyperlink w:anchor="page4">
              <w:r>
                <w:rPr>
                  <w:rFonts w:ascii="Arial" w:cs="Arial" w:eastAsia="Arial" w:hAnsi="Arial"/>
                  <w:sz w:val="16"/>
                  <w:szCs w:val="16"/>
                  <w:u w:val="single" w:color="auto"/>
                  <w:color w:val="384BFF"/>
                </w:rPr>
                <w:t>4</w:t>
              </w:r>
            </w:hyperlink>
          </w:p>
        </w:tc>
      </w:tr>
      <w:tr>
        <w:trPr>
          <w:trHeight w:val="20"/>
        </w:trPr>
        <w:tc>
          <w:tcPr>
            <w:tcW w:w="800" w:type="dxa"/>
            <w:vAlign w:val="bottom"/>
          </w:tcPr>
          <w:p>
            <w:pPr>
              <w:spacing w:after="0" w:line="20" w:lineRule="exact"/>
              <w:rPr>
                <w:sz w:val="1"/>
                <w:szCs w:val="1"/>
                <w:color w:val="auto"/>
              </w:rPr>
            </w:pPr>
          </w:p>
        </w:tc>
        <w:tc>
          <w:tcPr>
            <w:tcW w:w="4520" w:type="dxa"/>
            <w:vAlign w:val="bottom"/>
            <w:tcBorders>
              <w:right w:val="single" w:sz="8" w:color="384BFF"/>
            </w:tcBorders>
            <w:gridSpan w:val="2"/>
          </w:tcPr>
          <w:p>
            <w:pPr>
              <w:spacing w:after="0" w:line="20" w:lineRule="exact"/>
              <w:rPr>
                <w:sz w:val="1"/>
                <w:szCs w:val="1"/>
                <w:color w:val="auto"/>
              </w:rPr>
            </w:pPr>
          </w:p>
        </w:tc>
        <w:tc>
          <w:tcPr>
            <w:tcW w:w="3280" w:type="dxa"/>
            <w:vAlign w:val="bottom"/>
            <w:gridSpan w:val="2"/>
            <w:shd w:val="clear" w:color="auto" w:fill="384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5"/>
        </w:trPr>
        <w:tc>
          <w:tcPr>
            <w:tcW w:w="800" w:type="dxa"/>
            <w:vAlign w:val="bottom"/>
          </w:tcPr>
          <w:p>
            <w:pPr>
              <w:spacing w:after="0"/>
              <w:rPr>
                <w:sz w:val="24"/>
                <w:szCs w:val="24"/>
                <w:color w:val="auto"/>
              </w:rPr>
            </w:pP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5">
              <w:r>
                <w:rPr>
                  <w:rFonts w:ascii="Arial" w:cs="Arial" w:eastAsia="Arial" w:hAnsi="Arial"/>
                  <w:sz w:val="16"/>
                  <w:szCs w:val="16"/>
                  <w:u w:val="single" w:color="auto"/>
                  <w:color w:val="384BFF"/>
                </w:rPr>
                <w:t>Condensed Consolidated Statements of Comprehensive Income for the three months ended March 31, 2020 and 2019</w:t>
              </w:r>
            </w:hyperlink>
          </w:p>
        </w:tc>
        <w:tc>
          <w:tcPr>
            <w:tcW w:w="960" w:type="dxa"/>
            <w:vAlign w:val="bottom"/>
          </w:tcPr>
          <w:p>
            <w:pPr>
              <w:ind w:left="580"/>
              <w:spacing w:after="0"/>
              <w:rPr>
                <w:rFonts w:ascii="Arial" w:cs="Arial" w:eastAsia="Arial" w:hAnsi="Arial"/>
                <w:sz w:val="16"/>
                <w:szCs w:val="16"/>
                <w:u w:val="single" w:color="auto"/>
                <w:color w:val="384BFF"/>
              </w:rPr>
            </w:pPr>
            <w:hyperlink w:anchor="page5">
              <w:r>
                <w:rPr>
                  <w:rFonts w:ascii="Arial" w:cs="Arial" w:eastAsia="Arial" w:hAnsi="Arial"/>
                  <w:sz w:val="16"/>
                  <w:szCs w:val="16"/>
                  <w:u w:val="single" w:color="auto"/>
                  <w:color w:val="384BFF"/>
                </w:rPr>
                <w:t>5</w:t>
              </w:r>
            </w:hyperlink>
          </w:p>
        </w:tc>
      </w:tr>
      <w:tr>
        <w:trPr>
          <w:trHeight w:val="235"/>
        </w:trPr>
        <w:tc>
          <w:tcPr>
            <w:tcW w:w="800" w:type="dxa"/>
            <w:vAlign w:val="bottom"/>
          </w:tcPr>
          <w:p>
            <w:pPr>
              <w:spacing w:after="0"/>
              <w:rPr>
                <w:sz w:val="20"/>
                <w:szCs w:val="20"/>
                <w:color w:val="auto"/>
              </w:rPr>
            </w:pPr>
          </w:p>
        </w:tc>
        <w:tc>
          <w:tcPr>
            <w:tcW w:w="9300" w:type="dxa"/>
            <w:vAlign w:val="bottom"/>
            <w:gridSpan w:val="6"/>
          </w:tcPr>
          <w:p>
            <w:pPr>
              <w:ind w:left="200"/>
              <w:spacing w:after="0"/>
              <w:rPr>
                <w:rFonts w:ascii="Arial" w:cs="Arial" w:eastAsia="Arial" w:hAnsi="Arial"/>
                <w:sz w:val="16"/>
                <w:szCs w:val="16"/>
                <w:color w:val="384BFF"/>
              </w:rPr>
            </w:pPr>
            <w:hyperlink w:anchor="page6">
              <w:r>
                <w:rPr>
                  <w:rFonts w:ascii="Arial" w:cs="Arial" w:eastAsia="Arial" w:hAnsi="Arial"/>
                  <w:sz w:val="16"/>
                  <w:szCs w:val="16"/>
                  <w:u w:val="single" w:color="auto"/>
                  <w:color w:val="384BFF"/>
                </w:rPr>
                <w:t>Condensed Consolidated Statements of Cash Flows for the</w:t>
              </w:r>
              <w:r>
                <w:rPr>
                  <w:rFonts w:ascii="Arial" w:cs="Arial" w:eastAsia="Arial" w:hAnsi="Arial"/>
                  <w:sz w:val="16"/>
                  <w:szCs w:val="16"/>
                  <w:color w:val="384BFF"/>
                </w:rPr>
                <w:t xml:space="preserve"> </w:t>
              </w:r>
            </w:hyperlink>
            <w:r>
              <w:rPr>
                <w:rFonts w:ascii="Arial" w:cs="Arial" w:eastAsia="Arial" w:hAnsi="Arial"/>
                <w:sz w:val="16"/>
                <w:szCs w:val="16"/>
                <w:color w:val="384BFF"/>
              </w:rPr>
              <w:t>three months ended March 31, 2020 and 2019</w:t>
            </w:r>
          </w:p>
        </w:tc>
        <w:tc>
          <w:tcPr>
            <w:tcW w:w="960" w:type="dxa"/>
            <w:vAlign w:val="bottom"/>
          </w:tcPr>
          <w:p>
            <w:pPr>
              <w:ind w:left="580"/>
              <w:spacing w:after="0"/>
              <w:rPr>
                <w:rFonts w:ascii="Arial" w:cs="Arial" w:eastAsia="Arial" w:hAnsi="Arial"/>
                <w:sz w:val="16"/>
                <w:szCs w:val="16"/>
                <w:u w:val="single" w:color="auto"/>
                <w:color w:val="384BFF"/>
              </w:rPr>
            </w:pPr>
            <w:hyperlink w:anchor="page6">
              <w:r>
                <w:rPr>
                  <w:rFonts w:ascii="Arial" w:cs="Arial" w:eastAsia="Arial" w:hAnsi="Arial"/>
                  <w:sz w:val="16"/>
                  <w:szCs w:val="16"/>
                  <w:u w:val="single" w:color="auto"/>
                  <w:color w:val="384BFF"/>
                </w:rPr>
                <w:t>6</w:t>
              </w:r>
            </w:hyperlink>
          </w:p>
        </w:tc>
      </w:tr>
      <w:tr>
        <w:trPr>
          <w:trHeight w:val="20"/>
        </w:trPr>
        <w:tc>
          <w:tcPr>
            <w:tcW w:w="8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320" w:type="dxa"/>
            <w:vAlign w:val="bottom"/>
            <w:gridSpan w:val="3"/>
            <w:shd w:val="clear" w:color="auto" w:fill="384B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5"/>
        </w:trPr>
        <w:tc>
          <w:tcPr>
            <w:tcW w:w="800" w:type="dxa"/>
            <w:vAlign w:val="bottom"/>
          </w:tcPr>
          <w:p>
            <w:pPr>
              <w:spacing w:after="0"/>
              <w:rPr>
                <w:sz w:val="24"/>
                <w:szCs w:val="24"/>
                <w:color w:val="auto"/>
              </w:rPr>
            </w:pP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7">
              <w:r>
                <w:rPr>
                  <w:rFonts w:ascii="Arial" w:cs="Arial" w:eastAsia="Arial" w:hAnsi="Arial"/>
                  <w:sz w:val="16"/>
                  <w:szCs w:val="16"/>
                  <w:u w:val="single" w:color="auto"/>
                  <w:color w:val="384BFF"/>
                </w:rPr>
                <w:t>Condensed Consolidated Statements of Equity for the three months ended March 31, 2020 and 2019</w:t>
              </w:r>
            </w:hyperlink>
          </w:p>
        </w:tc>
        <w:tc>
          <w:tcPr>
            <w:tcW w:w="960" w:type="dxa"/>
            <w:vAlign w:val="bottom"/>
          </w:tcPr>
          <w:p>
            <w:pPr>
              <w:ind w:left="580"/>
              <w:spacing w:after="0"/>
              <w:rPr>
                <w:rFonts w:ascii="Arial" w:cs="Arial" w:eastAsia="Arial" w:hAnsi="Arial"/>
                <w:sz w:val="16"/>
                <w:szCs w:val="16"/>
                <w:u w:val="single" w:color="auto"/>
                <w:color w:val="384BFF"/>
              </w:rPr>
            </w:pPr>
            <w:hyperlink w:anchor="page7">
              <w:r>
                <w:rPr>
                  <w:rFonts w:ascii="Arial" w:cs="Arial" w:eastAsia="Arial" w:hAnsi="Arial"/>
                  <w:sz w:val="16"/>
                  <w:szCs w:val="16"/>
                  <w:u w:val="single" w:color="auto"/>
                  <w:color w:val="384BFF"/>
                </w:rPr>
                <w:t>7</w:t>
              </w:r>
            </w:hyperlink>
          </w:p>
        </w:tc>
      </w:tr>
      <w:tr>
        <w:trPr>
          <w:trHeight w:val="270"/>
        </w:trPr>
        <w:tc>
          <w:tcPr>
            <w:tcW w:w="800" w:type="dxa"/>
            <w:vAlign w:val="bottom"/>
          </w:tcPr>
          <w:p>
            <w:pPr>
              <w:spacing w:after="0"/>
              <w:rPr>
                <w:sz w:val="23"/>
                <w:szCs w:val="23"/>
                <w:color w:val="auto"/>
              </w:rPr>
            </w:pP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8">
              <w:r>
                <w:rPr>
                  <w:rFonts w:ascii="Arial" w:cs="Arial" w:eastAsia="Arial" w:hAnsi="Arial"/>
                  <w:sz w:val="16"/>
                  <w:szCs w:val="16"/>
                  <w:u w:val="single" w:color="auto"/>
                  <w:color w:val="384BFF"/>
                </w:rPr>
                <w:t>Notes to Condensed Consolidated Financial Statements</w:t>
              </w:r>
            </w:hyperlink>
          </w:p>
        </w:tc>
        <w:tc>
          <w:tcPr>
            <w:tcW w:w="960" w:type="dxa"/>
            <w:vAlign w:val="bottom"/>
          </w:tcPr>
          <w:p>
            <w:pPr>
              <w:ind w:left="580"/>
              <w:spacing w:after="0"/>
              <w:rPr>
                <w:rFonts w:ascii="Arial" w:cs="Arial" w:eastAsia="Arial" w:hAnsi="Arial"/>
                <w:sz w:val="16"/>
                <w:szCs w:val="16"/>
                <w:u w:val="single" w:color="auto"/>
                <w:color w:val="384BFF"/>
              </w:rPr>
            </w:pPr>
            <w:hyperlink w:anchor="page8">
              <w:r>
                <w:rPr>
                  <w:rFonts w:ascii="Arial" w:cs="Arial" w:eastAsia="Arial" w:hAnsi="Arial"/>
                  <w:sz w:val="16"/>
                  <w:szCs w:val="16"/>
                  <w:u w:val="single" w:color="auto"/>
                  <w:color w:val="384BFF"/>
                </w:rPr>
                <w:t>8</w:t>
              </w:r>
            </w:hyperlink>
          </w:p>
        </w:tc>
      </w:tr>
      <w:tr>
        <w:trPr>
          <w:trHeight w:val="364"/>
        </w:trPr>
        <w:tc>
          <w:tcPr>
            <w:tcW w:w="800" w:type="dxa"/>
            <w:vAlign w:val="bottom"/>
          </w:tcPr>
          <w:p>
            <w:pPr>
              <w:spacing w:after="0"/>
              <w:rPr>
                <w:sz w:val="20"/>
                <w:szCs w:val="20"/>
                <w:color w:val="auto"/>
              </w:rPr>
            </w:pPr>
            <w:r>
              <w:rPr>
                <w:rFonts w:ascii="Arial" w:cs="Arial" w:eastAsia="Arial" w:hAnsi="Arial"/>
                <w:sz w:val="16"/>
                <w:szCs w:val="16"/>
                <w:color w:val="auto"/>
              </w:rPr>
              <w:t>Item 2.</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26">
              <w:r>
                <w:rPr>
                  <w:rFonts w:ascii="Arial" w:cs="Arial" w:eastAsia="Arial" w:hAnsi="Arial"/>
                  <w:sz w:val="16"/>
                  <w:szCs w:val="16"/>
                  <w:u w:val="single" w:color="auto"/>
                  <w:color w:val="384BFF"/>
                </w:rPr>
                <w:t>Management’s Discussion and Analysis of Financial Condition and Results of Operations</w:t>
              </w:r>
            </w:hyperlink>
          </w:p>
        </w:tc>
        <w:tc>
          <w:tcPr>
            <w:tcW w:w="960" w:type="dxa"/>
            <w:vAlign w:val="bottom"/>
          </w:tcPr>
          <w:p>
            <w:pPr>
              <w:ind w:left="580"/>
              <w:spacing w:after="0"/>
              <w:rPr>
                <w:rFonts w:ascii="Arial" w:cs="Arial" w:eastAsia="Arial" w:hAnsi="Arial"/>
                <w:sz w:val="16"/>
                <w:szCs w:val="16"/>
                <w:u w:val="single" w:color="auto"/>
                <w:color w:val="384BFF"/>
              </w:rPr>
            </w:pPr>
            <w:hyperlink w:anchor="page26">
              <w:r>
                <w:rPr>
                  <w:rFonts w:ascii="Arial" w:cs="Arial" w:eastAsia="Arial" w:hAnsi="Arial"/>
                  <w:sz w:val="16"/>
                  <w:szCs w:val="16"/>
                  <w:u w:val="single" w:color="auto"/>
                  <w:color w:val="384BFF"/>
                </w:rPr>
                <w:t>26</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3.</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36">
              <w:r>
                <w:rPr>
                  <w:rFonts w:ascii="Arial" w:cs="Arial" w:eastAsia="Arial" w:hAnsi="Arial"/>
                  <w:sz w:val="16"/>
                  <w:szCs w:val="16"/>
                  <w:u w:val="single" w:color="auto"/>
                  <w:color w:val="384BFF"/>
                </w:rPr>
                <w:t>Quantitative and Qualitative Disclosures About Market Risk</w:t>
              </w:r>
            </w:hyperlink>
          </w:p>
        </w:tc>
        <w:tc>
          <w:tcPr>
            <w:tcW w:w="960" w:type="dxa"/>
            <w:vAlign w:val="bottom"/>
          </w:tcPr>
          <w:p>
            <w:pPr>
              <w:ind w:left="580"/>
              <w:spacing w:after="0"/>
              <w:rPr>
                <w:rFonts w:ascii="Arial" w:cs="Arial" w:eastAsia="Arial" w:hAnsi="Arial"/>
                <w:sz w:val="16"/>
                <w:szCs w:val="16"/>
                <w:u w:val="single" w:color="auto"/>
                <w:color w:val="384BFF"/>
              </w:rPr>
            </w:pPr>
            <w:hyperlink w:anchor="page36">
              <w:r>
                <w:rPr>
                  <w:rFonts w:ascii="Arial" w:cs="Arial" w:eastAsia="Arial" w:hAnsi="Arial"/>
                  <w:sz w:val="16"/>
                  <w:szCs w:val="16"/>
                  <w:u w:val="single" w:color="auto"/>
                  <w:color w:val="384BFF"/>
                </w:rPr>
                <w:t>36</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4.</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36">
              <w:r>
                <w:rPr>
                  <w:rFonts w:ascii="Arial" w:cs="Arial" w:eastAsia="Arial" w:hAnsi="Arial"/>
                  <w:sz w:val="16"/>
                  <w:szCs w:val="16"/>
                  <w:u w:val="single" w:color="auto"/>
                  <w:color w:val="384BFF"/>
                </w:rPr>
                <w:t>Controls and Procedures</w:t>
              </w:r>
            </w:hyperlink>
          </w:p>
        </w:tc>
        <w:tc>
          <w:tcPr>
            <w:tcW w:w="960" w:type="dxa"/>
            <w:vAlign w:val="bottom"/>
          </w:tcPr>
          <w:p>
            <w:pPr>
              <w:ind w:left="580"/>
              <w:spacing w:after="0"/>
              <w:rPr>
                <w:rFonts w:ascii="Arial" w:cs="Arial" w:eastAsia="Arial" w:hAnsi="Arial"/>
                <w:sz w:val="16"/>
                <w:szCs w:val="16"/>
                <w:u w:val="single" w:color="auto"/>
                <w:color w:val="384BFF"/>
              </w:rPr>
            </w:pPr>
            <w:hyperlink w:anchor="page36">
              <w:r>
                <w:rPr>
                  <w:rFonts w:ascii="Arial" w:cs="Arial" w:eastAsia="Arial" w:hAnsi="Arial"/>
                  <w:sz w:val="16"/>
                  <w:szCs w:val="16"/>
                  <w:u w:val="single" w:color="auto"/>
                  <w:color w:val="384BFF"/>
                </w:rPr>
                <w:t>36</w:t>
              </w:r>
            </w:hyperlink>
          </w:p>
        </w:tc>
      </w:tr>
      <w:tr>
        <w:trPr>
          <w:trHeight w:val="243"/>
        </w:trPr>
        <w:tc>
          <w:tcPr>
            <w:tcW w:w="800" w:type="dxa"/>
            <w:vAlign w:val="bottom"/>
          </w:tcPr>
          <w:p>
            <w:pPr>
              <w:spacing w:after="0"/>
              <w:rPr>
                <w:sz w:val="21"/>
                <w:szCs w:val="21"/>
                <w:color w:val="auto"/>
              </w:rPr>
            </w:pPr>
          </w:p>
        </w:tc>
        <w:tc>
          <w:tcPr>
            <w:tcW w:w="9300" w:type="dxa"/>
            <w:vAlign w:val="bottom"/>
            <w:gridSpan w:val="6"/>
          </w:tcPr>
          <w:p>
            <w:pPr>
              <w:ind w:left="3620"/>
              <w:spacing w:after="0"/>
              <w:rPr>
                <w:sz w:val="20"/>
                <w:szCs w:val="20"/>
                <w:color w:val="auto"/>
              </w:rPr>
            </w:pPr>
            <w:r>
              <w:rPr>
                <w:rFonts w:ascii="Arial" w:cs="Arial" w:eastAsia="Arial" w:hAnsi="Arial"/>
                <w:sz w:val="16"/>
                <w:szCs w:val="16"/>
                <w:b w:val="1"/>
                <w:bCs w:val="1"/>
                <w:color w:val="auto"/>
              </w:rPr>
              <w:t>PART II – OTHER INFORMATION</w:t>
            </w:r>
          </w:p>
        </w:tc>
        <w:tc>
          <w:tcPr>
            <w:tcW w:w="960" w:type="dxa"/>
            <w:vAlign w:val="bottom"/>
          </w:tcPr>
          <w:p>
            <w:pPr>
              <w:spacing w:after="0"/>
              <w:rPr>
                <w:sz w:val="21"/>
                <w:szCs w:val="21"/>
                <w:color w:val="auto"/>
              </w:rPr>
            </w:pPr>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1.</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38">
              <w:r>
                <w:rPr>
                  <w:rFonts w:ascii="Arial" w:cs="Arial" w:eastAsia="Arial" w:hAnsi="Arial"/>
                  <w:sz w:val="16"/>
                  <w:szCs w:val="16"/>
                  <w:u w:val="single" w:color="auto"/>
                  <w:color w:val="384BFF"/>
                </w:rPr>
                <w:t>Legal Proceedings</w:t>
              </w:r>
            </w:hyperlink>
          </w:p>
        </w:tc>
        <w:tc>
          <w:tcPr>
            <w:tcW w:w="960" w:type="dxa"/>
            <w:vAlign w:val="bottom"/>
          </w:tcPr>
          <w:p>
            <w:pPr>
              <w:ind w:left="580"/>
              <w:spacing w:after="0"/>
              <w:rPr>
                <w:rFonts w:ascii="Arial" w:cs="Arial" w:eastAsia="Arial" w:hAnsi="Arial"/>
                <w:sz w:val="16"/>
                <w:szCs w:val="16"/>
                <w:u w:val="single" w:color="auto"/>
                <w:color w:val="384BFF"/>
              </w:rPr>
            </w:pPr>
            <w:hyperlink w:anchor="page38">
              <w:r>
                <w:rPr>
                  <w:rFonts w:ascii="Arial" w:cs="Arial" w:eastAsia="Arial" w:hAnsi="Arial"/>
                  <w:sz w:val="16"/>
                  <w:szCs w:val="16"/>
                  <w:u w:val="single" w:color="auto"/>
                  <w:color w:val="384BFF"/>
                </w:rPr>
                <w:t>38</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1A.</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38">
              <w:r>
                <w:rPr>
                  <w:rFonts w:ascii="Arial" w:cs="Arial" w:eastAsia="Arial" w:hAnsi="Arial"/>
                  <w:sz w:val="16"/>
                  <w:szCs w:val="16"/>
                  <w:u w:val="single" w:color="auto"/>
                  <w:color w:val="384BFF"/>
                </w:rPr>
                <w:t>Risk Factors</w:t>
              </w:r>
            </w:hyperlink>
          </w:p>
        </w:tc>
        <w:tc>
          <w:tcPr>
            <w:tcW w:w="960" w:type="dxa"/>
            <w:vAlign w:val="bottom"/>
          </w:tcPr>
          <w:p>
            <w:pPr>
              <w:ind w:left="580"/>
              <w:spacing w:after="0"/>
              <w:rPr>
                <w:rFonts w:ascii="Arial" w:cs="Arial" w:eastAsia="Arial" w:hAnsi="Arial"/>
                <w:sz w:val="16"/>
                <w:szCs w:val="16"/>
                <w:u w:val="single" w:color="auto"/>
                <w:color w:val="384BFF"/>
              </w:rPr>
            </w:pPr>
            <w:hyperlink w:anchor="page38">
              <w:r>
                <w:rPr>
                  <w:rFonts w:ascii="Arial" w:cs="Arial" w:eastAsia="Arial" w:hAnsi="Arial"/>
                  <w:sz w:val="16"/>
                  <w:szCs w:val="16"/>
                  <w:u w:val="single" w:color="auto"/>
                  <w:color w:val="384BFF"/>
                </w:rPr>
                <w:t>38</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2.</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Unregistered Sales of Equity Securities and Use of Proceeds</w:t>
              </w:r>
            </w:hyperlink>
          </w:p>
        </w:tc>
        <w:tc>
          <w:tcPr>
            <w:tcW w:w="960" w:type="dxa"/>
            <w:vAlign w:val="bottom"/>
          </w:tcPr>
          <w:p>
            <w:pPr>
              <w:ind w:left="58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60</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3.</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Defaults upon Senior Securities</w:t>
              </w:r>
            </w:hyperlink>
          </w:p>
        </w:tc>
        <w:tc>
          <w:tcPr>
            <w:tcW w:w="960" w:type="dxa"/>
            <w:vAlign w:val="bottom"/>
          </w:tcPr>
          <w:p>
            <w:pPr>
              <w:ind w:left="58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60</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4.</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Mine Safety Disclosures</w:t>
              </w:r>
            </w:hyperlink>
          </w:p>
        </w:tc>
        <w:tc>
          <w:tcPr>
            <w:tcW w:w="960" w:type="dxa"/>
            <w:vAlign w:val="bottom"/>
          </w:tcPr>
          <w:p>
            <w:pPr>
              <w:ind w:left="58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60</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5.</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Other Information</w:t>
              </w:r>
            </w:hyperlink>
          </w:p>
        </w:tc>
        <w:tc>
          <w:tcPr>
            <w:tcW w:w="960" w:type="dxa"/>
            <w:vAlign w:val="bottom"/>
          </w:tcPr>
          <w:p>
            <w:pPr>
              <w:ind w:left="580"/>
              <w:spacing w:after="0"/>
              <w:rPr>
                <w:rFonts w:ascii="Arial" w:cs="Arial" w:eastAsia="Arial" w:hAnsi="Arial"/>
                <w:sz w:val="16"/>
                <w:szCs w:val="16"/>
                <w:u w:val="single" w:color="auto"/>
                <w:color w:val="384BFF"/>
              </w:rPr>
            </w:pPr>
            <w:hyperlink w:anchor="page60">
              <w:r>
                <w:rPr>
                  <w:rFonts w:ascii="Arial" w:cs="Arial" w:eastAsia="Arial" w:hAnsi="Arial"/>
                  <w:sz w:val="16"/>
                  <w:szCs w:val="16"/>
                  <w:u w:val="single" w:color="auto"/>
                  <w:color w:val="384BFF"/>
                </w:rPr>
                <w:t>60</w:t>
              </w:r>
            </w:hyperlink>
          </w:p>
        </w:tc>
      </w:tr>
      <w:tr>
        <w:trPr>
          <w:trHeight w:val="243"/>
        </w:trPr>
        <w:tc>
          <w:tcPr>
            <w:tcW w:w="800" w:type="dxa"/>
            <w:vAlign w:val="bottom"/>
          </w:tcPr>
          <w:p>
            <w:pPr>
              <w:spacing w:after="0"/>
              <w:rPr>
                <w:sz w:val="20"/>
                <w:szCs w:val="20"/>
                <w:color w:val="auto"/>
              </w:rPr>
            </w:pPr>
            <w:r>
              <w:rPr>
                <w:rFonts w:ascii="Arial" w:cs="Arial" w:eastAsia="Arial" w:hAnsi="Arial"/>
                <w:sz w:val="16"/>
                <w:szCs w:val="16"/>
                <w:color w:val="auto"/>
              </w:rPr>
              <w:t>Item 6.</w:t>
            </w: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61">
              <w:r>
                <w:rPr>
                  <w:rFonts w:ascii="Arial" w:cs="Arial" w:eastAsia="Arial" w:hAnsi="Arial"/>
                  <w:sz w:val="16"/>
                  <w:szCs w:val="16"/>
                  <w:u w:val="single" w:color="auto"/>
                  <w:color w:val="384BFF"/>
                </w:rPr>
                <w:t>Exhibits</w:t>
              </w:r>
            </w:hyperlink>
          </w:p>
        </w:tc>
        <w:tc>
          <w:tcPr>
            <w:tcW w:w="960" w:type="dxa"/>
            <w:vAlign w:val="bottom"/>
          </w:tcPr>
          <w:p>
            <w:pPr>
              <w:ind w:left="580"/>
              <w:spacing w:after="0"/>
              <w:rPr>
                <w:rFonts w:ascii="Arial" w:cs="Arial" w:eastAsia="Arial" w:hAnsi="Arial"/>
                <w:sz w:val="16"/>
                <w:szCs w:val="16"/>
                <w:u w:val="single" w:color="auto"/>
                <w:color w:val="384BFF"/>
              </w:rPr>
            </w:pPr>
            <w:hyperlink w:anchor="page61">
              <w:r>
                <w:rPr>
                  <w:rFonts w:ascii="Arial" w:cs="Arial" w:eastAsia="Arial" w:hAnsi="Arial"/>
                  <w:sz w:val="16"/>
                  <w:szCs w:val="16"/>
                  <w:u w:val="single" w:color="auto"/>
                  <w:color w:val="384BFF"/>
                </w:rPr>
                <w:t>61</w:t>
              </w:r>
            </w:hyperlink>
          </w:p>
        </w:tc>
      </w:tr>
      <w:tr>
        <w:trPr>
          <w:trHeight w:val="270"/>
        </w:trPr>
        <w:tc>
          <w:tcPr>
            <w:tcW w:w="800" w:type="dxa"/>
            <w:vAlign w:val="bottom"/>
          </w:tcPr>
          <w:p>
            <w:pPr>
              <w:spacing w:after="0"/>
              <w:rPr>
                <w:sz w:val="23"/>
                <w:szCs w:val="23"/>
                <w:color w:val="auto"/>
              </w:rPr>
            </w:pPr>
          </w:p>
        </w:tc>
        <w:tc>
          <w:tcPr>
            <w:tcW w:w="9300" w:type="dxa"/>
            <w:vAlign w:val="bottom"/>
            <w:gridSpan w:val="6"/>
          </w:tcPr>
          <w:p>
            <w:pPr>
              <w:ind w:left="200"/>
              <w:spacing w:after="0"/>
              <w:rPr>
                <w:rFonts w:ascii="Arial" w:cs="Arial" w:eastAsia="Arial" w:hAnsi="Arial"/>
                <w:sz w:val="16"/>
                <w:szCs w:val="16"/>
                <w:u w:val="single" w:color="auto"/>
                <w:color w:val="384BFF"/>
              </w:rPr>
            </w:pPr>
            <w:hyperlink w:anchor="page62">
              <w:r>
                <w:rPr>
                  <w:rFonts w:ascii="Arial" w:cs="Arial" w:eastAsia="Arial" w:hAnsi="Arial"/>
                  <w:sz w:val="16"/>
                  <w:szCs w:val="16"/>
                  <w:u w:val="single" w:color="auto"/>
                  <w:color w:val="384BFF"/>
                </w:rPr>
                <w:t>Signatures</w:t>
              </w:r>
            </w:hyperlink>
          </w:p>
        </w:tc>
        <w:tc>
          <w:tcPr>
            <w:tcW w:w="960" w:type="dxa"/>
            <w:vAlign w:val="bottom"/>
          </w:tcPr>
          <w:p>
            <w:pPr>
              <w:ind w:left="580"/>
              <w:spacing w:after="0"/>
              <w:rPr>
                <w:rFonts w:ascii="Arial" w:cs="Arial" w:eastAsia="Arial" w:hAnsi="Arial"/>
                <w:sz w:val="16"/>
                <w:szCs w:val="16"/>
                <w:u w:val="single" w:color="auto"/>
                <w:color w:val="384BFF"/>
              </w:rPr>
            </w:pPr>
            <w:hyperlink w:anchor="page62">
              <w:r>
                <w:rPr>
                  <w:rFonts w:ascii="Arial" w:cs="Arial" w:eastAsia="Arial" w:hAnsi="Arial"/>
                  <w:sz w:val="16"/>
                  <w:szCs w:val="16"/>
                  <w:u w:val="single" w:color="auto"/>
                  <w:color w:val="384BFF"/>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141" w:right="4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4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147,565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87,559</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184,387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211,331</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$640 and $585 as of March 31, 2020 and December 31, 2019, respectively</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78,034</w:t>
            </w:r>
          </w:p>
        </w:tc>
      </w:tr>
      <w:tr>
        <w:trPr>
          <w:trHeight w:val="264"/>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20,490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18,692</w:t>
            </w:r>
          </w:p>
        </w:tc>
      </w:tr>
      <w:tr>
        <w:trPr>
          <w:trHeight w:val="256"/>
        </w:trPr>
        <w:tc>
          <w:tcPr>
            <w:tcW w:w="8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425,138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395,616</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Long-term marketable securities</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102,777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119,508</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60,579</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Operating leases - right of use asset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38,760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40,551</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18,830</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15,275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16,795</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7,447</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15,300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15,082</w:t>
            </w:r>
          </w:p>
        </w:tc>
      </w:tr>
      <w:tr>
        <w:trPr>
          <w:trHeight w:val="283"/>
        </w:trPr>
        <w:tc>
          <w:tcPr>
            <w:tcW w:w="82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684,492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675,608</w:t>
            </w:r>
          </w:p>
        </w:tc>
      </w:tr>
      <w:tr>
        <w:trPr>
          <w:trHeight w:val="25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231F20"/>
              </w:rPr>
              <w:t>Liabilities and Stockholders’ Equity</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848</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23,753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22,784</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201,861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192,172</w:t>
            </w:r>
          </w:p>
        </w:tc>
      </w:tr>
      <w:tr>
        <w:trPr>
          <w:trHeight w:val="264"/>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Operating lease liabilities, current</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7,663</w:t>
            </w:r>
          </w:p>
        </w:tc>
      </w:tr>
      <w:tr>
        <w:trPr>
          <w:trHeight w:val="256"/>
        </w:trPr>
        <w:tc>
          <w:tcPr>
            <w:tcW w:w="8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234,235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223,467</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21,823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20,935</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41,486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44,015</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w:t>
            </w:r>
          </w:p>
        </w:tc>
      </w:tr>
      <w:tr>
        <w:trPr>
          <w:trHeight w:val="256"/>
        </w:trPr>
        <w:tc>
          <w:tcPr>
            <w:tcW w:w="8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297,762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288,805</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Commitments and contingencies (Note 9)</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22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March 31, 2020 and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220" w:type="dxa"/>
            <w:vAlign w:val="bottom"/>
          </w:tcPr>
          <w:p>
            <w:pPr>
              <w:ind w:left="280"/>
              <w:spacing w:after="0"/>
              <w:rPr>
                <w:sz w:val="20"/>
                <w:szCs w:val="20"/>
                <w:color w:val="auto"/>
              </w:rPr>
            </w:pPr>
            <w:r>
              <w:rPr>
                <w:rFonts w:ascii="Arial" w:cs="Arial" w:eastAsia="Arial" w:hAnsi="Arial"/>
                <w:sz w:val="14"/>
                <w:szCs w:val="14"/>
                <w:color w:val="auto"/>
              </w:rPr>
              <w:t>December 31, 2019</w:t>
            </w:r>
          </w:p>
        </w:tc>
        <w:tc>
          <w:tcPr>
            <w:tcW w:w="16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39,024,673 and 39,146,272 shares issued and</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March 31, 2020 and December 31, 2019, respectively</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368,016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362,408</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w:t>
            </w:r>
          </w:p>
        </w:tc>
      </w:tr>
      <w:tr>
        <w:trPr>
          <w:trHeight w:val="264"/>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23,194</w:t>
            </w:r>
          </w:p>
        </w:tc>
      </w:tr>
      <w:tr>
        <w:trPr>
          <w:trHeight w:val="250"/>
        </w:trPr>
        <w:tc>
          <w:tcPr>
            <w:tcW w:w="8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386,730</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386,803</w:t>
            </w:r>
          </w:p>
        </w:tc>
      </w:tr>
      <w:tr>
        <w:trPr>
          <w:trHeight w:val="243"/>
        </w:trPr>
        <w:tc>
          <w:tcPr>
            <w:tcW w:w="8220" w:type="dxa"/>
            <w:vAlign w:val="bottom"/>
          </w:tcPr>
          <w:p>
            <w:pPr>
              <w:ind w:left="500"/>
              <w:spacing w:after="0"/>
              <w:rPr>
                <w:sz w:val="20"/>
                <w:szCs w:val="20"/>
                <w:color w:val="auto"/>
              </w:rPr>
            </w:pPr>
            <w:r>
              <w:rPr>
                <w:rFonts w:ascii="Arial" w:cs="Arial" w:eastAsia="Arial" w:hAnsi="Arial"/>
                <w:sz w:val="14"/>
                <w:szCs w:val="14"/>
                <w:color w:val="231F20"/>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684,492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675,608</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1" w:right="3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86,263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75,343</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18,495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17,709</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67,768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57,634</w:t>
            </w:r>
          </w:p>
        </w:tc>
        <w:tc>
          <w:tcPr>
            <w:tcW w:w="0" w:type="dxa"/>
            <w:vAlign w:val="bottom"/>
          </w:tcPr>
          <w:p>
            <w:pPr>
              <w:spacing w:after="0"/>
              <w:rPr>
                <w:sz w:val="1"/>
                <w:szCs w:val="1"/>
                <w:color w:val="auto"/>
              </w:rPr>
            </w:pPr>
          </w:p>
        </w:tc>
      </w:tr>
      <w:tr>
        <w:trPr>
          <w:trHeight w:val="264"/>
        </w:trPr>
        <w:tc>
          <w:tcPr>
            <w:tcW w:w="82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15,837</w:t>
            </w:r>
          </w:p>
        </w:tc>
        <w:tc>
          <w:tcPr>
            <w:tcW w:w="0" w:type="dxa"/>
            <w:vAlign w:val="bottom"/>
          </w:tcPr>
          <w:p>
            <w:pPr>
              <w:spacing w:after="0"/>
              <w:rPr>
                <w:sz w:val="1"/>
                <w:szCs w:val="1"/>
                <w:color w:val="auto"/>
              </w:rPr>
            </w:pPr>
          </w:p>
        </w:tc>
      </w:tr>
      <w:tr>
        <w:trPr>
          <w:trHeight w:val="264"/>
        </w:trPr>
        <w:tc>
          <w:tcPr>
            <w:tcW w:w="82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18,230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17,315</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11,124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47,337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43,583</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20,431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14,051</w:t>
            </w:r>
          </w:p>
        </w:tc>
        <w:tc>
          <w:tcPr>
            <w:tcW w:w="0" w:type="dxa"/>
            <w:vAlign w:val="bottom"/>
          </w:tcPr>
          <w:p>
            <w:pPr>
              <w:spacing w:after="0"/>
              <w:rPr>
                <w:sz w:val="1"/>
                <w:szCs w:val="1"/>
                <w:color w:val="auto"/>
              </w:rPr>
            </w:pPr>
          </w:p>
        </w:tc>
      </w:tr>
      <w:tr>
        <w:trPr>
          <w:trHeight w:val="264"/>
        </w:trPr>
        <w:tc>
          <w:tcPr>
            <w:tcW w:w="82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82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0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30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1,786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15,837</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231F20"/>
              </w:rPr>
              <w:t>3,523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231F20"/>
              </w:rPr>
              <w:t>2,571</w:t>
            </w:r>
          </w:p>
        </w:tc>
        <w:tc>
          <w:tcPr>
            <w:tcW w:w="0" w:type="dxa"/>
            <w:vAlign w:val="bottom"/>
          </w:tcPr>
          <w:p>
            <w:pPr>
              <w:spacing w:after="0"/>
              <w:rPr>
                <w:sz w:val="1"/>
                <w:szCs w:val="1"/>
                <w:color w:val="auto"/>
              </w:rPr>
            </w:pPr>
          </w:p>
        </w:tc>
      </w:tr>
      <w:tr>
        <w:trPr>
          <w:trHeight w:val="21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39,112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39,109</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40,846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41,546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141" w:right="4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24"/>
                <w:szCs w:val="24"/>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18,694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13,266</w:t>
            </w:r>
          </w:p>
        </w:tc>
      </w:tr>
      <w:tr>
        <w:trPr>
          <w:trHeight w:val="264"/>
        </w:trPr>
        <w:tc>
          <w:tcPr>
            <w:tcW w:w="8260" w:type="dxa"/>
            <w:vAlign w:val="bottom"/>
          </w:tcPr>
          <w:p>
            <w:pPr>
              <w:ind w:left="16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8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Available-for-sale debt securities: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4"/>
        </w:trPr>
        <w:tc>
          <w:tcPr>
            <w:tcW w:w="8260" w:type="dxa"/>
            <w:vAlign w:val="bottom"/>
          </w:tcPr>
          <w:p>
            <w:pPr>
              <w:ind w:left="380"/>
              <w:spacing w:after="0"/>
              <w:rPr>
                <w:sz w:val="20"/>
                <w:szCs w:val="20"/>
                <w:color w:val="auto"/>
              </w:rPr>
            </w:pPr>
            <w:r>
              <w:rPr>
                <w:rFonts w:ascii="Arial" w:cs="Arial" w:eastAsia="Arial" w:hAnsi="Arial"/>
                <w:sz w:val="14"/>
                <w:szCs w:val="14"/>
                <w:color w:val="auto"/>
              </w:rPr>
              <w:t>Changes in net unrealized gain, net of tax effects of ($104) and ($38) in the three months ended March 31, 2020 and 2019,</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8260" w:type="dxa"/>
            <w:vAlign w:val="bottom"/>
          </w:tcPr>
          <w:p>
            <w:pPr>
              <w:ind w:left="38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655</w:t>
            </w:r>
          </w:p>
        </w:tc>
      </w:tr>
      <w:tr>
        <w:trPr>
          <w:trHeight w:val="200"/>
        </w:trPr>
        <w:tc>
          <w:tcPr>
            <w:tcW w:w="8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adjustments for net realized (gain) loss included in net income, net of tax effects of $25 and ($2) in the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8"/>
        </w:trPr>
        <w:tc>
          <w:tcPr>
            <w:tcW w:w="8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three months ended March 31, 2020 and 2019, respectively</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50"/>
        </w:trPr>
        <w:tc>
          <w:tcPr>
            <w:tcW w:w="8260" w:type="dxa"/>
            <w:vAlign w:val="bottom"/>
          </w:tcPr>
          <w:p>
            <w:pPr>
              <w:ind w:left="480"/>
              <w:spacing w:after="0"/>
              <w:rPr>
                <w:sz w:val="20"/>
                <w:szCs w:val="20"/>
                <w:color w:val="auto"/>
              </w:rPr>
            </w:pPr>
            <w:r>
              <w:rPr>
                <w:rFonts w:ascii="Arial" w:cs="Arial" w:eastAsia="Arial" w:hAnsi="Arial"/>
                <w:sz w:val="14"/>
                <w:szCs w:val="14"/>
                <w:color w:val="auto"/>
              </w:rPr>
              <w:t>Total change in unrealized gain on marketable securities, net of tax</w:t>
            </w: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683</w:t>
            </w:r>
          </w:p>
        </w:tc>
      </w:tr>
      <w:tr>
        <w:trPr>
          <w:trHeight w:val="276"/>
        </w:trPr>
        <w:tc>
          <w:tcPr>
            <w:tcW w:w="8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flow hedges: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194"/>
        </w:trPr>
        <w:tc>
          <w:tcPr>
            <w:tcW w:w="8260" w:type="dxa"/>
            <w:vAlign w:val="bottom"/>
          </w:tcPr>
          <w:p>
            <w:pPr>
              <w:ind w:left="380"/>
              <w:spacing w:after="0"/>
              <w:rPr>
                <w:sz w:val="20"/>
                <w:szCs w:val="20"/>
                <w:color w:val="auto"/>
              </w:rPr>
            </w:pPr>
            <w:r>
              <w:rPr>
                <w:rFonts w:ascii="Arial" w:cs="Arial" w:eastAsia="Arial" w:hAnsi="Arial"/>
                <w:sz w:val="14"/>
                <w:szCs w:val="14"/>
                <w:color w:val="auto"/>
              </w:rPr>
              <w:t>Changes in net unrealized gain, net of tax effects of ($94) and ($48) in the three months ended March 31, 2020 and 2019,</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8260" w:type="dxa"/>
            <w:vAlign w:val="bottom"/>
          </w:tcPr>
          <w:p>
            <w:pPr>
              <w:ind w:left="38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203</w:t>
            </w:r>
          </w:p>
        </w:tc>
      </w:tr>
      <w:tr>
        <w:trPr>
          <w:trHeight w:val="200"/>
        </w:trPr>
        <w:tc>
          <w:tcPr>
            <w:tcW w:w="8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adjustments for net realized (gain) loss included in net income, net of tax effects of $57 and ($3) in the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8"/>
        </w:trPr>
        <w:tc>
          <w:tcPr>
            <w:tcW w:w="8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three months ended March 31, 2020 and 2019, respectively</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50"/>
        </w:trPr>
        <w:tc>
          <w:tcPr>
            <w:tcW w:w="826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changes in unrealized gain on cash flow hedges, net of tax</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r>
      <w:tr>
        <w:trPr>
          <w:trHeight w:val="250"/>
        </w:trPr>
        <w:tc>
          <w:tcPr>
            <w:tcW w:w="82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comprehensive income,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r>
      <w:tr>
        <w:trPr>
          <w:trHeight w:val="242"/>
        </w:trPr>
        <w:tc>
          <w:tcPr>
            <w:tcW w:w="82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19,085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14,162</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3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141" w:right="6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4"/>
                <w:szCs w:val="24"/>
                <w:color w:val="auto"/>
              </w:rPr>
            </w:pPr>
          </w:p>
        </w:tc>
      </w:tr>
      <w:tr>
        <w:trPr>
          <w:trHeight w:val="263"/>
        </w:trPr>
        <w:tc>
          <w:tcPr>
            <w:tcW w:w="8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18,694</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13,266</w:t>
            </w: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866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7,747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7,935</w:t>
            </w:r>
          </w:p>
        </w:tc>
      </w:tr>
      <w:tr>
        <w:trPr>
          <w:trHeight w:val="27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r>
      <w:tr>
        <w:trPr>
          <w:trHeight w:val="264"/>
        </w:trPr>
        <w:tc>
          <w:tcPr>
            <w:tcW w:w="866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8,445</w:t>
            </w:r>
          </w:p>
        </w:tc>
      </w:tr>
      <w:tr>
        <w:trPr>
          <w:trHeight w:val="264"/>
        </w:trPr>
        <w:tc>
          <w:tcPr>
            <w:tcW w:w="8660" w:type="dxa"/>
            <w:vAlign w:val="bottom"/>
          </w:tcPr>
          <w:p>
            <w:pPr>
              <w:ind w:left="500"/>
              <w:spacing w:after="0"/>
              <w:rPr>
                <w:sz w:val="20"/>
                <w:szCs w:val="20"/>
                <w:color w:val="auto"/>
              </w:rPr>
            </w:pPr>
            <w:r>
              <w:rPr>
                <w:rFonts w:ascii="Arial" w:cs="Arial" w:eastAsia="Arial" w:hAnsi="Arial"/>
                <w:sz w:val="14"/>
                <w:szCs w:val="14"/>
                <w:color w:val="auto"/>
              </w:rPr>
              <w:t>Amortization of accretion of discounts on marketable securities</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(580)</w:t>
            </w:r>
          </w:p>
        </w:tc>
      </w:tr>
      <w:tr>
        <w:trPr>
          <w:trHeight w:val="27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w:t>
            </w:r>
          </w:p>
        </w:tc>
      </w:tr>
      <w:tr>
        <w:trPr>
          <w:trHeight w:val="264"/>
        </w:trPr>
        <w:tc>
          <w:tcPr>
            <w:tcW w:w="866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7,962</w:t>
            </w:r>
          </w:p>
        </w:tc>
      </w:tr>
      <w:tr>
        <w:trPr>
          <w:trHeight w:val="264"/>
        </w:trPr>
        <w:tc>
          <w:tcPr>
            <w:tcW w:w="866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(3,205)</w:t>
            </w:r>
          </w:p>
        </w:tc>
      </w:tr>
      <w:tr>
        <w:trPr>
          <w:trHeight w:val="276"/>
        </w:trPr>
        <w:tc>
          <w:tcPr>
            <w:tcW w:w="8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r>
      <w:tr>
        <w:trPr>
          <w:trHeight w:val="264"/>
        </w:trPr>
        <w:tc>
          <w:tcPr>
            <w:tcW w:w="866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332</w:t>
            </w:r>
          </w:p>
        </w:tc>
      </w:tr>
      <w:tr>
        <w:trPr>
          <w:trHeight w:val="276"/>
        </w:trPr>
        <w:tc>
          <w:tcPr>
            <w:tcW w:w="8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9,855</w:t>
            </w:r>
          </w:p>
        </w:tc>
      </w:tr>
      <w:tr>
        <w:trPr>
          <w:trHeight w:val="264"/>
        </w:trPr>
        <w:tc>
          <w:tcPr>
            <w:tcW w:w="8660" w:type="dxa"/>
            <w:vAlign w:val="bottom"/>
          </w:tcPr>
          <w:p>
            <w:pPr>
              <w:ind w:left="720"/>
              <w:spacing w:after="0"/>
              <w:rPr>
                <w:sz w:val="20"/>
                <w:szCs w:val="20"/>
                <w:color w:val="auto"/>
              </w:rPr>
            </w:pPr>
            <w:r>
              <w:rPr>
                <w:rFonts w:ascii="Arial" w:cs="Arial" w:eastAsia="Arial" w:hAnsi="Arial"/>
                <w:sz w:val="14"/>
                <w:szCs w:val="14"/>
                <w:color w:val="auto"/>
              </w:rPr>
              <w:t>Other non-current liabilities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16"/>
        </w:trPr>
        <w:tc>
          <w:tcPr>
            <w:tcW w:w="866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52,435</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44,347</w:t>
            </w:r>
          </w:p>
        </w:tc>
      </w:tr>
      <w:tr>
        <w:trPr>
          <w:trHeight w:val="258"/>
        </w:trPr>
        <w:tc>
          <w:tcPr>
            <w:tcW w:w="86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(85,567)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(66,224)</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129,651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91,046</w:t>
            </w: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(8,608)</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Business combinations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56"/>
        </w:trPr>
        <w:tc>
          <w:tcPr>
            <w:tcW w:w="866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investing activities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36,813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15,364</w:t>
            </w:r>
          </w:p>
        </w:tc>
      </w:tr>
      <w:tr>
        <w:trPr>
          <w:trHeight w:val="258"/>
        </w:trPr>
        <w:tc>
          <w:tcPr>
            <w:tcW w:w="86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(7,871)</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4,047</w:t>
            </w: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w:t>
            </w:r>
          </w:p>
        </w:tc>
      </w:tr>
      <w:tr>
        <w:trPr>
          <w:trHeight w:val="264"/>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Principal payments under finance lease obligations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r>
      <w:tr>
        <w:trPr>
          <w:trHeight w:val="250"/>
        </w:trPr>
        <w:tc>
          <w:tcPr>
            <w:tcW w:w="86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(29,242)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(7,610)</w:t>
            </w:r>
          </w:p>
        </w:tc>
      </w:tr>
      <w:tr>
        <w:trPr>
          <w:trHeight w:val="250"/>
        </w:trPr>
        <w:tc>
          <w:tcPr>
            <w:tcW w:w="8660" w:type="dxa"/>
            <w:vAlign w:val="bottom"/>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2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52,101</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88,759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42,226</w:t>
            </w:r>
          </w:p>
        </w:tc>
      </w:tr>
      <w:tr>
        <w:trPr>
          <w:trHeight w:val="242"/>
        </w:trPr>
        <w:tc>
          <w:tcPr>
            <w:tcW w:w="866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148,765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94,327</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08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Additional</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3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9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Retained</w:t>
            </w:r>
          </w:p>
        </w:tc>
        <w:tc>
          <w:tcPr>
            <w:tcW w:w="100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7"/>
        </w:trPr>
        <w:tc>
          <w:tcPr>
            <w:tcW w:w="508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800" w:type="dxa"/>
            <w:vAlign w:val="bottom"/>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1"/>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2019</w:t>
            </w:r>
          </w:p>
        </w:tc>
        <w:tc>
          <w:tcPr>
            <w:tcW w:w="8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39,146,272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362,408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1,162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23,194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386,803</w:t>
            </w:r>
          </w:p>
        </w:tc>
        <w:tc>
          <w:tcPr>
            <w:tcW w:w="0" w:type="dxa"/>
            <w:vAlign w:val="bottom"/>
          </w:tcPr>
          <w:p>
            <w:pPr>
              <w:spacing w:after="0"/>
              <w:rPr>
                <w:sz w:val="1"/>
                <w:szCs w:val="1"/>
                <w:color w:val="auto"/>
              </w:rPr>
            </w:pPr>
          </w:p>
        </w:tc>
      </w:tr>
      <w:tr>
        <w:trPr>
          <w:trHeight w:val="71"/>
        </w:trPr>
        <w:tc>
          <w:tcPr>
            <w:tcW w:w="5080" w:type="dxa"/>
            <w:vAlign w:val="bottom"/>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18,694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18,694</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66"/>
        </w:trPr>
        <w:tc>
          <w:tcPr>
            <w:tcW w:w="508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144,989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4,714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(28,926)</w:t>
            </w:r>
          </w:p>
        </w:tc>
        <w:tc>
          <w:tcPr>
            <w:tcW w:w="0" w:type="dxa"/>
            <w:vAlign w:val="bottom"/>
          </w:tcPr>
          <w:p>
            <w:pPr>
              <w:spacing w:after="0"/>
              <w:rPr>
                <w:sz w:val="1"/>
                <w:szCs w:val="1"/>
                <w:color w:val="auto"/>
              </w:rPr>
            </w:pPr>
          </w:p>
        </w:tc>
      </w:tr>
      <w:tr>
        <w:trPr>
          <w:trHeight w:val="66"/>
        </w:trPr>
        <w:tc>
          <w:tcPr>
            <w:tcW w:w="50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138,260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66"/>
        </w:trPr>
        <w:tc>
          <w:tcPr>
            <w:tcW w:w="50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10,054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10,054</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March 31, 2020</w:t>
            </w:r>
          </w:p>
        </w:tc>
        <w:tc>
          <w:tcPr>
            <w:tcW w:w="8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39,024,673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368,016</w:t>
            </w: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1,553</w:t>
            </w: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17,122</w:t>
            </w: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386,730</w:t>
            </w:r>
          </w:p>
        </w:tc>
        <w:tc>
          <w:tcPr>
            <w:tcW w:w="0" w:type="dxa"/>
            <w:vAlign w:val="bottom"/>
          </w:tcPr>
          <w:p>
            <w:pPr>
              <w:spacing w:after="0"/>
              <w:rPr>
                <w:sz w:val="1"/>
                <w:szCs w:val="1"/>
                <w:color w:val="auto"/>
              </w:rPr>
            </w:pPr>
          </w:p>
        </w:tc>
      </w:tr>
      <w:tr>
        <w:trPr>
          <w:trHeight w:val="74"/>
        </w:trPr>
        <w:tc>
          <w:tcPr>
            <w:tcW w:w="50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5080" w:type="dxa"/>
            <w:vAlign w:val="bottom"/>
          </w:tcPr>
          <w:p>
            <w:pPr>
              <w:spacing w:after="0"/>
              <w:rPr>
                <w:sz w:val="24"/>
                <w:szCs w:val="24"/>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08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Additional</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30"/>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7"/>
        </w:trPr>
        <w:tc>
          <w:tcPr>
            <w:tcW w:w="508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9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Retained</w:t>
            </w:r>
          </w:p>
        </w:tc>
        <w:tc>
          <w:tcPr>
            <w:tcW w:w="100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7"/>
        </w:trPr>
        <w:tc>
          <w:tcPr>
            <w:tcW w:w="508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5"/>
                <w:szCs w:val="15"/>
                <w:color w:val="auto"/>
              </w:rPr>
            </w:pPr>
          </w:p>
        </w:tc>
        <w:tc>
          <w:tcPr>
            <w:tcW w:w="800" w:type="dxa"/>
            <w:vAlign w:val="bottom"/>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8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39,015,034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330,572</w:t>
            </w: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27,964</w:t>
            </w: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357,989</w:t>
            </w:r>
          </w:p>
        </w:tc>
        <w:tc>
          <w:tcPr>
            <w:tcW w:w="0" w:type="dxa"/>
            <w:vAlign w:val="bottom"/>
          </w:tcPr>
          <w:p>
            <w:pPr>
              <w:spacing w:after="0"/>
              <w:rPr>
                <w:sz w:val="1"/>
                <w:szCs w:val="1"/>
                <w:color w:val="auto"/>
              </w:rPr>
            </w:pPr>
          </w:p>
        </w:tc>
      </w:tr>
      <w:tr>
        <w:trPr>
          <w:trHeight w:val="80"/>
        </w:trPr>
        <w:tc>
          <w:tcPr>
            <w:tcW w:w="5080" w:type="dxa"/>
            <w:vAlign w:val="bottom"/>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13,266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73"/>
        </w:trPr>
        <w:tc>
          <w:tcPr>
            <w:tcW w:w="50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66"/>
        </w:trPr>
        <w:tc>
          <w:tcPr>
            <w:tcW w:w="508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152,164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(7,871)</w:t>
            </w:r>
          </w:p>
        </w:tc>
        <w:tc>
          <w:tcPr>
            <w:tcW w:w="0" w:type="dxa"/>
            <w:vAlign w:val="bottom"/>
          </w:tcPr>
          <w:p>
            <w:pPr>
              <w:spacing w:after="0"/>
              <w:rPr>
                <w:sz w:val="1"/>
                <w:szCs w:val="1"/>
                <w:color w:val="auto"/>
              </w:rPr>
            </w:pPr>
          </w:p>
        </w:tc>
      </w:tr>
      <w:tr>
        <w:trPr>
          <w:trHeight w:val="66"/>
        </w:trPr>
        <w:tc>
          <w:tcPr>
            <w:tcW w:w="50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99,601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66"/>
        </w:trPr>
        <w:tc>
          <w:tcPr>
            <w:tcW w:w="50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8,443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8,443</w:t>
            </w:r>
          </w:p>
        </w:tc>
        <w:tc>
          <w:tcPr>
            <w:tcW w:w="0" w:type="dxa"/>
            <w:vAlign w:val="bottom"/>
          </w:tcPr>
          <w:p>
            <w:pPr>
              <w:spacing w:after="0"/>
              <w:rPr>
                <w:sz w:val="1"/>
                <w:szCs w:val="1"/>
                <w:color w:val="auto"/>
              </w:rPr>
            </w:pPr>
          </w:p>
        </w:tc>
      </w:tr>
      <w:tr>
        <w:trPr>
          <w:trHeight w:val="60"/>
        </w:trPr>
        <w:tc>
          <w:tcPr>
            <w:tcW w:w="50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March 31, 2019</w:t>
            </w:r>
          </w:p>
        </w:tc>
        <w:tc>
          <w:tcPr>
            <w:tcW w:w="8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39,133,832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338,566</w:t>
            </w: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310</w:t>
            </w: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34,488</w:t>
            </w: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373,403</w:t>
            </w:r>
          </w:p>
        </w:tc>
        <w:tc>
          <w:tcPr>
            <w:tcW w:w="0" w:type="dxa"/>
            <w:vAlign w:val="bottom"/>
          </w:tcPr>
          <w:p>
            <w:pPr>
              <w:spacing w:after="0"/>
              <w:rPr>
                <w:sz w:val="1"/>
                <w:szCs w:val="1"/>
                <w:color w:val="auto"/>
              </w:rPr>
            </w:pPr>
          </w:p>
        </w:tc>
      </w:tr>
      <w:tr>
        <w:trPr>
          <w:trHeight w:val="73"/>
        </w:trPr>
        <w:tc>
          <w:tcPr>
            <w:tcW w:w="50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 distributed IT infrastructures.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2019,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months ended March 31, 2020 are not necessarily indicative of the results of operations expected for the entire year ending December 31, 2020 or for any other future annual or interim periods. These condensed consolidated financial statements should be read in conjunction with the consolidated financial statements and related notes included in the Company’s Annual Report on Form 10-K for the year ended December 31, 2019, filed with the SEC on February 21, 2020.</w:t>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31F20"/>
        </w:rPr>
        <w:t>Risks and Uncertainties</w:t>
      </w:r>
    </w:p>
    <w:p>
      <w:pPr>
        <w:spacing w:after="0" w:line="180"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auto"/>
        </w:rPr>
        <w:t xml:space="preserve">In March 2020, the World Health Organization declared the outbreak of </w:t>
      </w:r>
      <w:r>
        <w:rPr>
          <w:rFonts w:ascii="Arial" w:cs="Arial" w:eastAsia="Arial" w:hAnsi="Arial"/>
          <w:sz w:val="18"/>
          <w:szCs w:val="18"/>
          <w:color w:val="231F20"/>
        </w:rPr>
        <w:t>a novel strain of coronavirus (“COVID-19”)</w:t>
      </w:r>
      <w:r>
        <w:rPr>
          <w:rFonts w:ascii="Arial" w:cs="Arial" w:eastAsia="Arial" w:hAnsi="Arial"/>
          <w:sz w:val="18"/>
          <w:szCs w:val="18"/>
          <w:color w:val="auto"/>
        </w:rPr>
        <w:t xml:space="preserve"> as a pandemic. As a result of COVID-19, the Company has modified certain aspects of our business, including restricting </w:t>
      </w:r>
      <w:r>
        <w:rPr>
          <w:rFonts w:ascii="Arial" w:cs="Arial" w:eastAsia="Arial" w:hAnsi="Arial"/>
          <w:sz w:val="18"/>
          <w:szCs w:val="18"/>
          <w:color w:val="212529"/>
        </w:rPr>
        <w:t>employee travel, requiring employees to</w:t>
      </w:r>
      <w:r>
        <w:rPr>
          <w:rFonts w:ascii="Arial" w:cs="Arial" w:eastAsia="Arial" w:hAnsi="Arial"/>
          <w:sz w:val="18"/>
          <w:szCs w:val="18"/>
          <w:color w:val="auto"/>
        </w:rPr>
        <w:t xml:space="preserve"> </w:t>
      </w:r>
      <w:r>
        <w:rPr>
          <w:rFonts w:ascii="Arial" w:cs="Arial" w:eastAsia="Arial" w:hAnsi="Arial"/>
          <w:sz w:val="18"/>
          <w:szCs w:val="18"/>
          <w:color w:val="212529"/>
        </w:rPr>
        <w:t xml:space="preserve">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t>
      </w:r>
      <w:r>
        <w:rPr>
          <w:rFonts w:ascii="Arial" w:cs="Arial" w:eastAsia="Arial" w:hAnsi="Arial"/>
          <w:sz w:val="18"/>
          <w:szCs w:val="18"/>
          <w:color w:val="000000"/>
        </w:rPr>
        <w:t>While the Company has not</w:t>
      </w:r>
      <w:r>
        <w:rPr>
          <w:rFonts w:ascii="Arial" w:cs="Arial" w:eastAsia="Arial" w:hAnsi="Arial"/>
          <w:sz w:val="18"/>
          <w:szCs w:val="18"/>
          <w:color w:val="212529"/>
        </w:rPr>
        <w:t xml:space="preserve"> </w:t>
      </w:r>
      <w:r>
        <w:rPr>
          <w:rFonts w:ascii="Arial" w:cs="Arial" w:eastAsia="Arial" w:hAnsi="Arial"/>
          <w:sz w:val="18"/>
          <w:szCs w:val="18"/>
          <w:color w:val="000000"/>
        </w:rPr>
        <w:t>incurred significant disruptions from the COVID-19 outbreak, the Company is unable to accurately predict the full impact that COVID-19 will have due to numerous uncertainties, including the duration of the outbreak,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results could differ from those estimates and such differences may be material to the accompanying unaudited condensed consolidated financial statements.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net asset positions, to date primarily cash, accounts receivable and operating lease liabilities (non-designated forward contracts), as well as to manage foreign currency fluctuation risk related to forecasted transactions (designated cash flow hedges). Open contracts are recorded within prepaid expenses and other current assets, other noncurrent assets, accrued liabilities or other noncurrent liabilities in the condensed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to revenue or operating expenses when the hedged item impacts the condensed consolidated statements of operations.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recognizes the fair value of its employee stock options and restricted stock units over the requisite service periods for those awards ultimately expected to vest. The fair value of each option is estimated on the date of grant using the Black-Scholes-Merton option pricing model and the fair value of each restricted stock unit ("RSU") is based on the price of the Company's stock on the date of grant. Forfeitures are estimated on the date of grant and revised if actual or expected forfeiture activity differs materially from original estimates.</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has issued performance-based awards and stock options, and accounts for these awards and options as stock-based compensation with multiple performance conditions. For these performance-based awards, the Company records compensation expense for only the performance milestones that are probable of being achieved, with such expense recorded on a straight-line basis over the expected vesting period. The Company reassesses performance-based estimates each reporting period and if there are any changes in the probability of achievement, the Company recognizes the cumulative effect in the period when the estimate changes.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Non-marketable securities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During the fiscal year ended December 31, 2018</w:t>
      </w:r>
      <w:r>
        <w:rPr>
          <w:rFonts w:ascii="Arial" w:cs="Arial" w:eastAsia="Arial" w:hAnsi="Arial"/>
          <w:sz w:val="18"/>
          <w:szCs w:val="18"/>
          <w:color w:val="000000"/>
        </w:rPr>
        <w:t>, the Company invested</w:t>
      </w:r>
      <w:r>
        <w:rPr>
          <w:rFonts w:ascii="Arial" w:cs="Arial" w:eastAsia="Arial" w:hAnsi="Arial"/>
          <w:sz w:val="18"/>
          <w:szCs w:val="18"/>
          <w:color w:val="231F20"/>
        </w:rPr>
        <w:t xml:space="preserve"> $2.5 million </w:t>
      </w:r>
      <w:r>
        <w:rPr>
          <w:rFonts w:ascii="Arial" w:cs="Arial" w:eastAsia="Arial" w:hAnsi="Arial"/>
          <w:sz w:val="18"/>
          <w:szCs w:val="18"/>
          <w:color w:val="000000"/>
        </w:rPr>
        <w:t>in preferred stock of a privately-held company.</w:t>
      </w:r>
      <w:r>
        <w:rPr>
          <w:rFonts w:ascii="Arial" w:cs="Arial" w:eastAsia="Arial" w:hAnsi="Arial"/>
          <w:sz w:val="18"/>
          <w:szCs w:val="18"/>
          <w:color w:val="231F20"/>
        </w:rPr>
        <w:t xml:space="preserve"> The fair value of the investment is not readily available, and there are no quoted market prices for the investment. The investment is included in other noncurrent assets on the consolidated balance sheets and measured at cost less impairment, adjusted for observable price changes. The investment is assessed for impairment annually or whenever events or changes in circumstances indicate that the carrying amount may not be recoverable. As of March 31, 2020 and December 31, 2019, no impairment was recorded for the investment. </w:t>
      </w:r>
      <w:r>
        <w:rPr>
          <w:rFonts w:ascii="Arial" w:cs="Arial" w:eastAsia="Arial" w:hAnsi="Arial"/>
          <w:sz w:val="18"/>
          <w:szCs w:val="18"/>
          <w:color w:val="212529"/>
        </w:rPr>
        <w:t>During the second</w:t>
      </w:r>
      <w:r>
        <w:rPr>
          <w:rFonts w:ascii="Arial" w:cs="Arial" w:eastAsia="Arial" w:hAnsi="Arial"/>
          <w:sz w:val="18"/>
          <w:szCs w:val="18"/>
          <w:color w:val="231F20"/>
        </w:rPr>
        <w:t xml:space="preserve"> </w:t>
      </w:r>
      <w:r>
        <w:rPr>
          <w:rFonts w:ascii="Arial" w:cs="Arial" w:eastAsia="Arial" w:hAnsi="Arial"/>
          <w:sz w:val="18"/>
          <w:szCs w:val="18"/>
          <w:color w:val="212529"/>
        </w:rPr>
        <w:t xml:space="preserve">quarter ended June 30, 2019, the Company made an advance payment of </w:t>
      </w:r>
      <w:r>
        <w:rPr>
          <w:rFonts w:ascii="Arial" w:cs="Arial" w:eastAsia="Arial" w:hAnsi="Arial"/>
          <w:sz w:val="18"/>
          <w:szCs w:val="18"/>
          <w:color w:val="000000"/>
        </w:rPr>
        <w:t>$0.6 million to the investee for certain development work, which is</w:t>
      </w:r>
      <w:r>
        <w:rPr>
          <w:rFonts w:ascii="Arial" w:cs="Arial" w:eastAsia="Arial" w:hAnsi="Arial"/>
          <w:sz w:val="18"/>
          <w:szCs w:val="18"/>
          <w:color w:val="212529"/>
        </w:rPr>
        <w:t xml:space="preserve"> </w:t>
      </w:r>
      <w:r>
        <w:rPr>
          <w:rFonts w:ascii="Arial" w:cs="Arial" w:eastAsia="Arial" w:hAnsi="Arial"/>
          <w:sz w:val="18"/>
          <w:szCs w:val="18"/>
          <w:color w:val="000000"/>
        </w:rPr>
        <w:t xml:space="preserve">recorded in other noncurrent assets on the condensed consolidated balance sheet. </w:t>
      </w:r>
      <w:r>
        <w:rPr>
          <w:rFonts w:ascii="Arial" w:cs="Arial" w:eastAsia="Arial" w:hAnsi="Arial"/>
          <w:sz w:val="18"/>
          <w:szCs w:val="18"/>
          <w:color w:val="212529"/>
        </w:rPr>
        <w:t>During the third quarter ended September 30, 2019,</w:t>
      </w:r>
      <w:r>
        <w:rPr>
          <w:rFonts w:ascii="Arial" w:cs="Arial" w:eastAsia="Arial" w:hAnsi="Arial"/>
          <w:sz w:val="18"/>
          <w:szCs w:val="18"/>
          <w:color w:val="000000"/>
        </w:rPr>
        <w:t xml:space="preserve"> the Company made an additional investment of $ 0.6 million in a convertible security issued by this investee and recorded it in other current assets on the condensed consolidated balance sheet.</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In August 2018, the Financial Accounting Standards Board ("FASB") issued Accounting Standards Update ("ASU") 2018-15, Intangibles</w:t>
      </w:r>
    </w:p>
    <w:p>
      <w:pPr>
        <w:spacing w:after="0" w:line="9" w:lineRule="exact"/>
        <w:rPr>
          <w:sz w:val="20"/>
          <w:szCs w:val="20"/>
          <w:color w:val="auto"/>
        </w:rPr>
      </w:pPr>
    </w:p>
    <w:p>
      <w:pPr>
        <w:jc w:val="both"/>
        <w:ind w:firstLine="8"/>
        <w:spacing w:after="0" w:line="252" w:lineRule="auto"/>
        <w:tabs>
          <w:tab w:leader="none" w:pos="147"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Goodwill and Other - Internal-Use Software (Subtopic 350-40):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related to internal-use software. It also requires the Company to expense the capitalized implementation costs of a hosting arrangement that is a service contract over the term of the hosting arrangement. The Company adopted this ASU prospectively to applicable implementation costs incurred since January 1, 2020. Applicable implementation costs capitalized during the three months ended March 31, 2020 were not material.</w:t>
      </w:r>
    </w:p>
    <w:p>
      <w:pPr>
        <w:spacing w:after="0" w:line="10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231F20"/>
        </w:rPr>
        <w:t>In June 2016, the FASB issued ASU No. 2016-13, Financial Instruments-Credit Losses (Topic 326) as modified by subsequently issued ASU No. 2018-19, 2019-04 and 2019-05, which introduces a new accounting model, Current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Expected Credit Losses (CECL).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The Company adopted this ASU on January 1, 2020, using a modified retrospective transition method, which requires a cumulative-effect adjustme</w:t>
      </w:r>
      <w:r>
        <w:rPr>
          <w:rFonts w:ascii="Arial" w:cs="Arial" w:eastAsia="Arial" w:hAnsi="Arial"/>
          <w:sz w:val="18"/>
          <w:szCs w:val="18"/>
          <w:color w:val="000000"/>
        </w:rPr>
        <w:t>nt, if any,</w:t>
      </w:r>
      <w:r>
        <w:rPr>
          <w:rFonts w:ascii="Arial" w:cs="Arial" w:eastAsia="Arial" w:hAnsi="Arial"/>
          <w:sz w:val="18"/>
          <w:szCs w:val="18"/>
          <w:color w:val="231F20"/>
        </w:rPr>
        <w:t xml:space="preserve"> </w:t>
      </w:r>
      <w:r>
        <w:rPr>
          <w:rFonts w:ascii="Arial" w:cs="Arial" w:eastAsia="Arial" w:hAnsi="Arial"/>
          <w:sz w:val="18"/>
          <w:szCs w:val="18"/>
          <w:color w:val="000000"/>
        </w:rPr>
        <w:t>to the opening balance of retained earnings to be recognized on the date of adoption with prior periods not restated. The adoption did not have a material impact on the Company's consolidated financial statements.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2020, the FASB issued ASU No. 2020-01, Investments—Equity Securities (Topic 321), Investments—Equity Method and Joint Ventures (Topic 323), and Derivatives and Hedging (Topic 815) (ASU 2020-01). This ASU clarifies the interaction of the accounting for equity securities under Topic 321, the accounting for equity method investments in Topic 323, and the accounting for certain forward contracts and purchased options in Topic 815. It is effective for the Company beginning in the first quarter of fiscal 2021, and earlier adoption is permitted. The Company is currently evaluating the impact of its pending adoption of ASU 2020-01 on the Company's consolidated financial statements.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December 2019, the FASB issued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is currently evaluating the impacts of the provisions of ASU 2019-12 on its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63" w:lineRule="exact"/>
        <w:rPr>
          <w:sz w:val="20"/>
          <w:szCs w:val="20"/>
          <w:color w:val="auto"/>
        </w:rPr>
      </w:pPr>
    </w:p>
    <w:p>
      <w:pPr>
        <w:jc w:val="both"/>
        <w:ind w:left="420" w:firstLine="405"/>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w:t>
      </w:r>
      <w:r>
        <w:rPr>
          <w:rFonts w:ascii="Arial" w:cs="Arial" w:eastAsia="Arial" w:hAnsi="Arial"/>
          <w:sz w:val="18"/>
          <w:szCs w:val="18"/>
          <w:i w:val="1"/>
          <w:iCs w:val="1"/>
          <w:color w:val="231F20"/>
        </w:rPr>
        <w:t xml:space="preserve"> </w:t>
      </w:r>
      <w:r>
        <w:rPr>
          <w:rFonts w:ascii="Arial" w:cs="Arial" w:eastAsia="Arial" w:hAnsi="Arial"/>
          <w:sz w:val="18"/>
          <w:szCs w:val="18"/>
          <w:color w:val="231F20"/>
        </w:rPr>
        <w:t>or similar assets or liabilities in inactive markets, or other inputs that are observable or can be corroborated by observable market data for substantially the full term of the assets or liabilities.</w:t>
      </w:r>
    </w:p>
    <w:p>
      <w:pPr>
        <w:spacing w:after="0" w:line="14" w:lineRule="exact"/>
        <w:rPr>
          <w:sz w:val="20"/>
          <w:szCs w:val="20"/>
          <w:color w:val="auto"/>
        </w:rPr>
      </w:pPr>
    </w:p>
    <w:p>
      <w:pPr>
        <w:jc w:val="both"/>
        <w:ind w:left="420" w:firstLine="405"/>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w:t>
      </w:r>
      <w:r>
        <w:rPr>
          <w:rFonts w:ascii="Arial" w:cs="Arial" w:eastAsia="Arial" w:hAnsi="Arial"/>
          <w:sz w:val="18"/>
          <w:szCs w:val="18"/>
          <w:i w:val="1"/>
          <w:iCs w:val="1"/>
          <w:color w:val="231F20"/>
        </w:rPr>
        <w:t xml:space="preserve"> </w:t>
      </w:r>
      <w:r>
        <w:rPr>
          <w:rFonts w:ascii="Arial" w:cs="Arial" w:eastAsia="Arial" w:hAnsi="Arial"/>
          <w:sz w:val="18"/>
          <w:szCs w:val="18"/>
          <w:color w:val="231F20"/>
        </w:rPr>
        <w:t>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Company's Level 1 assets include a highly liquid money market funds, which are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w:t>
      </w:r>
      <w:r>
        <w:rPr>
          <w:rFonts w:ascii="Arial" w:cs="Arial" w:eastAsia="Arial" w:hAnsi="Arial"/>
          <w:sz w:val="18"/>
          <w:szCs w:val="18"/>
          <w:color w:val="231F20"/>
        </w:rPr>
        <w:t xml:space="preserve"> </w:t>
      </w:r>
      <w:r>
        <w:rPr>
          <w:rFonts w:ascii="Arial" w:cs="Arial" w:eastAsia="Arial" w:hAnsi="Arial"/>
          <w:sz w:val="18"/>
          <w:szCs w:val="18"/>
          <w:color w:val="000000"/>
        </w:rPr>
        <w:t xml:space="preserve">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w:t>
      </w:r>
      <w:r>
        <w:rPr>
          <w:rFonts w:ascii="Arial" w:cs="Arial" w:eastAsia="Arial" w:hAnsi="Arial"/>
          <w:sz w:val="18"/>
          <w:szCs w:val="18"/>
          <w:color w:val="000000"/>
        </w:rPr>
        <w:t>ng observable inputs, such as quotations on forward foreign exchange points and foreign interest rates. During the fiscal year ended December 31, 2019 and 2018, the Company made investments of $0.6 million in a convertible security and $2.5 million in preferred stock, respectively, issued by a privately-held company. The estimated fair value of the investments was determined based on Level 3 inputs. As of March 31, 2020 and December 31, 2019, management estimated that the fair value of the investments equaled their carrying value.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94,365</w:t>
            </w:r>
          </w:p>
        </w:tc>
        <w:tc>
          <w:tcPr>
            <w:tcW w:w="120" w:type="dxa"/>
            <w:vAlign w:val="bottom"/>
          </w:tcPr>
          <w:p>
            <w:pPr>
              <w:spacing w:after="0"/>
              <w:rPr>
                <w:sz w:val="22"/>
                <w:szCs w:val="22"/>
                <w:color w:val="auto"/>
              </w:rPr>
            </w:pPr>
          </w:p>
        </w:tc>
        <w:tc>
          <w:tcPr>
            <w:tcW w:w="48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94,365</w:t>
            </w: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35,033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35,033</w:t>
            </w: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15,439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15,449</w:t>
            </w: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1,200</w:t>
            </w:r>
          </w:p>
        </w:tc>
      </w:tr>
      <w:tr>
        <w:trPr>
          <w:trHeight w:val="263"/>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1,518</w:t>
            </w:r>
          </w:p>
        </w:tc>
      </w:tr>
      <w:tr>
        <w:trPr>
          <w:trHeight w:val="257"/>
        </w:trPr>
        <w:tc>
          <w:tcPr>
            <w:tcW w:w="55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147,554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147,565</w:t>
            </w:r>
          </w:p>
        </w:tc>
      </w:tr>
      <w:tr>
        <w:trPr>
          <w:trHeight w:val="254"/>
        </w:trPr>
        <w:tc>
          <w:tcPr>
            <w:tcW w:w="5520" w:type="dxa"/>
            <w:vAlign w:val="bottom"/>
          </w:tcPr>
          <w:p>
            <w:pPr>
              <w:ind w:left="40"/>
              <w:spacing w:after="0"/>
              <w:rPr>
                <w:sz w:val="20"/>
                <w:szCs w:val="20"/>
                <w:color w:val="auto"/>
              </w:rPr>
            </w:pPr>
            <w:r>
              <w:rPr>
                <w:rFonts w:ascii="Arial" w:cs="Arial" w:eastAsia="Arial" w:hAnsi="Arial"/>
                <w:sz w:val="16"/>
                <w:szCs w:val="16"/>
                <w:color w:val="auto"/>
              </w:rPr>
              <w:t>Short-term marketable securities:</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23,975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23,908</w:t>
            </w: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3,026</w:t>
            </w:r>
          </w:p>
        </w:tc>
      </w:tr>
      <w:tr>
        <w:trPr>
          <w:trHeight w:val="264"/>
        </w:trPr>
        <w:tc>
          <w:tcPr>
            <w:tcW w:w="552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155,316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156,453</w:t>
            </w:r>
          </w:p>
        </w:tc>
      </w:tr>
      <w:tr>
        <w:trPr>
          <w:trHeight w:val="256"/>
        </w:trPr>
        <w:tc>
          <w:tcPr>
            <w:tcW w:w="552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183,308</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184,387</w:t>
            </w:r>
          </w:p>
        </w:tc>
      </w:tr>
      <w:tr>
        <w:trPr>
          <w:trHeight w:val="254"/>
        </w:trPr>
        <w:tc>
          <w:tcPr>
            <w:tcW w:w="5520" w:type="dxa"/>
            <w:vAlign w:val="bottom"/>
          </w:tcPr>
          <w:p>
            <w:pPr>
              <w:ind w:left="40"/>
              <w:spacing w:after="0"/>
              <w:rPr>
                <w:sz w:val="20"/>
                <w:szCs w:val="20"/>
                <w:color w:val="auto"/>
              </w:rPr>
            </w:pPr>
            <w:r>
              <w:rPr>
                <w:rFonts w:ascii="Arial" w:cs="Arial" w:eastAsia="Arial" w:hAnsi="Arial"/>
                <w:sz w:val="16"/>
                <w:szCs w:val="16"/>
                <w:color w:val="auto"/>
              </w:rPr>
              <w:t>Long-term marketable securities: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39,983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39,990</w:t>
            </w: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16,409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16,943</w:t>
            </w:r>
          </w:p>
        </w:tc>
      </w:tr>
      <w:tr>
        <w:trPr>
          <w:trHeight w:val="273"/>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46,065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45,844</w:t>
            </w:r>
          </w:p>
        </w:tc>
      </w:tr>
      <w:tr>
        <w:trPr>
          <w:trHeight w:val="250"/>
        </w:trPr>
        <w:tc>
          <w:tcPr>
            <w:tcW w:w="5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102,457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102,777</w:t>
            </w:r>
          </w:p>
        </w:tc>
      </w:tr>
      <w:tr>
        <w:trPr>
          <w:trHeight w:val="24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433,319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434,729</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5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Unrealized Gains</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(Losses)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84,102</w:t>
            </w:r>
          </w:p>
        </w:tc>
        <w:tc>
          <w:tcPr>
            <w:tcW w:w="120" w:type="dxa"/>
            <w:vAlign w:val="bottom"/>
          </w:tcPr>
          <w:p>
            <w:pPr>
              <w:spacing w:after="0"/>
              <w:rPr>
                <w:sz w:val="22"/>
                <w:szCs w:val="22"/>
                <w:color w:val="auto"/>
              </w:rPr>
            </w:pP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84,102</w:t>
            </w: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63"/>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3,399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3,399</w:t>
            </w:r>
          </w:p>
        </w:tc>
      </w:tr>
      <w:tr>
        <w:trPr>
          <w:trHeight w:val="257"/>
        </w:trPr>
        <w:tc>
          <w:tcPr>
            <w:tcW w:w="55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87,559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87,559</w:t>
            </w:r>
          </w:p>
        </w:tc>
      </w:tr>
      <w:tr>
        <w:trPr>
          <w:trHeight w:val="254"/>
        </w:trPr>
        <w:tc>
          <w:tcPr>
            <w:tcW w:w="5520" w:type="dxa"/>
            <w:vAlign w:val="bottom"/>
          </w:tcPr>
          <w:p>
            <w:pPr>
              <w:ind w:left="40"/>
              <w:spacing w:after="0"/>
              <w:rPr>
                <w:sz w:val="20"/>
                <w:szCs w:val="20"/>
                <w:color w:val="auto"/>
              </w:rPr>
            </w:pPr>
            <w:r>
              <w:rPr>
                <w:rFonts w:ascii="Arial" w:cs="Arial" w:eastAsia="Arial" w:hAnsi="Arial"/>
                <w:sz w:val="16"/>
                <w:szCs w:val="16"/>
                <w:color w:val="auto"/>
              </w:rPr>
              <w:t>Short-term marketable securities:</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2,239</w:t>
            </w: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33,048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33,098</w:t>
            </w: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2,438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2,449</w:t>
            </w:r>
          </w:p>
        </w:tc>
      </w:tr>
      <w:tr>
        <w:trPr>
          <w:trHeight w:val="263"/>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173,364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173,545</w:t>
            </w:r>
          </w:p>
        </w:tc>
      </w:tr>
      <w:tr>
        <w:trPr>
          <w:trHeight w:val="257"/>
        </w:trPr>
        <w:tc>
          <w:tcPr>
            <w:tcW w:w="55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211,089</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211,331</w:t>
            </w:r>
          </w:p>
        </w:tc>
      </w:tr>
      <w:tr>
        <w:trPr>
          <w:trHeight w:val="254"/>
        </w:trPr>
        <w:tc>
          <w:tcPr>
            <w:tcW w:w="5520" w:type="dxa"/>
            <w:vAlign w:val="bottom"/>
          </w:tcPr>
          <w:p>
            <w:pPr>
              <w:ind w:left="40"/>
              <w:spacing w:after="0"/>
              <w:rPr>
                <w:sz w:val="20"/>
                <w:szCs w:val="20"/>
                <w:color w:val="auto"/>
              </w:rPr>
            </w:pPr>
            <w:r>
              <w:rPr>
                <w:rFonts w:ascii="Arial" w:cs="Arial" w:eastAsia="Arial" w:hAnsi="Arial"/>
                <w:sz w:val="16"/>
                <w:szCs w:val="16"/>
                <w:color w:val="auto"/>
              </w:rPr>
              <w:t>Long-term marketable securities: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40,001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40,193</w:t>
            </w:r>
          </w:p>
        </w:tc>
      </w:tr>
      <w:tr>
        <w:trPr>
          <w:trHeight w:val="260"/>
        </w:trPr>
        <w:tc>
          <w:tcPr>
            <w:tcW w:w="552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46,447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46,817</w:t>
            </w:r>
          </w:p>
        </w:tc>
      </w:tr>
      <w:tr>
        <w:trPr>
          <w:trHeight w:val="273"/>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32,236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32,498</w:t>
            </w:r>
          </w:p>
        </w:tc>
      </w:tr>
      <w:tr>
        <w:trPr>
          <w:trHeight w:val="250"/>
        </w:trPr>
        <w:tc>
          <w:tcPr>
            <w:tcW w:w="5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118,684</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119,508</w:t>
            </w:r>
          </w:p>
        </w:tc>
      </w:tr>
      <w:tr>
        <w:trPr>
          <w:trHeight w:val="24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417,332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418,398</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There were no marketable securities that had been in a continuous unrealized loss position for 12 months or longer. As of March 31, 2020, the Company had the ability and intent to hold all marketable securities that were in an unrealized loss position until maturity or recovery.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9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3"/>
        </w:trPr>
        <w:tc>
          <w:tcPr>
            <w:tcW w:w="6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35,033</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Commercial paper</w:t>
            </w:r>
          </w:p>
        </w:tc>
        <w:tc>
          <w:tcPr>
            <w:tcW w:w="3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2,200</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188,844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188,844</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3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71,271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71,271</w:t>
            </w:r>
          </w:p>
        </w:tc>
      </w:tr>
      <w:tr>
        <w:trPr>
          <w:trHeight w:val="27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43,016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43,016</w:t>
            </w:r>
          </w:p>
        </w:tc>
      </w:tr>
      <w:tr>
        <w:trPr>
          <w:trHeight w:val="240"/>
        </w:trPr>
        <w:tc>
          <w:tcPr>
            <w:tcW w:w="664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35,033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305,331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340,364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9"/>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3"/>
        </w:trPr>
        <w:tc>
          <w:tcPr>
            <w:tcW w:w="6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Commercial paper</w:t>
            </w:r>
          </w:p>
        </w:tc>
        <w:tc>
          <w:tcPr>
            <w:tcW w:w="3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5,638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5,638</w:t>
            </w: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220,362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220,362</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3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65,596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65,596</w:t>
            </w:r>
          </w:p>
        </w:tc>
      </w:tr>
      <w:tr>
        <w:trPr>
          <w:trHeight w:val="27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42,642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42,642</w:t>
            </w:r>
          </w:p>
        </w:tc>
      </w:tr>
      <w:tr>
        <w:trPr>
          <w:trHeight w:val="240"/>
        </w:trPr>
        <w:tc>
          <w:tcPr>
            <w:tcW w:w="664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334,238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334,296</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There were no transfers between Level 1 and Level 2 of the fair value hierarchy, as determined at the end of each reporting period.</w:t>
      </w:r>
    </w:p>
    <w:p>
      <w:pPr>
        <w:sectPr>
          <w:pgSz w:w="11900" w:h="16838" w:orient="portrait"/>
          <w:cols w:equalWidth="0" w:num="1">
            <w:col w:w="11240"/>
          </w:cols>
          <w:pgMar w:left="320" w:top="141" w:right="339" w:bottom="3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1" w:right="339" w:bottom="347"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marketable securities by contractual or effective maturity as of March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7"/>
          </w:tcPr>
          <w:p>
            <w:pPr>
              <w:jc w:val="center"/>
              <w:ind w:right="520"/>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Mature within</w:t>
            </w:r>
          </w:p>
        </w:tc>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Mature after One Year through</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One Year</w:t>
            </w: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Two Years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Mature over Two Years</w:t>
            </w: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6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2,200</w:t>
            </w:r>
          </w:p>
        </w:tc>
        <w:tc>
          <w:tcPr>
            <w:tcW w:w="20" w:type="dxa"/>
            <w:vAlign w:val="bottom"/>
            <w:shd w:val="clear" w:color="auto" w:fill="CCEEFF"/>
          </w:tcPr>
          <w:p>
            <w:pPr>
              <w:spacing w:after="0"/>
              <w:rPr>
                <w:sz w:val="24"/>
                <w:szCs w:val="24"/>
                <w:color w:val="auto"/>
              </w:rPr>
            </w:pPr>
          </w:p>
        </w:tc>
      </w:tr>
      <w:tr>
        <w:trPr>
          <w:trHeight w:val="260"/>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U.S. government agencies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jc w:val="right"/>
              <w:ind w:right="22"/>
              <w:spacing w:after="0"/>
              <w:rPr>
                <w:sz w:val="20"/>
                <w:szCs w:val="20"/>
                <w:color w:val="auto"/>
              </w:rPr>
            </w:pPr>
            <w:r>
              <w:rPr>
                <w:rFonts w:ascii="Arial" w:cs="Arial" w:eastAsia="Arial" w:hAnsi="Arial"/>
                <w:sz w:val="16"/>
                <w:szCs w:val="16"/>
                <w:color w:val="auto"/>
              </w:rPr>
              <w:t>171,901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15,712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tcPr>
          <w:p>
            <w:pPr>
              <w:jc w:val="right"/>
              <w:ind w:right="21"/>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color w:val="auto"/>
              </w:rPr>
              <w:t>188,844</w:t>
            </w:r>
          </w:p>
        </w:tc>
        <w:tc>
          <w:tcPr>
            <w:tcW w:w="20" w:type="dxa"/>
            <w:vAlign w:val="bottom"/>
          </w:tcPr>
          <w:p>
            <w:pPr>
              <w:spacing w:after="0"/>
              <w:rPr>
                <w:sz w:val="22"/>
                <w:szCs w:val="22"/>
                <w:color w:val="auto"/>
              </w:rPr>
            </w:pPr>
          </w:p>
        </w:tc>
      </w:tr>
      <w:tr>
        <w:trPr>
          <w:trHeight w:val="280"/>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25,428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24,156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21,687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71,271</w:t>
            </w:r>
          </w:p>
        </w:tc>
        <w:tc>
          <w:tcPr>
            <w:tcW w:w="20" w:type="dxa"/>
            <w:vAlign w:val="bottom"/>
            <w:shd w:val="clear" w:color="auto" w:fill="CCEEFF"/>
          </w:tcPr>
          <w:p>
            <w:pPr>
              <w:spacing w:after="0"/>
              <w:rPr>
                <w:sz w:val="24"/>
                <w:szCs w:val="24"/>
                <w:color w:val="auto"/>
              </w:rPr>
            </w:pPr>
          </w:p>
        </w:tc>
      </w:tr>
      <w:tr>
        <w:trPr>
          <w:trHeight w:val="263"/>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Asset-backed securities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jc w:val="right"/>
              <w:ind w:right="22"/>
              <w:spacing w:after="0"/>
              <w:rPr>
                <w:sz w:val="20"/>
                <w:szCs w:val="20"/>
                <w:color w:val="auto"/>
              </w:rPr>
            </w:pPr>
            <w:r>
              <w:rPr>
                <w:rFonts w:ascii="Arial" w:cs="Arial" w:eastAsia="Arial" w:hAnsi="Arial"/>
                <w:sz w:val="16"/>
                <w:szCs w:val="16"/>
                <w:color w:val="auto"/>
              </w:rPr>
              <w:t>27,041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15,975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620" w:type="dxa"/>
            <w:vAlign w:val="bottom"/>
          </w:tcPr>
          <w:p>
            <w:pPr>
              <w:jc w:val="right"/>
              <w:ind w:right="1"/>
              <w:spacing w:after="0"/>
              <w:rPr>
                <w:sz w:val="20"/>
                <w:szCs w:val="20"/>
                <w:color w:val="auto"/>
              </w:rPr>
            </w:pPr>
            <w:r>
              <w:rPr>
                <w:rFonts w:ascii="Arial" w:cs="Arial" w:eastAsia="Arial" w:hAnsi="Arial"/>
                <w:sz w:val="16"/>
                <w:szCs w:val="16"/>
                <w:color w:val="auto"/>
              </w:rPr>
              <w:t>43,016</w:t>
            </w:r>
          </w:p>
        </w:tc>
        <w:tc>
          <w:tcPr>
            <w:tcW w:w="20" w:type="dxa"/>
            <w:vAlign w:val="bottom"/>
          </w:tcPr>
          <w:p>
            <w:pPr>
              <w:spacing w:after="0"/>
              <w:rPr>
                <w:sz w:val="22"/>
                <w:szCs w:val="22"/>
                <w:color w:val="auto"/>
              </w:rPr>
            </w:pPr>
          </w:p>
        </w:tc>
      </w:tr>
      <w:tr>
        <w:trPr>
          <w:trHeight w:val="240"/>
        </w:trPr>
        <w:tc>
          <w:tcPr>
            <w:tcW w:w="2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226,570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55,843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22,918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305,331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9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7"/>
          </w:tcPr>
          <w:p>
            <w:pPr>
              <w:jc w:val="center"/>
              <w:ind w:right="52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Mature within</w:t>
            </w:r>
          </w:p>
        </w:tc>
        <w:tc>
          <w:tcPr>
            <w:tcW w:w="2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Mature after One Year through</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One Year</w:t>
            </w:r>
          </w:p>
        </w:tc>
        <w:tc>
          <w:tcPr>
            <w:tcW w:w="420" w:type="dxa"/>
            <w:vAlign w:val="bottom"/>
          </w:tcPr>
          <w:p>
            <w:pPr>
              <w:spacing w:after="0"/>
              <w:rPr>
                <w:sz w:val="17"/>
                <w:szCs w:val="17"/>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Two Years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3"/>
          </w:tcPr>
          <w:p>
            <w:pPr>
              <w:ind w:left="80"/>
              <w:spacing w:after="0"/>
              <w:rPr>
                <w:sz w:val="20"/>
                <w:szCs w:val="20"/>
                <w:color w:val="auto"/>
              </w:rPr>
            </w:pPr>
            <w:r>
              <w:rPr>
                <w:rFonts w:ascii="Arial" w:cs="Arial" w:eastAsia="Arial" w:hAnsi="Arial"/>
                <w:sz w:val="14"/>
                <w:szCs w:val="14"/>
                <w:b w:val="1"/>
                <w:bCs w:val="1"/>
                <w:color w:val="auto"/>
              </w:rPr>
              <w:t>Mature over Two Years</w:t>
            </w:r>
          </w:p>
        </w:tc>
        <w:tc>
          <w:tcPr>
            <w:tcW w:w="380" w:type="dxa"/>
            <w:vAlign w:val="bottom"/>
          </w:tcPr>
          <w:p>
            <w:pPr>
              <w:spacing w:after="0"/>
              <w:rPr>
                <w:sz w:val="17"/>
                <w:szCs w:val="17"/>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60" w:type="dxa"/>
            <w:vAlign w:val="bottom"/>
            <w:tcBorders>
              <w:top w:val="single" w:sz="8" w:color="auto"/>
            </w:tcBorders>
            <w:gridSpan w:val="7"/>
          </w:tcPr>
          <w:p>
            <w:pPr>
              <w:jc w:val="center"/>
              <w:ind w:right="5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5,638</w:t>
            </w: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jc w:val="right"/>
              <w:ind w:right="22"/>
              <w:spacing w:after="0"/>
              <w:rPr>
                <w:sz w:val="20"/>
                <w:szCs w:val="20"/>
                <w:color w:val="auto"/>
              </w:rPr>
            </w:pPr>
            <w:r>
              <w:rPr>
                <w:rFonts w:ascii="Arial" w:cs="Arial" w:eastAsia="Arial" w:hAnsi="Arial"/>
                <w:sz w:val="16"/>
                <w:szCs w:val="16"/>
                <w:color w:val="auto"/>
              </w:rPr>
              <w:t>173,546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220,362</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33,098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65,596</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2,449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15,550</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24,643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42,642</w:t>
            </w:r>
          </w:p>
        </w:tc>
        <w:tc>
          <w:tcPr>
            <w:tcW w:w="20" w:type="dxa"/>
            <w:vAlign w:val="bottom"/>
          </w:tcPr>
          <w:p>
            <w:pPr>
              <w:spacing w:after="0"/>
              <w:rPr>
                <w:sz w:val="22"/>
                <w:szCs w:val="22"/>
                <w:color w:val="auto"/>
              </w:rPr>
            </w:pPr>
          </w:p>
        </w:tc>
      </w:tr>
      <w:tr>
        <w:trPr>
          <w:trHeight w:val="240"/>
        </w:trPr>
        <w:tc>
          <w:tcPr>
            <w:tcW w:w="40" w:type="dxa"/>
            <w:vAlign w:val="bottom"/>
          </w:tcPr>
          <w:p>
            <w:pPr>
              <w:spacing w:after="0"/>
              <w:rPr>
                <w:sz w:val="20"/>
                <w:szCs w:val="20"/>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214,731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85,617</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33,890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334,238</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Designated cash flow hedges</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The Company uses a hedging strategy to reduce its exposure to foreign currency exchange rate fluctuations for forecasted subscription renewals and new orders in British Pound ("GBP") and Euro. </w:t>
      </w:r>
      <w:r>
        <w:rPr>
          <w:rFonts w:ascii="Arial" w:cs="Arial" w:eastAsia="Arial" w:hAnsi="Arial"/>
          <w:sz w:val="18"/>
          <w:szCs w:val="18"/>
          <w:color w:val="231F20"/>
        </w:rPr>
        <w:t>The Company uses forward currency contracts accounted for as cash flow</w:t>
      </w:r>
      <w:r>
        <w:rPr>
          <w:rFonts w:ascii="Arial" w:cs="Arial" w:eastAsia="Arial" w:hAnsi="Arial"/>
          <w:sz w:val="18"/>
          <w:szCs w:val="18"/>
          <w:color w:val="auto"/>
        </w:rPr>
        <w:t xml:space="preserve"> </w:t>
      </w:r>
      <w:r>
        <w:rPr>
          <w:rFonts w:ascii="Arial" w:cs="Arial" w:eastAsia="Arial" w:hAnsi="Arial"/>
          <w:sz w:val="18"/>
          <w:szCs w:val="18"/>
          <w:color w:val="231F20"/>
        </w:rPr>
        <w:t xml:space="preserve">hedges against a designated portion of forecasted </w:t>
      </w:r>
      <w:r>
        <w:rPr>
          <w:rFonts w:ascii="Arial" w:cs="Arial" w:eastAsia="Arial" w:hAnsi="Arial"/>
          <w:sz w:val="18"/>
          <w:szCs w:val="18"/>
          <w:color w:val="000000"/>
        </w:rPr>
        <w:t>subscription renewals and new orders</w:t>
      </w:r>
      <w:r>
        <w:rPr>
          <w:rFonts w:ascii="Arial" w:cs="Arial" w:eastAsia="Arial" w:hAnsi="Arial"/>
          <w:sz w:val="18"/>
          <w:szCs w:val="18"/>
          <w:color w:val="231F20"/>
        </w:rPr>
        <w:t>. U</w:t>
      </w:r>
      <w:r>
        <w:rPr>
          <w:rFonts w:ascii="Arial" w:cs="Arial" w:eastAsia="Arial" w:hAnsi="Arial"/>
          <w:sz w:val="18"/>
          <w:szCs w:val="18"/>
          <w:color w:val="000000"/>
        </w:rPr>
        <w:t>nrealized foreign exchange gains or losses</w:t>
      </w:r>
      <w:r>
        <w:rPr>
          <w:rFonts w:ascii="Arial" w:cs="Arial" w:eastAsia="Arial" w:hAnsi="Arial"/>
          <w:sz w:val="18"/>
          <w:szCs w:val="18"/>
          <w:color w:val="231F20"/>
        </w:rPr>
        <w:t xml:space="preserve"> </w:t>
      </w:r>
      <w:r>
        <w:rPr>
          <w:rFonts w:ascii="Arial" w:cs="Arial" w:eastAsia="Arial" w:hAnsi="Arial"/>
          <w:sz w:val="18"/>
          <w:szCs w:val="18"/>
          <w:color w:val="000000"/>
        </w:rPr>
        <w:t>related to those designated cash flow hedge contracts are recorded in AOCI and will be reclassified into revenue when the respective hedged transactions affect earnings.</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In addition, the Company uses a hedging strategy to reduce its exposure associated with costs incurred in </w:t>
      </w:r>
      <w:r>
        <w:rPr>
          <w:rFonts w:ascii="Arial" w:cs="Arial" w:eastAsia="Arial" w:hAnsi="Arial"/>
          <w:sz w:val="18"/>
          <w:szCs w:val="18"/>
          <w:color w:val="000000"/>
        </w:rPr>
        <w:t>Indian Rupee ("INR").</w:t>
      </w:r>
      <w:r>
        <w:rPr>
          <w:rFonts w:ascii="Arial" w:cs="Arial" w:eastAsia="Arial" w:hAnsi="Arial"/>
          <w:sz w:val="18"/>
          <w:szCs w:val="18"/>
          <w:color w:val="231F20"/>
        </w:rPr>
        <w:t xml:space="preserve"> </w:t>
      </w:r>
      <w:r>
        <w:rPr>
          <w:rFonts w:ascii="Arial" w:cs="Arial" w:eastAsia="Arial" w:hAnsi="Arial"/>
          <w:sz w:val="18"/>
          <w:szCs w:val="18"/>
          <w:color w:val="000000"/>
        </w:rPr>
        <w:t>Unrealized foreign exchange gains or losses related to those designated cash flow hedge contracts are recorded in AOCI and will be reclassified into operating expenses when the associated hedged costs are incurred.</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At March 31, 2020, the Company had 39 open designated cash flow hedge contracts with notional amounts of </w:t>
      </w:r>
      <w:r>
        <w:rPr>
          <w:rFonts w:ascii="Arial" w:cs="Arial" w:eastAsia="Arial" w:hAnsi="Arial"/>
          <w:sz w:val="18"/>
          <w:szCs w:val="18"/>
          <w:color w:val="231F20"/>
        </w:rPr>
        <w:t>€22.3 million</w:t>
      </w:r>
      <w:r>
        <w:rPr>
          <w:rFonts w:ascii="Arial" w:cs="Arial" w:eastAsia="Arial" w:hAnsi="Arial"/>
          <w:sz w:val="18"/>
          <w:szCs w:val="18"/>
          <w:color w:val="auto"/>
        </w:rPr>
        <w:t xml:space="preserve">, </w:t>
      </w:r>
      <w:r>
        <w:rPr>
          <w:rFonts w:ascii="Arial" w:cs="Arial" w:eastAsia="Arial" w:hAnsi="Arial"/>
          <w:sz w:val="18"/>
          <w:szCs w:val="18"/>
          <w:color w:val="231F20"/>
        </w:rPr>
        <w:t>£9.4 million</w:t>
      </w:r>
      <w:r>
        <w:rPr>
          <w:rFonts w:ascii="Arial" w:cs="Arial" w:eastAsia="Arial" w:hAnsi="Arial"/>
          <w:sz w:val="18"/>
          <w:szCs w:val="18"/>
          <w:color w:val="auto"/>
        </w:rPr>
        <w:t xml:space="preserve"> and Rs.1,560 million. At December 31, 2019, the Company had 26 </w:t>
      </w:r>
      <w:r>
        <w:rPr>
          <w:rFonts w:ascii="Arial" w:cs="Arial" w:eastAsia="Arial" w:hAnsi="Arial"/>
          <w:sz w:val="18"/>
          <w:szCs w:val="18"/>
          <w:color w:val="222222"/>
        </w:rPr>
        <w:t>open</w:t>
      </w:r>
      <w:r>
        <w:rPr>
          <w:rFonts w:ascii="Arial" w:cs="Arial" w:eastAsia="Arial" w:hAnsi="Arial"/>
          <w:sz w:val="18"/>
          <w:szCs w:val="18"/>
          <w:color w:val="auto"/>
        </w:rPr>
        <w:t xml:space="preserve"> designated </w:t>
      </w:r>
      <w:r>
        <w:rPr>
          <w:rFonts w:ascii="Arial" w:cs="Arial" w:eastAsia="Arial" w:hAnsi="Arial"/>
          <w:sz w:val="18"/>
          <w:szCs w:val="18"/>
          <w:color w:val="222222"/>
        </w:rPr>
        <w:t>cash flow hedge contracts with notional amounts of</w:t>
      </w:r>
      <w:r>
        <w:rPr>
          <w:rFonts w:ascii="Arial" w:cs="Arial" w:eastAsia="Arial" w:hAnsi="Arial"/>
          <w:sz w:val="18"/>
          <w:szCs w:val="18"/>
          <w:color w:val="auto"/>
        </w:rPr>
        <w:t xml:space="preserve"> </w:t>
      </w:r>
      <w:r>
        <w:rPr>
          <w:rFonts w:ascii="Arial" w:cs="Arial" w:eastAsia="Arial" w:hAnsi="Arial"/>
          <w:sz w:val="18"/>
          <w:szCs w:val="18"/>
          <w:color w:val="222222"/>
        </w:rPr>
        <w:t>€24.2 million and £9.7 million.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Pr>
          <w:p>
            <w:pPr>
              <w:spacing w:after="0"/>
              <w:rPr>
                <w:sz w:val="22"/>
                <w:szCs w:val="22"/>
                <w:color w:val="auto"/>
              </w:rPr>
            </w:pPr>
          </w:p>
        </w:tc>
        <w:tc>
          <w:tcPr>
            <w:tcW w:w="8180" w:type="dxa"/>
            <w:vAlign w:val="bottom"/>
            <w:gridSpan w:val="3"/>
          </w:tcPr>
          <w:p>
            <w:pPr>
              <w:spacing w:after="0"/>
              <w:rPr>
                <w:sz w:val="20"/>
                <w:szCs w:val="20"/>
                <w:color w:val="auto"/>
              </w:rPr>
            </w:pPr>
            <w:r>
              <w:rPr>
                <w:rFonts w:ascii="Arial" w:cs="Arial" w:eastAsia="Arial" w:hAnsi="Arial"/>
                <w:sz w:val="16"/>
                <w:szCs w:val="16"/>
                <w:b w:val="1"/>
                <w:bCs w:val="1"/>
                <w:color w:val="auto"/>
              </w:rPr>
              <w:t>Derivative instruments designated as cash flow hedges: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175"/>
        </w:trPr>
        <w:tc>
          <w:tcPr>
            <w:tcW w:w="40" w:type="dxa"/>
            <w:vAlign w:val="bottom"/>
          </w:tcPr>
          <w:p>
            <w:pPr>
              <w:spacing w:after="0"/>
              <w:rPr>
                <w:sz w:val="15"/>
                <w:szCs w:val="15"/>
                <w:color w:val="auto"/>
              </w:rPr>
            </w:pPr>
          </w:p>
        </w:tc>
        <w:tc>
          <w:tcPr>
            <w:tcW w:w="8180" w:type="dxa"/>
            <w:vAlign w:val="bottom"/>
            <w:gridSpan w:val="3"/>
          </w:tcPr>
          <w:p>
            <w:pPr>
              <w:spacing w:after="0" w:line="155" w:lineRule="exact"/>
              <w:rPr>
                <w:sz w:val="20"/>
                <w:szCs w:val="20"/>
                <w:color w:val="auto"/>
              </w:rPr>
            </w:pPr>
            <w:r>
              <w:rPr>
                <w:rFonts w:ascii="Arial" w:cs="Arial" w:eastAsia="Arial" w:hAnsi="Arial"/>
                <w:sz w:val="16"/>
                <w:szCs w:val="16"/>
                <w:color w:val="auto"/>
              </w:rPr>
              <w:t>Net unrealized gains (before tax) recognized in AOCI:</w:t>
            </w:r>
          </w:p>
        </w:tc>
        <w:tc>
          <w:tcPr>
            <w:tcW w:w="280" w:type="dxa"/>
            <w:vAlign w:val="bottom"/>
          </w:tcPr>
          <w:p>
            <w:pPr>
              <w:spacing w:after="0"/>
              <w:rPr>
                <w:sz w:val="15"/>
                <w:szCs w:val="15"/>
                <w:color w:val="auto"/>
              </w:rPr>
            </w:pPr>
          </w:p>
        </w:tc>
        <w:tc>
          <w:tcPr>
            <w:tcW w:w="18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34"/>
        </w:trPr>
        <w:tc>
          <w:tcPr>
            <w:tcW w:w="40" w:type="dxa"/>
            <w:vAlign w:val="bottom"/>
          </w:tcPr>
          <w:p>
            <w:pPr>
              <w:spacing w:after="0"/>
              <w:rPr>
                <w:sz w:val="2"/>
                <w:szCs w:val="2"/>
                <w:color w:val="auto"/>
              </w:rPr>
            </w:pPr>
          </w:p>
        </w:tc>
        <w:tc>
          <w:tcPr>
            <w:tcW w:w="384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1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 (GBP, Euro and INR)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251</w:t>
            </w:r>
          </w:p>
        </w:tc>
      </w:tr>
      <w:tr>
        <w:trPr>
          <w:trHeight w:val="283"/>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unrealized (gains) losses (before tax) reclassified from AOCI into income:</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5540" w:type="dxa"/>
            <w:vAlign w:val="bottom"/>
            <w:tcBorders>
              <w:top w:val="single" w:sz="8" w:color="auto"/>
              <w:bottom w:val="single" w:sz="8" w:color="CCEEFF"/>
            </w:tcBorders>
            <w:gridSpan w:val="2"/>
          </w:tcPr>
          <w:p>
            <w:pPr>
              <w:ind w:left="140"/>
              <w:spacing w:after="0"/>
              <w:rPr>
                <w:sz w:val="20"/>
                <w:szCs w:val="20"/>
                <w:color w:val="auto"/>
              </w:rPr>
            </w:pPr>
            <w:r>
              <w:rPr>
                <w:rFonts w:ascii="Arial" w:cs="Arial" w:eastAsia="Arial" w:hAnsi="Arial"/>
                <w:sz w:val="16"/>
                <w:szCs w:val="16"/>
                <w:color w:val="auto"/>
              </w:rPr>
              <w:t>Foreign currency forward contracts (GBP and Euro)</w:t>
            </w:r>
          </w:p>
        </w:tc>
        <w:tc>
          <w:tcPr>
            <w:tcW w:w="26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CCEEFF"/>
              <w:bottom w:val="single" w:sz="8" w:color="auto"/>
            </w:tcBorders>
          </w:tcPr>
          <w:p>
            <w:pPr>
              <w:spacing w:after="0"/>
              <w:rPr>
                <w:sz w:val="22"/>
                <w:szCs w:val="22"/>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CEEFF"/>
              <w:bottom w:val="single" w:sz="8" w:color="CCEEFF"/>
            </w:tcBorders>
          </w:tcPr>
          <w:p>
            <w:pPr>
              <w:spacing w:after="0"/>
              <w:rPr>
                <w:sz w:val="22"/>
                <w:szCs w:val="22"/>
                <w:color w:val="auto"/>
              </w:rPr>
            </w:pPr>
          </w:p>
        </w:tc>
        <w:tc>
          <w:tcPr>
            <w:tcW w:w="520" w:type="dxa"/>
            <w:vAlign w:val="bottom"/>
            <w:tcBorders>
              <w:top w:val="single" w:sz="8" w:color="CCEEFF"/>
              <w:bottom w:val="single" w:sz="8" w:color="auto"/>
            </w:tcBorders>
          </w:tcPr>
          <w:p>
            <w:pPr>
              <w:spacing w:after="0"/>
              <w:rPr>
                <w:sz w:val="22"/>
                <w:szCs w:val="22"/>
                <w:color w:val="auto"/>
              </w:rPr>
            </w:pPr>
          </w:p>
        </w:tc>
        <w:tc>
          <w:tcPr>
            <w:tcW w:w="940" w:type="dxa"/>
            <w:vAlign w:val="bottom"/>
            <w:tcBorders>
              <w:top w:val="single" w:sz="8" w:color="CCEEFF"/>
              <w:bottom w:val="single" w:sz="8" w:color="auto"/>
            </w:tcBorders>
          </w:tcPr>
          <w:p>
            <w:pPr>
              <w:jc w:val="right"/>
              <w:ind w:right="21"/>
              <w:spacing w:after="0"/>
              <w:rPr>
                <w:sz w:val="20"/>
                <w:szCs w:val="20"/>
                <w:color w:val="auto"/>
              </w:rPr>
            </w:pPr>
            <w:r>
              <w:rPr>
                <w:rFonts w:ascii="Arial" w:cs="Arial" w:eastAsia="Arial" w:hAnsi="Arial"/>
                <w:sz w:val="16"/>
                <w:szCs w:val="16"/>
                <w:color w:val="auto"/>
              </w:rPr>
              <w:t>13</w:t>
            </w:r>
          </w:p>
        </w:tc>
      </w:tr>
      <w:tr>
        <w:trPr>
          <w:trHeight w:val="256"/>
        </w:trPr>
        <w:tc>
          <w:tcPr>
            <w:tcW w:w="40" w:type="dxa"/>
            <w:vAlign w:val="bottom"/>
            <w:shd w:val="clear" w:color="auto" w:fill="CCEEFF"/>
          </w:tcPr>
          <w:p>
            <w:pPr>
              <w:spacing w:after="0"/>
              <w:rPr>
                <w:sz w:val="22"/>
                <w:szCs w:val="22"/>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change in AOCI before tax</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r>
      <w:tr>
        <w:trPr>
          <w:trHeight w:val="264"/>
        </w:trPr>
        <w:tc>
          <w:tcPr>
            <w:tcW w:w="40" w:type="dxa"/>
            <w:vAlign w:val="bottom"/>
            <w:tcBorders>
              <w:bottom w:val="single" w:sz="8" w:color="CCEEFF"/>
            </w:tcBorders>
          </w:tcPr>
          <w:p>
            <w:pPr>
              <w:spacing w:after="0"/>
              <w:rPr>
                <w:sz w:val="22"/>
                <w:szCs w:val="22"/>
                <w:color w:val="auto"/>
              </w:rPr>
            </w:pPr>
          </w:p>
        </w:tc>
        <w:tc>
          <w:tcPr>
            <w:tcW w:w="81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Net tax impact on the change in AOCI</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40"/>
        </w:trPr>
        <w:tc>
          <w:tcPr>
            <w:tcW w:w="4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Net change in AOCI after tax</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213</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March 31, 2020, the net amount of unrealized gains and losses on the foreign currency forward contracts for GBP and Euro reported in AOCI that is expected to be reclassified into revenue within the next 12 months is a gain of $1.2 million (before tax). As of March 31, 2020, the net amount of unrealized gains and losses on the foreign currency</w:t>
      </w:r>
    </w:p>
    <w:p>
      <w:pPr>
        <w:sectPr>
          <w:pgSz w:w="11900" w:h="16838" w:orient="portrait"/>
          <w:cols w:equalWidth="0" w:num="1">
            <w:col w:w="11240"/>
          </w:cols>
          <w:pgMar w:left="320" w:top="141" w:right="339" w:bottom="1143"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1" w:right="339" w:bottom="1143"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forward contracts for INR reported in AOCI that is expected to be reclassified into operating expenses is a loss of $1.0 million (before tax).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Non-designated forward contracts</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At March 31, 2020, the Company </w:t>
      </w:r>
      <w:r>
        <w:rPr>
          <w:rFonts w:ascii="Arial" w:cs="Arial" w:eastAsia="Arial" w:hAnsi="Arial"/>
          <w:sz w:val="18"/>
          <w:szCs w:val="18"/>
          <w:color w:val="222222"/>
        </w:rPr>
        <w:t>had 13</w:t>
      </w:r>
      <w:r>
        <w:rPr>
          <w:rFonts w:ascii="Arial" w:cs="Arial" w:eastAsia="Arial" w:hAnsi="Arial"/>
          <w:sz w:val="18"/>
          <w:szCs w:val="18"/>
          <w:color w:val="auto"/>
        </w:rPr>
        <w:t xml:space="preserve"> </w:t>
      </w:r>
      <w:r>
        <w:rPr>
          <w:rFonts w:ascii="Arial" w:cs="Arial" w:eastAsia="Arial" w:hAnsi="Arial"/>
          <w:sz w:val="18"/>
          <w:szCs w:val="18"/>
          <w:color w:val="231F20"/>
        </w:rPr>
        <w:t>outstanding non-designated forward contracts</w:t>
      </w:r>
      <w:r>
        <w:rPr>
          <w:rFonts w:ascii="Arial" w:cs="Arial" w:eastAsia="Arial" w:hAnsi="Arial"/>
          <w:sz w:val="18"/>
          <w:szCs w:val="18"/>
          <w:color w:val="auto"/>
        </w:rPr>
        <w:t xml:space="preserve"> with notional amounts of €13.1 million, £6.2 million and Rs.443.4 million. At December 31, 2019, the Company had 15 outstanding non-designated forward contracts with notional amounts of €20.0 million, £5.6 million and Rs.756.0 million.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derivative financial instruments as of March 31, 2020 and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56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160" w:type="dxa"/>
            <w:vAlign w:val="bottom"/>
            <w:tcBorders>
              <w:bottom w:val="single" w:sz="8" w:color="BFE4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6"/>
        </w:trPr>
        <w:tc>
          <w:tcPr>
            <w:tcW w:w="816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Assets:</w:t>
            </w:r>
          </w:p>
        </w:tc>
        <w:tc>
          <w:tcPr>
            <w:tcW w:w="900" w:type="dxa"/>
            <w:vAlign w:val="bottom"/>
            <w:shd w:val="clear" w:color="auto" w:fill="BFE4FF"/>
          </w:tcPr>
          <w:p>
            <w:pPr>
              <w:spacing w:after="0"/>
              <w:rPr>
                <w:sz w:val="22"/>
                <w:szCs w:val="22"/>
                <w:color w:val="auto"/>
              </w:rPr>
            </w:pPr>
          </w:p>
        </w:tc>
        <w:tc>
          <w:tcPr>
            <w:tcW w:w="2120" w:type="dxa"/>
            <w:vAlign w:val="bottom"/>
            <w:gridSpan w:val="4"/>
            <w:shd w:val="clear" w:color="auto" w:fill="BFE4FF"/>
          </w:tcPr>
          <w:p>
            <w:pPr>
              <w:jc w:val="right"/>
              <w:ind w:right="921"/>
              <w:spacing w:after="0"/>
              <w:rPr>
                <w:sz w:val="20"/>
                <w:szCs w:val="20"/>
                <w:color w:val="auto"/>
              </w:rPr>
            </w:pPr>
            <w:r>
              <w:rPr>
                <w:rFonts w:ascii="Arial" w:cs="Arial" w:eastAsia="Arial" w:hAnsi="Arial"/>
                <w:sz w:val="14"/>
                <w:szCs w:val="14"/>
                <w:b w:val="1"/>
                <w:bCs w:val="1"/>
                <w:color w:val="auto"/>
              </w:rPr>
              <w:t>(in thousands)</w:t>
            </w:r>
          </w:p>
        </w:tc>
      </w:tr>
      <w:tr>
        <w:trPr>
          <w:trHeight w:val="260"/>
        </w:trPr>
        <w:tc>
          <w:tcPr>
            <w:tcW w:w="8160" w:type="dxa"/>
            <w:vAlign w:val="bottom"/>
          </w:tcPr>
          <w:p>
            <w:pPr>
              <w:ind w:left="40"/>
              <w:spacing w:after="0"/>
              <w:rPr>
                <w:sz w:val="20"/>
                <w:szCs w:val="20"/>
                <w:color w:val="auto"/>
              </w:rPr>
            </w:pPr>
            <w:r>
              <w:rPr>
                <w:rFonts w:ascii="Arial" w:cs="Arial" w:eastAsia="Arial" w:hAnsi="Arial"/>
                <w:sz w:val="16"/>
                <w:szCs w:val="16"/>
                <w:color w:val="auto"/>
              </w:rPr>
              <w:t>Foreign currency forward contracts designated as cash flow hedge</w:t>
            </w:r>
          </w:p>
        </w:tc>
        <w:tc>
          <w:tcPr>
            <w:tcW w:w="900" w:type="dxa"/>
            <w:vAlign w:val="bottom"/>
          </w:tcPr>
          <w:p>
            <w:pPr>
              <w:jc w:val="right"/>
              <w:ind w:right="70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0"/>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427</w:t>
            </w:r>
          </w:p>
        </w:tc>
      </w:tr>
      <w:tr>
        <w:trPr>
          <w:trHeight w:val="280"/>
        </w:trPr>
        <w:tc>
          <w:tcPr>
            <w:tcW w:w="8160" w:type="dxa"/>
            <w:vAlign w:val="bottom"/>
            <w:shd w:val="clear" w:color="auto" w:fill="BFE4FF"/>
          </w:tcPr>
          <w:p>
            <w:pPr>
              <w:ind w:left="40"/>
              <w:spacing w:after="0"/>
              <w:rPr>
                <w:sz w:val="20"/>
                <w:szCs w:val="20"/>
                <w:color w:val="auto"/>
              </w:rPr>
            </w:pPr>
            <w:r>
              <w:rPr>
                <w:rFonts w:ascii="Arial" w:cs="Arial" w:eastAsia="Arial" w:hAnsi="Arial"/>
                <w:sz w:val="16"/>
                <w:szCs w:val="16"/>
                <w:color w:val="auto"/>
              </w:rPr>
              <w:t>Foreign currency forward contracts not designated as hedging instruments</w:t>
            </w:r>
          </w:p>
        </w:tc>
        <w:tc>
          <w:tcPr>
            <w:tcW w:w="900" w:type="dxa"/>
            <w:vAlign w:val="bottom"/>
            <w:tcBorders>
              <w:bottom w:val="single" w:sz="8" w:color="auto"/>
            </w:tcBorders>
            <w:shd w:val="clear" w:color="auto" w:fill="BFE4FF"/>
          </w:tcPr>
          <w:p>
            <w:pPr>
              <w:spacing w:after="0"/>
              <w:rPr>
                <w:sz w:val="24"/>
                <w:szCs w:val="24"/>
                <w:color w:val="auto"/>
              </w:rPr>
            </w:pPr>
          </w:p>
        </w:tc>
        <w:tc>
          <w:tcPr>
            <w:tcW w:w="560" w:type="dxa"/>
            <w:vAlign w:val="bottom"/>
            <w:tcBorders>
              <w:bottom w:val="single" w:sz="8" w:color="auto"/>
            </w:tcBorders>
            <w:shd w:val="clear" w:color="auto" w:fill="BFE4FF"/>
          </w:tcPr>
          <w:p>
            <w:pPr>
              <w:jc w:val="right"/>
              <w:ind w:right="20"/>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BFE4FF"/>
          </w:tcPr>
          <w:p>
            <w:pPr>
              <w:spacing w:after="0"/>
              <w:rPr>
                <w:sz w:val="24"/>
                <w:szCs w:val="24"/>
                <w:color w:val="auto"/>
              </w:rPr>
            </w:pPr>
          </w:p>
        </w:tc>
        <w:tc>
          <w:tcPr>
            <w:tcW w:w="200" w:type="dxa"/>
            <w:vAlign w:val="bottom"/>
            <w:tcBorders>
              <w:bottom w:val="single" w:sz="8" w:color="auto"/>
            </w:tcBorders>
            <w:shd w:val="clear" w:color="auto" w:fill="BFE4FF"/>
          </w:tcPr>
          <w:p>
            <w:pPr>
              <w:spacing w:after="0"/>
              <w:rPr>
                <w:sz w:val="24"/>
                <w:szCs w:val="24"/>
                <w:color w:val="auto"/>
              </w:rPr>
            </w:pPr>
          </w:p>
        </w:tc>
        <w:tc>
          <w:tcPr>
            <w:tcW w:w="1260" w:type="dxa"/>
            <w:vAlign w:val="bottom"/>
            <w:tcBorders>
              <w:bottom w:val="single" w:sz="8" w:color="auto"/>
            </w:tcBorders>
            <w:shd w:val="clear" w:color="auto" w:fill="BFE4FF"/>
          </w:tcPr>
          <w:p>
            <w:pPr>
              <w:jc w:val="right"/>
              <w:ind w:right="21"/>
              <w:spacing w:after="0"/>
              <w:rPr>
                <w:sz w:val="20"/>
                <w:szCs w:val="20"/>
                <w:color w:val="auto"/>
              </w:rPr>
            </w:pPr>
            <w:r>
              <w:rPr>
                <w:rFonts w:ascii="Arial" w:cs="Arial" w:eastAsia="Arial" w:hAnsi="Arial"/>
                <w:sz w:val="16"/>
                <w:szCs w:val="16"/>
                <w:color w:val="auto"/>
              </w:rPr>
              <w:t>515</w:t>
            </w:r>
          </w:p>
        </w:tc>
      </w:tr>
      <w:tr>
        <w:trPr>
          <w:trHeight w:val="273"/>
        </w:trPr>
        <w:tc>
          <w:tcPr>
            <w:tcW w:w="8160" w:type="dxa"/>
            <w:vAlign w:val="bottom"/>
            <w:tcBorders>
              <w:bottom w:val="single" w:sz="8" w:color="BFE4FF"/>
            </w:tcBorders>
          </w:tcPr>
          <w:p>
            <w:pPr>
              <w:ind w:left="26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1,470</w:t>
            </w:r>
          </w:p>
        </w:tc>
        <w:tc>
          <w:tcPr>
            <w:tcW w:w="100" w:type="dxa"/>
            <w:vAlign w:val="bottom"/>
            <w:tcBorders>
              <w:bottom w:val="single" w:sz="8" w:color="BFE4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942</w:t>
            </w:r>
          </w:p>
        </w:tc>
      </w:tr>
      <w:tr>
        <w:trPr>
          <w:trHeight w:val="253"/>
        </w:trPr>
        <w:tc>
          <w:tcPr>
            <w:tcW w:w="816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Liabilities:</w:t>
            </w:r>
          </w:p>
        </w:tc>
        <w:tc>
          <w:tcPr>
            <w:tcW w:w="900" w:type="dxa"/>
            <w:vAlign w:val="bottom"/>
            <w:shd w:val="clear" w:color="auto" w:fill="BFE4FF"/>
          </w:tcPr>
          <w:p>
            <w:pPr>
              <w:spacing w:after="0"/>
              <w:rPr>
                <w:sz w:val="22"/>
                <w:szCs w:val="22"/>
                <w:color w:val="auto"/>
              </w:rPr>
            </w:pPr>
          </w:p>
        </w:tc>
        <w:tc>
          <w:tcPr>
            <w:tcW w:w="5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1260" w:type="dxa"/>
            <w:vAlign w:val="bottom"/>
            <w:shd w:val="clear" w:color="auto" w:fill="BFE4FF"/>
          </w:tcPr>
          <w:p>
            <w:pPr>
              <w:spacing w:after="0"/>
              <w:rPr>
                <w:sz w:val="22"/>
                <w:szCs w:val="22"/>
                <w:color w:val="auto"/>
              </w:rPr>
            </w:pPr>
          </w:p>
        </w:tc>
      </w:tr>
      <w:tr>
        <w:trPr>
          <w:trHeight w:val="260"/>
        </w:trPr>
        <w:tc>
          <w:tcPr>
            <w:tcW w:w="8160" w:type="dxa"/>
            <w:vAlign w:val="bottom"/>
          </w:tcPr>
          <w:p>
            <w:pPr>
              <w:ind w:left="40"/>
              <w:spacing w:after="0"/>
              <w:rPr>
                <w:sz w:val="20"/>
                <w:szCs w:val="20"/>
                <w:color w:val="auto"/>
              </w:rPr>
            </w:pPr>
            <w:r>
              <w:rPr>
                <w:rFonts w:ascii="Arial" w:cs="Arial" w:eastAsia="Arial" w:hAnsi="Arial"/>
                <w:sz w:val="16"/>
                <w:szCs w:val="16"/>
                <w:color w:val="auto"/>
              </w:rPr>
              <w:t>Foreign currency forward contracts designated as cash flow hedge</w:t>
            </w:r>
          </w:p>
        </w:tc>
        <w:tc>
          <w:tcPr>
            <w:tcW w:w="900" w:type="dxa"/>
            <w:vAlign w:val="bottom"/>
          </w:tcPr>
          <w:p>
            <w:pPr>
              <w:jc w:val="right"/>
              <w:ind w:right="70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(1,059)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80"/>
        </w:trPr>
        <w:tc>
          <w:tcPr>
            <w:tcW w:w="8160" w:type="dxa"/>
            <w:vAlign w:val="bottom"/>
            <w:shd w:val="clear" w:color="auto" w:fill="BFE4FF"/>
          </w:tcPr>
          <w:p>
            <w:pPr>
              <w:ind w:left="40"/>
              <w:spacing w:after="0"/>
              <w:rPr>
                <w:sz w:val="20"/>
                <w:szCs w:val="20"/>
                <w:color w:val="auto"/>
              </w:rPr>
            </w:pPr>
            <w:r>
              <w:rPr>
                <w:rFonts w:ascii="Arial" w:cs="Arial" w:eastAsia="Arial" w:hAnsi="Arial"/>
                <w:sz w:val="16"/>
                <w:szCs w:val="16"/>
                <w:color w:val="auto"/>
              </w:rPr>
              <w:t>Foreign currency forward contracts not designated as hedging instruments</w:t>
            </w:r>
          </w:p>
        </w:tc>
        <w:tc>
          <w:tcPr>
            <w:tcW w:w="900" w:type="dxa"/>
            <w:vAlign w:val="bottom"/>
            <w:tcBorders>
              <w:bottom w:val="single" w:sz="8" w:color="auto"/>
            </w:tcBorders>
            <w:shd w:val="clear" w:color="auto" w:fill="BFE4FF"/>
          </w:tcPr>
          <w:p>
            <w:pPr>
              <w:spacing w:after="0"/>
              <w:rPr>
                <w:sz w:val="24"/>
                <w:szCs w:val="24"/>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BFE4FF"/>
          </w:tcPr>
          <w:p>
            <w:pPr>
              <w:spacing w:after="0"/>
              <w:rPr>
                <w:sz w:val="24"/>
                <w:szCs w:val="24"/>
                <w:color w:val="auto"/>
              </w:rPr>
            </w:pPr>
          </w:p>
        </w:tc>
        <w:tc>
          <w:tcPr>
            <w:tcW w:w="200" w:type="dxa"/>
            <w:vAlign w:val="bottom"/>
            <w:tcBorders>
              <w:bottom w:val="single" w:sz="8" w:color="auto"/>
            </w:tcBorders>
            <w:shd w:val="clear" w:color="auto" w:fill="BFE4FF"/>
          </w:tcPr>
          <w:p>
            <w:pPr>
              <w:spacing w:after="0"/>
              <w:rPr>
                <w:sz w:val="24"/>
                <w:szCs w:val="24"/>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(550)</w:t>
            </w:r>
          </w:p>
        </w:tc>
      </w:tr>
      <w:tr>
        <w:trPr>
          <w:trHeight w:val="233"/>
        </w:trPr>
        <w:tc>
          <w:tcPr>
            <w:tcW w:w="8160" w:type="dxa"/>
            <w:vAlign w:val="bottom"/>
          </w:tcPr>
          <w:p>
            <w:pPr>
              <w:ind w:left="26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(1,339)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r>
      <w:tr>
        <w:trPr>
          <w:trHeight w:val="20"/>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All foreign currency forward contracts were valued at fair value using level 2 inputs.</w:t>
      </w:r>
    </w:p>
    <w:p>
      <w:pPr>
        <w:spacing w:after="0" w:line="117"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231F20"/>
        </w:rPr>
        <w:t>The following summarizes the gains (losses) recognized from forward contracts and other foreign currency transactions in other income (expense), net on the condensed consolidated statement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264"/>
        </w:trPr>
        <w:tc>
          <w:tcPr>
            <w:tcW w:w="8220" w:type="dxa"/>
            <w:vAlign w:val="bottom"/>
          </w:tcPr>
          <w:p>
            <w:pPr>
              <w:spacing w:after="0"/>
              <w:rPr>
                <w:sz w:val="22"/>
                <w:szCs w:val="22"/>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gain from non-designated forward contracts</w:t>
            </w:r>
          </w:p>
        </w:tc>
        <w:tc>
          <w:tcPr>
            <w:tcW w:w="96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loss</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(183)</w:t>
            </w:r>
          </w:p>
        </w:tc>
      </w:tr>
      <w:tr>
        <w:trPr>
          <w:trHeight w:val="250"/>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foreign exchange loss, net</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(160)</w:t>
            </w:r>
          </w:p>
        </w:tc>
      </w:tr>
      <w:tr>
        <w:trPr>
          <w:trHeight w:val="25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expenses</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40"/>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expense, net</w:t>
            </w:r>
          </w:p>
        </w:tc>
        <w:tc>
          <w:tcPr>
            <w:tcW w:w="96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(223)</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Accumulated Other Comprehensive Income (loss)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and changes in accumulated other comprehensive income (loss), net of taxes, for the three months ended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and 2019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 gains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 on AFS</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 on cash</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debt securities</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flow hedges</w:t>
            </w:r>
          </w:p>
        </w:tc>
        <w:tc>
          <w:tcPr>
            <w:tcW w:w="340" w:type="dxa"/>
            <w:vAlign w:val="bottom"/>
          </w:tcPr>
          <w:p>
            <w:pPr>
              <w:spacing w:after="0"/>
              <w:rPr>
                <w:sz w:val="17"/>
                <w:szCs w:val="17"/>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822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1,162</w:t>
            </w:r>
          </w:p>
        </w:tc>
      </w:tr>
      <w:tr>
        <w:trPr>
          <w:trHeight w:val="260"/>
        </w:trPr>
        <w:tc>
          <w:tcPr>
            <w:tcW w:w="6760" w:type="dxa"/>
            <w:vAlign w:val="bottom"/>
          </w:tcPr>
          <w:p>
            <w:pPr>
              <w:ind w:left="280"/>
              <w:spacing w:after="0"/>
              <w:rPr>
                <w:sz w:val="20"/>
                <w:szCs w:val="20"/>
                <w:color w:val="auto"/>
              </w:rPr>
            </w:pPr>
            <w:r>
              <w:rPr>
                <w:rFonts w:ascii="Arial" w:cs="Arial" w:eastAsia="Arial" w:hAnsi="Arial"/>
                <w:sz w:val="16"/>
                <w:szCs w:val="16"/>
                <w:color w:val="auto"/>
              </w:rPr>
              <w:t>Other comprehensive income before reclassification</w:t>
            </w:r>
          </w:p>
        </w:tc>
        <w:tc>
          <w:tcPr>
            <w:tcW w:w="12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667</w:t>
            </w:r>
          </w:p>
        </w:tc>
      </w:tr>
      <w:tr>
        <w:trPr>
          <w:trHeight w:val="273"/>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Reclassification of gains from Other comprehensive income (loss)</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50"/>
        </w:trPr>
        <w:tc>
          <w:tcPr>
            <w:tcW w:w="67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change in unrealized gain, net of tax</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391</w:t>
            </w: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1,553</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1"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 gains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 on AFS</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 on cash</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debt securities</w:t>
            </w: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flow hedges</w:t>
            </w:r>
          </w:p>
        </w:tc>
        <w:tc>
          <w:tcPr>
            <w:tcW w:w="340" w:type="dxa"/>
            <w:vAlign w:val="bottom"/>
          </w:tcPr>
          <w:p>
            <w:pPr>
              <w:spacing w:after="0"/>
              <w:rPr>
                <w:sz w:val="17"/>
                <w:szCs w:val="17"/>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56"/>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60"/>
        </w:trPr>
        <w:tc>
          <w:tcPr>
            <w:tcW w:w="6720" w:type="dxa"/>
            <w:vAlign w:val="bottom"/>
          </w:tcPr>
          <w:p>
            <w:pPr>
              <w:ind w:left="280"/>
              <w:spacing w:after="0"/>
              <w:rPr>
                <w:sz w:val="20"/>
                <w:szCs w:val="20"/>
                <w:color w:val="auto"/>
              </w:rPr>
            </w:pPr>
            <w:r>
              <w:rPr>
                <w:rFonts w:ascii="Arial" w:cs="Arial" w:eastAsia="Arial" w:hAnsi="Arial"/>
                <w:sz w:val="16"/>
                <w:szCs w:val="16"/>
                <w:color w:val="auto"/>
              </w:rPr>
              <w:t>Other comprehensive income before reclassification</w:t>
            </w:r>
          </w:p>
        </w:tc>
        <w:tc>
          <w:tcPr>
            <w:tcW w:w="12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858</w:t>
            </w:r>
          </w:p>
        </w:tc>
      </w:tr>
      <w:tr>
        <w:trPr>
          <w:trHeight w:val="273"/>
        </w:trPr>
        <w:tc>
          <w:tcPr>
            <w:tcW w:w="6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Reclassification of losses from Other comprehensive income (loss)</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r>
      <w:tr>
        <w:trPr>
          <w:trHeight w:val="250"/>
        </w:trPr>
        <w:tc>
          <w:tcPr>
            <w:tcW w:w="67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change in unrealized gain, net of tax</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896</w:t>
            </w: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as of March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310</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finance lease,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4"/>
          </w:tcPr>
          <w:p>
            <w:pPr>
              <w:jc w:val="right"/>
              <w:ind w:right="981"/>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116,810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112,599</w:t>
            </w:r>
          </w:p>
        </w:tc>
      </w:tr>
      <w:tr>
        <w:trPr>
          <w:trHeight w:val="260"/>
        </w:trPr>
        <w:tc>
          <w:tcPr>
            <w:tcW w:w="81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0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26,154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26,137</w:t>
            </w: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6,973</w:t>
            </w:r>
          </w:p>
        </w:tc>
      </w:tr>
      <w:tr>
        <w:trPr>
          <w:trHeight w:val="260"/>
        </w:trPr>
        <w:tc>
          <w:tcPr>
            <w:tcW w:w="8100" w:type="dxa"/>
            <w:vAlign w:val="bottom"/>
          </w:tcPr>
          <w:p>
            <w:pPr>
              <w:ind w:left="40"/>
              <w:spacing w:after="0"/>
              <w:rPr>
                <w:sz w:val="20"/>
                <w:szCs w:val="20"/>
                <w:color w:val="auto"/>
              </w:rPr>
            </w:pPr>
            <w:r>
              <w:rPr>
                <w:rFonts w:ascii="Arial" w:cs="Arial" w:eastAsia="Arial" w:hAnsi="Arial"/>
                <w:sz w:val="16"/>
                <w:szCs w:val="16"/>
                <w:color w:val="auto"/>
              </w:rPr>
              <w:t>Finance leases - right of use asset</w:t>
            </w:r>
          </w:p>
        </w:tc>
        <w:tc>
          <w:tcPr>
            <w:tcW w:w="30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3,503</w:t>
            </w: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16,207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15,864</w:t>
            </w:r>
          </w:p>
        </w:tc>
      </w:tr>
      <w:tr>
        <w:trPr>
          <w:trHeight w:val="26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20,302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18,817</w:t>
            </w:r>
          </w:p>
        </w:tc>
      </w:tr>
      <w:tr>
        <w:trPr>
          <w:trHeight w:val="257"/>
        </w:trPr>
        <w:tc>
          <w:tcPr>
            <w:tcW w:w="8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191,109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183,893</w:t>
            </w:r>
          </w:p>
        </w:tc>
      </w:tr>
      <w:tr>
        <w:trPr>
          <w:trHeight w:val="26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(123,314)</w:t>
            </w:r>
          </w:p>
        </w:tc>
      </w:tr>
      <w:tr>
        <w:trPr>
          <w:trHeight w:val="24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61,665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60,579</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Physical scanner appliances and other computer equipment had a net carrying value of $4.4 million and $4.9 million at </w:t>
      </w:r>
      <w:r>
        <w:rPr>
          <w:rFonts w:ascii="Arial" w:cs="Arial" w:eastAsia="Arial" w:hAnsi="Arial"/>
          <w:sz w:val="18"/>
          <w:szCs w:val="18"/>
          <w:color w:val="000000"/>
        </w:rPr>
        <w:t>March 31, 2020</w:t>
      </w:r>
      <w:r>
        <w:rPr>
          <w:rFonts w:ascii="Arial" w:cs="Arial" w:eastAsia="Arial" w:hAnsi="Arial"/>
          <w:sz w:val="18"/>
          <w:szCs w:val="18"/>
          <w:color w:val="231F20"/>
        </w:rPr>
        <w:t xml:space="preserve"> and December 31, 2019, respectively, including assets that had not been placed in service of $ 0.8 million and $0.9 million, respectively. Depreciation and amortization expense relating to property and equipment, including assets under finance leases, was $6.1 million and $6.4 million for the </w:t>
      </w:r>
      <w:r>
        <w:rPr>
          <w:rFonts w:ascii="Arial" w:cs="Arial" w:eastAsia="Arial" w:hAnsi="Arial"/>
          <w:sz w:val="18"/>
          <w:szCs w:val="18"/>
          <w:color w:val="000000"/>
        </w:rPr>
        <w:t>three months ended March 31, 2020</w:t>
      </w:r>
      <w:r>
        <w:rPr>
          <w:rFonts w:ascii="Arial" w:cs="Arial" w:eastAsia="Arial" w:hAnsi="Arial"/>
          <w:sz w:val="18"/>
          <w:szCs w:val="18"/>
          <w:color w:val="231F20"/>
        </w:rPr>
        <w:t xml:space="preserve">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color w:val="231F20"/>
        </w:rPr>
        <w:t>Revenue from Contracts with Customers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subscription contracts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As the vast majority of the Company’s offerings are subscription based, the Company rarely needs to allocate the transaction price to separate performance obligations. In the rare case that allocation of the transaction price is needed,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 For contracts that include leased scanners and PCPs, the Company applies the lease and non-lease component practical expedient under ASC 842 to account for non-lease components and lease components as combined components under the revenue recognition guidance in ASU 2014-09, "Revenue from Contracts with Customers" (Topic 606) as the subscriptions are the predominant components in the arrangements.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1"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Costs of shipping and handling charges associated with physical scanner appliances and other computer equipment are included in cost of revenues. Sales taxes and other taxes collected from customers to be remitted to government authorities are excluded from revenues.</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12529"/>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Capitalized costs to obtain contracts, current and noncurrent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Commission asset,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2,789</w:t>
            </w: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2,568</w:t>
            </w:r>
          </w:p>
        </w:tc>
      </w:tr>
      <w:tr>
        <w:trPr>
          <w:trHeight w:val="250"/>
        </w:trPr>
        <w:tc>
          <w:tcPr>
            <w:tcW w:w="8220" w:type="dxa"/>
            <w:vAlign w:val="bottom"/>
          </w:tcPr>
          <w:p>
            <w:pPr>
              <w:ind w:left="40"/>
              <w:spacing w:after="0"/>
              <w:rPr>
                <w:sz w:val="20"/>
                <w:szCs w:val="20"/>
                <w:color w:val="auto"/>
              </w:rPr>
            </w:pPr>
            <w:r>
              <w:rPr>
                <w:rFonts w:ascii="Arial" w:cs="Arial" w:eastAsia="Arial" w:hAnsi="Arial"/>
                <w:sz w:val="16"/>
                <w:szCs w:val="16"/>
                <w:color w:val="auto"/>
              </w:rPr>
              <w:t>Commission asset, noncurrent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6,629</w:t>
            </w:r>
          </w:p>
        </w:tc>
        <w:tc>
          <w:tcPr>
            <w:tcW w:w="100" w:type="dxa"/>
            <w:vAlign w:val="bottom"/>
          </w:tcPr>
          <w:p>
            <w:pPr>
              <w:spacing w:after="0"/>
              <w:rPr>
                <w:sz w:val="21"/>
                <w:szCs w:val="21"/>
                <w:color w:val="auto"/>
              </w:rPr>
            </w:pPr>
          </w:p>
        </w:tc>
        <w:tc>
          <w:tcPr>
            <w:tcW w:w="5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6,454</w:t>
            </w:r>
          </w:p>
        </w:tc>
      </w:tr>
    </w:tbl>
    <w:p>
      <w:pPr>
        <w:spacing w:after="0" w:line="200" w:lineRule="exact"/>
        <w:rPr>
          <w:sz w:val="20"/>
          <w:szCs w:val="20"/>
          <w:color w:val="auto"/>
        </w:rPr>
      </w:pPr>
    </w:p>
    <w:p>
      <w:pPr>
        <w:spacing w:after="0" w:line="25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three months ended March 31, 2020 and 2019, the Company recognized $0.7 million and $0.4 million, respectively, of commission expense from amortization of its commission assets. During the same periods, there was no impairment loss related to capitalized costs.</w:t>
      </w:r>
    </w:p>
    <w:p>
      <w:pPr>
        <w:spacing w:after="0" w:line="12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 of $ 73.8 million and $64.2 million was recognized during the three months ended March 31, 2020 and 2019, respectively, which amounts were included in the deferred revenue balances as of December 31, 2019 and 2018, respectively.</w:t>
      </w:r>
    </w:p>
    <w:p>
      <w:pPr>
        <w:spacing w:after="0" w:line="20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For certain products or services and customer types, the Company requires payment before the products or services are delivered to the customer.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March 31, 2020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 Expected</w:t>
            </w:r>
          </w:p>
        </w:tc>
      </w:tr>
      <w:tr>
        <w:trPr>
          <w:trHeight w:val="196"/>
        </w:trPr>
        <w:tc>
          <w:tcPr>
            <w:tcW w:w="9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Revenue</w:t>
            </w:r>
          </w:p>
        </w:tc>
      </w:tr>
      <w:tr>
        <w:trPr>
          <w:trHeight w:val="243"/>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 (remaining nine months)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61,692</w:t>
            </w:r>
          </w:p>
        </w:tc>
      </w:tr>
      <w:tr>
        <w:trPr>
          <w:trHeight w:val="233"/>
        </w:trPr>
        <w:tc>
          <w:tcPr>
            <w:tcW w:w="956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48,049</w:t>
            </w:r>
          </w:p>
        </w:tc>
      </w:tr>
      <w:tr>
        <w:trPr>
          <w:trHeight w:val="253"/>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22,146</w:t>
            </w:r>
          </w:p>
        </w:tc>
      </w:tr>
      <w:tr>
        <w:trPr>
          <w:trHeight w:val="233"/>
        </w:trPr>
        <w:tc>
          <w:tcPr>
            <w:tcW w:w="9560" w:type="dxa"/>
            <w:vAlign w:val="bottom"/>
          </w:tcPr>
          <w:p>
            <w:pPr>
              <w:ind w:left="4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3,286</w:t>
            </w:r>
          </w:p>
        </w:tc>
      </w:tr>
      <w:tr>
        <w:trPr>
          <w:trHeight w:val="253"/>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456</w:t>
            </w:r>
          </w:p>
        </w:tc>
      </w:tr>
      <w:tr>
        <w:trPr>
          <w:trHeight w:val="236"/>
        </w:trPr>
        <w:tc>
          <w:tcPr>
            <w:tcW w:w="9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2025 and thereafter</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151</w:t>
            </w:r>
          </w:p>
        </w:tc>
      </w:tr>
      <w:tr>
        <w:trPr>
          <w:trHeight w:val="24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135,780</w:t>
            </w:r>
          </w:p>
        </w:tc>
      </w:tr>
      <w:tr>
        <w:trPr>
          <w:trHeight w:val="20"/>
        </w:trPr>
        <w:tc>
          <w:tcPr>
            <w:tcW w:w="9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and the amounts that will be invoiced and recognized as revenues in future periods from open contracts.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9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by sales channel are as follows (in thousands):</w:t>
      </w:r>
    </w:p>
    <w:p>
      <w:pPr>
        <w:spacing w:after="0" w:line="21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46"/>
        </w:trPr>
        <w:tc>
          <w:tcPr>
            <w:tcW w:w="8220" w:type="dxa"/>
            <w:vAlign w:val="bottom"/>
          </w:tcPr>
          <w:p>
            <w:pPr>
              <w:ind w:left="40"/>
              <w:spacing w:after="0"/>
              <w:rPr>
                <w:sz w:val="20"/>
                <w:szCs w:val="20"/>
                <w:color w:val="auto"/>
              </w:rPr>
            </w:pPr>
            <w:r>
              <w:rPr>
                <w:rFonts w:ascii="Arial" w:cs="Arial" w:eastAsia="Arial" w:hAnsi="Arial"/>
                <w:sz w:val="16"/>
                <w:szCs w:val="16"/>
                <w:color w:val="auto"/>
              </w:rPr>
              <w:t>Direct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50,005</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43,039</w:t>
            </w:r>
          </w:p>
        </w:tc>
      </w:tr>
      <w:tr>
        <w:trPr>
          <w:trHeight w:val="27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Partner</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36,258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32,304</w:t>
            </w:r>
          </w:p>
        </w:tc>
      </w:tr>
      <w:tr>
        <w:trPr>
          <w:trHeight w:val="240"/>
        </w:trPr>
        <w:tc>
          <w:tcPr>
            <w:tcW w:w="822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86,263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75,343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Business Combination</w:t>
      </w:r>
    </w:p>
    <w:p>
      <w:pPr>
        <w:spacing w:after="0" w:line="35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On January 10, 2019, the Company acquired the assets of Adya, Inc. ("Adya"), an India-based company. The acquisition included a cloud application management platform, which enables security and compliance audits of SaaS applications.</w:t>
      </w:r>
    </w:p>
    <w:p>
      <w:pPr>
        <w:spacing w:after="0" w:line="9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Total purchase consideration was $1.0 million, including $0.2 million of deferred consideration due eighteen months from the closing date of the acquisition, subject to potential adjustment from possible indemnity claims. Pro forma financial information for this acquisition has not been presented because it is not material to the Company's condensed consolidated financial statements.</w:t>
      </w:r>
    </w:p>
    <w:p>
      <w:pPr>
        <w:spacing w:after="0" w:line="94"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Company accounted for this transaction as a business combination and allocated $0.9 million of the purchase price to technology-based intangible assets and $0.1 million to goodwill. The acquired intangible assets relating to Adya's developed technology are being amortized over the estimated useful lives of approximately four years. Goodwill arising from the Adya acquisition is deductible for tax purposes over 15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Intangible Assets, Net</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231F20"/>
        </w:rPr>
        <w:t>Intangible assets consist primarily of developed technology and patent licenses from business combinations. Acquired intangibles are amortized on a straight-line basis over the respective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20" w:type="dxa"/>
            <w:vAlign w:val="bottom"/>
          </w:tcPr>
          <w:p>
            <w:pPr>
              <w:jc w:val="right"/>
              <w:ind w:right="81"/>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56"/>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4.6</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26,356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14,795</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15,235</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060" w:type="dxa"/>
            <w:vAlign w:val="bottom"/>
            <w:tcBorders>
              <w:bottom w:val="single" w:sz="8" w:color="CCEEFF"/>
            </w:tcBorders>
            <w:vMerge w:val="continue"/>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15,275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20" w:type="dxa"/>
            <w:vAlign w:val="bottom"/>
          </w:tcPr>
          <w:p>
            <w:pPr>
              <w:jc w:val="right"/>
              <w:ind w:right="81"/>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56"/>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4.6</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26,356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16,290</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16,755</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vMerge w:val="restart"/>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060" w:type="dxa"/>
            <w:vAlign w:val="bottom"/>
            <w:tcBorders>
              <w:bottom w:val="single" w:sz="8" w:color="CCEEFF"/>
            </w:tcBorders>
            <w:vMerge w:val="continue"/>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16,795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Intangible asset amortization expense was $1.5 million for each of the </w:t>
      </w:r>
      <w:r>
        <w:rPr>
          <w:rFonts w:ascii="Arial" w:cs="Arial" w:eastAsia="Arial" w:hAnsi="Arial"/>
          <w:sz w:val="18"/>
          <w:szCs w:val="18"/>
          <w:color w:val="000000"/>
        </w:rPr>
        <w:t>three months ended March 31, 2020</w:t>
      </w:r>
      <w:r>
        <w:rPr>
          <w:rFonts w:ascii="Arial" w:cs="Arial" w:eastAsia="Arial" w:hAnsi="Arial"/>
          <w:sz w:val="18"/>
          <w:szCs w:val="18"/>
          <w:color w:val="231F20"/>
        </w:rPr>
        <w:t xml:space="preserve"> and </w:t>
      </w:r>
      <w:r>
        <w:rPr>
          <w:rFonts w:ascii="Arial" w:cs="Arial" w:eastAsia="Arial" w:hAnsi="Arial"/>
          <w:sz w:val="18"/>
          <w:szCs w:val="18"/>
          <w:color w:val="000000"/>
        </w:rPr>
        <w:t>2019</w:t>
      </w:r>
      <w:r>
        <w:rPr>
          <w:rFonts w:ascii="Arial" w:cs="Arial" w:eastAsia="Arial" w:hAnsi="Arial"/>
          <w:sz w:val="18"/>
          <w:szCs w:val="18"/>
          <w:color w:val="231F20"/>
        </w:rPr>
        <w:t>.</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the Company expects amortization expense in future periods to be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61"/>
              <w:spacing w:after="0"/>
              <w:rPr>
                <w:sz w:val="20"/>
                <w:szCs w:val="20"/>
                <w:color w:val="auto"/>
              </w:rPr>
            </w:pPr>
            <w:r>
              <w:rPr>
                <w:rFonts w:ascii="Arial" w:cs="Arial" w:eastAsia="Arial" w:hAnsi="Arial"/>
                <w:sz w:val="14"/>
                <w:szCs w:val="14"/>
                <w:b w:val="1"/>
                <w:bCs w:val="1"/>
                <w:color w:val="auto"/>
              </w:rPr>
              <w:t>Amortization</w:t>
            </w:r>
          </w:p>
        </w:tc>
      </w:tr>
      <w:tr>
        <w:trPr>
          <w:trHeight w:val="196"/>
        </w:trPr>
        <w:tc>
          <w:tcPr>
            <w:tcW w:w="9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Expense</w:t>
            </w:r>
          </w:p>
        </w:tc>
      </w:tr>
      <w:tr>
        <w:trPr>
          <w:trHeight w:val="243"/>
        </w:trPr>
        <w:tc>
          <w:tcPr>
            <w:tcW w:w="9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 (remaining nine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4,561</w:t>
            </w:r>
          </w:p>
        </w:tc>
      </w:tr>
      <w:tr>
        <w:trPr>
          <w:trHeight w:val="233"/>
        </w:trPr>
        <w:tc>
          <w:tcPr>
            <w:tcW w:w="9880" w:type="dxa"/>
            <w:vAlign w:val="bottom"/>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6,081</w:t>
            </w:r>
          </w:p>
        </w:tc>
      </w:tr>
      <w:tr>
        <w:trPr>
          <w:trHeight w:val="253"/>
        </w:trPr>
        <w:tc>
          <w:tcPr>
            <w:tcW w:w="9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4,427</w:t>
            </w:r>
          </w:p>
        </w:tc>
      </w:tr>
      <w:tr>
        <w:trPr>
          <w:trHeight w:val="233"/>
        </w:trPr>
        <w:tc>
          <w:tcPr>
            <w:tcW w:w="9880" w:type="dxa"/>
            <w:vAlign w:val="bottom"/>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246"/>
        </w:trPr>
        <w:tc>
          <w:tcPr>
            <w:tcW w:w="9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r>
      <w:tr>
        <w:trPr>
          <w:trHeight w:val="240"/>
        </w:trPr>
        <w:tc>
          <w:tcPr>
            <w:tcW w:w="9880" w:type="dxa"/>
            <w:vAlign w:val="bottom"/>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15,235</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Leases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January 1, 2019, the Company adopted ASU No. 2016-02, “Leases (Topic 842),” which requires leases with durations greater than twelve months to be recognized on the balance sheet. We adopted the standard using the current period adjustment method with an effective date of January 1, 2019. Prior year financial statements were not restated under the new standard and, therefore, those amounts are not presented below. For both operating and finance leases, we recognize a right-of-use asset, which represents our right to use the underlying asset for the lease term, and a lease liability, which represents the present value of our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Where the Company is the lessee, the Company elected to account for non-lease components associated with its leases (e.g., common area maintenance costs) and lease components separately for substantially all of its asset classes. In arrangements where the Company is the lessor, the Company elected to apply the practical expedient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1" w:right="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which allows the Company to account for lease components (e.g., customer premise equipment) and non-lease components (e.g., service revenue) as combined components under the revenue recognition guidance in Topic 606 as service revenues are the predominant components in the arrangements.</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over the term. Many of its leases include rental escalation clauses, renewal options and/or termination options that are factored into our determination of lease payments when appropriate.</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the leases do not provide a readily determinable implicit rate. Therefore, the Company must estimate an incremental borrowing rate to discount the lease payments based on information available at lease commencement.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32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5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Classification on the Balance Sheet</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60"/>
        </w:trPr>
        <w:tc>
          <w:tcPr>
            <w:tcW w:w="25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5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 right of use asset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38,760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40,551</w:t>
            </w:r>
          </w:p>
        </w:tc>
      </w:tr>
      <w:tr>
        <w:trPr>
          <w:trHeight w:val="263"/>
        </w:trPr>
        <w:tc>
          <w:tcPr>
            <w:tcW w:w="2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assets</w:t>
            </w:r>
          </w:p>
        </w:tc>
        <w:tc>
          <w:tcPr>
            <w:tcW w:w="55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1,007</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1,299</w:t>
            </w:r>
          </w:p>
        </w:tc>
      </w:tr>
      <w:tr>
        <w:trPr>
          <w:trHeight w:val="267"/>
        </w:trPr>
        <w:tc>
          <w:tcPr>
            <w:tcW w:w="2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assets</w:t>
            </w:r>
          </w:p>
        </w:tc>
        <w:tc>
          <w:tcPr>
            <w:tcW w:w="5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39,767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41,850</w:t>
            </w:r>
          </w:p>
        </w:tc>
      </w:tr>
      <w:tr>
        <w:trPr>
          <w:trHeight w:val="20"/>
        </w:trPr>
        <w:tc>
          <w:tcPr>
            <w:tcW w:w="25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3"/>
        </w:trPr>
        <w:tc>
          <w:tcPr>
            <w:tcW w:w="250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55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500" w:type="dxa"/>
            <w:vAlign w:val="bottom"/>
          </w:tcPr>
          <w:p>
            <w:pPr>
              <w:ind w:left="40"/>
              <w:spacing w:after="0"/>
              <w:rPr>
                <w:sz w:val="20"/>
                <w:szCs w:val="20"/>
                <w:color w:val="auto"/>
              </w:rPr>
            </w:pPr>
            <w:r>
              <w:rPr>
                <w:rFonts w:ascii="Arial" w:cs="Arial" w:eastAsia="Arial" w:hAnsi="Arial"/>
                <w:sz w:val="16"/>
                <w:szCs w:val="16"/>
                <w:color w:val="auto"/>
              </w:rPr>
              <w:t>Current</w:t>
            </w:r>
          </w:p>
        </w:tc>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5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liabilities, current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7,968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7,663</w:t>
            </w:r>
          </w:p>
        </w:tc>
      </w:tr>
      <w:tr>
        <w:trPr>
          <w:trHeight w:val="260"/>
        </w:trPr>
        <w:tc>
          <w:tcPr>
            <w:tcW w:w="2500" w:type="dxa"/>
            <w:vAlign w:val="bottom"/>
          </w:tcPr>
          <w:p>
            <w:pPr>
              <w:ind w:left="180"/>
              <w:spacing w:after="0"/>
              <w:rPr>
                <w:sz w:val="20"/>
                <w:szCs w:val="20"/>
                <w:color w:val="auto"/>
              </w:rPr>
            </w:pPr>
            <w:r>
              <w:rPr>
                <w:rFonts w:ascii="Arial" w:cs="Arial" w:eastAsia="Arial" w:hAnsi="Arial"/>
                <w:sz w:val="16"/>
                <w:szCs w:val="16"/>
                <w:color w:val="auto"/>
              </w:rPr>
              <w:t>Finance</w:t>
            </w:r>
          </w:p>
        </w:tc>
        <w:tc>
          <w:tcPr>
            <w:tcW w:w="5520" w:type="dxa"/>
            <w:vAlign w:val="bottom"/>
          </w:tcPr>
          <w:p>
            <w:pPr>
              <w:ind w:left="66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124</w:t>
            </w:r>
          </w:p>
        </w:tc>
      </w:tr>
      <w:tr>
        <w:trPr>
          <w:trHeight w:val="280"/>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5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250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5520" w:type="dxa"/>
            <w:vAlign w:val="bottom"/>
          </w:tcPr>
          <w:p>
            <w:pPr>
              <w:ind w:left="66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41,486</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44,015</w:t>
            </w:r>
          </w:p>
        </w:tc>
      </w:tr>
      <w:tr>
        <w:trPr>
          <w:trHeight w:val="273"/>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5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w:t>
            </w:r>
          </w:p>
        </w:tc>
      </w:tr>
      <w:tr>
        <w:trPr>
          <w:trHeight w:val="267"/>
        </w:trPr>
        <w:tc>
          <w:tcPr>
            <w:tcW w:w="250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5520" w:type="dxa"/>
            <w:vAlign w:val="bottom"/>
          </w:tcPr>
          <w:p>
            <w:pPr>
              <w:spacing w:after="0"/>
              <w:rPr>
                <w:sz w:val="23"/>
                <w:szCs w:val="23"/>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49,602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51,856</w:t>
            </w:r>
          </w:p>
        </w:tc>
      </w:tr>
      <w:tr>
        <w:trPr>
          <w:trHeight w:val="20"/>
        </w:trPr>
        <w:tc>
          <w:tcPr>
            <w:tcW w:w="25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 leases certain offices, computer equipment and its data center facilities under non-cancelable operating leases for varying periods through 2028. </w:t>
      </w:r>
      <w:r>
        <w:rPr>
          <w:rFonts w:ascii="Arial" w:cs="Arial" w:eastAsia="Arial" w:hAnsi="Arial"/>
          <w:sz w:val="18"/>
          <w:szCs w:val="18"/>
          <w:color w:val="000000"/>
        </w:rPr>
        <w:t>Lease expense was $4.4 million and $3.0 million for the three months ended March 31, 2020 and 2019,</w:t>
      </w:r>
      <w:r>
        <w:rPr>
          <w:rFonts w:ascii="Arial" w:cs="Arial" w:eastAsia="Arial" w:hAnsi="Arial"/>
          <w:sz w:val="18"/>
          <w:szCs w:val="18"/>
          <w:color w:val="231F20"/>
        </w:rPr>
        <w:t xml:space="preserve"> </w:t>
      </w:r>
      <w:r>
        <w:rPr>
          <w:rFonts w:ascii="Arial" w:cs="Arial" w:eastAsia="Arial" w:hAnsi="Arial"/>
          <w:sz w:val="18"/>
          <w:szCs w:val="18"/>
          <w:color w:val="000000"/>
        </w:rPr>
        <w:t>respectively.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32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26035</wp:posOffset>
            </wp:positionV>
            <wp:extent cx="1346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26035</wp:posOffset>
            </wp:positionV>
            <wp:extent cx="708914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80340"/>
                    </a:xfrm>
                    <a:prstGeom prst="rect">
                      <a:avLst/>
                    </a:prstGeom>
                    <a:noFill/>
                  </pic:spPr>
                </pic:pic>
              </a:graphicData>
            </a:graphic>
          </wp:anchor>
        </w:drawing>
      </w:r>
    </w:p>
    <w:p>
      <w:pPr>
        <w:spacing w:after="0" w:line="7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p>
      <w:pPr>
        <w:spacing w:after="0" w:line="79" w:lineRule="exact"/>
        <w:rPr>
          <w:sz w:val="20"/>
          <w:szCs w:val="20"/>
          <w:color w:val="auto"/>
        </w:rPr>
      </w:pPr>
    </w:p>
    <w:p>
      <w:pPr>
        <w:ind w:left="200"/>
        <w:spacing w:after="0"/>
        <w:tabs>
          <w:tab w:leader="none" w:pos="9100" w:val="left"/>
          <w:tab w:leader="none" w:pos="10680" w:val="left"/>
        </w:tabs>
        <w:rPr>
          <w:sz w:val="20"/>
          <w:szCs w:val="20"/>
          <w:color w:val="auto"/>
        </w:rPr>
      </w:pPr>
      <w:r>
        <w:rPr>
          <w:rFonts w:ascii="Arial" w:cs="Arial" w:eastAsia="Arial" w:hAnsi="Arial"/>
          <w:sz w:val="16"/>
          <w:szCs w:val="16"/>
          <w:color w:val="auto"/>
        </w:rPr>
        <w:t>Operating cash flows from operating leases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19050</wp:posOffset>
            </wp:positionV>
            <wp:extent cx="70891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Lease liabilities arising from obtaining right-of-use assets:</w:t>
      </w:r>
    </w:p>
    <w:p>
      <w:pPr>
        <w:spacing w:after="0" w:line="79" w:lineRule="exact"/>
        <w:rPr>
          <w:sz w:val="20"/>
          <w:szCs w:val="20"/>
          <w:color w:val="auto"/>
        </w:rPr>
      </w:pPr>
    </w:p>
    <w:p>
      <w:pPr>
        <w:ind w:left="200"/>
        <w:spacing w:after="0"/>
        <w:tabs>
          <w:tab w:leader="none" w:pos="9100" w:val="left"/>
          <w:tab w:leader="none" w:pos="10800" w:val="left"/>
        </w:tabs>
        <w:rPr>
          <w:sz w:val="20"/>
          <w:szCs w:val="20"/>
          <w:color w:val="auto"/>
        </w:rPr>
      </w:pPr>
      <w:r>
        <w:rPr>
          <w:rFonts w:ascii="Arial" w:cs="Arial" w:eastAsia="Arial" w:hAnsi="Arial"/>
          <w:sz w:val="16"/>
          <w:szCs w:val="16"/>
          <w:color w:val="auto"/>
        </w:rPr>
        <w:t>Operating leases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562</w:t>
      </w: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and financing cash flows from finance leases were immaterial during the three months ended March 31, 2020.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remaining lease term and the weighted average discount rate of the Company's leases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6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March 31, 2020</w:t>
            </w:r>
          </w:p>
        </w:tc>
      </w:tr>
      <w:tr>
        <w:trPr>
          <w:trHeight w:val="270"/>
        </w:trPr>
        <w:tc>
          <w:tcPr>
            <w:tcW w:w="9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remaining lease term (years)</w:t>
            </w:r>
          </w:p>
        </w:tc>
        <w:tc>
          <w:tcPr>
            <w:tcW w:w="2180" w:type="dxa"/>
            <w:vAlign w:val="bottom"/>
            <w:shd w:val="clear" w:color="auto" w:fill="CCEEFF"/>
          </w:tcPr>
          <w:p>
            <w:pPr>
              <w:spacing w:after="0"/>
              <w:rPr>
                <w:sz w:val="23"/>
                <w:szCs w:val="23"/>
                <w:color w:val="auto"/>
              </w:rPr>
            </w:pPr>
          </w:p>
        </w:tc>
      </w:tr>
      <w:tr>
        <w:trPr>
          <w:trHeight w:val="233"/>
        </w:trPr>
        <w:tc>
          <w:tcPr>
            <w:tcW w:w="906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180" w:type="dxa"/>
            <w:vAlign w:val="bottom"/>
          </w:tcPr>
          <w:p>
            <w:pPr>
              <w:ind w:left="1780"/>
              <w:spacing w:after="0"/>
              <w:rPr>
                <w:sz w:val="20"/>
                <w:szCs w:val="20"/>
                <w:color w:val="auto"/>
              </w:rPr>
            </w:pPr>
            <w:r>
              <w:rPr>
                <w:rFonts w:ascii="Arial" w:cs="Arial" w:eastAsia="Arial" w:hAnsi="Arial"/>
                <w:sz w:val="16"/>
                <w:szCs w:val="16"/>
                <w:color w:val="auto"/>
              </w:rPr>
              <w:t>6.3</w:t>
            </w:r>
          </w:p>
        </w:tc>
      </w:tr>
      <w:tr>
        <w:trPr>
          <w:trHeight w:val="253"/>
        </w:trPr>
        <w:tc>
          <w:tcPr>
            <w:tcW w:w="9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18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0.8</w:t>
            </w:r>
          </w:p>
        </w:tc>
      </w:tr>
      <w:tr>
        <w:trPr>
          <w:trHeight w:val="260"/>
        </w:trPr>
        <w:tc>
          <w:tcPr>
            <w:tcW w:w="9060" w:type="dxa"/>
            <w:vAlign w:val="bottom"/>
          </w:tcPr>
          <w:p>
            <w:pPr>
              <w:ind w:left="40"/>
              <w:spacing w:after="0"/>
              <w:rPr>
                <w:sz w:val="20"/>
                <w:szCs w:val="20"/>
                <w:color w:val="auto"/>
              </w:rPr>
            </w:pPr>
            <w:r>
              <w:rPr>
                <w:rFonts w:ascii="Arial" w:cs="Arial" w:eastAsia="Arial" w:hAnsi="Arial"/>
                <w:sz w:val="16"/>
                <w:szCs w:val="16"/>
                <w:b w:val="1"/>
                <w:bCs w:val="1"/>
                <w:color w:val="auto"/>
              </w:rPr>
              <w:t>Weighted average discount rates</w:t>
            </w:r>
          </w:p>
        </w:tc>
        <w:tc>
          <w:tcPr>
            <w:tcW w:w="2180" w:type="dxa"/>
            <w:vAlign w:val="bottom"/>
          </w:tcPr>
          <w:p>
            <w:pPr>
              <w:spacing w:after="0"/>
              <w:rPr>
                <w:sz w:val="22"/>
                <w:szCs w:val="22"/>
                <w:color w:val="auto"/>
              </w:rPr>
            </w:pPr>
          </w:p>
        </w:tc>
      </w:tr>
      <w:tr>
        <w:trPr>
          <w:trHeight w:val="253"/>
        </w:trPr>
        <w:tc>
          <w:tcPr>
            <w:tcW w:w="9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18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5.0%</w:t>
            </w:r>
          </w:p>
        </w:tc>
      </w:tr>
      <w:tr>
        <w:trPr>
          <w:trHeight w:val="223"/>
        </w:trPr>
        <w:tc>
          <w:tcPr>
            <w:tcW w:w="906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180" w:type="dxa"/>
            <w:vAlign w:val="bottom"/>
          </w:tcPr>
          <w:p>
            <w:pPr>
              <w:ind w:left="1780"/>
              <w:spacing w:after="0"/>
              <w:rPr>
                <w:sz w:val="20"/>
                <w:szCs w:val="20"/>
                <w:color w:val="auto"/>
              </w:rPr>
            </w:pPr>
            <w:r>
              <w:rPr>
                <w:rFonts w:ascii="Arial" w:cs="Arial" w:eastAsia="Arial" w:hAnsi="Arial"/>
                <w:sz w:val="16"/>
                <w:szCs w:val="16"/>
                <w:color w:val="auto"/>
              </w:rPr>
              <w:t>5.0%</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Commitments and Contingencies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9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10.Stockholders' Equity and Stock-based Compensation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2012 Equity Incentive Plan</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15.7 million shares of common stock as of March 31, 2020. Options may be granted with an exercise price that is at least equal to the fair market value of the Company's stock at the date of grant and are exercisable when vested. As of March 31, 2020, </w:t>
      </w:r>
      <w:r>
        <w:rPr>
          <w:rFonts w:ascii="Arial" w:cs="Arial" w:eastAsia="Arial" w:hAnsi="Arial"/>
          <w:sz w:val="18"/>
          <w:szCs w:val="18"/>
          <w:color w:val="000000"/>
        </w:rPr>
        <w:t>7.2 million</w:t>
      </w:r>
      <w:r>
        <w:rPr>
          <w:rFonts w:ascii="Arial" w:cs="Arial" w:eastAsia="Arial" w:hAnsi="Arial"/>
          <w:sz w:val="18"/>
          <w:szCs w:val="18"/>
          <w:color w:val="231F20"/>
        </w:rPr>
        <w:t xml:space="preserve"> shares were available for grant under the 2012 Plan.</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41"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2000 Equity Incentive Plan</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months ended March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480" w:type="dxa"/>
            <w:vAlign w:val="bottom"/>
            <w:gridSpan w:val="4"/>
          </w:tcPr>
          <w:p>
            <w:pPr>
              <w:jc w:val="center"/>
              <w:ind w:left="50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r>
      <w:tr>
        <w:trPr>
          <w:trHeight w:val="276"/>
        </w:trPr>
        <w:tc>
          <w:tcPr>
            <w:tcW w:w="8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28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24"/>
                <w:szCs w:val="24"/>
                <w:color w:val="auto"/>
              </w:rPr>
            </w:pPr>
          </w:p>
        </w:tc>
      </w:tr>
      <w:tr>
        <w:trPr>
          <w:trHeight w:val="264"/>
        </w:trPr>
        <w:tc>
          <w:tcPr>
            <w:tcW w:w="82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6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21"/>
                <w:szCs w:val="2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w w:val="99"/>
              </w:rPr>
              <w:t>3,437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2,340</w:t>
            </w: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9"/>
              </w:rPr>
              <w:t>1,560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9"/>
              </w:rPr>
              <w:t>4,386</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4,492</w:t>
            </w:r>
          </w:p>
        </w:tc>
      </w:tr>
      <w:tr>
        <w:trPr>
          <w:trHeight w:val="24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2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99"/>
              </w:rPr>
              <w:t>9,997</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8,445</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xml:space="preserve">, the Company had $14.9 million of total unrecognized stock-based compensation cost related to unvested options which was expected to be recognized over a weighted-average period of 2.2 years, and $60.5 million </w:t>
      </w:r>
      <w:r>
        <w:rPr>
          <w:rFonts w:ascii="Arial" w:cs="Arial" w:eastAsia="Arial" w:hAnsi="Arial"/>
          <w:sz w:val="18"/>
          <w:szCs w:val="18"/>
          <w:color w:val="000000"/>
        </w:rPr>
        <w:t>of unrecognized stock-based</w:t>
      </w:r>
      <w:r>
        <w:rPr>
          <w:rFonts w:ascii="Arial" w:cs="Arial" w:eastAsia="Arial" w:hAnsi="Arial"/>
          <w:sz w:val="18"/>
          <w:szCs w:val="18"/>
          <w:color w:val="231F20"/>
        </w:rPr>
        <w:t xml:space="preserve"> </w:t>
      </w:r>
      <w:r>
        <w:rPr>
          <w:rFonts w:ascii="Arial" w:cs="Arial" w:eastAsia="Arial" w:hAnsi="Arial"/>
          <w:sz w:val="18"/>
          <w:szCs w:val="18"/>
          <w:color w:val="000000"/>
        </w:rPr>
        <w:t xml:space="preserve">compensation cost related to unvested RSUs which was expected to be recognized over a weighted-average period of 2.5 years. </w:t>
      </w:r>
      <w:r>
        <w:rPr>
          <w:rFonts w:ascii="Arial" w:cs="Arial" w:eastAsia="Arial" w:hAnsi="Arial"/>
          <w:sz w:val="18"/>
          <w:szCs w:val="18"/>
          <w:color w:val="231F20"/>
        </w:rPr>
        <w:t>Compensation cost is recognized over the service period. Forfeitures are estimated at the time of grant and revised in subsequent periods, if actual forfeitures differ from those estimates.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460" w:type="dxa"/>
            <w:vAlign w:val="bottom"/>
          </w:tcPr>
          <w:p>
            <w:pPr>
              <w:jc w:val="right"/>
              <w:ind w:right="221"/>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 Life</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 Intrinsic</w:t>
            </w:r>
          </w:p>
        </w:tc>
      </w:tr>
      <w:tr>
        <w:trPr>
          <w:trHeight w:val="196"/>
        </w:trPr>
        <w:tc>
          <w:tcPr>
            <w:tcW w:w="5180" w:type="dxa"/>
            <w:vAlign w:val="bottom"/>
          </w:tcPr>
          <w:p>
            <w:pPr>
              <w:spacing w:after="0"/>
              <w:rPr>
                <w:sz w:val="17"/>
                <w:szCs w:val="17"/>
                <w:color w:val="auto"/>
              </w:rPr>
            </w:pPr>
          </w:p>
        </w:tc>
        <w:tc>
          <w:tcPr>
            <w:tcW w:w="1460" w:type="dxa"/>
            <w:vAlign w:val="bottom"/>
          </w:tcPr>
          <w:p>
            <w:pPr>
              <w:jc w:val="right"/>
              <w:ind w:right="381"/>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7"/>
                <w:szCs w:val="17"/>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b w:val="1"/>
                <w:bCs w:val="1"/>
                <w:color w:val="auto"/>
              </w:rPr>
              <w:t>Value</w:t>
            </w:r>
          </w:p>
        </w:tc>
      </w:tr>
      <w:tr>
        <w:trPr>
          <w:trHeight w:val="263"/>
        </w:trPr>
        <w:tc>
          <w:tcPr>
            <w:tcW w:w="518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2,866,675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125,647</w:t>
            </w:r>
          </w:p>
        </w:tc>
      </w:tr>
      <w:tr>
        <w:trPr>
          <w:trHeight w:val="260"/>
        </w:trPr>
        <w:tc>
          <w:tcPr>
            <w:tcW w:w="518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82,300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88.57</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5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32.51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51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80.57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14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2,784,751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42.11</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126,495</w:t>
            </w:r>
          </w:p>
        </w:tc>
      </w:tr>
      <w:tr>
        <w:trPr>
          <w:trHeight w:val="20"/>
        </w:trPr>
        <w:tc>
          <w:tcPr>
            <w:tcW w:w="5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7"/>
        </w:trPr>
        <w:tc>
          <w:tcPr>
            <w:tcW w:w="5180" w:type="dxa"/>
            <w:vAlign w:val="bottom"/>
          </w:tcPr>
          <w:p>
            <w:pPr>
              <w:ind w:left="40"/>
              <w:spacing w:after="0"/>
              <w:rPr>
                <w:sz w:val="20"/>
                <w:szCs w:val="20"/>
                <w:color w:val="auto"/>
              </w:rPr>
            </w:pPr>
            <w:r>
              <w:rPr>
                <w:rFonts w:ascii="Arial" w:cs="Arial" w:eastAsia="Arial" w:hAnsi="Arial"/>
                <w:sz w:val="16"/>
                <w:szCs w:val="16"/>
                <w:color w:val="auto"/>
              </w:rPr>
              <w:t>Vested and expected to vest - March 31, 2020</w:t>
            </w: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2,620,436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39.53</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125,595</w:t>
            </w:r>
          </w:p>
        </w:tc>
      </w:tr>
      <w:tr>
        <w:trPr>
          <w:trHeight w:val="28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March 31, 2020</w:t>
            </w: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2,073,385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120,221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 summary of the Company’s RSU activity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rPr>
              <w:t>Grant Date Fair</w:t>
            </w:r>
          </w:p>
        </w:tc>
      </w:tr>
      <w:tr>
        <w:trPr>
          <w:trHeight w:val="196"/>
        </w:trPr>
        <w:tc>
          <w:tcPr>
            <w:tcW w:w="8220" w:type="dxa"/>
            <w:vAlign w:val="bottom"/>
          </w:tcPr>
          <w:p>
            <w:pPr>
              <w:spacing w:after="0"/>
              <w:rPr>
                <w:sz w:val="17"/>
                <w:szCs w:val="17"/>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Outstanding RSUs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Value Per Share</w:t>
            </w:r>
          </w:p>
        </w:tc>
      </w:tr>
      <w:tr>
        <w:trPr>
          <w:trHeight w:val="283"/>
        </w:trPr>
        <w:tc>
          <w:tcPr>
            <w:tcW w:w="8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1,214,818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67.99</w:t>
            </w:r>
          </w:p>
        </w:tc>
      </w:tr>
      <w:tr>
        <w:trPr>
          <w:trHeight w:val="260"/>
        </w:trPr>
        <w:tc>
          <w:tcPr>
            <w:tcW w:w="8220" w:type="dxa"/>
            <w:vAlign w:val="bottom"/>
          </w:tcPr>
          <w:p>
            <w:pPr>
              <w:ind w:left="28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64,397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87.34</w:t>
            </w:r>
          </w:p>
        </w:tc>
      </w:tr>
      <w:tr>
        <w:trPr>
          <w:trHeight w:val="280"/>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59.51</w:t>
            </w:r>
          </w:p>
        </w:tc>
      </w:tr>
      <w:tr>
        <w:trPr>
          <w:trHeight w:val="263"/>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(23,348)</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69.61</w:t>
            </w:r>
          </w:p>
        </w:tc>
      </w:tr>
      <w:tr>
        <w:trPr>
          <w:trHeight w:val="24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1,117,607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70.12</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7"/>
        </w:trPr>
        <w:tc>
          <w:tcPr>
            <w:tcW w:w="8220" w:type="dxa"/>
            <w:vAlign w:val="bottom"/>
          </w:tcPr>
          <w:p>
            <w:pPr>
              <w:ind w:left="40"/>
              <w:spacing w:after="0"/>
              <w:rPr>
                <w:sz w:val="20"/>
                <w:szCs w:val="20"/>
                <w:color w:val="auto"/>
              </w:rPr>
            </w:pPr>
            <w:r>
              <w:rPr>
                <w:rFonts w:ascii="Arial" w:cs="Arial" w:eastAsia="Arial" w:hAnsi="Arial"/>
                <w:sz w:val="16"/>
                <w:szCs w:val="16"/>
                <w:color w:val="auto"/>
              </w:rPr>
              <w:t>Outstanding and expected to vest - March 31, 2020</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826,637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68.49</w:t>
            </w:r>
          </w:p>
        </w:tc>
      </w:tr>
    </w:tbl>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Performance-Based Stock Options and Restricted Stock Units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November 2, 2019, the Compensation Committee of the Company's board of directors granted the equity award for 2020, which consisted of time-based RSUs and performance-based non-statutory stock options ("NSOs"), to the Company’s Chairman and Chief Executive Officer, Philippe Courtot. The Compensation Committee,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first portion of the award consists of 48,683 time-based RSUs that will vest in quarterly installments beginning on December 1, 2019, assuming continued service through each applicable vesting date. The second portion of the award consists of 123,856 NSOs that will vest at the end of the performance period based on achievement of goals related to revenue growth and free cash flow per share growth during the three-year period from January 2020 through December 2022, generally conditioned on Mr. Courtot’s continued status as a service provider through the date that performance is certified. If Mr. Courtot’s employment (a) is terminated by reason of death or disability or (b) is terminated by the Company for reasons other than cause within 12 months following a change in control (a “double trigger” termination), then 100% of any unvested portions of the award will vest, with any vesting in connection with change in control terminations conditioned upon the effectiveness of a release of claims in favor of the Company (2019 performance-based NSOs).</w:t>
      </w:r>
    </w:p>
    <w:p>
      <w:pPr>
        <w:spacing w:after="0" w:line="9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December 21, 2018, the Compensation Committee granted the equity award for 2019, which consisted of time-based and performance-based RSUs, to Mr. Courtot. The Compensation Committee,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first portion of the award consists of 56,250 time-based RSUs that will vest in 16 quarterly increments beginning on January 1, 2019, assuming continued service through each applicable vesting date. The second portion of the award consists of 33,089 performance-based RSUs that will vest based on achievement of goals related to revenue growth for a three-year period from January 2019 through December 2021 and adjusted EBITDA margin for the 2021 fiscal year, generally conditioned on Mr. Courtot’s continued status as a service provider through the date that performance is certified. The third portion of the award consists of 33,088 performance -based RSUs that will vest in three increments based on the achievement of goals related to revenue growth and adjusted EBITDA margin for each of the 2019, 2020 and 2021 fiscal years, generally conditioned on Mr. Courtot’s continued status as a service provider through the date that performance is certified for the relevant increment. If Mr. Courtot’s employment (a) is terminated by reason of death or disability or (b) is terminated by the Company for reasons other than cause or good reason within 12 months following a change in control (a “double trigger” termination), then 100% of any unvested portions of the award will vest, with any vesting in connection with change in control terminations conditioned upon the effectiveness of a release of claims in favor of the Company (2018 performance-based RSUs).</w:t>
      </w:r>
    </w:p>
    <w:p>
      <w:pPr>
        <w:spacing w:after="0" w:line="103"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During the three months ended March 31, 2020,14,864 shares, which represent 135% of the target number of 11,030 shares under the 2018 performance-based RSUs, vested as a result of the Company achieving the performance goals for fiscal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During each of the three months ended March 31, 2020 and 2019, stock-based compensation costs of $0.1 million and $0.2 million, respectively, were recognized for the 2019 performance-based NSOs and the 2018 performance-based RSUs.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February 5, 2018, the Company's board of directors authorized a $ 100.0 million two-year share repurchase program, which was announced on February 12, 2018. On October 30, 2018, October 30, 2019 and May 7, 2020, the Company announced that its board of directors had authorized an increase of $100.0 million, $100.0 million and $100.0 million, respectively, to the original share repurchase program authorization,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("Rule 10b5-1"), until April 28, 2022.</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w:t>
      </w:r>
      <w:r>
        <w:rPr>
          <w:rFonts w:ascii="Arial" w:cs="Arial" w:eastAsia="Arial" w:hAnsi="Arial"/>
          <w:sz w:val="18"/>
          <w:szCs w:val="18"/>
          <w:color w:val="212529"/>
        </w:rPr>
        <w:t>capital based on the initial public offering</w:t>
      </w:r>
      <w:r>
        <w:rPr>
          <w:rFonts w:ascii="Arial" w:cs="Arial" w:eastAsia="Arial" w:hAnsi="Arial"/>
          <w:sz w:val="18"/>
          <w:szCs w:val="18"/>
          <w:color w:val="auto"/>
        </w:rPr>
        <w:t xml:space="preserve"> </w:t>
      </w:r>
      <w:r>
        <w:rPr>
          <w:rFonts w:ascii="Arial" w:cs="Arial" w:eastAsia="Arial" w:hAnsi="Arial"/>
          <w:sz w:val="18"/>
          <w:szCs w:val="18"/>
          <w:color w:val="212529"/>
        </w:rPr>
        <w:t>price of the stock, with the remaining excess to retained earnings.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three months ended March 31, 2020, the Company repurchased 346,250 shares of its common stock for approximately $28.9 million. All share repurchases were made using cash resources. As of March 31, 2020, approximately $99.6 million remained available for share repurchases pursuant to the Company's share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782"/>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50"/>
        </w:trPr>
        <w:tc>
          <w:tcPr>
            <w:tcW w:w="8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18,694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13,266</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0"/>
        </w:trPr>
        <w:tc>
          <w:tcPr>
            <w:tcW w:w="822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8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39,112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39,109</w:t>
            </w:r>
          </w:p>
        </w:tc>
      </w:tr>
      <w:tr>
        <w:trPr>
          <w:trHeight w:val="260"/>
        </w:trPr>
        <w:tc>
          <w:tcPr>
            <w:tcW w:w="822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82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1,423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1,970</w:t>
            </w:r>
          </w:p>
        </w:tc>
      </w:tr>
      <w:tr>
        <w:trPr>
          <w:trHeight w:val="264"/>
        </w:trPr>
        <w:tc>
          <w:tcPr>
            <w:tcW w:w="822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467</w:t>
            </w:r>
          </w:p>
        </w:tc>
      </w:tr>
      <w:tr>
        <w:trPr>
          <w:trHeight w:val="256"/>
        </w:trPr>
        <w:tc>
          <w:tcPr>
            <w:tcW w:w="8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40,846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41,546</w:t>
            </w:r>
          </w:p>
        </w:tc>
      </w:tr>
      <w:tr>
        <w:trPr>
          <w:trHeight w:val="254"/>
        </w:trPr>
        <w:tc>
          <w:tcPr>
            <w:tcW w:w="822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3"/>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0.34</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8220" w:type="dxa"/>
            <w:vAlign w:val="bottom"/>
          </w:tcPr>
          <w:p>
            <w:pPr>
              <w:ind w:left="28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0.32</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2080" w:type="dxa"/>
            <w:vAlign w:val="bottom"/>
            <w:tcBorders>
              <w:bottom w:val="single" w:sz="8" w:color="auto"/>
            </w:tcBorders>
            <w:gridSpan w:val="3"/>
          </w:tcPr>
          <w:p>
            <w:pPr>
              <w:jc w:val="center"/>
              <w:ind w:left="884"/>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3"/>
        </w:trPr>
        <w:tc>
          <w:tcPr>
            <w:tcW w:w="8220" w:type="dxa"/>
            <w:vAlign w:val="bottom"/>
          </w:tcPr>
          <w:p>
            <w:pPr>
              <w:spacing w:after="0"/>
              <w:rPr>
                <w:sz w:val="22"/>
                <w:szCs w:val="22"/>
                <w:color w:val="auto"/>
              </w:rPr>
            </w:pPr>
          </w:p>
        </w:tc>
        <w:tc>
          <w:tcPr>
            <w:tcW w:w="14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2080" w:type="dxa"/>
            <w:vAlign w:val="bottom"/>
            <w:gridSpan w:val="3"/>
          </w:tcPr>
          <w:p>
            <w:pPr>
              <w:jc w:val="center"/>
              <w:ind w:left="884"/>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4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343</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w:t>
            </w:r>
          </w:p>
        </w:tc>
      </w:tr>
      <w:tr>
        <w:trPr>
          <w:trHeight w:val="236"/>
        </w:trPr>
        <w:tc>
          <w:tcPr>
            <w:tcW w:w="8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381</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3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and the benefit of U.S. federal income tax credits and foreign-derived intangible income deduction.</w:t>
      </w:r>
    </w:p>
    <w:p>
      <w:pPr>
        <w:spacing w:after="0" w:line="9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recorded an income tax provision of $3.5 million and $2.6 million for the three months ended March 31, 2020 and 2019, respectively, resulting in an effective </w:t>
      </w:r>
      <w:r>
        <w:rPr>
          <w:rFonts w:ascii="Arial" w:cs="Arial" w:eastAsia="Arial" w:hAnsi="Arial"/>
          <w:sz w:val="18"/>
          <w:szCs w:val="18"/>
          <w:color w:val="231F20"/>
        </w:rPr>
        <w:t>tax rate of 15.9% and 16.2%, respectively. The tax provision for the</w:t>
      </w:r>
      <w:r>
        <w:rPr>
          <w:rFonts w:ascii="Arial" w:cs="Arial" w:eastAsia="Arial" w:hAnsi="Arial"/>
          <w:sz w:val="18"/>
          <w:szCs w:val="18"/>
          <w:color w:val="auto"/>
        </w:rPr>
        <w:t xml:space="preserve"> three months ended March 31, 2020 </w:t>
      </w:r>
      <w:r>
        <w:rPr>
          <w:rFonts w:ascii="Arial" w:cs="Arial" w:eastAsia="Arial" w:hAnsi="Arial"/>
          <w:sz w:val="18"/>
          <w:szCs w:val="18"/>
          <w:color w:val="231F20"/>
        </w:rPr>
        <w:t xml:space="preserve">as compared to the tax provision for the three months ended March 31, 2019 </w:t>
      </w:r>
      <w:r>
        <w:rPr>
          <w:rFonts w:ascii="Arial" w:cs="Arial" w:eastAsia="Arial" w:hAnsi="Arial"/>
          <w:sz w:val="18"/>
          <w:szCs w:val="18"/>
          <w:color w:val="000000"/>
        </w:rPr>
        <w:t>changed primarily due to an increase in pre-tax income in the</w:t>
      </w:r>
      <w:r>
        <w:rPr>
          <w:rFonts w:ascii="Arial" w:cs="Arial" w:eastAsia="Arial" w:hAnsi="Arial"/>
          <w:sz w:val="18"/>
          <w:szCs w:val="18"/>
          <w:color w:val="231F20"/>
        </w:rPr>
        <w:t xml:space="preserve"> </w:t>
      </w:r>
      <w:r>
        <w:rPr>
          <w:rFonts w:ascii="Arial" w:cs="Arial" w:eastAsia="Arial" w:hAnsi="Arial"/>
          <w:sz w:val="18"/>
          <w:szCs w:val="18"/>
          <w:color w:val="000000"/>
        </w:rPr>
        <w:t>current period.</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$8.1 million</w:t>
      </w:r>
      <w:r>
        <w:rPr>
          <w:rFonts w:ascii="Arial" w:cs="Arial" w:eastAsia="Arial" w:hAnsi="Arial"/>
          <w:sz w:val="18"/>
          <w:szCs w:val="18"/>
          <w:color w:val="231F20"/>
        </w:rPr>
        <w:t xml:space="preserve">, of which </w:t>
      </w:r>
      <w:r>
        <w:rPr>
          <w:rFonts w:ascii="Arial" w:cs="Arial" w:eastAsia="Arial" w:hAnsi="Arial"/>
          <w:sz w:val="18"/>
          <w:szCs w:val="18"/>
          <w:color w:val="000000"/>
        </w:rPr>
        <w:t>$4.4 million</w:t>
      </w:r>
      <w:r>
        <w:rPr>
          <w:rFonts w:ascii="Arial" w:cs="Arial" w:eastAsia="Arial" w:hAnsi="Arial"/>
          <w:sz w:val="18"/>
          <w:szCs w:val="18"/>
          <w:color w:val="231F20"/>
        </w:rPr>
        <w:t xml:space="preserve">, if recognized, would favorably impact the Company's effective tax rate. As of December 31, 2019, the Company had unrecognized tax benefits of </w:t>
      </w:r>
      <w:r>
        <w:rPr>
          <w:rFonts w:ascii="Arial" w:cs="Arial" w:eastAsia="Arial" w:hAnsi="Arial"/>
          <w:sz w:val="18"/>
          <w:szCs w:val="18"/>
          <w:color w:val="000000"/>
        </w:rPr>
        <w:t>$7.8 million</w:t>
      </w:r>
      <w:r>
        <w:rPr>
          <w:rFonts w:ascii="Arial" w:cs="Arial" w:eastAsia="Arial" w:hAnsi="Arial"/>
          <w:sz w:val="18"/>
          <w:szCs w:val="18"/>
          <w:color w:val="231F20"/>
        </w:rPr>
        <w:t xml:space="preserve">, of which </w:t>
      </w:r>
      <w:r>
        <w:rPr>
          <w:rFonts w:ascii="Arial" w:cs="Arial" w:eastAsia="Arial" w:hAnsi="Arial"/>
          <w:sz w:val="18"/>
          <w:szCs w:val="18"/>
          <w:color w:val="000000"/>
        </w:rPr>
        <w:t>$ 4.2 million</w:t>
      </w:r>
      <w:r>
        <w:rPr>
          <w:rFonts w:ascii="Arial" w:cs="Arial" w:eastAsia="Arial" w:hAnsi="Arial"/>
          <w:sz w:val="18"/>
          <w:szCs w:val="18"/>
          <w:color w:val="231F20"/>
        </w:rPr>
        <w:t>, if recognized, would favorably impact the Company's effective tax rate. The Company does not anticipate a material change in its unrecognized tax benefits in the next 12 months.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 and Information about Geographic Area</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212529"/>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212529"/>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and Chief</w:t>
      </w:r>
      <w:r>
        <w:rPr>
          <w:rFonts w:ascii="Arial" w:cs="Arial" w:eastAsia="Arial" w:hAnsi="Arial"/>
          <w:sz w:val="18"/>
          <w:szCs w:val="18"/>
          <w:color w:val="212529"/>
        </w:rPr>
        <w:t xml:space="preserve"> </w:t>
      </w:r>
      <w:r>
        <w:rPr>
          <w:rFonts w:ascii="Arial" w:cs="Arial" w:eastAsia="Arial" w:hAnsi="Arial"/>
          <w:sz w:val="18"/>
          <w:szCs w:val="18"/>
          <w:color w:val="231F20"/>
        </w:rPr>
        <w:t>Executive Officer, who makes operating decisions, assesses performance and allocates resources on a consolidated basis. The Company’s principal operating and decision-making functions are located in the United States.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Revenue by geographic area, based on the customer's billing address,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center"/>
              <w:ind w:right="22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jc w:val="center"/>
              <w:ind w:left="544"/>
              <w:spacing w:after="0"/>
              <w:rPr>
                <w:sz w:val="20"/>
                <w:szCs w:val="20"/>
                <w:color w:val="auto"/>
              </w:rPr>
            </w:pPr>
            <w:r>
              <w:rPr>
                <w:rFonts w:ascii="Arial" w:cs="Arial" w:eastAsia="Arial" w:hAnsi="Arial"/>
                <w:sz w:val="14"/>
                <w:szCs w:val="14"/>
                <w:b w:val="1"/>
                <w:bCs w:val="1"/>
                <w:color w:val="auto"/>
              </w:rPr>
              <w:t>(in thousands)</w:t>
            </w:r>
          </w:p>
        </w:tc>
        <w:tc>
          <w:tcPr>
            <w:tcW w:w="940" w:type="dxa"/>
            <w:vAlign w:val="bottom"/>
            <w:shd w:val="clear" w:color="auto" w:fill="CCEEFF"/>
          </w:tcPr>
          <w:p>
            <w:pPr>
              <w:spacing w:after="0"/>
              <w:rPr>
                <w:sz w:val="22"/>
                <w:szCs w:val="22"/>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54,963</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48,621</w:t>
            </w:r>
          </w:p>
        </w:tc>
      </w:tr>
      <w:tr>
        <w:trPr>
          <w:trHeight w:val="27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31,300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26,722</w:t>
            </w:r>
          </w:p>
        </w:tc>
      </w:tr>
      <w:tr>
        <w:trPr>
          <w:trHeight w:val="240"/>
        </w:trPr>
        <w:tc>
          <w:tcPr>
            <w:tcW w:w="822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86,263</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75,343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4"/>
          </w:tcPr>
          <w:p>
            <w:pPr>
              <w:jc w:val="right"/>
              <w:ind w:right="922"/>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44,614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46,100</w:t>
            </w: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India</w:t>
            </w:r>
          </w:p>
        </w:tc>
        <w:tc>
          <w:tcPr>
            <w:tcW w:w="260" w:type="dxa"/>
            <w:vAlign w:val="bottom"/>
          </w:tcPr>
          <w:p>
            <w:pPr>
              <w:spacing w:after="0"/>
              <w:rPr>
                <w:sz w:val="22"/>
                <w:szCs w:val="22"/>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11,358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9,221</w:t>
            </w:r>
          </w:p>
        </w:tc>
      </w:tr>
      <w:tr>
        <w:trPr>
          <w:trHeight w:val="27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5,693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5,258</w:t>
            </w:r>
          </w:p>
        </w:tc>
      </w:tr>
      <w:tr>
        <w:trPr>
          <w:trHeight w:val="240"/>
        </w:trPr>
        <w:tc>
          <w:tcPr>
            <w:tcW w:w="822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61,665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60,579</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2019, filed with the Securities and Exchange Commission, or SEC, on February 21, 2020.</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impact of the recent COVID-19 coronavirus pandemic and related public health measures on our business;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1"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8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3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information technology (IT), security and compliance</w:t>
      </w:r>
      <w:r>
        <w:rPr>
          <w:rFonts w:ascii="Arial" w:cs="Arial" w:eastAsia="Arial" w:hAnsi="Arial"/>
          <w:sz w:val="18"/>
          <w:szCs w:val="18"/>
          <w:color w:val="231F20"/>
        </w:rPr>
        <w:t xml:space="preserve"> </w:t>
      </w:r>
      <w:r>
        <w:rPr>
          <w:rFonts w:ascii="Arial" w:cs="Arial" w:eastAsia="Arial" w:hAnsi="Arial"/>
          <w:sz w:val="18"/>
          <w:szCs w:val="18"/>
          <w:color w:val="000000"/>
        </w:rPr>
        <w:t>solutions that enable organizations to identify security risks to their IT infrastructures, help protect their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09"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IT systems and a</w:t>
      </w:r>
      <w:r>
        <w:rPr>
          <w:rFonts w:ascii="Arial" w:cs="Arial" w:eastAsia="Arial" w:hAnsi="Arial"/>
          <w:sz w:val="18"/>
          <w:szCs w:val="18"/>
          <w:color w:val="231F20"/>
        </w:rPr>
        <w:t>pplications from ever-evolving cyber-attacks and achieve compliance with internal policies and external regulations. Our</w:t>
      </w:r>
      <w:r>
        <w:rPr>
          <w:rFonts w:ascii="Arial" w:cs="Arial" w:eastAsia="Arial" w:hAnsi="Arial"/>
          <w:sz w:val="18"/>
          <w:szCs w:val="18"/>
          <w:color w:val="auto"/>
        </w:rPr>
        <w:t xml:space="preserve"> </w:t>
      </w:r>
      <w:r>
        <w:rPr>
          <w:rFonts w:ascii="Arial" w:cs="Arial" w:eastAsia="Arial" w:hAnsi="Arial"/>
          <w:sz w:val="18"/>
          <w:szCs w:val="18"/>
          <w:color w:val="231F20"/>
        </w:rPr>
        <w:t>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w:t>
      </w:r>
      <w:r>
        <w:rPr>
          <w:rFonts w:ascii="Arial" w:cs="Arial" w:eastAsia="Arial" w:hAnsi="Arial"/>
          <w:sz w:val="18"/>
          <w:szCs w:val="18"/>
          <w:color w:val="000000"/>
        </w:rPr>
        <w:t>on of such actions. Organizations use our</w:t>
      </w:r>
      <w:r>
        <w:rPr>
          <w:rFonts w:ascii="Arial" w:cs="Arial" w:eastAsia="Arial" w:hAnsi="Arial"/>
          <w:sz w:val="18"/>
          <w:szCs w:val="18"/>
          <w:color w:val="231F20"/>
        </w:rPr>
        <w:t xml:space="preserve"> </w:t>
      </w:r>
      <w:r>
        <w:rPr>
          <w:rFonts w:ascii="Arial" w:cs="Arial" w:eastAsia="Arial" w:hAnsi="Arial"/>
          <w:sz w:val="18"/>
          <w:szCs w:val="18"/>
          <w:color w:val="000000"/>
        </w:rPr>
        <w:t>integrated suite of solutions delivered on our Qualys Cloud Platform to cost-effectively obtain a unified view of their IT asset inventory as well as security and compliance posture across globally distributed IT infrastructures as our solution offers a single platform for information technology, information security, application security, endpoint, developer security and cloud teams.</w:t>
      </w:r>
    </w:p>
    <w:p>
      <w:pPr>
        <w:spacing w:after="0" w:line="1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w:t>
      </w:r>
      <w:r>
        <w:rPr>
          <w:rFonts w:ascii="Arial" w:cs="Arial" w:eastAsia="Arial" w:hAnsi="Arial"/>
          <w:sz w:val="18"/>
          <w:szCs w:val="18"/>
          <w:color w:val="000000"/>
        </w:rPr>
        <w:t>Today, the</w:t>
      </w:r>
      <w:r>
        <w:rPr>
          <w:rFonts w:ascii="Arial" w:cs="Arial" w:eastAsia="Arial" w:hAnsi="Arial"/>
          <w:sz w:val="18"/>
          <w:szCs w:val="18"/>
          <w:color w:val="231F20"/>
        </w:rPr>
        <w:t xml:space="preserve"> </w:t>
      </w:r>
      <w:r>
        <w:rPr>
          <w:rFonts w:ascii="Arial" w:cs="Arial" w:eastAsia="Arial" w:hAnsi="Arial"/>
          <w:sz w:val="18"/>
          <w:szCs w:val="18"/>
          <w:color w:val="000000"/>
        </w:rPr>
        <w:t>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25" w:lineRule="exact"/>
        <w:rPr>
          <w:sz w:val="20"/>
          <w:szCs w:val="20"/>
          <w:color w:val="auto"/>
        </w:rPr>
      </w:pPr>
    </w:p>
    <w:p>
      <w:pPr>
        <w:ind w:left="1300" w:right="840" w:hanging="320"/>
        <w:spacing w:after="0" w:line="36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IT Security: </w:t>
      </w:r>
      <w:r>
        <w:rPr>
          <w:rFonts w:ascii="Arial" w:cs="Arial" w:eastAsia="Arial" w:hAnsi="Arial"/>
          <w:sz w:val="18"/>
          <w:szCs w:val="18"/>
          <w:color w:val="231F20"/>
        </w:rPr>
        <w:t>Vulnerability Management (VM), Vulnerability Management, Detection, and Response (VMDR); Threat</w:t>
      </w:r>
      <w:r>
        <w:rPr>
          <w:rFonts w:ascii="Arial" w:cs="Arial" w:eastAsia="Arial" w:hAnsi="Arial"/>
          <w:sz w:val="18"/>
          <w:szCs w:val="18"/>
          <w:i w:val="1"/>
          <w:iCs w:val="1"/>
          <w:color w:val="231F20"/>
        </w:rPr>
        <w:t xml:space="preserve"> </w:t>
      </w:r>
      <w:r>
        <w:rPr>
          <w:rFonts w:ascii="Arial" w:cs="Arial" w:eastAsia="Arial" w:hAnsi="Arial"/>
          <w:sz w:val="18"/>
          <w:szCs w:val="18"/>
          <w:color w:val="231F20"/>
        </w:rPr>
        <w:t>Protection (TP), Continuous Monitoring (CM), Patch Management (PM), Indication of Compromise (IOC);</w:t>
      </w:r>
    </w:p>
    <w:p>
      <w:pPr>
        <w:ind w:left="1300" w:right="580" w:hanging="320"/>
        <w:spacing w:after="0" w:line="36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Compliance Monitoring: </w:t>
      </w:r>
      <w:r>
        <w:rPr>
          <w:rFonts w:ascii="Arial" w:cs="Arial" w:eastAsia="Arial" w:hAnsi="Arial"/>
          <w:sz w:val="18"/>
          <w:szCs w:val="18"/>
          <w:color w:val="231F20"/>
        </w:rPr>
        <w:t>Policy Compliance (PC), PCI Compliance (PCI), File Integrity Monitoring (FIM), Security</w:t>
      </w:r>
      <w:r>
        <w:rPr>
          <w:rFonts w:ascii="Arial" w:cs="Arial" w:eastAsia="Arial" w:hAnsi="Arial"/>
          <w:sz w:val="18"/>
          <w:szCs w:val="18"/>
          <w:i w:val="1"/>
          <w:iCs w:val="1"/>
          <w:color w:val="231F20"/>
        </w:rPr>
        <w:t xml:space="preserve"> </w:t>
      </w:r>
      <w:r>
        <w:rPr>
          <w:rFonts w:ascii="Arial" w:cs="Arial" w:eastAsia="Arial" w:hAnsi="Arial"/>
          <w:sz w:val="18"/>
          <w:szCs w:val="18"/>
          <w:color w:val="231F20"/>
        </w:rPr>
        <w:t>Configuration Assessment (SCA), Security Assessment Questionnaire (SAQ), Out of-Band Configuration Assessment (OCA);</w:t>
      </w:r>
    </w:p>
    <w:p>
      <w:pPr>
        <w:ind w:left="1300" w:hanging="320"/>
        <w:spacing w:after="0"/>
        <w:tabs>
          <w:tab w:leader="none" w:pos="1300" w:val="left"/>
        </w:tabs>
        <w:numPr>
          <w:ilvl w:val="0"/>
          <w:numId w:val="5"/>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Web Application Security: </w:t>
      </w:r>
      <w:r>
        <w:rPr>
          <w:rFonts w:ascii="Arial" w:cs="Arial" w:eastAsia="Arial" w:hAnsi="Arial"/>
          <w:sz w:val="18"/>
          <w:szCs w:val="18"/>
          <w:color w:val="231F20"/>
        </w:rPr>
        <w:t>Web Application Scanning (WAS), Web Application Firewall (WAF);</w:t>
      </w:r>
    </w:p>
    <w:p>
      <w:pPr>
        <w:spacing w:after="0" w:line="103" w:lineRule="exact"/>
        <w:rPr>
          <w:rFonts w:ascii="Arial" w:cs="Arial" w:eastAsia="Arial" w:hAnsi="Arial"/>
          <w:sz w:val="18"/>
          <w:szCs w:val="18"/>
          <w:i w:val="1"/>
          <w:iCs w:val="1"/>
          <w:color w:val="231F20"/>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Global IT Asset Management: </w:t>
      </w:r>
      <w:r>
        <w:rPr>
          <w:rFonts w:ascii="Arial" w:cs="Arial" w:eastAsia="Arial" w:hAnsi="Arial"/>
          <w:sz w:val="18"/>
          <w:szCs w:val="18"/>
          <w:color w:val="231F20"/>
        </w:rPr>
        <w:t>Asset Inventory (AI), CMDB Sync (SYN), Certificate Inventory (CRI);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Cloud/Container Security: </w:t>
      </w:r>
      <w:r>
        <w:rPr>
          <w:rFonts w:ascii="Arial" w:cs="Arial" w:eastAsia="Arial" w:hAnsi="Arial"/>
          <w:sz w:val="18"/>
          <w:szCs w:val="18"/>
          <w:color w:val="231F20"/>
        </w:rPr>
        <w:t>Cloud Inventory (CI), Cloud Security Assessment (CSA), Container Security (CS).</w:t>
      </w:r>
    </w:p>
    <w:p>
      <w:pPr>
        <w:spacing w:after="0" w:line="17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Our VM solutions (including </w:t>
      </w:r>
      <w:r>
        <w:rPr>
          <w:rFonts w:ascii="Arial" w:cs="Arial" w:eastAsia="Arial" w:hAnsi="Arial"/>
          <w:sz w:val="18"/>
          <w:szCs w:val="18"/>
          <w:color w:val="231F20"/>
        </w:rPr>
        <w:t>VM, VMDR, CM, TP, Cloud Agent for VM</w:t>
      </w:r>
      <w:r>
        <w:rPr>
          <w:rFonts w:ascii="Arial" w:cs="Arial" w:eastAsia="Arial" w:hAnsi="Arial"/>
          <w:sz w:val="18"/>
          <w:szCs w:val="18"/>
          <w:color w:val="auto"/>
        </w:rPr>
        <w:t xml:space="preserve">, allocated scanner revenue and Qualys Private Cloud Platform) have provided a substantial majority of our revenues to date, representing 72% and 73% of our revenues for the </w:t>
      </w:r>
      <w:r>
        <w:rPr>
          <w:rFonts w:ascii="Arial" w:cs="Arial" w:eastAsia="Arial" w:hAnsi="Arial"/>
          <w:sz w:val="18"/>
          <w:szCs w:val="18"/>
          <w:color w:val="231F20"/>
        </w:rPr>
        <w:t>three months ended March</w:t>
      </w:r>
      <w:r>
        <w:rPr>
          <w:rFonts w:ascii="Arial" w:cs="Arial" w:eastAsia="Arial" w:hAnsi="Arial"/>
          <w:sz w:val="18"/>
          <w:szCs w:val="18"/>
          <w:color w:val="auto"/>
        </w:rPr>
        <w:t xml:space="preserve"> </w:t>
      </w:r>
      <w:r>
        <w:rPr>
          <w:rFonts w:ascii="Arial" w:cs="Arial" w:eastAsia="Arial" w:hAnsi="Arial"/>
          <w:sz w:val="18"/>
          <w:szCs w:val="18"/>
          <w:color w:val="231F20"/>
        </w:rPr>
        <w:t xml:space="preserve">31, 2020 </w:t>
      </w:r>
      <w:r>
        <w:rPr>
          <w:rFonts w:ascii="Arial" w:cs="Arial" w:eastAsia="Arial" w:hAnsi="Arial"/>
          <w:sz w:val="18"/>
          <w:szCs w:val="18"/>
          <w:color w:val="000000"/>
        </w:rPr>
        <w:t>and 2019, respectively.</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Arial" w:cs="Arial" w:eastAsia="Arial" w:hAnsi="Arial"/>
          <w:sz w:val="18"/>
          <w:szCs w:val="18"/>
          <w:color w:val="000000"/>
        </w:rPr>
        <w:t>.</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We market and sell our solutions to enterprises, government entities and small and medium-sized businesses across a broad range of industries, including education, financial services, government, healthcare, insurance, manufacturing, media, retail, technology and utilities. In the </w:t>
      </w:r>
      <w:r>
        <w:rPr>
          <w:rFonts w:ascii="Arial" w:cs="Arial" w:eastAsia="Arial" w:hAnsi="Arial"/>
          <w:sz w:val="18"/>
          <w:szCs w:val="18"/>
          <w:color w:val="231F20"/>
        </w:rPr>
        <w:t>three months ended March 31, 2020</w:t>
      </w:r>
      <w:r>
        <w:rPr>
          <w:rFonts w:ascii="Arial" w:cs="Arial" w:eastAsia="Arial" w:hAnsi="Arial"/>
          <w:sz w:val="18"/>
          <w:szCs w:val="18"/>
          <w:color w:val="auto"/>
        </w:rPr>
        <w:t xml:space="preserve"> and the corresponding period of 2019, approximately 64% and 65%,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12529"/>
        </w:rPr>
        <w:t>Impacts of COVID-19</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March 2020, the World Health Organization declared the outbreak of </w:t>
      </w:r>
      <w:r>
        <w:rPr>
          <w:rFonts w:ascii="Arial" w:cs="Arial" w:eastAsia="Arial" w:hAnsi="Arial"/>
          <w:sz w:val="18"/>
          <w:szCs w:val="18"/>
          <w:color w:val="231F20"/>
        </w:rPr>
        <w:t>COVID-19</w:t>
      </w:r>
      <w:r>
        <w:rPr>
          <w:rFonts w:ascii="Arial" w:cs="Arial" w:eastAsia="Arial" w:hAnsi="Arial"/>
          <w:sz w:val="18"/>
          <w:szCs w:val="18"/>
          <w:color w:val="auto"/>
        </w:rPr>
        <w:t xml:space="preserve"> as a pandemic. As a result of COVID-19, we have modified certain aspects of our business, including restricting </w:t>
      </w:r>
      <w:r>
        <w:rPr>
          <w:rFonts w:ascii="Arial" w:cs="Arial" w:eastAsia="Arial" w:hAnsi="Arial"/>
          <w:sz w:val="18"/>
          <w:szCs w:val="18"/>
          <w:color w:val="212529"/>
        </w:rPr>
        <w:t>employee travel, requiring employees to work from home, and canceling certain</w:t>
      </w:r>
      <w:r>
        <w:rPr>
          <w:rFonts w:ascii="Arial" w:cs="Arial" w:eastAsia="Arial" w:hAnsi="Arial"/>
          <w:sz w:val="18"/>
          <w:szCs w:val="18"/>
          <w:color w:val="auto"/>
        </w:rPr>
        <w:t xml:space="preserve"> </w:t>
      </w:r>
      <w:r>
        <w:rPr>
          <w:rFonts w:ascii="Arial" w:cs="Arial" w:eastAsia="Arial" w:hAnsi="Arial"/>
          <w:sz w:val="18"/>
          <w:szCs w:val="18"/>
          <w:color w:val="212529"/>
        </w:rPr>
        <w:t>events and meetings, among other modifications. We will continue to actively monitor the situation and may take further actions that alter our business operations as may be required by federal,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 xml:space="preserve">state or local authorities or that we determine are in the best interests of our employees, customers, partners, suppliers and stockholders. </w:t>
      </w:r>
      <w:r>
        <w:rPr>
          <w:rFonts w:ascii="Arial" w:cs="Arial" w:eastAsia="Arial" w:hAnsi="Arial"/>
          <w:sz w:val="18"/>
          <w:szCs w:val="18"/>
          <w:color w:val="000000"/>
        </w:rPr>
        <w:t>While we have not incurred significant disruptions from the COVID-19 outbreak, we are unable to accurately predict the full impact that COVID-19 will have due to numerous uncertainties, including the duration of the outbreak, actions that may be taken by governmental authorities and the impact to the business of our customers and partners. We will continue to evaluate the nature and extent of the impact to our business,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w:t>
      </w:r>
      <w:r>
        <w:rPr>
          <w:rFonts w:ascii="Arial" w:cs="Arial" w:eastAsia="Arial" w:hAnsi="Arial"/>
          <w:sz w:val="18"/>
          <w:szCs w:val="18"/>
          <w:color w:val="231F20"/>
        </w:rPr>
        <w:t xml:space="preserve"> </w:t>
      </w:r>
      <w:r>
        <w:rPr>
          <w:rFonts w:ascii="Arial" w:cs="Arial" w:eastAsia="Arial" w:hAnsi="Arial"/>
          <w:sz w:val="18"/>
          <w:szCs w:val="18"/>
          <w:color w:val="000000"/>
        </w:rPr>
        <w:t>platform into our 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capitalized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85" w:lineRule="exact"/>
        <w:rPr>
          <w:sz w:val="20"/>
          <w:szCs w:val="20"/>
          <w:color w:val="auto"/>
        </w:rPr>
      </w:pPr>
    </w:p>
    <w:p>
      <w:pPr>
        <w:jc w:val="center"/>
        <w:ind w:right="900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jc w:val="center"/>
        <w:ind w:right="900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capitalize certain research and development costs related to new products' internal-use software development efforts. Capitalized costs include salaries, benefits, and stock-based compensation charges for employees that are directly involved in developing new products for our cloud security platform during the application development stage.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w:t>
      </w:r>
    </w:p>
    <w:p>
      <w:pPr>
        <w:spacing w:after="0" w:line="1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information technology,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and gains and losses from disposal of property and equipment.</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12529"/>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similar to the U.S. statutory tax rate.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Our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effective tax rate differs from the U.S. statutory rate of 21% primarily due to non-deductible stock-based compensation expense, state taxes, and the benefit of U.S. federal income tax credits and foreign-derived intangible income deduction.</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12529"/>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12529"/>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30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560" w:type="dxa"/>
            <w:vAlign w:val="bottom"/>
            <w:gridSpan w:val="4"/>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r>
      <w:tr>
        <w:trPr>
          <w:trHeight w:val="276"/>
        </w:trPr>
        <w:tc>
          <w:tcPr>
            <w:tcW w:w="79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24"/>
                <w:szCs w:val="24"/>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56"/>
        </w:trPr>
        <w:tc>
          <w:tcPr>
            <w:tcW w:w="8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r>
      <w:tr>
        <w:trPr>
          <w:trHeight w:val="257"/>
        </w:trPr>
        <w:tc>
          <w:tcPr>
            <w:tcW w:w="8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r>
      <w:tr>
        <w:trPr>
          <w:trHeight w:val="260"/>
        </w:trPr>
        <w:tc>
          <w:tcPr>
            <w:tcW w:w="89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80"/>
        </w:trPr>
        <w:tc>
          <w:tcPr>
            <w:tcW w:w="8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r>
      <w:tr>
        <w:trPr>
          <w:trHeight w:val="260"/>
        </w:trPr>
        <w:tc>
          <w:tcPr>
            <w:tcW w:w="894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22</w:t>
            </w:r>
          </w:p>
        </w:tc>
      </w:tr>
      <w:tr>
        <w:trPr>
          <w:trHeight w:val="273"/>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r>
      <w:tr>
        <w:trPr>
          <w:trHeight w:val="250"/>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r>
      <w:tr>
        <w:trPr>
          <w:trHeight w:val="256"/>
        </w:trPr>
        <w:tc>
          <w:tcPr>
            <w:tcW w:w="8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net</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r>
      <w:tr>
        <w:trPr>
          <w:trHeight w:val="256"/>
        </w:trPr>
        <w:tc>
          <w:tcPr>
            <w:tcW w:w="8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r>
      <w:tr>
        <w:trPr>
          <w:trHeight w:val="240"/>
        </w:trPr>
        <w:tc>
          <w:tcPr>
            <w:tcW w:w="8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w:t>
      </w:r>
      <w:r>
        <w:rPr>
          <w:rFonts w:ascii="Arial" w:cs="Arial" w:eastAsia="Arial" w:hAnsi="Arial"/>
          <w:sz w:val="18"/>
          <w:szCs w:val="18"/>
          <w:b w:val="1"/>
          <w:bCs w:val="1"/>
          <w:color w:val="000000"/>
        </w:rPr>
        <w:t>Months Ended March 31, 2020</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263"/>
        </w:trPr>
        <w:tc>
          <w:tcPr>
            <w:tcW w:w="54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50"/>
        </w:trPr>
        <w:tc>
          <w:tcPr>
            <w:tcW w:w="5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gridSpan w:val="4"/>
          </w:tcPr>
          <w:p>
            <w:pPr>
              <w:jc w:val="right"/>
              <w:ind w:right="644"/>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21"/>
                <w:szCs w:val="2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86,263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75,343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10,920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Revenues increased $10.9 million for the three months ended March 31, 2020 compared to the three months ended March 31, 2019, due to an increase in the purchase of subscriptions from existing customers and new customer subscriptions entered into after March 31, 2019</w:t>
      </w:r>
      <w:r>
        <w:rPr>
          <w:rFonts w:ascii="Arial" w:cs="Arial" w:eastAsia="Arial" w:hAnsi="Arial"/>
          <w:sz w:val="18"/>
          <w:szCs w:val="18"/>
          <w:color w:val="BF2115"/>
        </w:rPr>
        <w:t>.</w:t>
      </w:r>
      <w:r>
        <w:rPr>
          <w:rFonts w:ascii="Arial" w:cs="Arial" w:eastAsia="Arial" w:hAnsi="Arial"/>
          <w:sz w:val="18"/>
          <w:szCs w:val="18"/>
          <w:color w:val="auto"/>
        </w:rPr>
        <w:t xml:space="preserve"> Of the total increase of $10.9 million, $6.3 million was from customers in the United States and the remaining $4.6 million was from customers in foreign countries. We expect revenue growth from existing and new customers to continue. The growth in revenues reflects the continued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840" w:type="dxa"/>
            <w:vAlign w:val="bottom"/>
          </w:tcPr>
          <w:p>
            <w:pPr>
              <w:spacing w:after="0"/>
              <w:rPr>
                <w:sz w:val="17"/>
                <w:szCs w:val="17"/>
                <w:color w:val="auto"/>
              </w:rPr>
            </w:pPr>
          </w:p>
        </w:tc>
        <w:tc>
          <w:tcPr>
            <w:tcW w:w="1060" w:type="dxa"/>
            <w:vAlign w:val="bottom"/>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264"/>
        </w:trPr>
        <w:tc>
          <w:tcPr>
            <w:tcW w:w="54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50"/>
        </w:trPr>
        <w:tc>
          <w:tcPr>
            <w:tcW w:w="5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gridSpan w:val="4"/>
          </w:tcPr>
          <w:p>
            <w:pPr>
              <w:jc w:val="right"/>
              <w:ind w:right="644"/>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21"/>
                <w:szCs w:val="2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18,495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17,709</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786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bl>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Cost of revenues increased $0.8 million for the three months ended March 31, 2020 compared to the three months ended March 31, 2019. The increase was primarily due to a $0.4 million increase in data center costs, $0.4 million increase in licenses and software services, and $0.3 million increase in equipment repair and maintenance expenses due to our continued business growth. These increases were partially offset by a decrease in depreciation expenses associated with data center equipment.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7"/>
                <w:szCs w:val="17"/>
                <w:color w:val="auto"/>
              </w:rPr>
            </w:pPr>
          </w:p>
        </w:tc>
        <w:tc>
          <w:tcPr>
            <w:tcW w:w="1120" w:type="dxa"/>
            <w:vAlign w:val="bottom"/>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264"/>
        </w:trPr>
        <w:tc>
          <w:tcPr>
            <w:tcW w:w="54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50"/>
        </w:trPr>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21"/>
                <w:szCs w:val="21"/>
                <w:color w:val="auto"/>
              </w:rPr>
            </w:pPr>
          </w:p>
        </w:tc>
      </w:tr>
      <w:tr>
        <w:trPr>
          <w:trHeight w:val="27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17,983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15,837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2,146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bl>
    <w:p>
      <w:pPr>
        <w:spacing w:after="0" w:line="2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Research and development expenses increased $2.1 million for the three months ended March 31, 2020 compared to the three months ended March 31, 2019, primarily due to an increase in stock-based compensation expense of $1.2 million driven by additional employees hired to support the growth of our business and $0.9 million increase in allocation of overhead costs to the research and development department related to increased leasing expenses for our new office in India.</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84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264"/>
        </w:trPr>
        <w:tc>
          <w:tcPr>
            <w:tcW w:w="54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50"/>
        </w:trPr>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21"/>
                <w:szCs w:val="21"/>
                <w:color w:val="auto"/>
              </w:rPr>
            </w:pPr>
          </w:p>
        </w:tc>
      </w:tr>
      <w:tr>
        <w:trPr>
          <w:trHeight w:val="27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18,230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17,315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915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bl>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Sales and marketing expenses increased $0.9 million for the three months ended March 31, 2020 compared to the three months ended March 31, 2019, primarily due to an increase in stock-based compensation expense of $0.5 million and an increase in personnel expenses of $0.4 million driven by additional employees hired to support the growth of our business.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84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264"/>
        </w:trPr>
        <w:tc>
          <w:tcPr>
            <w:tcW w:w="54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50"/>
        </w:trPr>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21"/>
                <w:szCs w:val="21"/>
                <w:color w:val="auto"/>
              </w:rPr>
            </w:pPr>
          </w:p>
        </w:tc>
      </w:tr>
      <w:tr>
        <w:trPr>
          <w:trHeight w:val="27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11,124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10,431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84"/>
              <w:spacing w:after="0"/>
              <w:rPr>
                <w:sz w:val="20"/>
                <w:szCs w:val="20"/>
                <w:color w:val="auto"/>
              </w:rPr>
            </w:pPr>
            <w:r>
              <w:rPr>
                <w:rFonts w:ascii="Arial" w:cs="Arial" w:eastAsia="Arial" w:hAnsi="Arial"/>
                <w:sz w:val="16"/>
                <w:szCs w:val="16"/>
                <w:color w:val="auto"/>
              </w:rPr>
              <w:t>693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bl>
    <w:p>
      <w:pPr>
        <w:spacing w:after="0" w:line="215" w:lineRule="exact"/>
        <w:rPr>
          <w:sz w:val="20"/>
          <w:szCs w:val="20"/>
          <w:color w:val="auto"/>
        </w:rPr>
      </w:pPr>
    </w:p>
    <w:p>
      <w:pPr>
        <w:jc w:val="both"/>
        <w:ind w:right="20" w:firstLine="486"/>
        <w:spacing w:after="0" w:line="261" w:lineRule="auto"/>
        <w:rPr>
          <w:sz w:val="20"/>
          <w:szCs w:val="20"/>
          <w:color w:val="auto"/>
        </w:rPr>
      </w:pPr>
      <w:r>
        <w:rPr>
          <w:rFonts w:ascii="Arial" w:cs="Arial" w:eastAsia="Arial" w:hAnsi="Arial"/>
          <w:sz w:val="18"/>
          <w:szCs w:val="18"/>
          <w:color w:val="231F20"/>
        </w:rPr>
        <w:t xml:space="preserve">General and administrative expenses increased $0.7 million for the </w:t>
      </w:r>
      <w:r>
        <w:rPr>
          <w:rFonts w:ascii="Arial" w:cs="Arial" w:eastAsia="Arial" w:hAnsi="Arial"/>
          <w:sz w:val="18"/>
          <w:szCs w:val="18"/>
          <w:color w:val="000000"/>
        </w:rPr>
        <w:t>three months ended March 31, 2020 compared to the three months</w:t>
      </w:r>
      <w:r>
        <w:rPr>
          <w:rFonts w:ascii="Arial" w:cs="Arial" w:eastAsia="Arial" w:hAnsi="Arial"/>
          <w:sz w:val="18"/>
          <w:szCs w:val="18"/>
          <w:color w:val="231F20"/>
        </w:rPr>
        <w:t xml:space="preserve"> </w:t>
      </w:r>
      <w:r>
        <w:rPr>
          <w:rFonts w:ascii="Arial" w:cs="Arial" w:eastAsia="Arial" w:hAnsi="Arial"/>
          <w:sz w:val="18"/>
          <w:szCs w:val="18"/>
          <w:color w:val="000000"/>
        </w:rPr>
        <w:t>ended March 31, 2019, primarily due to $0.3 million increase in legal fees and $0.3 million increase in taxes and penalties.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7"/>
                <w:szCs w:val="17"/>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7"/>
                <w:szCs w:val="17"/>
                <w:color w:val="auto"/>
              </w:rPr>
            </w:pPr>
          </w:p>
        </w:tc>
      </w:tr>
      <w:tr>
        <w:trPr>
          <w:trHeight w:val="263"/>
        </w:trPr>
        <w:tc>
          <w:tcPr>
            <w:tcW w:w="54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w:t>
            </w:r>
          </w:p>
        </w:tc>
      </w:tr>
      <w:tr>
        <w:trPr>
          <w:trHeight w:val="250"/>
        </w:trPr>
        <w:tc>
          <w:tcPr>
            <w:tcW w:w="5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8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960" w:type="dxa"/>
            <w:vAlign w:val="bottom"/>
          </w:tcPr>
          <w:p>
            <w:pPr>
              <w:spacing w:after="0"/>
              <w:rPr>
                <w:sz w:val="21"/>
                <w:szCs w:val="21"/>
                <w:color w:val="auto"/>
              </w:rPr>
            </w:pPr>
          </w:p>
        </w:tc>
      </w:tr>
      <w:tr>
        <w:trPr>
          <w:trHeight w:val="276"/>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1,786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1,786</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w:t>
      </w:r>
      <w:r>
        <w:rPr>
          <w:rFonts w:ascii="Arial" w:cs="Arial" w:eastAsia="Arial" w:hAnsi="Arial"/>
          <w:sz w:val="18"/>
          <w:szCs w:val="18"/>
          <w:color w:val="000000"/>
        </w:rPr>
        <w:t>otal other income, net for the three months ended March 31, 2020 remained consistent with the three months ended March 31, 2019.</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7"/>
                <w:szCs w:val="17"/>
                <w:color w:val="auto"/>
              </w:rPr>
            </w:pPr>
          </w:p>
        </w:tc>
        <w:tc>
          <w:tcPr>
            <w:tcW w:w="1520" w:type="dxa"/>
            <w:vAlign w:val="bottom"/>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7"/>
                <w:szCs w:val="17"/>
                <w:color w:val="auto"/>
              </w:rPr>
            </w:pPr>
          </w:p>
        </w:tc>
      </w:tr>
      <w:tr>
        <w:trPr>
          <w:trHeight w:val="263"/>
        </w:trPr>
        <w:tc>
          <w:tcPr>
            <w:tcW w:w="53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105"/>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r>
      <w:tr>
        <w:trPr>
          <w:trHeight w:val="250"/>
        </w:trPr>
        <w:tc>
          <w:tcPr>
            <w:tcW w:w="5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4"/>
          </w:tcPr>
          <w:p>
            <w:pPr>
              <w:jc w:val="right"/>
              <w:ind w:right="685"/>
              <w:spacing w:after="0"/>
              <w:rPr>
                <w:sz w:val="20"/>
                <w:szCs w:val="20"/>
                <w:color w:val="auto"/>
              </w:rPr>
            </w:pPr>
            <w:r>
              <w:rPr>
                <w:rFonts w:ascii="Arial" w:cs="Arial" w:eastAsia="Arial" w:hAnsi="Arial"/>
                <w:sz w:val="14"/>
                <w:szCs w:val="14"/>
                <w:b w:val="1"/>
                <w:bCs w:val="1"/>
                <w:color w:val="auto"/>
              </w:rPr>
              <w:t>(in thousands, except percentages)</w:t>
            </w:r>
          </w:p>
        </w:tc>
        <w:tc>
          <w:tcPr>
            <w:tcW w:w="940" w:type="dxa"/>
            <w:vAlign w:val="bottom"/>
          </w:tcPr>
          <w:p>
            <w:pPr>
              <w:spacing w:after="0"/>
              <w:rPr>
                <w:sz w:val="21"/>
                <w:szCs w:val="21"/>
                <w:color w:val="auto"/>
              </w:rPr>
            </w:pPr>
          </w:p>
        </w:tc>
      </w:tr>
      <w:tr>
        <w:trPr>
          <w:trHeight w:val="27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3,523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2,571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rPr>
              <w:t>952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51"/>
        </w:trPr>
        <w:tc>
          <w:tcPr>
            <w:tcW w:w="534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8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15.9%</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2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recorded an income tax provision of $3.5 million and $2.6 million for the three months ended March 31, 2020 and 2019, respectively.</w:t>
      </w:r>
    </w:p>
    <w:p>
      <w:pPr>
        <w:spacing w:after="0" w:line="9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increase in income tax provision for the three months ended March 31, 2020 compared to the three months ended March 31, 2019, is primarily due to an increase in pre-tax income in the current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9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Adjusted EBITDA should not be considered in isolation from, or as a substitute for, financial information prepared in accordance with U.S. GAAP. </w:t>
      </w:r>
      <w:r>
        <w:rPr>
          <w:rFonts w:ascii="Arial" w:cs="Arial" w:eastAsia="Arial" w:hAnsi="Arial"/>
          <w:sz w:val="18"/>
          <w:szCs w:val="18"/>
          <w:color w:val="231F20"/>
        </w:rPr>
        <w:t>We calculate Adjusted EBITDA as net income before (1) other (income) expense, net, which includes interest income, interest</w:t>
      </w:r>
      <w:r>
        <w:rPr>
          <w:rFonts w:ascii="Arial" w:cs="Arial" w:eastAsia="Arial" w:hAnsi="Arial"/>
          <w:sz w:val="18"/>
          <w:szCs w:val="18"/>
          <w:color w:val="auto"/>
        </w:rPr>
        <w:t xml:space="preserve"> </w:t>
      </w:r>
      <w:r>
        <w:rPr>
          <w:rFonts w:ascii="Arial" w:cs="Arial" w:eastAsia="Arial" w:hAnsi="Arial"/>
          <w:sz w:val="18"/>
          <w:szCs w:val="18"/>
          <w:color w:val="231F20"/>
        </w:rPr>
        <w:t>expense and other income and expense, (2) provision for (benefit from) income taxes, (3) depreciation of property and equipment, (4) amortization of intangible assets, (5) stock-based compensation, (6) non-recurring expenses and (7) cash acquisition-related expense that do not reflect ongoing costs of operating the business.</w:t>
      </w:r>
    </w:p>
    <w:p>
      <w:pPr>
        <w:spacing w:after="0" w:line="97"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9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spacing w:after="0" w:line="8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9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4"/>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765"/>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24"/>
                <w:szCs w:val="24"/>
                <w:color w:val="auto"/>
              </w:rPr>
            </w:pPr>
          </w:p>
        </w:tc>
      </w:tr>
      <w:tr>
        <w:trPr>
          <w:trHeight w:val="263"/>
        </w:trPr>
        <w:tc>
          <w:tcPr>
            <w:tcW w:w="80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r>
      <w:tr>
        <w:trPr>
          <w:trHeight w:val="250"/>
        </w:trPr>
        <w:tc>
          <w:tcPr>
            <w:tcW w:w="8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4"/>
          </w:tcPr>
          <w:p>
            <w:pPr>
              <w:jc w:val="center"/>
              <w:ind w:right="122"/>
              <w:spacing w:after="0"/>
              <w:rPr>
                <w:sz w:val="20"/>
                <w:szCs w:val="20"/>
                <w:color w:val="auto"/>
              </w:rPr>
            </w:pPr>
            <w:r>
              <w:rPr>
                <w:rFonts w:ascii="Arial" w:cs="Arial" w:eastAsia="Arial" w:hAnsi="Arial"/>
                <w:sz w:val="14"/>
                <w:szCs w:val="14"/>
                <w:b w:val="1"/>
                <w:bCs w:val="1"/>
                <w:color w:val="auto"/>
              </w:rPr>
              <w:t>(in thousands, except percentages)</w:t>
            </w:r>
          </w:p>
        </w:tc>
      </w:tr>
      <w:tr>
        <w:trPr>
          <w:trHeight w:val="26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38,195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30,625</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0"/>
        </w:trPr>
        <w:tc>
          <w:tcPr>
            <w:tcW w:w="80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bl>
    <w:p>
      <w:pPr>
        <w:spacing w:after="0" w:line="21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months ended March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3"/>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18,694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13,266</w:t>
            </w:r>
          </w:p>
        </w:tc>
      </w:tr>
      <w:tr>
        <w:trPr>
          <w:trHeight w:val="260"/>
        </w:trPr>
        <w:tc>
          <w:tcPr>
            <w:tcW w:w="8220" w:type="dxa"/>
            <w:vAlign w:val="bottom"/>
          </w:tcPr>
          <w:p>
            <w:pPr>
              <w:ind w:left="28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6,227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6,415</w:t>
            </w:r>
          </w:p>
        </w:tc>
      </w:tr>
      <w:tr>
        <w:trPr>
          <w:trHeight w:val="280"/>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1,520</w:t>
            </w:r>
          </w:p>
        </w:tc>
      </w:tr>
      <w:tr>
        <w:trPr>
          <w:trHeight w:val="260"/>
        </w:trPr>
        <w:tc>
          <w:tcPr>
            <w:tcW w:w="8220" w:type="dxa"/>
            <w:vAlign w:val="bottom"/>
          </w:tcPr>
          <w:p>
            <w:pPr>
              <w:ind w:left="28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2"/>
                <w:szCs w:val="22"/>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2,571</w:t>
            </w:r>
          </w:p>
        </w:tc>
      </w:tr>
      <w:tr>
        <w:trPr>
          <w:trHeight w:val="280"/>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9,997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8,445</w:t>
            </w:r>
          </w:p>
        </w:tc>
      </w:tr>
      <w:tr>
        <w:trPr>
          <w:trHeight w:val="260"/>
        </w:trPr>
        <w:tc>
          <w:tcPr>
            <w:tcW w:w="82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(1,786)</w:t>
            </w:r>
          </w:p>
        </w:tc>
      </w:tr>
      <w:tr>
        <w:trPr>
          <w:trHeight w:val="280"/>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Acquisition-related expense </w:t>
            </w:r>
            <w:r>
              <w:rPr>
                <w:rFonts w:ascii="Arial" w:cs="Arial" w:eastAsia="Arial" w:hAnsi="Arial"/>
                <w:sz w:val="21"/>
                <w:szCs w:val="21"/>
                <w:color w:val="auto"/>
                <w:vertAlign w:val="superscript"/>
              </w:rPr>
              <w:t>(1) (2)</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r>
      <w:tr>
        <w:trPr>
          <w:trHeight w:val="231"/>
        </w:trPr>
        <w:tc>
          <w:tcPr>
            <w:tcW w:w="82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38,195</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3810</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three months ended March 31, 2020, includes $0.02 million of compensation related to acquisitions in 2019 and 2018.</w:t>
      </w:r>
    </w:p>
    <w:p>
      <w:pPr>
        <w:spacing w:after="0" w:line="21" w:lineRule="exact"/>
        <w:rPr>
          <w:rFonts w:ascii="Arial" w:cs="Arial" w:eastAsia="Arial" w:hAnsi="Arial"/>
          <w:sz w:val="16"/>
          <w:szCs w:val="16"/>
          <w:i w:val="1"/>
          <w:iCs w:val="1"/>
          <w:color w:val="auto"/>
        </w:rPr>
      </w:pPr>
    </w:p>
    <w:p>
      <w:pPr>
        <w:ind w:right="80" w:firstLine="8"/>
        <w:spacing w:after="0" w:line="260" w:lineRule="auto"/>
        <w:tabs>
          <w:tab w:leader="none" w:pos="243"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For three months ended March 31, 2019, includes $0.3 million, $1.27 million and $0.01 million of compensation related to acquisitions in 2019, 2018 and 2017, respectively, offset by $1.4 million of reversals of previous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-382270</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March 31, 2020</w:t>
      </w:r>
      <w:r>
        <w:rPr>
          <w:rFonts w:ascii="Arial" w:cs="Arial" w:eastAsia="Arial" w:hAnsi="Arial"/>
          <w:sz w:val="18"/>
          <w:szCs w:val="18"/>
          <w:color w:val="231F20"/>
        </w:rPr>
        <w:t xml:space="preserve">, our principal source of liquidity was cash, cash equivalents, and marketable securities of $ 434.7 million, including </w:t>
      </w:r>
      <w:r>
        <w:rPr>
          <w:rFonts w:ascii="Arial" w:cs="Arial" w:eastAsia="Arial" w:hAnsi="Arial"/>
          <w:sz w:val="18"/>
          <w:szCs w:val="18"/>
          <w:color w:val="000000"/>
        </w:rPr>
        <w:t xml:space="preserve">$25.0 million </w:t>
      </w:r>
      <w:r>
        <w:rPr>
          <w:rFonts w:ascii="Arial" w:cs="Arial" w:eastAsia="Arial" w:hAnsi="Arial"/>
          <w:sz w:val="18"/>
          <w:szCs w:val="18"/>
          <w:color w:val="231F20"/>
        </w:rPr>
        <w:t>held outside of the United States. We do not anticipate that we will need funds generated from foreign operations to fund our</w:t>
      </w:r>
      <w:r>
        <w:rPr>
          <w:rFonts w:ascii="Arial" w:cs="Arial" w:eastAsia="Arial" w:hAnsi="Arial"/>
          <w:sz w:val="18"/>
          <w:szCs w:val="18"/>
          <w:color w:val="000000"/>
        </w:rPr>
        <w:t xml:space="preserve"> </w:t>
      </w:r>
      <w:r>
        <w:rPr>
          <w:rFonts w:ascii="Arial" w:cs="Arial" w:eastAsia="Arial" w:hAnsi="Arial"/>
          <w:sz w:val="18"/>
          <w:szCs w:val="18"/>
          <w:color w:val="231F20"/>
        </w:rPr>
        <w:t>domestic operations. However, if we repatriate these funds, we could be subject to foreign withholding taxes.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We generated positive cash flows from operations during each of the three months ended March 31, 2020 and 2019.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r>
      <w:tr>
        <w:trPr>
          <w:trHeight w:val="263"/>
        </w:trPr>
        <w:tc>
          <w:tcPr>
            <w:tcW w:w="8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76"/>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52,435</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44,347</w:t>
            </w: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color w:val="auto"/>
              </w:rPr>
              <w:t>Cash provided by investing activities</w:t>
            </w:r>
          </w:p>
        </w:tc>
        <w:tc>
          <w:tcPr>
            <w:tcW w:w="36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36,813</w:t>
            </w:r>
          </w:p>
        </w:tc>
        <w:tc>
          <w:tcPr>
            <w:tcW w:w="58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15,364</w:t>
            </w: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(29,242)</w:t>
            </w:r>
          </w:p>
        </w:tc>
        <w:tc>
          <w:tcPr>
            <w:tcW w:w="5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(7,610)</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For the three months ended March 31, 2020, cash flows from operating activities of $52.4 million primarily resulted from our net income of approximately $18.7 million, as adjusted for non-cash items including stock-based compensation of $10.0 million and depreciation and amortization expense of $7.7 million; and cash flows from working capital of $14.1 million mainly attributable to the continued growth in our deferred revenues and timing of collection from customers.</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three months ended March 31, 2019, cash flows from operating activities of $44.3 million primarily resulted from our net income of approximately $13.3 million, as adjusted for non-cash items including stock-based compensation of $8.4 million and depreciation and amortization expense of $7.9 million; and cash flows from working capital of $13.5 million mainly attributable to the continued growth in our deferred revenues.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months ended March 31, 2020</w:t>
      </w:r>
      <w:r>
        <w:rPr>
          <w:rFonts w:ascii="Arial" w:cs="Arial" w:eastAsia="Arial" w:hAnsi="Arial"/>
          <w:sz w:val="18"/>
          <w:szCs w:val="18"/>
          <w:color w:val="231F20"/>
        </w:rPr>
        <w:t xml:space="preserve">, cash provided by investing activities of </w:t>
      </w:r>
      <w:r>
        <w:rPr>
          <w:rFonts w:ascii="Arial" w:cs="Arial" w:eastAsia="Arial" w:hAnsi="Arial"/>
          <w:sz w:val="18"/>
          <w:szCs w:val="18"/>
          <w:color w:val="000000"/>
        </w:rPr>
        <w:t>$ 36.8 million was attributable to</w:t>
      </w:r>
      <w:r>
        <w:rPr>
          <w:rFonts w:ascii="Arial" w:cs="Arial" w:eastAsia="Arial" w:hAnsi="Arial"/>
          <w:sz w:val="18"/>
          <w:szCs w:val="18"/>
          <w:color w:val="231F20"/>
        </w:rPr>
        <w:t xml:space="preserve"> $44.1 million </w:t>
      </w:r>
      <w:r>
        <w:rPr>
          <w:rFonts w:ascii="Arial" w:cs="Arial" w:eastAsia="Arial" w:hAnsi="Arial"/>
          <w:sz w:val="18"/>
          <w:szCs w:val="18"/>
          <w:color w:val="000000"/>
        </w:rPr>
        <w:t>of</w:t>
      </w:r>
      <w:r>
        <w:rPr>
          <w:rFonts w:ascii="Arial" w:cs="Arial" w:eastAsia="Arial" w:hAnsi="Arial"/>
          <w:sz w:val="18"/>
          <w:szCs w:val="18"/>
          <w:color w:val="231F20"/>
        </w:rPr>
        <w:t xml:space="preserve"> </w:t>
      </w:r>
      <w:r>
        <w:rPr>
          <w:rFonts w:ascii="Arial" w:cs="Arial" w:eastAsia="Arial" w:hAnsi="Arial"/>
          <w:sz w:val="18"/>
          <w:szCs w:val="18"/>
          <w:color w:val="000000"/>
        </w:rPr>
        <w:t xml:space="preserve">sales and maturities of marketable securities, net of purchases, offset by </w:t>
      </w:r>
      <w:r>
        <w:rPr>
          <w:rFonts w:ascii="Arial" w:cs="Arial" w:eastAsia="Arial" w:hAnsi="Arial"/>
          <w:sz w:val="18"/>
          <w:szCs w:val="18"/>
          <w:color w:val="231F20"/>
        </w:rPr>
        <w:t>$7.3 million</w:t>
      </w:r>
      <w:r>
        <w:rPr>
          <w:rFonts w:ascii="Arial" w:cs="Arial" w:eastAsia="Arial" w:hAnsi="Arial"/>
          <w:sz w:val="18"/>
          <w:szCs w:val="18"/>
          <w:color w:val="000000"/>
        </w:rPr>
        <w:t xml:space="preserve"> of cash used for capital expenditures, including computer hardware and leasehold improvements to support our growth and development.</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For the three months ended March 31, 2019, cash provided by investing activities of $ 15.4 million was attributable to $24.8 million of sales and maturities of marketable securities, net of purchases, offset by $8.6 million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$0.9 million in cash in connection with our acquisition of the assets of Adya.</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three months ended March 31, 2020</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$29.2 million</w:t>
      </w:r>
      <w:r>
        <w:rPr>
          <w:rFonts w:ascii="Arial" w:cs="Arial" w:eastAsia="Arial" w:hAnsi="Arial"/>
          <w:sz w:val="18"/>
          <w:szCs w:val="18"/>
          <w:color w:val="231F20"/>
        </w:rPr>
        <w:t xml:space="preserve"> was attributable to share repurchases of $28.9 million </w:t>
      </w:r>
      <w:r>
        <w:rPr>
          <w:rFonts w:ascii="Arial" w:cs="Arial" w:eastAsia="Arial" w:hAnsi="Arial"/>
          <w:sz w:val="18"/>
          <w:szCs w:val="18"/>
          <w:color w:val="000000"/>
        </w:rPr>
        <w:t>and the payment of employee payroll taxes related to the net share settlement of equity awards of</w:t>
      </w:r>
      <w:r>
        <w:rPr>
          <w:rFonts w:ascii="Arial" w:cs="Arial" w:eastAsia="Arial" w:hAnsi="Arial"/>
          <w:sz w:val="18"/>
          <w:szCs w:val="18"/>
          <w:color w:val="231F20"/>
        </w:rPr>
        <w:t xml:space="preserve"> $5.0 million, which were partially offset by the proceeds from the exercise of stock options of $4.7 million.</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the three months ended March 31, 2019, cash used in financing activities of $7.6 million was attributable to share repurchases of $7.9 million, the payment of employee payroll taxes related to the net share settlement of equity awards of $3.4 million, and principal payments under finance lease obligations of $0.4 million. These decreases were offset by the proceeds from the exercise of stock options of $4.0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w:t>
      </w:r>
      <w:r>
        <w:rPr>
          <w:rFonts w:ascii="Arial" w:cs="Arial" w:eastAsia="Arial" w:hAnsi="Arial"/>
          <w:sz w:val="18"/>
          <w:szCs w:val="18"/>
          <w:b w:val="1"/>
          <w:bCs w:val="1"/>
          <w:color w:val="000000"/>
        </w:rPr>
        <w:t>ontractual Obligation and Commitments</w:t>
      </w:r>
    </w:p>
    <w:p>
      <w:pPr>
        <w:spacing w:after="0" w:line="139"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18"/>
          <w:szCs w:val="18"/>
          <w:color w:val="auto"/>
        </w:rPr>
        <w:t>We presented our contractual obligations in our Annual Report on Form 10-K for the fiscal year ended December 31, 2019. Our contractual obligations consist of operating leases, purchase commitments, and other contractual obligations. There have been no material changes to these obligations outside the ordinary course of business during the three months ended March 31, 2020 as compared to the contractual obligations disclosed in the “Management’s Discussion and Analysis of Financial Condition and Results of Operations” section of our Annual Report on Form 10-K for the year ended December 31, 2019.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1"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2019, filed with the SEC on February 21, 2020, the accounting policies related to revenue recognition, leases, derivative instruments,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and INR, the currencies of countries where we currently have our most significant international operations. A portion of our invoicing is denominated in the Euro, GBP, Canadian Dollar and Japanese Yen. Our expenses in international locations are generally denominated in the currencies of the countries in which our operations are located.</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cash flow effects of our derivative contracts for the three months ended March 31, 2020 and 2019 were included within net cash provided by operating activities on our condensed consolidated statements of cash flows. As of March 31, 2020, we had 39 open designated cash flow hedge contracts with notional amounts of </w:t>
      </w:r>
      <w:r>
        <w:rPr>
          <w:rFonts w:ascii="Arial" w:cs="Arial" w:eastAsia="Arial" w:hAnsi="Arial"/>
          <w:sz w:val="18"/>
          <w:szCs w:val="18"/>
          <w:color w:val="231F20"/>
        </w:rPr>
        <w:t>€22.3 million</w:t>
      </w:r>
      <w:r>
        <w:rPr>
          <w:rFonts w:ascii="Arial" w:cs="Arial" w:eastAsia="Arial" w:hAnsi="Arial"/>
          <w:sz w:val="18"/>
          <w:szCs w:val="18"/>
          <w:color w:val="auto"/>
        </w:rPr>
        <w:t xml:space="preserve">, </w:t>
      </w:r>
      <w:r>
        <w:rPr>
          <w:rFonts w:ascii="Arial" w:cs="Arial" w:eastAsia="Arial" w:hAnsi="Arial"/>
          <w:sz w:val="18"/>
          <w:szCs w:val="18"/>
          <w:color w:val="231F20"/>
        </w:rPr>
        <w:t>£9.4 million</w:t>
      </w:r>
      <w:r>
        <w:rPr>
          <w:rFonts w:ascii="Arial" w:cs="Arial" w:eastAsia="Arial" w:hAnsi="Arial"/>
          <w:sz w:val="18"/>
          <w:szCs w:val="18"/>
          <w:color w:val="auto"/>
        </w:rPr>
        <w:t xml:space="preserve"> and Rs.1,560 million</w:t>
      </w:r>
      <w:r>
        <w:rPr>
          <w:rFonts w:ascii="Arial" w:cs="Arial" w:eastAsia="Arial" w:hAnsi="Arial"/>
          <w:sz w:val="18"/>
          <w:szCs w:val="18"/>
          <w:color w:val="231F20"/>
        </w:rPr>
        <w:t>. During the</w:t>
      </w:r>
      <w:r>
        <w:rPr>
          <w:rFonts w:ascii="Arial" w:cs="Arial" w:eastAsia="Arial" w:hAnsi="Arial"/>
          <w:sz w:val="18"/>
          <w:szCs w:val="18"/>
          <w:color w:val="auto"/>
        </w:rPr>
        <w:t xml:space="preserve"> three months ended March 31, 2020 </w:t>
      </w:r>
      <w:r>
        <w:rPr>
          <w:rFonts w:ascii="Arial" w:cs="Arial" w:eastAsia="Arial" w:hAnsi="Arial"/>
          <w:sz w:val="18"/>
          <w:szCs w:val="18"/>
          <w:color w:val="231F20"/>
        </w:rPr>
        <w:t>and 2019, we recorded unrealized foreign currency translation gains related to these contracts in AOCI of</w:t>
      </w:r>
      <w:r>
        <w:rPr>
          <w:rFonts w:ascii="Arial" w:cs="Arial" w:eastAsia="Arial" w:hAnsi="Arial"/>
          <w:sz w:val="18"/>
          <w:szCs w:val="18"/>
          <w:color w:val="auto"/>
        </w:rPr>
        <w:t xml:space="preserve"> $0.4 million </w:t>
      </w:r>
      <w:r>
        <w:rPr>
          <w:rFonts w:ascii="Arial" w:cs="Arial" w:eastAsia="Arial" w:hAnsi="Arial"/>
          <w:sz w:val="18"/>
          <w:szCs w:val="18"/>
          <w:color w:val="231F20"/>
        </w:rPr>
        <w:t>and $0.3</w:t>
      </w:r>
      <w:r>
        <w:rPr>
          <w:rFonts w:ascii="Arial" w:cs="Arial" w:eastAsia="Arial" w:hAnsi="Arial"/>
          <w:sz w:val="18"/>
          <w:szCs w:val="18"/>
          <w:color w:val="auto"/>
        </w:rPr>
        <w:t xml:space="preserve"> </w:t>
      </w:r>
      <w:r>
        <w:rPr>
          <w:rFonts w:ascii="Arial" w:cs="Arial" w:eastAsia="Arial" w:hAnsi="Arial"/>
          <w:sz w:val="18"/>
          <w:szCs w:val="18"/>
          <w:color w:val="231F20"/>
        </w:rPr>
        <w:t xml:space="preserve">million (before taxes), respectively. </w:t>
      </w:r>
      <w:r>
        <w:rPr>
          <w:rFonts w:ascii="Arial" w:cs="Arial" w:eastAsia="Arial" w:hAnsi="Arial"/>
          <w:sz w:val="18"/>
          <w:szCs w:val="18"/>
          <w:color w:val="000000"/>
        </w:rPr>
        <w:t>As of December 31, 2019, we had 26 open designated cash flow hedge contracts with notional amounts</w:t>
      </w:r>
      <w:r>
        <w:rPr>
          <w:rFonts w:ascii="Arial" w:cs="Arial" w:eastAsia="Arial" w:hAnsi="Arial"/>
          <w:sz w:val="18"/>
          <w:szCs w:val="18"/>
          <w:color w:val="231F20"/>
        </w:rPr>
        <w:t xml:space="preserve"> </w:t>
      </w:r>
      <w:r>
        <w:rPr>
          <w:rFonts w:ascii="Arial" w:cs="Arial" w:eastAsia="Arial" w:hAnsi="Arial"/>
          <w:sz w:val="18"/>
          <w:szCs w:val="18"/>
          <w:color w:val="000000"/>
        </w:rPr>
        <w:t>of €24.2 million and £9.7 million.</w:t>
      </w:r>
    </w:p>
    <w:p>
      <w:pPr>
        <w:spacing w:after="0" w:line="10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effect of an immediate 10% adverse change in foreign exchange rates would not be material to our financial condition, operating results or cash flows.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had $434.7 million in cash, cash equivalents and short-term and long-term marketable securities at March 31, 2020. Cash and cash equivalents include cash held in banks, highly liquid money market funds, U.S. government agency securities, commercial paper and corporate bonds. Marketable securities consist of fixed-income U.S.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March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2020, our Chief Executive Officer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Chief Financial Officer concluded that, as of such date, our disclosure controls and procedures were effective at the reasonable assurance level.</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The continued spread of COVID-19, or any similar widespread infectious disease outbreak, could harm our business, financial condition and results of operations.</w:t>
      </w:r>
    </w:p>
    <w:p>
      <w:pPr>
        <w:spacing w:after="0" w:line="67"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231F20"/>
        </w:rPr>
        <w:t>In December 2019, an outbreak of COVID-19 originated in Wuhan, China and has since spread to countries around the world. On March 11, 2020, the World Health Organization characterized COVID-19 as a pandemic. The spread of COVID-19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It is likely that the current outbreak and continued spread of COVID-19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04"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18"/>
          <w:szCs w:val="18"/>
          <w:color w:val="231F20"/>
        </w:rPr>
        <w:t>The ultimate extent of the impact of COVID-19 on our business, financial position, results of operations and cash flows will depend on future developments, which are highly uncertain and cannot be predicted at this time. These impacts, individually or in the aggregate, could have a material and adverse effect on our business, financial position, results of operations and cash flows. Such effect may be exacerbated in the event the outbreak and the measures taken in response to it persist for an extended period of time, or if there is a resurgence of the outbreak. Under any of these circumstances, the resumption of normal business operations may be delayed or hampered by lingering effects of COVID-19 on our operations, partners, and customers.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67"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231F20"/>
        </w:rPr>
        <w:t>We derived approximately 72% and 73% of our revenues from subscriptions to our VM solutions for the three months ended March 31, 2020 and 2019, respectively.</w:t>
      </w:r>
    </w:p>
    <w:p>
      <w:pPr>
        <w:spacing w:after="0" w:line="9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67" w:lineRule="exact"/>
        <w:rPr>
          <w:sz w:val="20"/>
          <w:szCs w:val="20"/>
          <w:color w:val="auto"/>
        </w:rPr>
      </w:pPr>
    </w:p>
    <w:p>
      <w:pPr>
        <w:ind w:firstLine="391"/>
        <w:spacing w:after="0" w:line="261"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3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For example, a Data Protection Act that substantially implements the European Union’s General Data Protection Regulation ("GDPR")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8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1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and compliance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providers that may be better established or have greater resources than we do, require additional investment of time and resources in the development and training of our channel partners and entail significant risk of failure.</w:t>
      </w:r>
    </w:p>
    <w:p>
      <w:pPr>
        <w:spacing w:after="0" w:line="9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Web Application Scanning, Web Application Firewall, CMDB Sync, Security Assessment Questionnaire, File Integrity Monitoring, Indication of Compromise, Global IT Asset Inventory, Security Configuration Assessment, Cloud Security Assessment, Certificate Inventory, Container Security and Patch Management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we spend significant resources on research and development and are unable to generate an adequate return on our investment, our business and results of operations may be materially and adversely affected.</w:t>
      </w:r>
    </w:p>
    <w:p>
      <w:pPr>
        <w:spacing w:after="0" w:line="2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and those of our service providers, may also suffer security incidents as a result of non-technical issues, including intentional or inadvertent acts or omissions by our employees or service providers.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9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67"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1"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Our IT,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8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0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w:t>
      </w:r>
      <w:r>
        <w:rPr>
          <w:rFonts w:ascii="Arial" w:cs="Arial" w:eastAsia="Arial" w:hAnsi="Arial"/>
          <w:sz w:val="18"/>
          <w:szCs w:val="18"/>
          <w:color w:val="auto"/>
        </w:rPr>
        <w:t xml:space="preserve"> </w:t>
      </w:r>
      <w:r>
        <w:rPr>
          <w:rFonts w:ascii="Arial" w:cs="Arial" w:eastAsia="Arial" w:hAnsi="Arial"/>
          <w:sz w:val="18"/>
          <w:szCs w:val="18"/>
          <w:color w:val="231F20"/>
        </w:rPr>
        <w:t>center facilities to provide additional capacity for our cloud platform and to enable disaster recovery. We continue to build out these facilities; however, these additional facilities may not be operational in the anticipated time frame and we may incur unplanned expenses.</w:t>
      </w:r>
    </w:p>
    <w:p>
      <w:pPr>
        <w:spacing w:after="0" w:line="9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67"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9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Belden (Tripwire), Broadcom (Symantec Enterprise Security), CrowdStrike, F5 Networks, FireEye, Forescout Technologies, International Business Machines, Micro Focus International, Rapid7, Palo Alto Networks, Tenable Holdings and VMware, as well as privately held security providers including Barracuda Networks, BeyondTrust Software, Flexera, Imperva, McAfee, Tanium, Trustwave Holdings, Venafi,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5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1"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GBP, Canadian Dollars, Japanese Yen and INR,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0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9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31F20"/>
        </w:rPr>
        <w:t>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solutions could harm our reputation, decrease market acceptance of our solutions or result in liability.</w:t>
      </w:r>
    </w:p>
    <w:p>
      <w:pPr>
        <w:spacing w:after="0" w:line="67"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02"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0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The CCPA has been amended on multiple occasions and is the subject of proposed regulations of the California Attorney General that were released on February 7, 2020. Aspects of the CCPA and its interpretation remain unclear. In addition, other states have enacted or proposed legislation that regulates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the collection, use, and sale of personal information, and such regimes might not be compatible with either the GDPR or the CCPA, or may require us to undertake additional practices. We cannot yet predict the impact of the CCPA or impending legislation on our business or operations, but it may require us to modify our data processing practices and policies and incur substantial costs and expenses in an effort to comply.</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U.S. and EU authorities reached a political agreement in February 2016 regarding a means for legitimizing personal data transfers from the EEA to the U.S., the EU-U.S. Privacy Shield Framework, replacing a prior program that was invalidated.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10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67"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11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as of March 31, 2020, approximately 70% of our employees were located outside of the United States, and 61%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1"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231F20"/>
        </w:rPr>
        <w:t>customers of the value of our solutions even in light of new technologies, our business could be harmed and our revenues may decline.</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2017</w:t>
      </w:r>
      <w:r>
        <w:rPr>
          <w:rFonts w:ascii="Arial" w:cs="Arial" w:eastAsia="Arial" w:hAnsi="Arial"/>
          <w:sz w:val="18"/>
          <w:szCs w:val="18"/>
          <w:color w:val="231F20"/>
        </w:rPr>
        <w:t xml:space="preserve"> to </w:t>
      </w:r>
      <w:r>
        <w:rPr>
          <w:rFonts w:ascii="Arial" w:cs="Arial" w:eastAsia="Arial" w:hAnsi="Arial"/>
          <w:sz w:val="18"/>
          <w:szCs w:val="18"/>
          <w:color w:val="000000"/>
        </w:rPr>
        <w:t>2019</w:t>
      </w:r>
      <w:r>
        <w:rPr>
          <w:rFonts w:ascii="Arial" w:cs="Arial" w:eastAsia="Arial" w:hAnsi="Arial"/>
          <w:sz w:val="18"/>
          <w:szCs w:val="18"/>
          <w:color w:val="231F20"/>
        </w:rPr>
        <w:t xml:space="preserve">, our revenues grew from $230.8 million to $321.6 million and our headcount increased from 684 employees at the beginning of </w:t>
      </w:r>
      <w:r>
        <w:rPr>
          <w:rFonts w:ascii="Arial" w:cs="Arial" w:eastAsia="Arial" w:hAnsi="Arial"/>
          <w:sz w:val="18"/>
          <w:szCs w:val="18"/>
          <w:color w:val="000000"/>
        </w:rPr>
        <w:t>2017</w:t>
      </w:r>
      <w:r>
        <w:rPr>
          <w:rFonts w:ascii="Arial" w:cs="Arial" w:eastAsia="Arial" w:hAnsi="Arial"/>
          <w:sz w:val="18"/>
          <w:szCs w:val="18"/>
          <w:color w:val="231F20"/>
        </w:rPr>
        <w:t xml:space="preserve"> to 1,322 employees as of March 31, 2020.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67"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three months ended March 31, 2020, we derived approximately </w:t>
      </w:r>
      <w:r>
        <w:rPr>
          <w:rFonts w:ascii="Arial" w:cs="Arial" w:eastAsia="Arial" w:hAnsi="Arial"/>
          <w:sz w:val="18"/>
          <w:szCs w:val="18"/>
          <w:color w:val="000000"/>
        </w:rPr>
        <w:t>42%</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0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0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three months ended March 31, 2020, we incurred approximately </w:t>
      </w:r>
      <w:r>
        <w:rPr>
          <w:rFonts w:ascii="Arial" w:cs="Arial" w:eastAsia="Arial" w:hAnsi="Arial"/>
          <w:sz w:val="18"/>
          <w:szCs w:val="18"/>
          <w:color w:val="000000"/>
        </w:rPr>
        <w:t>25%</w:t>
      </w:r>
      <w:r>
        <w:rPr>
          <w:rFonts w:ascii="Arial" w:cs="Arial" w:eastAsia="Arial" w:hAnsi="Arial"/>
          <w:sz w:val="18"/>
          <w:szCs w:val="18"/>
          <w:color w:val="231F20"/>
        </w:rPr>
        <w:t xml:space="preserve"> of our expenses outside of the United States in foreign currencies, primarily Euros, GBP, and INR, principally with respect to salaries and related personnel expenses associated with our European and Indian operations. Additionally, for the three months ended March 31, 2020, approximately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GBP and INR. The results of our operations may be adversely affected by foreign exchange fluctuations.</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67"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9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0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222222"/>
        </w:rPr>
        <w:t>December 31, 2019</w:t>
      </w:r>
      <w:r>
        <w:rPr>
          <w:rFonts w:ascii="Arial" w:cs="Arial" w:eastAsia="Arial" w:hAnsi="Arial"/>
          <w:sz w:val="18"/>
          <w:szCs w:val="18"/>
          <w:color w:val="231F20"/>
        </w:rPr>
        <w:t>, we had 18 issued patents and several pending U.S. patent applications, and we may file additional patent applications in the future. Additionally, we have an exclusive license to four third-party patents.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9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9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67"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are required under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139" w:lineRule="exact"/>
        <w:rPr>
          <w:sz w:val="20"/>
          <w:szCs w:val="20"/>
          <w:color w:val="auto"/>
        </w:rPr>
      </w:pPr>
    </w:p>
    <w:p>
      <w:pPr>
        <w:jc w:val="both"/>
        <w:ind w:firstLine="391"/>
        <w:spacing w:after="0" w:line="253"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67"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w:t>
      </w:r>
      <w:r>
        <w:rPr>
          <w:rFonts w:ascii="Arial" w:cs="Arial" w:eastAsia="Arial" w:hAnsi="Arial"/>
          <w:sz w:val="18"/>
          <w:szCs w:val="18"/>
          <w:color w:val="231F20"/>
        </w:rPr>
        <w:t xml:space="preserve"> </w:t>
      </w:r>
      <w:r>
        <w:rPr>
          <w:rFonts w:ascii="Arial" w:cs="Arial" w:eastAsia="Arial" w:hAnsi="Arial"/>
          <w:sz w:val="18"/>
          <w:szCs w:val="18"/>
          <w:color w:val="000000"/>
        </w:rPr>
        <w:t xml:space="preserve">by the Office of Foreign Assets Control. </w:t>
      </w:r>
      <w:r>
        <w:rPr>
          <w:rFonts w:ascii="Arial" w:cs="Arial" w:eastAsia="Arial" w:hAnsi="Arial"/>
          <w:sz w:val="18"/>
          <w:szCs w:val="18"/>
          <w:color w:val="231F20"/>
        </w:rPr>
        <w:t>We incorporate encryption technology into certain of our solutions. These encryption solutions and</w:t>
      </w:r>
      <w:r>
        <w:rPr>
          <w:rFonts w:ascii="Arial" w:cs="Arial" w:eastAsia="Arial" w:hAnsi="Arial"/>
          <w:sz w:val="18"/>
          <w:szCs w:val="18"/>
          <w:color w:val="000000"/>
        </w:rPr>
        <w:t xml:space="preserve"> </w:t>
      </w:r>
      <w:r>
        <w:rPr>
          <w:rFonts w:ascii="Arial" w:cs="Arial" w:eastAsia="Arial" w:hAnsi="Arial"/>
          <w:sz w:val="18"/>
          <w:szCs w:val="18"/>
          <w:color w:val="231F20"/>
        </w:rPr>
        <w:t>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139" w:lineRule="exact"/>
        <w:rPr>
          <w:sz w:val="20"/>
          <w:szCs w:val="20"/>
          <w:color w:val="auto"/>
        </w:rPr>
      </w:pPr>
    </w:p>
    <w:p>
      <w:pPr>
        <w:jc w:val="both"/>
        <w:ind w:firstLine="391"/>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Layered Insight on October 16, 2018, and Adya on January 10, 2019.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may still be viewed negatively by customers, financial markets or investors. </w:t>
      </w:r>
      <w:r>
        <w:rPr>
          <w:rFonts w:ascii="Arial" w:cs="Arial" w:eastAsia="Arial" w:hAnsi="Arial"/>
          <w:sz w:val="18"/>
          <w:szCs w:val="18"/>
          <w:color w:val="231F20"/>
        </w:rPr>
        <w:t>The acquisition and integration process is complex,</w:t>
      </w:r>
      <w:r>
        <w:rPr>
          <w:rFonts w:ascii="Arial" w:cs="Arial" w:eastAsia="Arial" w:hAnsi="Arial"/>
          <w:sz w:val="18"/>
          <w:szCs w:val="18"/>
          <w:color w:val="000000"/>
        </w:rPr>
        <w:t xml:space="preserve"> </w:t>
      </w:r>
      <w:r>
        <w:rPr>
          <w:rFonts w:ascii="Arial" w:cs="Arial" w:eastAsia="Arial" w:hAnsi="Arial"/>
          <w:sz w:val="18"/>
          <w:szCs w:val="18"/>
          <w:color w:val="231F20"/>
        </w:rPr>
        <w:t>expensive and time-consuming, and may cause an interruption of, or loss of momentum in, product development and sales activities and operations of both companies</w:t>
      </w:r>
      <w:r>
        <w:rPr>
          <w:rFonts w:ascii="Arial" w:cs="Arial" w:eastAsia="Arial" w:hAnsi="Arial"/>
          <w:sz w:val="18"/>
          <w:szCs w:val="18"/>
          <w:color w:val="000000"/>
        </w:rPr>
        <w:t>, as well as divert the attention of management, and we may incur substantial cost and expense. We may issue</w:t>
      </w:r>
      <w:r>
        <w:rPr>
          <w:rFonts w:ascii="Arial" w:cs="Arial" w:eastAsia="Arial" w:hAnsi="Arial"/>
          <w:sz w:val="18"/>
          <w:szCs w:val="18"/>
          <w:color w:val="231F20"/>
        </w:rPr>
        <w:t xml:space="preserve"> </w:t>
      </w:r>
      <w:r>
        <w:rPr>
          <w:rFonts w:ascii="Arial" w:cs="Arial" w:eastAsia="Arial" w:hAnsi="Arial"/>
          <w:sz w:val="18"/>
          <w:szCs w:val="18"/>
          <w:color w:val="000000"/>
        </w:rPr>
        <w:t xml:space="preserve">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w:t>
      </w:r>
      <w:r>
        <w:rPr>
          <w:rFonts w:ascii="Arial" w:cs="Arial" w:eastAsia="Arial" w:hAnsi="Arial"/>
          <w:sz w:val="18"/>
          <w:szCs w:val="18"/>
          <w:color w:val="000000"/>
        </w:rPr>
        <w:t xml:space="preserve"> </w:t>
      </w:r>
      <w:r>
        <w:rPr>
          <w:rFonts w:ascii="Arial" w:cs="Arial" w:eastAsia="Arial" w:hAnsi="Arial"/>
          <w:sz w:val="18"/>
          <w:szCs w:val="18"/>
          <w:color w:val="231F20"/>
        </w:rPr>
        <w:t>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67"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31F20"/>
        </w:rPr>
        <w:t>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67"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w:t>
      </w:r>
      <w:r>
        <w:rPr>
          <w:rFonts w:ascii="Arial" w:cs="Arial" w:eastAsia="Arial" w:hAnsi="Arial"/>
          <w:sz w:val="18"/>
          <w:szCs w:val="18"/>
          <w:color w:val="231F20"/>
        </w:rPr>
        <w:t xml:space="preserve"> </w:t>
      </w:r>
      <w:r>
        <w:rPr>
          <w:rFonts w:ascii="Arial" w:cs="Arial" w:eastAsia="Arial" w:hAnsi="Arial"/>
          <w:sz w:val="18"/>
          <w:szCs w:val="18"/>
          <w:color w:val="000000"/>
        </w:rPr>
        <w:t xml:space="preserve">retroactively affect previously reported transactions. </w:t>
      </w:r>
      <w:r>
        <w:rPr>
          <w:rFonts w:ascii="Arial" w:cs="Arial" w:eastAsia="Arial" w:hAnsi="Arial"/>
          <w:sz w:val="18"/>
          <w:szCs w:val="18"/>
          <w:color w:val="231F20"/>
        </w:rPr>
        <w:t>New accounting pronouncements and varying interpretations of accounting</w:t>
      </w:r>
      <w:r>
        <w:rPr>
          <w:rFonts w:ascii="Arial" w:cs="Arial" w:eastAsia="Arial" w:hAnsi="Arial"/>
          <w:sz w:val="18"/>
          <w:szCs w:val="18"/>
          <w:color w:val="000000"/>
        </w:rPr>
        <w:t xml:space="preserve"> </w:t>
      </w:r>
      <w:r>
        <w:rPr>
          <w:rFonts w:ascii="Arial" w:cs="Arial" w:eastAsia="Arial" w:hAnsi="Arial"/>
          <w:sz w:val="18"/>
          <w:szCs w:val="18"/>
          <w:color w:val="231F20"/>
        </w:rPr>
        <w:t xml:space="preserve">pronouncements have occurred and may occur in the future. Changes to existing rules or the questioning of current practices may harm our operating results or </w:t>
      </w:r>
      <w:r>
        <w:rPr>
          <w:rFonts w:ascii="Arial" w:cs="Arial" w:eastAsia="Arial" w:hAnsi="Arial"/>
          <w:sz w:val="18"/>
          <w:szCs w:val="18"/>
          <w:color w:val="000000"/>
        </w:rPr>
        <w:t>require that we make significant changes to our systems, processes and controls</w:t>
      </w:r>
      <w:r>
        <w:rPr>
          <w:rFonts w:ascii="Arial" w:cs="Arial" w:eastAsia="Arial" w:hAnsi="Arial"/>
          <w:sz w:val="18"/>
          <w:szCs w:val="18"/>
          <w:color w:val="231F20"/>
        </w:rPr>
        <w:t xml:space="preserve"> or the way we conduct our business.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$5.0 million and $2.1 million, respectively, as of December 31, 2019. Increases in our effective tax rate could harm our operating results.</w:t>
      </w:r>
    </w:p>
    <w:p>
      <w:pPr>
        <w:spacing w:after="0" w:line="10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6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9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U.S. GAAP. Our </w:t>
      </w:r>
      <w:r>
        <w:rPr>
          <w:rFonts w:ascii="Arial" w:cs="Arial" w:eastAsia="Arial" w:hAnsi="Arial"/>
          <w:sz w:val="18"/>
          <w:szCs w:val="18"/>
          <w:color w:val="231F20"/>
        </w:rPr>
        <w:t>current controls and any new controls that we</w:t>
      </w:r>
      <w:r>
        <w:rPr>
          <w:rFonts w:ascii="Arial" w:cs="Arial" w:eastAsia="Arial" w:hAnsi="Arial"/>
          <w:sz w:val="18"/>
          <w:szCs w:val="18"/>
          <w:color w:val="000000"/>
        </w:rPr>
        <w:t xml:space="preserve"> </w:t>
      </w:r>
      <w:r>
        <w:rPr>
          <w:rFonts w:ascii="Arial" w:cs="Arial" w:eastAsia="Arial" w:hAnsi="Arial"/>
          <w:sz w:val="18"/>
          <w:szCs w:val="18"/>
          <w:color w:val="231F20"/>
        </w:rPr>
        <w:t>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2019,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13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6" w:lineRule="exact"/>
        <w:rPr>
          <w:sz w:val="20"/>
          <w:szCs w:val="20"/>
          <w:color w:val="auto"/>
        </w:rPr>
      </w:pPr>
    </w:p>
    <w:p>
      <w:pPr>
        <w:ind w:left="660" w:hanging="328"/>
        <w:spacing w:after="0" w:line="3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1"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58"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9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6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As </w:t>
      </w:r>
      <w:r>
        <w:rPr>
          <w:rFonts w:ascii="Arial" w:cs="Arial" w:eastAsia="Arial" w:hAnsi="Arial"/>
          <w:sz w:val="18"/>
          <w:szCs w:val="18"/>
          <w:color w:val="000000"/>
        </w:rPr>
        <w:t>of March 31, 2020, our e</w:t>
      </w:r>
      <w:r>
        <w:rPr>
          <w:rFonts w:ascii="Arial" w:cs="Arial" w:eastAsia="Arial" w:hAnsi="Arial"/>
          <w:sz w:val="18"/>
          <w:szCs w:val="18"/>
          <w:color w:val="231F20"/>
        </w:rPr>
        <w:t>xecutive officers, directors and holders of 10% or more of our outstanding common stock beneficially owned, in the aggregate, approximately 30%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31F20"/>
        </w:rPr>
        <w:t>number of shares intend to sell their shares. As of March 31, 2020, we had approximately 39.0 million shares of our common stock outstanding.</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March 31, 2020, there were approximately 1.1 million restricted stock units and options to purchase approximately 2.8 million shares of our common stock outstanding. If such options are exercised and restricted stock units are released, these additional shares will become available for sale. As of March 31, 2020, we had an aggregate of 7.2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67" w:lineRule="exact"/>
        <w:rPr>
          <w:sz w:val="20"/>
          <w:szCs w:val="20"/>
          <w:color w:val="auto"/>
        </w:rPr>
      </w:pPr>
    </w:p>
    <w:p>
      <w:pPr>
        <w:jc w:val="both"/>
        <w:ind w:firstLine="391"/>
        <w:spacing w:after="0" w:line="252" w:lineRule="auto"/>
        <w:rPr>
          <w:sz w:val="20"/>
          <w:szCs w:val="20"/>
          <w:color w:val="auto"/>
        </w:rPr>
      </w:pPr>
      <w:r>
        <w:rPr>
          <w:rFonts w:ascii="Arial" w:cs="Arial" w:eastAsia="Arial" w:hAnsi="Arial"/>
          <w:sz w:val="18"/>
          <w:szCs w:val="18"/>
          <w:color w:val="231F20"/>
        </w:rPr>
        <w:t>In February 2018, we announced a $100.0 million stock repurchase program. In October 2018, October 2019 and May 2020, we announced that our authorization under this program had increased by $100.0 million, $100.0 million and $100.0 million, respectively.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three months ended March 31, 2020, we repurchased 346,250 shares of our common stock for an aggregate purchase price of approximately $28.9 million. As of March 31, 2020, approximately $99.6 million remained available for share repurchases pursuant to our stock repurchase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139"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90"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11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February 5, 2018, our board of directors authorized a $100.0 million two-year share repurchase program, which was announced on February 12, 2018. On October 30, 2018, October 30, 2019 and May 7, 2020, we announced that our board of directors had authorized an increase of $100.0 million, $100.0 million and $100.0 million, respectively, to the original share repurchase program authorization, resulting in an aggregate authorization of $400.0 million. Shares may be repurchased from time to time on the open market in accordance with Rule 10b-18 of the Exchange Act of 1934, including pursuant to a pre-set trading plan adopted in accordance with Rule 10b5-1 under the Exchange Act, until April 28, 2020.</w:t>
      </w:r>
    </w:p>
    <w:p>
      <w:pPr>
        <w:spacing w:after="0" w:line="20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three months ended March 31, 2020, we repurchased 346,250 shares of common stock for approximately $28.9 million. All share repurchases were made using cash resources. As of March 31, 2020, approximately $99.6 million remained available for share repurchases pursuant to our share repurchase program.</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the three months ended March 31, 2020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w:t>
            </w:r>
          </w:p>
        </w:tc>
      </w:t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jc w:val="center"/>
              <w:ind w:right="83"/>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 Plan or</w:t>
            </w:r>
          </w:p>
        </w:tc>
        <w:tc>
          <w:tcPr>
            <w:tcW w:w="120" w:type="dxa"/>
            <w:vAlign w:val="bottom"/>
          </w:tcPr>
          <w:p>
            <w:pPr>
              <w:spacing w:after="0"/>
              <w:rPr>
                <w:sz w:val="14"/>
                <w:szCs w:val="14"/>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under the Plan or</w:t>
            </w: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Program</w:t>
            </w:r>
          </w:p>
        </w:tc>
      </w:tr>
      <w:tr>
        <w:trPr>
          <w:trHeight w:val="256"/>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 January 31, 2020</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106,250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85.41</w:t>
            </w: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106,250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119,456,509</w:t>
            </w:r>
          </w:p>
        </w:tc>
      </w:tr>
      <w:tr>
        <w:trPr>
          <w:trHeight w:val="260"/>
        </w:trPr>
        <w:tc>
          <w:tcPr>
            <w:tcW w:w="4280" w:type="dxa"/>
            <w:vAlign w:val="bottom"/>
          </w:tcPr>
          <w:p>
            <w:pPr>
              <w:ind w:left="40"/>
              <w:spacing w:after="0"/>
              <w:rPr>
                <w:sz w:val="20"/>
                <w:szCs w:val="20"/>
                <w:color w:val="auto"/>
              </w:rPr>
            </w:pPr>
            <w:r>
              <w:rPr>
                <w:rFonts w:ascii="Arial" w:cs="Arial" w:eastAsia="Arial" w:hAnsi="Arial"/>
                <w:sz w:val="16"/>
                <w:szCs w:val="16"/>
                <w:color w:val="auto"/>
              </w:rPr>
              <w:t>February 1 - February 29, 2020</w:t>
            </w:r>
          </w:p>
        </w:tc>
        <w:tc>
          <w:tcPr>
            <w:tcW w:w="1380" w:type="dxa"/>
            <w:vAlign w:val="bottom"/>
            <w:gridSpan w:val="2"/>
          </w:tcPr>
          <w:p>
            <w:pPr>
              <w:jc w:val="right"/>
              <w:ind w:right="48"/>
              <w:spacing w:after="0"/>
              <w:rPr>
                <w:sz w:val="20"/>
                <w:szCs w:val="20"/>
                <w:color w:val="auto"/>
              </w:rPr>
            </w:pPr>
            <w:r>
              <w:rPr>
                <w:rFonts w:ascii="Arial" w:cs="Arial" w:eastAsia="Arial" w:hAnsi="Arial"/>
                <w:sz w:val="16"/>
                <w:szCs w:val="16"/>
                <w:color w:val="auto"/>
              </w:rPr>
              <w:t>106,000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88.27</w:t>
            </w:r>
          </w:p>
        </w:tc>
        <w:tc>
          <w:tcPr>
            <w:tcW w:w="120" w:type="dxa"/>
            <w:vAlign w:val="bottom"/>
          </w:tcPr>
          <w:p>
            <w:pPr>
              <w:spacing w:after="0"/>
              <w:rPr>
                <w:sz w:val="22"/>
                <w:szCs w:val="22"/>
                <w:color w:val="auto"/>
              </w:rPr>
            </w:pPr>
          </w:p>
        </w:tc>
        <w:tc>
          <w:tcPr>
            <w:tcW w:w="2000" w:type="dxa"/>
            <w:vAlign w:val="bottom"/>
          </w:tcPr>
          <w:p>
            <w:pPr>
              <w:jc w:val="right"/>
              <w:ind w:right="24"/>
              <w:spacing w:after="0"/>
              <w:rPr>
                <w:sz w:val="20"/>
                <w:szCs w:val="20"/>
                <w:color w:val="auto"/>
              </w:rPr>
            </w:pPr>
            <w:r>
              <w:rPr>
                <w:rFonts w:ascii="Arial" w:cs="Arial" w:eastAsia="Arial" w:hAnsi="Arial"/>
                <w:sz w:val="16"/>
                <w:szCs w:val="16"/>
                <w:color w:val="auto"/>
              </w:rPr>
              <w:t>106,000</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3"/>
              <w:spacing w:after="0"/>
              <w:rPr>
                <w:sz w:val="20"/>
                <w:szCs w:val="20"/>
                <w:color w:val="auto"/>
              </w:rPr>
            </w:pPr>
            <w:r>
              <w:rPr>
                <w:rFonts w:ascii="Arial" w:cs="Arial" w:eastAsia="Arial" w:hAnsi="Arial"/>
                <w:sz w:val="16"/>
                <w:szCs w:val="16"/>
                <w:color w:val="auto"/>
              </w:rPr>
              <w:t>110,100,154</w:t>
            </w:r>
          </w:p>
        </w:tc>
      </w:tr>
      <w:tr>
        <w:trPr>
          <w:trHeight w:val="273"/>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1 - March 31, 2020</w:t>
            </w:r>
          </w:p>
        </w:tc>
        <w:tc>
          <w:tcPr>
            <w:tcW w:w="138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134,000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78.00</w:t>
            </w:r>
          </w:p>
        </w:tc>
        <w:tc>
          <w:tcPr>
            <w:tcW w:w="12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134,000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99,605,716</w:t>
            </w:r>
          </w:p>
        </w:tc>
      </w:tr>
      <w:tr>
        <w:trPr>
          <w:trHeight w:val="267"/>
        </w:trPr>
        <w:tc>
          <w:tcPr>
            <w:tcW w:w="428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346,250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346,250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231F20"/>
        </w:rPr>
        <w:t>Item 6. Exhibits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54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5983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46" w:lineRule="exact"/>
        <w:rPr>
          <w:sz w:val="20"/>
          <w:szCs w:val="20"/>
          <w:color w:val="auto"/>
        </w:rPr>
      </w:pPr>
    </w:p>
    <w:p>
      <w:pPr>
        <w:ind w:right="240"/>
        <w:spacing w:after="0" w:line="246" w:lineRule="auto"/>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of Chief Executive Officer pursuant to Rule 13a-14(a) or Rule 15d-14(a) of the Securities Exchange Act</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of 1934, as adopted pursuant to Section 302 of The Sarbanes-Oxley Act of 2002.</w:t>
        </w:r>
      </w:hyperlink>
    </w:p>
    <w:p>
      <w:pPr>
        <w:spacing w:after="0" w:line="237" w:lineRule="exact"/>
        <w:rPr>
          <w:sz w:val="20"/>
          <w:szCs w:val="20"/>
          <w:color w:val="auto"/>
        </w:rPr>
      </w:pPr>
    </w:p>
    <w:p>
      <w:pPr>
        <w:ind w:right="100"/>
        <w:spacing w:after="0" w:line="246"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40"/>
        <w:spacing w:after="0" w:line="246" w:lineRule="auto"/>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Certification of Chief Executive Officer pursuant to Rule 13a-14(b) or Rule 15d-14(b) of the Securities Exchange Act</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of 1934 and 18 U.S.C. Section 1350 as adopted pursuant to Section 906 of The Sarbanes-Oxley Act of 2002.</w:t>
        </w:r>
      </w:hyperlink>
    </w:p>
    <w:p>
      <w:pPr>
        <w:spacing w:after="0" w:line="197" w:lineRule="exact"/>
        <w:rPr>
          <w:sz w:val="20"/>
          <w:szCs w:val="20"/>
          <w:color w:val="auto"/>
        </w:rPr>
      </w:pPr>
    </w:p>
    <w:p>
      <w:pPr>
        <w:sectPr>
          <w:pgSz w:w="11900" w:h="16838" w:orient="portrait"/>
          <w:cols w:equalWidth="0" w:num="2">
            <w:col w:w="1360" w:space="460"/>
            <w:col w:w="9420"/>
          </w:cols>
          <w:pgMar w:left="320" w:top="333" w:right="339" w:bottom="1440" w:gutter="0" w:footer="0" w:header="0"/>
        </w:sect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INS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46" w:lineRule="auto"/>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66">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37" w:lineRule="exact"/>
        <w:rPr>
          <w:sz w:val="20"/>
          <w:szCs w:val="20"/>
          <w:color w:val="auto"/>
        </w:rPr>
      </w:pPr>
    </w:p>
    <w:p>
      <w:pPr>
        <w:ind w:left="320" w:right="120" w:hanging="323"/>
        <w:spacing w:after="0" w:line="246" w:lineRule="auto"/>
        <w:rPr>
          <w:sz w:val="20"/>
          <w:szCs w:val="20"/>
          <w:color w:val="auto"/>
        </w:rPr>
      </w:pPr>
      <w:r>
        <w:rPr>
          <w:rFonts w:ascii="Arial" w:cs="Arial" w:eastAsia="Arial" w:hAnsi="Arial"/>
          <w:sz w:val="18"/>
          <w:szCs w:val="18"/>
          <w:color w:val="231F20"/>
        </w:rPr>
        <w:t>XBRL Instance Document - the instance document does not appear in the interactive data file because its XBRL tags are embedded within the inline XBRL document.</w:t>
      </w:r>
    </w:p>
    <w:p>
      <w:pPr>
        <w:spacing w:after="0" w:line="156" w:lineRule="exact"/>
        <w:rPr>
          <w:sz w:val="20"/>
          <w:szCs w:val="20"/>
          <w:color w:val="auto"/>
        </w:rPr>
      </w:pPr>
    </w:p>
    <w:p>
      <w:pPr>
        <w:sectPr>
          <w:pgSz w:w="11900" w:h="16838" w:orient="portrait"/>
          <w:cols w:equalWidth="0" w:num="2">
            <w:col w:w="1180" w:space="640"/>
            <w:col w:w="9420"/>
          </w:cols>
          <w:pgMar w:left="320" w:top="333" w:right="339" w:bottom="1440" w:gutter="0" w:footer="0" w:header="0"/>
          <w:type w:val="continuous"/>
        </w:sectPr>
      </w:pPr>
    </w:p>
    <w:tbl>
      <w:tblPr>
        <w:tblLayout w:type="fixed"/>
        <w:tblInd w:w="52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8"/>
                <w:szCs w:val="18"/>
                <w:color w:val="auto"/>
              </w:rPr>
              <w:t>101 SCH</w:t>
            </w:r>
          </w:p>
        </w:tc>
        <w:tc>
          <w:tcPr>
            <w:tcW w:w="5200" w:type="dxa"/>
            <w:vAlign w:val="bottom"/>
            <w:vMerge w:val="restart"/>
          </w:tcPr>
          <w:p>
            <w:pPr>
              <w:ind w:left="280"/>
              <w:spacing w:after="0"/>
              <w:rPr>
                <w:sz w:val="20"/>
                <w:szCs w:val="20"/>
                <w:color w:val="auto"/>
              </w:rPr>
            </w:pPr>
            <w:r>
              <w:rPr>
                <w:rFonts w:ascii="Arial" w:cs="Arial" w:eastAsia="Arial" w:hAnsi="Arial"/>
                <w:sz w:val="18"/>
                <w:szCs w:val="18"/>
                <w:color w:val="231F20"/>
              </w:rPr>
              <w:t>XBRL Taxonomy Extension Schema Document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0"/>
                <w:szCs w:val="20"/>
                <w:color w:val="auto"/>
              </w:rPr>
            </w:pPr>
            <w:r>
              <w:rPr>
                <w:rFonts w:ascii="Arial" w:cs="Arial" w:eastAsia="Arial" w:hAnsi="Arial"/>
                <w:sz w:val="18"/>
                <w:szCs w:val="18"/>
                <w:color w:val="auto"/>
              </w:rPr>
              <w:t>101 CAL</w:t>
            </w:r>
          </w:p>
        </w:tc>
        <w:tc>
          <w:tcPr>
            <w:tcW w:w="5200" w:type="dxa"/>
            <w:vAlign w:val="bottom"/>
            <w:vMerge w:val="restart"/>
          </w:tcPr>
          <w:p>
            <w:pPr>
              <w:ind w:left="280"/>
              <w:spacing w:after="0"/>
              <w:rPr>
                <w:sz w:val="20"/>
                <w:szCs w:val="20"/>
                <w:color w:val="auto"/>
              </w:rPr>
            </w:pPr>
            <w:r>
              <w:rPr>
                <w:rFonts w:ascii="Arial" w:cs="Arial" w:eastAsia="Arial" w:hAnsi="Arial"/>
                <w:sz w:val="18"/>
                <w:szCs w:val="18"/>
                <w:color w:val="231F20"/>
              </w:rPr>
              <w:t>XBRL Taxonomy Extension Calculation Linkbase Document.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0"/>
                <w:szCs w:val="20"/>
                <w:color w:val="auto"/>
              </w:rPr>
            </w:pPr>
            <w:r>
              <w:rPr>
                <w:rFonts w:ascii="Arial" w:cs="Arial" w:eastAsia="Arial" w:hAnsi="Arial"/>
                <w:sz w:val="18"/>
                <w:szCs w:val="18"/>
                <w:color w:val="auto"/>
              </w:rPr>
              <w:t>101 DEF</w:t>
            </w:r>
          </w:p>
        </w:tc>
        <w:tc>
          <w:tcPr>
            <w:tcW w:w="5200" w:type="dxa"/>
            <w:vAlign w:val="bottom"/>
            <w:vMerge w:val="restart"/>
          </w:tcPr>
          <w:p>
            <w:pPr>
              <w:ind w:left="280"/>
              <w:spacing w:after="0"/>
              <w:rPr>
                <w:sz w:val="20"/>
                <w:szCs w:val="20"/>
                <w:color w:val="auto"/>
              </w:rPr>
            </w:pPr>
            <w:r>
              <w:rPr>
                <w:rFonts w:ascii="Arial" w:cs="Arial" w:eastAsia="Arial" w:hAnsi="Arial"/>
                <w:sz w:val="18"/>
                <w:szCs w:val="18"/>
                <w:color w:val="231F20"/>
              </w:rPr>
              <w:t>XBRL Taxonomy Extension Definition Linkbase Document.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0"/>
                <w:szCs w:val="20"/>
                <w:color w:val="auto"/>
              </w:rPr>
            </w:pPr>
            <w:r>
              <w:rPr>
                <w:rFonts w:ascii="Arial" w:cs="Arial" w:eastAsia="Arial" w:hAnsi="Arial"/>
                <w:sz w:val="18"/>
                <w:szCs w:val="18"/>
                <w:color w:val="auto"/>
              </w:rPr>
              <w:t>101 LAB</w:t>
            </w:r>
          </w:p>
        </w:tc>
        <w:tc>
          <w:tcPr>
            <w:tcW w:w="5200" w:type="dxa"/>
            <w:vAlign w:val="bottom"/>
            <w:vMerge w:val="restart"/>
          </w:tcPr>
          <w:p>
            <w:pPr>
              <w:ind w:left="280"/>
              <w:spacing w:after="0"/>
              <w:rPr>
                <w:sz w:val="20"/>
                <w:szCs w:val="20"/>
                <w:color w:val="auto"/>
              </w:rPr>
            </w:pPr>
            <w:r>
              <w:rPr>
                <w:rFonts w:ascii="Arial" w:cs="Arial" w:eastAsia="Arial" w:hAnsi="Arial"/>
                <w:sz w:val="18"/>
                <w:szCs w:val="18"/>
                <w:color w:val="231F20"/>
              </w:rPr>
              <w:t>XBRL Taxonomy Extension Labels Linkbase Document.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0"/>
                <w:szCs w:val="20"/>
                <w:color w:val="auto"/>
              </w:rPr>
            </w:pPr>
            <w:r>
              <w:rPr>
                <w:rFonts w:ascii="Arial" w:cs="Arial" w:eastAsia="Arial" w:hAnsi="Arial"/>
                <w:sz w:val="18"/>
                <w:szCs w:val="18"/>
                <w:color w:val="auto"/>
              </w:rPr>
              <w:t>101 PRE</w:t>
            </w:r>
          </w:p>
        </w:tc>
        <w:tc>
          <w:tcPr>
            <w:tcW w:w="5200" w:type="dxa"/>
            <w:vAlign w:val="bottom"/>
            <w:vMerge w:val="restart"/>
          </w:tcPr>
          <w:p>
            <w:pPr>
              <w:ind w:left="280"/>
              <w:spacing w:after="0"/>
              <w:rPr>
                <w:sz w:val="20"/>
                <w:szCs w:val="20"/>
                <w:color w:val="auto"/>
              </w:rPr>
            </w:pPr>
            <w:r>
              <w:rPr>
                <w:rFonts w:ascii="Arial" w:cs="Arial" w:eastAsia="Arial" w:hAnsi="Arial"/>
                <w:sz w:val="18"/>
                <w:szCs w:val="18"/>
                <w:color w:val="231F20"/>
                <w:w w:val="98"/>
              </w:rPr>
              <w:t>XBRL Taxonomy Extension Presentation Linkbase Document.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5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820" w:hanging="1299"/>
        <w:spacing w:after="0"/>
        <w:tabs>
          <w:tab w:leader="none" w:pos="1820" w:val="left"/>
        </w:tabs>
        <w:numPr>
          <w:ilvl w:val="1"/>
          <w:numId w:val="16"/>
        </w:numPr>
        <w:rPr>
          <w:rFonts w:ascii="Arial" w:cs="Arial" w:eastAsia="Arial" w:hAnsi="Arial"/>
          <w:sz w:val="36"/>
          <w:szCs w:val="36"/>
          <w:color w:val="auto"/>
          <w:vertAlign w:val="superscript"/>
        </w:rPr>
      </w:pPr>
      <w:r>
        <w:rPr>
          <w:rFonts w:ascii="Arial" w:cs="Arial" w:eastAsia="Arial" w:hAnsi="Arial"/>
          <w:sz w:val="18"/>
          <w:szCs w:val="18"/>
          <w:color w:val="231F20"/>
        </w:rPr>
        <w:t>Cover Page Interactive Data File - formatted in Inline XBRL and included as Exhibit 101</w:t>
      </w:r>
    </w:p>
    <w:p>
      <w:pPr>
        <w:spacing w:after="0" w:line="255" w:lineRule="exact"/>
        <w:rPr>
          <w:rFonts w:ascii="Arial" w:cs="Arial" w:eastAsia="Arial" w:hAnsi="Arial"/>
          <w:sz w:val="36"/>
          <w:szCs w:val="36"/>
          <w:color w:val="auto"/>
          <w:vertAlign w:val="superscript"/>
        </w:rPr>
      </w:pPr>
    </w:p>
    <w:p>
      <w:pPr>
        <w:jc w:val="both"/>
        <w:ind w:left="500" w:hanging="6"/>
        <w:spacing w:after="0" w:line="254" w:lineRule="auto"/>
        <w:tabs>
          <w:tab w:leader="none" w:pos="8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33" w:right="3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1"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May 7, 2020.</w:t>
      </w:r>
    </w:p>
    <w:p>
      <w:pPr>
        <w:spacing w:after="0" w:line="338"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26035</wp:posOffset>
            </wp:positionV>
            <wp:extent cx="2357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Philippe F. Courtot</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 Chairman and Chief Executive Officer</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executive officer)</w:t>
      </w:r>
    </w:p>
    <w:p>
      <w:pPr>
        <w:spacing w:after="0" w:line="199"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26035</wp:posOffset>
            </wp:positionV>
            <wp:extent cx="2357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3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right="20" w:hanging="324"/>
        <w:spacing w:after="0" w:line="261" w:lineRule="auto"/>
        <w:tabs>
          <w:tab w:leader="none" w:pos="9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7, 2020</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3068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240"/>
          </w:cols>
          <w:pgMar w:left="320" w:top="56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right="20" w:hanging="324"/>
        <w:spacing w:after="0" w:line="261" w:lineRule="auto"/>
        <w:tabs>
          <w:tab w:leader="none" w:pos="9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7, 2020</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3068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240"/>
          </w:cols>
          <w:pgMar w:left="320" w:top="562"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2020, as filed with the Securities and Exchange Commission on the date hereof (the “Report”), I, Philippe F. Courtot, Chairman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firstLine="571"/>
        <w:spacing w:after="0" w:line="261" w:lineRule="auto"/>
        <w:tabs>
          <w:tab w:leader="none" w:pos="8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7, 2020</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3068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240"/>
          </w:cols>
          <w:pgMar w:left="320" w:top="56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2020,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firstLine="571"/>
        <w:spacing w:after="0" w:line="261" w:lineRule="auto"/>
        <w:tabs>
          <w:tab w:leader="none" w:pos="83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May 7, 2020</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3068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(Principal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240"/>
      </w:cols>
      <w:pgMar w:left="320" w:top="5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decimal"/>
      <w:start w:val="2"/>
    </w:lvl>
  </w:abstractNum>
  <w:abstractNum w:abstractNumId="19">
    <w:nsid w:val="62BBD95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2020-05-07T16:21:31Z</dcterms:created>
  <dcterms:modified xsi:type="dcterms:W3CDTF">2020-05-07T16:21:31Z</dcterms:modified>
</cp:coreProperties>
</file>