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700" w:hanging="66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2012</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49" w:right="239" w:bottom="249"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420"/>
          </w:cols>
          <w:pgMar w:left="240" w:top="249" w:right="239" w:bottom="249"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249"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249" w:gutter="0" w:footer="0" w:header="0"/>
          <w:type w:val="continuous"/>
        </w:sect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840"/>
          </w:cols>
          <w:pgMar w:left="240" w:top="249" w:right="239" w:bottom="249"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3000"/>
          </w:cols>
          <w:pgMar w:left="240" w:top="249" w:right="239" w:bottom="249" w:gutter="0" w:footer="0" w:header="0"/>
          <w:type w:val="continuous"/>
        </w:sectPr>
      </w:pPr>
    </w:p>
    <w:p>
      <w:pPr>
        <w:ind w:left="13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82" w:lineRule="exact"/>
        <w:rPr>
          <w:sz w:val="24"/>
          <w:szCs w:val="24"/>
          <w:color w:val="auto"/>
        </w:rPr>
      </w:pPr>
    </w:p>
    <w:p>
      <w:pPr>
        <w:sectPr>
          <w:pgSz w:w="11900" w:h="16838" w:orient="portrait"/>
          <w:cols w:equalWidth="0" w:num="2">
            <w:col w:w="7480" w:space="720"/>
            <w:col w:w="3220"/>
          </w:cols>
          <w:pgMar w:left="240" w:top="249" w:right="239" w:bottom="249"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1600 Bridge Parkway, Redwood City, California 94065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ectPr>
          <w:pgSz w:w="11900" w:h="16838" w:orient="portrait"/>
          <w:cols w:equalWidth="0" w:num="1">
            <w:col w:w="11420"/>
          </w:cols>
          <w:pgMar w:left="240" w:top="249" w:right="239" w:bottom="249" w:gutter="0" w:footer="0" w:header="0"/>
          <w:type w:val="continuous"/>
        </w:sect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4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4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22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From 10-K or any amendment to this Form 10-K. x</w:t>
      </w:r>
    </w:p>
    <w:p>
      <w:pPr>
        <w:spacing w:after="0" w:line="161" w:lineRule="exact"/>
        <w:rPr>
          <w:sz w:val="24"/>
          <w:szCs w:val="24"/>
          <w:color w:val="auto"/>
        </w:rPr>
      </w:pPr>
    </w:p>
    <w:p>
      <w:pPr>
        <w:ind w:right="160"/>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49" w:right="239" w:bottom="249" w:gutter="0" w:footer="0" w:header="0"/>
          <w:type w:val="continuous"/>
        </w:sectPr>
      </w:pPr>
    </w:p>
    <w:p>
      <w:pPr>
        <w:spacing w:after="0" w:line="1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84" w:lineRule="exact"/>
        <w:rPr>
          <w:sz w:val="24"/>
          <w:szCs w:val="24"/>
          <w:color w:val="auto"/>
        </w:rPr>
      </w:pPr>
    </w:p>
    <w:p>
      <w:pPr>
        <w:sectPr>
          <w:pgSz w:w="11900" w:h="16838" w:orient="portrait"/>
          <w:cols w:equalWidth="0" w:num="8">
            <w:col w:w="1660" w:space="720"/>
            <w:col w:w="80" w:space="560"/>
            <w:col w:w="1260" w:space="720"/>
            <w:col w:w="80" w:space="580"/>
            <w:col w:w="1480" w:space="700"/>
            <w:col w:w="80" w:space="560"/>
            <w:col w:w="1940" w:space="700"/>
            <w:col w:w="300"/>
          </w:cols>
          <w:pgMar w:left="240" w:top="249" w:right="239" w:bottom="249" w:gutter="0" w:footer="0" w:header="0"/>
          <w:type w:val="continuous"/>
        </w:sectPr>
      </w:pPr>
    </w:p>
    <w:p>
      <w:pPr>
        <w:jc w:val="center"/>
        <w:ind w:left="23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23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49" w:right="239" w:bottom="249"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66" w:lineRule="exact"/>
        <w:rPr>
          <w:sz w:val="24"/>
          <w:szCs w:val="24"/>
          <w:color w:val="auto"/>
        </w:rPr>
      </w:pPr>
    </w:p>
    <w:p>
      <w:pPr>
        <w:sectPr>
          <w:pgSz w:w="11900" w:h="16838" w:orient="portrait"/>
          <w:cols w:equalWidth="0" w:num="5">
            <w:col w:w="8100" w:space="180"/>
            <w:col w:w="260" w:space="80"/>
            <w:col w:w="100" w:space="160"/>
            <w:col w:w="200" w:space="80"/>
            <w:col w:w="2260"/>
          </w:cols>
          <w:pgMar w:left="240" w:top="249" w:right="239" w:bottom="249" w:gutter="0" w:footer="0" w:header="0"/>
          <w:type w:val="continuous"/>
        </w:sectPr>
      </w:pPr>
    </w:p>
    <w:p>
      <w:pPr>
        <w:ind w:right="60"/>
        <w:spacing w:after="0" w:line="253" w:lineRule="auto"/>
        <w:rPr>
          <w:sz w:val="20"/>
          <w:szCs w:val="20"/>
          <w:color w:val="auto"/>
        </w:rPr>
      </w:pPr>
      <w:r>
        <w:rPr>
          <w:rFonts w:ascii="Arial" w:cs="Arial" w:eastAsia="Arial" w:hAnsi="Arial"/>
          <w:sz w:val="16"/>
          <w:szCs w:val="16"/>
          <w:color w:val="auto"/>
        </w:rPr>
        <w:t>The registrant's common stock began trading on the NASDAQ Stock Market on September 28, 2012. As of December 31, 2012, the aggregate market value of voting shares of common stock held by non-affiliates of the registrant was $216.6 million based on the last reported sale price of the registrant's common stock on December 31, 2012.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28, 2013 was 31,547,650 shares.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Portions of the registrant's Proxy Statement for its 2013 Annual Meeting of Stockholders are incorporated by reference in Part III of this Annual Report on Form 10-K where indicated. Such proxy statement will be filed with the Securities and Exchange Commission within 120 days of the registrant's fiscal year ended December 31, 2012.</w:t>
      </w:r>
    </w:p>
    <w:p>
      <w:pPr>
        <w:sectPr>
          <w:pgSz w:w="11900" w:h="16838" w:orient="portrait"/>
          <w:cols w:equalWidth="0" w:num="1">
            <w:col w:w="11420"/>
          </w:cols>
          <w:pgMar w:left="240" w:top="249" w:right="239" w:bottom="249" w:gutter="0" w:footer="0" w:header="0"/>
          <w:type w:val="continuous"/>
        </w:sectPr>
      </w:pPr>
    </w:p>
    <w:bookmarkStart w:id="1" w:name="page2"/>
    <w:bookmarkEnd w:id="1"/>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9740" w:type="dxa"/>
            <w:vAlign w:val="bottom"/>
          </w:tcPr>
          <w:p>
            <w:pPr>
              <w:jc w:val="center"/>
              <w:spacing w:after="0"/>
              <w:rPr>
                <w:sz w:val="20"/>
                <w:szCs w:val="20"/>
                <w:color w:val="auto"/>
              </w:rPr>
            </w:pPr>
            <w:r>
              <w:rPr>
                <w:rFonts w:ascii="Arial" w:cs="Arial" w:eastAsia="Arial" w:hAnsi="Arial"/>
                <w:sz w:val="18"/>
                <w:szCs w:val="18"/>
                <w:b w:val="1"/>
                <w:bCs w:val="1"/>
                <w:color w:val="231F20"/>
              </w:rPr>
              <w:t>Qualys, Inc.</w:t>
            </w:r>
          </w:p>
        </w:tc>
        <w:tc>
          <w:tcPr>
            <w:tcW w:w="800" w:type="dxa"/>
            <w:vAlign w:val="bottom"/>
          </w:tcPr>
          <w:p>
            <w:pPr>
              <w:spacing w:after="0"/>
              <w:rPr>
                <w:sz w:val="18"/>
                <w:szCs w:val="18"/>
                <w:color w:val="auto"/>
              </w:rPr>
            </w:pPr>
          </w:p>
        </w:tc>
      </w:tr>
      <w:tr>
        <w:trPr>
          <w:trHeight w:val="239"/>
        </w:trPr>
        <w:tc>
          <w:tcPr>
            <w:tcW w:w="840" w:type="dxa"/>
            <w:vAlign w:val="bottom"/>
          </w:tcPr>
          <w:p>
            <w:pPr>
              <w:spacing w:after="0"/>
              <w:rPr>
                <w:sz w:val="20"/>
                <w:szCs w:val="20"/>
                <w:color w:val="auto"/>
              </w:rPr>
            </w:pPr>
          </w:p>
        </w:tc>
        <w:tc>
          <w:tcPr>
            <w:tcW w:w="9740" w:type="dxa"/>
            <w:vAlign w:val="bottom"/>
          </w:tcPr>
          <w:p>
            <w:pPr>
              <w:jc w:val="center"/>
              <w:spacing w:after="0"/>
              <w:rPr>
                <w:sz w:val="20"/>
                <w:szCs w:val="20"/>
                <w:color w:val="auto"/>
              </w:rPr>
            </w:pPr>
            <w:r>
              <w:rPr>
                <w:rFonts w:ascii="Arial" w:cs="Arial" w:eastAsia="Arial" w:hAnsi="Arial"/>
                <w:sz w:val="18"/>
                <w:szCs w:val="18"/>
                <w:b w:val="1"/>
                <w:bCs w:val="1"/>
                <w:color w:val="231F20"/>
                <w:w w:val="98"/>
              </w:rPr>
              <w:t>TABLE OF CONTENTS</w:t>
            </w:r>
          </w:p>
        </w:tc>
        <w:tc>
          <w:tcPr>
            <w:tcW w:w="800" w:type="dxa"/>
            <w:vAlign w:val="bottom"/>
          </w:tcPr>
          <w:p>
            <w:pPr>
              <w:spacing w:after="0"/>
              <w:rPr>
                <w:sz w:val="20"/>
                <w:szCs w:val="20"/>
                <w:color w:val="auto"/>
              </w:rPr>
            </w:pPr>
          </w:p>
        </w:tc>
      </w:tr>
      <w:tr>
        <w:trPr>
          <w:trHeight w:val="372"/>
        </w:trPr>
        <w:tc>
          <w:tcPr>
            <w:tcW w:w="84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Page</w:t>
            </w:r>
          </w:p>
        </w:tc>
      </w:tr>
      <w:tr>
        <w:trPr>
          <w:trHeight w:val="210"/>
        </w:trPr>
        <w:tc>
          <w:tcPr>
            <w:tcW w:w="840" w:type="dxa"/>
            <w:vAlign w:val="bottom"/>
          </w:tcPr>
          <w:p>
            <w:pPr>
              <w:spacing w:after="0"/>
              <w:rPr>
                <w:sz w:val="18"/>
                <w:szCs w:val="18"/>
                <w:color w:val="auto"/>
              </w:rPr>
            </w:pPr>
          </w:p>
        </w:tc>
        <w:tc>
          <w:tcPr>
            <w:tcW w:w="9740" w:type="dxa"/>
            <w:vAlign w:val="bottom"/>
          </w:tcPr>
          <w:p>
            <w:pPr>
              <w:jc w:val="center"/>
              <w:spacing w:after="0"/>
              <w:rPr>
                <w:sz w:val="20"/>
                <w:szCs w:val="20"/>
                <w:color w:val="auto"/>
              </w:rPr>
            </w:pPr>
            <w:r>
              <w:rPr>
                <w:rFonts w:ascii="Arial" w:cs="Arial" w:eastAsia="Arial" w:hAnsi="Arial"/>
                <w:sz w:val="16"/>
                <w:szCs w:val="16"/>
                <w:b w:val="1"/>
                <w:bCs w:val="1"/>
                <w:color w:val="auto"/>
                <w:w w:val="99"/>
              </w:rPr>
              <w:t>PART I</w:t>
            </w:r>
          </w:p>
        </w:tc>
        <w:tc>
          <w:tcPr>
            <w:tcW w:w="800" w:type="dxa"/>
            <w:vAlign w:val="bottom"/>
          </w:tcPr>
          <w:p>
            <w:pPr>
              <w:spacing w:after="0"/>
              <w:rPr>
                <w:sz w:val="18"/>
                <w:szCs w:val="18"/>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9740" w:type="dxa"/>
            <w:vAlign w:val="bottom"/>
          </w:tcPr>
          <w:p>
            <w:pPr>
              <w:ind w:left="80"/>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80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3</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9740" w:type="dxa"/>
            <w:vAlign w:val="bottom"/>
          </w:tcPr>
          <w:p>
            <w:pPr>
              <w:ind w:left="80"/>
              <w:spacing w:after="0"/>
              <w:rPr>
                <w:rFonts w:ascii="Arial" w:cs="Arial" w:eastAsia="Arial" w:hAnsi="Arial"/>
                <w:sz w:val="16"/>
                <w:szCs w:val="16"/>
                <w:color w:val="0000FF"/>
              </w:rPr>
            </w:pPr>
            <w:hyperlink w:anchor="page12">
              <w:r>
                <w:rPr>
                  <w:rFonts w:ascii="Arial" w:cs="Arial" w:eastAsia="Arial" w:hAnsi="Arial"/>
                  <w:sz w:val="16"/>
                  <w:szCs w:val="16"/>
                  <w:color w:val="0000FF"/>
                </w:rPr>
                <w:t>Risk Factors</w:t>
              </w:r>
            </w:hyperlink>
          </w:p>
        </w:tc>
        <w:tc>
          <w:tcPr>
            <w:tcW w:w="800" w:type="dxa"/>
            <w:vAlign w:val="bottom"/>
          </w:tcPr>
          <w:p>
            <w:pPr>
              <w:jc w:val="center"/>
              <w:spacing w:after="0"/>
              <w:rPr>
                <w:rFonts w:ascii="Arial" w:cs="Arial" w:eastAsia="Arial" w:hAnsi="Arial"/>
                <w:sz w:val="16"/>
                <w:szCs w:val="16"/>
                <w:color w:val="0000FF"/>
              </w:rPr>
            </w:pPr>
            <w:hyperlink w:anchor="page12">
              <w:r>
                <w:rPr>
                  <w:rFonts w:ascii="Arial" w:cs="Arial" w:eastAsia="Arial" w:hAnsi="Arial"/>
                  <w:sz w:val="16"/>
                  <w:szCs w:val="16"/>
                  <w:color w:val="0000FF"/>
                </w:rPr>
                <w:t>11</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1B.</w:t>
            </w:r>
          </w:p>
        </w:tc>
        <w:tc>
          <w:tcPr>
            <w:tcW w:w="9740" w:type="dxa"/>
            <w:vAlign w:val="bottom"/>
          </w:tcPr>
          <w:p>
            <w:pPr>
              <w:ind w:left="80"/>
              <w:spacing w:after="0"/>
              <w:rPr>
                <w:rFonts w:ascii="Arial" w:cs="Arial" w:eastAsia="Arial" w:hAnsi="Arial"/>
                <w:sz w:val="16"/>
                <w:szCs w:val="16"/>
                <w:color w:val="0000FF"/>
              </w:rPr>
            </w:pPr>
            <w:hyperlink w:anchor="page34">
              <w:r>
                <w:rPr>
                  <w:rFonts w:ascii="Arial" w:cs="Arial" w:eastAsia="Arial" w:hAnsi="Arial"/>
                  <w:sz w:val="16"/>
                  <w:szCs w:val="16"/>
                  <w:color w:val="0000FF"/>
                </w:rPr>
                <w:t>Unresolved Staff Comments</w:t>
              </w:r>
            </w:hyperlink>
          </w:p>
        </w:tc>
        <w:tc>
          <w:tcPr>
            <w:tcW w:w="800" w:type="dxa"/>
            <w:vAlign w:val="bottom"/>
          </w:tcPr>
          <w:p>
            <w:pPr>
              <w:jc w:val="center"/>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9740" w:type="dxa"/>
            <w:vAlign w:val="bottom"/>
          </w:tcPr>
          <w:p>
            <w:pPr>
              <w:ind w:left="80"/>
              <w:spacing w:after="0"/>
              <w:rPr>
                <w:rFonts w:ascii="Arial" w:cs="Arial" w:eastAsia="Arial" w:hAnsi="Arial"/>
                <w:sz w:val="16"/>
                <w:szCs w:val="16"/>
                <w:color w:val="0000FF"/>
              </w:rPr>
            </w:pPr>
            <w:hyperlink w:anchor="page34">
              <w:r>
                <w:rPr>
                  <w:rFonts w:ascii="Arial" w:cs="Arial" w:eastAsia="Arial" w:hAnsi="Arial"/>
                  <w:sz w:val="16"/>
                  <w:szCs w:val="16"/>
                  <w:color w:val="0000FF"/>
                </w:rPr>
                <w:t>Properties</w:t>
              </w:r>
            </w:hyperlink>
          </w:p>
        </w:tc>
        <w:tc>
          <w:tcPr>
            <w:tcW w:w="800" w:type="dxa"/>
            <w:vAlign w:val="bottom"/>
          </w:tcPr>
          <w:p>
            <w:pPr>
              <w:jc w:val="center"/>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9740" w:type="dxa"/>
            <w:vAlign w:val="bottom"/>
          </w:tcPr>
          <w:p>
            <w:pPr>
              <w:ind w:left="80"/>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800" w:type="dxa"/>
            <w:vAlign w:val="bottom"/>
          </w:tcPr>
          <w:p>
            <w:pPr>
              <w:jc w:val="center"/>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9740" w:type="dxa"/>
            <w:vAlign w:val="bottom"/>
          </w:tcPr>
          <w:p>
            <w:pPr>
              <w:ind w:left="80"/>
              <w:spacing w:after="0"/>
              <w:rPr>
                <w:rFonts w:ascii="Arial" w:cs="Arial" w:eastAsia="Arial" w:hAnsi="Arial"/>
                <w:sz w:val="16"/>
                <w:szCs w:val="16"/>
                <w:color w:val="0000FF"/>
              </w:rPr>
            </w:pPr>
            <w:hyperlink w:anchor="page34">
              <w:r>
                <w:rPr>
                  <w:rFonts w:ascii="Arial" w:cs="Arial" w:eastAsia="Arial" w:hAnsi="Arial"/>
                  <w:sz w:val="16"/>
                  <w:szCs w:val="16"/>
                  <w:color w:val="0000FF"/>
                </w:rPr>
                <w:t>Mine Safety Disclosures</w:t>
              </w:r>
            </w:hyperlink>
          </w:p>
        </w:tc>
        <w:tc>
          <w:tcPr>
            <w:tcW w:w="800" w:type="dxa"/>
            <w:vAlign w:val="bottom"/>
          </w:tcPr>
          <w:p>
            <w:pPr>
              <w:jc w:val="center"/>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r>
      <w:tr>
        <w:trPr>
          <w:trHeight w:val="243"/>
        </w:trPr>
        <w:tc>
          <w:tcPr>
            <w:tcW w:w="840" w:type="dxa"/>
            <w:vAlign w:val="bottom"/>
          </w:tcPr>
          <w:p>
            <w:pPr>
              <w:spacing w:after="0"/>
              <w:rPr>
                <w:sz w:val="21"/>
                <w:szCs w:val="21"/>
                <w:color w:val="auto"/>
              </w:rPr>
            </w:pPr>
          </w:p>
        </w:tc>
        <w:tc>
          <w:tcPr>
            <w:tcW w:w="9740" w:type="dxa"/>
            <w:vAlign w:val="bottom"/>
          </w:tcPr>
          <w:p>
            <w:pPr>
              <w:jc w:val="center"/>
              <w:spacing w:after="0"/>
              <w:rPr>
                <w:sz w:val="20"/>
                <w:szCs w:val="20"/>
                <w:color w:val="auto"/>
              </w:rPr>
            </w:pPr>
            <w:r>
              <w:rPr>
                <w:rFonts w:ascii="Arial" w:cs="Arial" w:eastAsia="Arial" w:hAnsi="Arial"/>
                <w:sz w:val="16"/>
                <w:szCs w:val="16"/>
                <w:b w:val="1"/>
                <w:bCs w:val="1"/>
                <w:color w:val="auto"/>
                <w:w w:val="98"/>
              </w:rPr>
              <w:t>PART II</w:t>
            </w:r>
          </w:p>
        </w:tc>
        <w:tc>
          <w:tcPr>
            <w:tcW w:w="800" w:type="dxa"/>
            <w:vAlign w:val="bottom"/>
          </w:tcPr>
          <w:p>
            <w:pPr>
              <w:spacing w:after="0"/>
              <w:rPr>
                <w:sz w:val="21"/>
                <w:szCs w:val="2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5.</w:t>
            </w:r>
          </w:p>
        </w:tc>
        <w:tc>
          <w:tcPr>
            <w:tcW w:w="9740" w:type="dxa"/>
            <w:vAlign w:val="bottom"/>
          </w:tcPr>
          <w:p>
            <w:pPr>
              <w:ind w:left="80"/>
              <w:spacing w:after="0"/>
              <w:rPr>
                <w:rFonts w:ascii="Arial" w:cs="Arial" w:eastAsia="Arial" w:hAnsi="Arial"/>
                <w:sz w:val="16"/>
                <w:szCs w:val="16"/>
                <w:color w:val="0000FF"/>
              </w:rPr>
            </w:pPr>
            <w:hyperlink w:anchor="page35">
              <w:r>
                <w:rPr>
                  <w:rFonts w:ascii="Arial" w:cs="Arial" w:eastAsia="Arial" w:hAnsi="Arial"/>
                  <w:sz w:val="16"/>
                  <w:szCs w:val="16"/>
                  <w:color w:val="0000FF"/>
                </w:rPr>
                <w:t>Market for Registrant's Common Equity, Related Stockholder Matters and Issuer Purchases of Equity Securities</w:t>
              </w:r>
            </w:hyperlink>
          </w:p>
        </w:tc>
        <w:tc>
          <w:tcPr>
            <w:tcW w:w="800" w:type="dxa"/>
            <w:vAlign w:val="bottom"/>
          </w:tcPr>
          <w:p>
            <w:pPr>
              <w:jc w:val="center"/>
              <w:spacing w:after="0"/>
              <w:rPr>
                <w:rFonts w:ascii="Arial" w:cs="Arial" w:eastAsia="Arial" w:hAnsi="Arial"/>
                <w:sz w:val="16"/>
                <w:szCs w:val="16"/>
                <w:color w:val="0000FF"/>
              </w:rPr>
            </w:pPr>
            <w:hyperlink w:anchor="page35">
              <w:r>
                <w:rPr>
                  <w:rFonts w:ascii="Arial" w:cs="Arial" w:eastAsia="Arial" w:hAnsi="Arial"/>
                  <w:sz w:val="16"/>
                  <w:szCs w:val="16"/>
                  <w:color w:val="0000FF"/>
                </w:rPr>
                <w:t>34</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9740" w:type="dxa"/>
            <w:vAlign w:val="bottom"/>
          </w:tcPr>
          <w:p>
            <w:pPr>
              <w:ind w:left="80"/>
              <w:spacing w:after="0"/>
              <w:rPr>
                <w:rFonts w:ascii="Arial" w:cs="Arial" w:eastAsia="Arial" w:hAnsi="Arial"/>
                <w:sz w:val="16"/>
                <w:szCs w:val="16"/>
                <w:color w:val="0000FF"/>
              </w:rPr>
            </w:pPr>
            <w:hyperlink w:anchor="page37">
              <w:r>
                <w:rPr>
                  <w:rFonts w:ascii="Arial" w:cs="Arial" w:eastAsia="Arial" w:hAnsi="Arial"/>
                  <w:sz w:val="16"/>
                  <w:szCs w:val="16"/>
                  <w:color w:val="0000FF"/>
                </w:rPr>
                <w:t>Selected Financial Data</w:t>
              </w:r>
            </w:hyperlink>
          </w:p>
        </w:tc>
        <w:tc>
          <w:tcPr>
            <w:tcW w:w="800" w:type="dxa"/>
            <w:vAlign w:val="bottom"/>
          </w:tcPr>
          <w:p>
            <w:pPr>
              <w:jc w:val="center"/>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7.</w:t>
            </w:r>
          </w:p>
        </w:tc>
        <w:tc>
          <w:tcPr>
            <w:tcW w:w="9740" w:type="dxa"/>
            <w:vAlign w:val="bottom"/>
          </w:tcPr>
          <w:p>
            <w:pPr>
              <w:ind w:left="80"/>
              <w:spacing w:after="0"/>
              <w:rPr>
                <w:rFonts w:ascii="Arial" w:cs="Arial" w:eastAsia="Arial" w:hAnsi="Arial"/>
                <w:sz w:val="16"/>
                <w:szCs w:val="16"/>
                <w:color w:val="0000FF"/>
              </w:rPr>
            </w:pPr>
            <w:hyperlink w:anchor="page41">
              <w:r>
                <w:rPr>
                  <w:rFonts w:ascii="Arial" w:cs="Arial" w:eastAsia="Arial" w:hAnsi="Arial"/>
                  <w:sz w:val="16"/>
                  <w:szCs w:val="16"/>
                  <w:color w:val="0000FF"/>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7A.</w:t>
            </w:r>
          </w:p>
        </w:tc>
        <w:tc>
          <w:tcPr>
            <w:tcW w:w="9740" w:type="dxa"/>
            <w:vAlign w:val="bottom"/>
          </w:tcPr>
          <w:p>
            <w:pPr>
              <w:ind w:left="80"/>
              <w:spacing w:after="0"/>
              <w:rPr>
                <w:rFonts w:ascii="Arial" w:cs="Arial" w:eastAsia="Arial" w:hAnsi="Arial"/>
                <w:sz w:val="16"/>
                <w:szCs w:val="16"/>
                <w:color w:val="0000FF"/>
              </w:rPr>
            </w:pPr>
            <w:hyperlink w:anchor="page57">
              <w:r>
                <w:rPr>
                  <w:rFonts w:ascii="Arial" w:cs="Arial" w:eastAsia="Arial" w:hAnsi="Arial"/>
                  <w:sz w:val="16"/>
                  <w:szCs w:val="16"/>
                  <w:color w:val="0000FF"/>
                </w:rPr>
                <w:t>Quantitative and Qualitative Disclosures About Market Risk</w:t>
              </w:r>
            </w:hyperlink>
          </w:p>
        </w:tc>
        <w:tc>
          <w:tcPr>
            <w:tcW w:w="800" w:type="dxa"/>
            <w:vAlign w:val="bottom"/>
          </w:tcPr>
          <w:p>
            <w:pPr>
              <w:jc w:val="cente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8.</w:t>
            </w:r>
          </w:p>
        </w:tc>
        <w:tc>
          <w:tcPr>
            <w:tcW w:w="9740" w:type="dxa"/>
            <w:vAlign w:val="bottom"/>
          </w:tcPr>
          <w:p>
            <w:pPr>
              <w:ind w:left="80"/>
              <w:spacing w:after="0"/>
              <w:rPr>
                <w:rFonts w:ascii="Arial" w:cs="Arial" w:eastAsia="Arial" w:hAnsi="Arial"/>
                <w:sz w:val="16"/>
                <w:szCs w:val="16"/>
                <w:color w:val="0000FF"/>
              </w:rPr>
            </w:pPr>
            <w:hyperlink w:anchor="page58">
              <w:r>
                <w:rPr>
                  <w:rFonts w:ascii="Arial" w:cs="Arial" w:eastAsia="Arial" w:hAnsi="Arial"/>
                  <w:sz w:val="16"/>
                  <w:szCs w:val="16"/>
                  <w:color w:val="0000FF"/>
                </w:rPr>
                <w:t>Financial Statements and Supplementary Data</w:t>
              </w:r>
            </w:hyperlink>
          </w:p>
        </w:tc>
        <w:tc>
          <w:tcPr>
            <w:tcW w:w="800" w:type="dxa"/>
            <w:vAlign w:val="bottom"/>
          </w:tcPr>
          <w:p>
            <w:pPr>
              <w:jc w:val="cente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9.</w:t>
            </w:r>
          </w:p>
        </w:tc>
        <w:tc>
          <w:tcPr>
            <w:tcW w:w="9740" w:type="dxa"/>
            <w:vAlign w:val="bottom"/>
          </w:tcPr>
          <w:p>
            <w:pPr>
              <w:ind w:left="80"/>
              <w:spacing w:after="0"/>
              <w:rPr>
                <w:rFonts w:ascii="Arial" w:cs="Arial" w:eastAsia="Arial" w:hAnsi="Arial"/>
                <w:sz w:val="16"/>
                <w:szCs w:val="16"/>
                <w:color w:val="0000FF"/>
              </w:rPr>
            </w:pPr>
            <w:hyperlink w:anchor="page85">
              <w:r>
                <w:rPr>
                  <w:rFonts w:ascii="Arial" w:cs="Arial" w:eastAsia="Arial" w:hAnsi="Arial"/>
                  <w:sz w:val="16"/>
                  <w:szCs w:val="16"/>
                  <w:color w:val="0000FF"/>
                </w:rPr>
                <w:t>Changes in and Disagreements with Accountants on Accounting and Financial Disclosure</w:t>
              </w:r>
            </w:hyperlink>
          </w:p>
        </w:tc>
        <w:tc>
          <w:tcPr>
            <w:tcW w:w="800" w:type="dxa"/>
            <w:vAlign w:val="bottom"/>
          </w:tcPr>
          <w:p>
            <w:pPr>
              <w:jc w:val="center"/>
              <w:spacing w:after="0"/>
              <w:rPr>
                <w:rFonts w:ascii="Arial" w:cs="Arial" w:eastAsia="Arial" w:hAnsi="Arial"/>
                <w:sz w:val="16"/>
                <w:szCs w:val="16"/>
                <w:color w:val="0000FF"/>
              </w:rPr>
            </w:pPr>
            <w:hyperlink w:anchor="page85">
              <w:r>
                <w:rPr>
                  <w:rFonts w:ascii="Arial" w:cs="Arial" w:eastAsia="Arial" w:hAnsi="Arial"/>
                  <w:sz w:val="16"/>
                  <w:szCs w:val="16"/>
                  <w:color w:val="0000FF"/>
                </w:rPr>
                <w:t>85</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9A.</w:t>
            </w:r>
          </w:p>
        </w:tc>
        <w:tc>
          <w:tcPr>
            <w:tcW w:w="9740" w:type="dxa"/>
            <w:vAlign w:val="bottom"/>
          </w:tcPr>
          <w:p>
            <w:pPr>
              <w:ind w:left="80"/>
              <w:spacing w:after="0"/>
              <w:rPr>
                <w:rFonts w:ascii="Arial" w:cs="Arial" w:eastAsia="Arial" w:hAnsi="Arial"/>
                <w:sz w:val="16"/>
                <w:szCs w:val="16"/>
                <w:color w:val="0000FF"/>
              </w:rPr>
            </w:pPr>
            <w:hyperlink w:anchor="page86">
              <w:r>
                <w:rPr>
                  <w:rFonts w:ascii="Arial" w:cs="Arial" w:eastAsia="Arial" w:hAnsi="Arial"/>
                  <w:sz w:val="16"/>
                  <w:szCs w:val="16"/>
                  <w:color w:val="0000FF"/>
                </w:rPr>
                <w:t>Controls and Procedures</w:t>
              </w:r>
            </w:hyperlink>
          </w:p>
        </w:tc>
        <w:tc>
          <w:tcPr>
            <w:tcW w:w="800" w:type="dxa"/>
            <w:vAlign w:val="bottom"/>
          </w:tcPr>
          <w:p>
            <w:pPr>
              <w:jc w:val="center"/>
              <w:spacing w:after="0"/>
              <w:rPr>
                <w:rFonts w:ascii="Arial" w:cs="Arial" w:eastAsia="Arial" w:hAnsi="Arial"/>
                <w:sz w:val="16"/>
                <w:szCs w:val="16"/>
                <w:color w:val="0000FF"/>
              </w:rPr>
            </w:pPr>
            <w:hyperlink w:anchor="page86">
              <w:r>
                <w:rPr>
                  <w:rFonts w:ascii="Arial" w:cs="Arial" w:eastAsia="Arial" w:hAnsi="Arial"/>
                  <w:sz w:val="16"/>
                  <w:szCs w:val="16"/>
                  <w:color w:val="0000FF"/>
                </w:rPr>
                <w:t>85</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9B.</w:t>
            </w:r>
          </w:p>
        </w:tc>
        <w:tc>
          <w:tcPr>
            <w:tcW w:w="9740" w:type="dxa"/>
            <w:vAlign w:val="bottom"/>
          </w:tcPr>
          <w:p>
            <w:pPr>
              <w:ind w:left="80"/>
              <w:spacing w:after="0"/>
              <w:rPr>
                <w:rFonts w:ascii="Arial" w:cs="Arial" w:eastAsia="Arial" w:hAnsi="Arial"/>
                <w:sz w:val="16"/>
                <w:szCs w:val="16"/>
                <w:color w:val="0000FF"/>
              </w:rPr>
            </w:pPr>
            <w:hyperlink w:anchor="page86">
              <w:r>
                <w:rPr>
                  <w:rFonts w:ascii="Arial" w:cs="Arial" w:eastAsia="Arial" w:hAnsi="Arial"/>
                  <w:sz w:val="16"/>
                  <w:szCs w:val="16"/>
                  <w:color w:val="0000FF"/>
                </w:rPr>
                <w:t>Other Information</w:t>
              </w:r>
            </w:hyperlink>
          </w:p>
        </w:tc>
        <w:tc>
          <w:tcPr>
            <w:tcW w:w="800" w:type="dxa"/>
            <w:vAlign w:val="bottom"/>
          </w:tcPr>
          <w:p>
            <w:pPr>
              <w:jc w:val="center"/>
              <w:spacing w:after="0"/>
              <w:rPr>
                <w:rFonts w:ascii="Arial" w:cs="Arial" w:eastAsia="Arial" w:hAnsi="Arial"/>
                <w:sz w:val="16"/>
                <w:szCs w:val="16"/>
                <w:color w:val="0000FF"/>
              </w:rPr>
            </w:pPr>
            <w:hyperlink w:anchor="page86">
              <w:r>
                <w:rPr>
                  <w:rFonts w:ascii="Arial" w:cs="Arial" w:eastAsia="Arial" w:hAnsi="Arial"/>
                  <w:sz w:val="16"/>
                  <w:szCs w:val="16"/>
                  <w:color w:val="0000FF"/>
                </w:rPr>
                <w:t>85</w:t>
              </w:r>
            </w:hyperlink>
          </w:p>
        </w:tc>
      </w:tr>
      <w:tr>
        <w:trPr>
          <w:trHeight w:val="243"/>
        </w:trPr>
        <w:tc>
          <w:tcPr>
            <w:tcW w:w="840" w:type="dxa"/>
            <w:vAlign w:val="bottom"/>
          </w:tcPr>
          <w:p>
            <w:pPr>
              <w:spacing w:after="0"/>
              <w:rPr>
                <w:sz w:val="21"/>
                <w:szCs w:val="21"/>
                <w:color w:val="auto"/>
              </w:rPr>
            </w:pPr>
          </w:p>
        </w:tc>
        <w:tc>
          <w:tcPr>
            <w:tcW w:w="974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21"/>
                <w:szCs w:val="2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10.</w:t>
            </w:r>
          </w:p>
        </w:tc>
        <w:tc>
          <w:tcPr>
            <w:tcW w:w="9740" w:type="dxa"/>
            <w:vAlign w:val="bottom"/>
          </w:tcPr>
          <w:p>
            <w:pPr>
              <w:ind w:left="80"/>
              <w:spacing w:after="0"/>
              <w:rPr>
                <w:rFonts w:ascii="Arial" w:cs="Arial" w:eastAsia="Arial" w:hAnsi="Arial"/>
                <w:sz w:val="16"/>
                <w:szCs w:val="16"/>
                <w:color w:val="0000FF"/>
              </w:rPr>
            </w:pPr>
            <w:hyperlink w:anchor="page87">
              <w:r>
                <w:rPr>
                  <w:rFonts w:ascii="Arial" w:cs="Arial" w:eastAsia="Arial" w:hAnsi="Arial"/>
                  <w:sz w:val="16"/>
                  <w:szCs w:val="16"/>
                  <w:color w:val="0000FF"/>
                </w:rPr>
                <w:t>Directors, Executive Officers and Corporate Governance</w:t>
              </w:r>
            </w:hyperlink>
          </w:p>
        </w:tc>
        <w:tc>
          <w:tcPr>
            <w:tcW w:w="800" w:type="dxa"/>
            <w:vAlign w:val="bottom"/>
          </w:tcPr>
          <w:p>
            <w:pPr>
              <w:jc w:val="center"/>
              <w:spacing w:after="0"/>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11.</w:t>
            </w:r>
          </w:p>
        </w:tc>
        <w:tc>
          <w:tcPr>
            <w:tcW w:w="9740" w:type="dxa"/>
            <w:vAlign w:val="bottom"/>
          </w:tcPr>
          <w:p>
            <w:pPr>
              <w:ind w:left="80"/>
              <w:spacing w:after="0"/>
              <w:rPr>
                <w:rFonts w:ascii="Arial" w:cs="Arial" w:eastAsia="Arial" w:hAnsi="Arial"/>
                <w:sz w:val="16"/>
                <w:szCs w:val="16"/>
                <w:color w:val="0000FF"/>
              </w:rPr>
            </w:pPr>
            <w:hyperlink w:anchor="page87">
              <w:r>
                <w:rPr>
                  <w:rFonts w:ascii="Arial" w:cs="Arial" w:eastAsia="Arial" w:hAnsi="Arial"/>
                  <w:sz w:val="16"/>
                  <w:szCs w:val="16"/>
                  <w:color w:val="0000FF"/>
                </w:rPr>
                <w:t>Executive Compensation</w:t>
              </w:r>
            </w:hyperlink>
          </w:p>
        </w:tc>
        <w:tc>
          <w:tcPr>
            <w:tcW w:w="800" w:type="dxa"/>
            <w:vAlign w:val="bottom"/>
          </w:tcPr>
          <w:p>
            <w:pPr>
              <w:jc w:val="center"/>
              <w:spacing w:after="0"/>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12.</w:t>
            </w:r>
          </w:p>
        </w:tc>
        <w:tc>
          <w:tcPr>
            <w:tcW w:w="9740" w:type="dxa"/>
            <w:vAlign w:val="bottom"/>
          </w:tcPr>
          <w:p>
            <w:pPr>
              <w:ind w:left="80"/>
              <w:spacing w:after="0"/>
              <w:rPr>
                <w:rFonts w:ascii="Arial" w:cs="Arial" w:eastAsia="Arial" w:hAnsi="Arial"/>
                <w:sz w:val="16"/>
                <w:szCs w:val="16"/>
                <w:color w:val="0000FF"/>
              </w:rPr>
            </w:pPr>
            <w:hyperlink w:anchor="page87">
              <w:r>
                <w:rPr>
                  <w:rFonts w:ascii="Arial" w:cs="Arial" w:eastAsia="Arial" w:hAnsi="Arial"/>
                  <w:sz w:val="16"/>
                  <w:szCs w:val="16"/>
                  <w:color w:val="0000FF"/>
                </w:rPr>
                <w:t>Security Ownership of Certain Beneficial Owners and Management and Related Stockholder Matters</w:t>
              </w:r>
            </w:hyperlink>
          </w:p>
        </w:tc>
        <w:tc>
          <w:tcPr>
            <w:tcW w:w="800" w:type="dxa"/>
            <w:vAlign w:val="bottom"/>
          </w:tcPr>
          <w:p>
            <w:pPr>
              <w:jc w:val="center"/>
              <w:spacing w:after="0"/>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13.</w:t>
            </w:r>
          </w:p>
        </w:tc>
        <w:tc>
          <w:tcPr>
            <w:tcW w:w="9740" w:type="dxa"/>
            <w:vAlign w:val="bottom"/>
          </w:tcPr>
          <w:p>
            <w:pPr>
              <w:ind w:left="80"/>
              <w:spacing w:after="0"/>
              <w:rPr>
                <w:rFonts w:ascii="Arial" w:cs="Arial" w:eastAsia="Arial" w:hAnsi="Arial"/>
                <w:sz w:val="16"/>
                <w:szCs w:val="16"/>
                <w:color w:val="0000FF"/>
              </w:rPr>
            </w:pPr>
            <w:hyperlink w:anchor="page87">
              <w:r>
                <w:rPr>
                  <w:rFonts w:ascii="Arial" w:cs="Arial" w:eastAsia="Arial" w:hAnsi="Arial"/>
                  <w:sz w:val="16"/>
                  <w:szCs w:val="16"/>
                  <w:color w:val="0000FF"/>
                </w:rPr>
                <w:t>Certain Relationships and Related Transactions, and Director Independence</w:t>
              </w:r>
            </w:hyperlink>
          </w:p>
        </w:tc>
        <w:tc>
          <w:tcPr>
            <w:tcW w:w="800" w:type="dxa"/>
            <w:vAlign w:val="bottom"/>
          </w:tcPr>
          <w:p>
            <w:pPr>
              <w:jc w:val="center"/>
              <w:spacing w:after="0"/>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14.</w:t>
            </w:r>
          </w:p>
        </w:tc>
        <w:tc>
          <w:tcPr>
            <w:tcW w:w="9740" w:type="dxa"/>
            <w:vAlign w:val="bottom"/>
          </w:tcPr>
          <w:p>
            <w:pPr>
              <w:ind w:left="80"/>
              <w:spacing w:after="0"/>
              <w:rPr>
                <w:rFonts w:ascii="Arial" w:cs="Arial" w:eastAsia="Arial" w:hAnsi="Arial"/>
                <w:sz w:val="16"/>
                <w:szCs w:val="16"/>
                <w:color w:val="0000FF"/>
              </w:rPr>
            </w:pPr>
            <w:hyperlink w:anchor="page87">
              <w:r>
                <w:rPr>
                  <w:rFonts w:ascii="Arial" w:cs="Arial" w:eastAsia="Arial" w:hAnsi="Arial"/>
                  <w:sz w:val="16"/>
                  <w:szCs w:val="16"/>
                  <w:color w:val="0000FF"/>
                </w:rPr>
                <w:t>Principal Accounting Fees and Services</w:t>
              </w:r>
            </w:hyperlink>
          </w:p>
        </w:tc>
        <w:tc>
          <w:tcPr>
            <w:tcW w:w="800" w:type="dxa"/>
            <w:vAlign w:val="bottom"/>
          </w:tcPr>
          <w:p>
            <w:pPr>
              <w:jc w:val="center"/>
              <w:spacing w:after="0"/>
              <w:rPr>
                <w:rFonts w:ascii="Arial" w:cs="Arial" w:eastAsia="Arial" w:hAnsi="Arial"/>
                <w:sz w:val="16"/>
                <w:szCs w:val="16"/>
                <w:color w:val="0000FF"/>
              </w:rPr>
            </w:pPr>
            <w:hyperlink w:anchor="page87">
              <w:r>
                <w:rPr>
                  <w:rFonts w:ascii="Arial" w:cs="Arial" w:eastAsia="Arial" w:hAnsi="Arial"/>
                  <w:sz w:val="16"/>
                  <w:szCs w:val="16"/>
                  <w:color w:val="0000FF"/>
                </w:rPr>
                <w:t>86</w:t>
              </w:r>
            </w:hyperlink>
          </w:p>
        </w:tc>
      </w:tr>
      <w:tr>
        <w:trPr>
          <w:trHeight w:val="243"/>
        </w:trPr>
        <w:tc>
          <w:tcPr>
            <w:tcW w:w="840" w:type="dxa"/>
            <w:vAlign w:val="bottom"/>
          </w:tcPr>
          <w:p>
            <w:pPr>
              <w:spacing w:after="0"/>
              <w:rPr>
                <w:sz w:val="21"/>
                <w:szCs w:val="21"/>
                <w:color w:val="auto"/>
              </w:rPr>
            </w:pPr>
          </w:p>
        </w:tc>
        <w:tc>
          <w:tcPr>
            <w:tcW w:w="974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800" w:type="dxa"/>
            <w:vAlign w:val="bottom"/>
          </w:tcPr>
          <w:p>
            <w:pPr>
              <w:spacing w:after="0"/>
              <w:rPr>
                <w:sz w:val="21"/>
                <w:szCs w:val="21"/>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6"/>
                <w:szCs w:val="16"/>
                <w:color w:val="auto"/>
              </w:rPr>
              <w:t>Item 15.</w:t>
            </w:r>
          </w:p>
        </w:tc>
        <w:tc>
          <w:tcPr>
            <w:tcW w:w="9740" w:type="dxa"/>
            <w:vAlign w:val="bottom"/>
          </w:tcPr>
          <w:p>
            <w:pPr>
              <w:ind w:left="80"/>
              <w:spacing w:after="0"/>
              <w:rPr>
                <w:rFonts w:ascii="Arial" w:cs="Arial" w:eastAsia="Arial" w:hAnsi="Arial"/>
                <w:sz w:val="16"/>
                <w:szCs w:val="16"/>
                <w:color w:val="0000FF"/>
              </w:rPr>
            </w:pPr>
            <w:hyperlink w:anchor="page88">
              <w:r>
                <w:rPr>
                  <w:rFonts w:ascii="Arial" w:cs="Arial" w:eastAsia="Arial" w:hAnsi="Arial"/>
                  <w:sz w:val="16"/>
                  <w:szCs w:val="16"/>
                  <w:color w:val="0000FF"/>
                </w:rPr>
                <w:t>Exhibits and Financial Statement Schedules</w:t>
              </w:r>
            </w:hyperlink>
          </w:p>
        </w:tc>
        <w:tc>
          <w:tcPr>
            <w:tcW w:w="800" w:type="dxa"/>
            <w:vAlign w:val="bottom"/>
          </w:tcPr>
          <w:p>
            <w:pPr>
              <w:jc w:val="center"/>
              <w:spacing w:after="0"/>
              <w:rPr>
                <w:rFonts w:ascii="Arial" w:cs="Arial" w:eastAsia="Arial" w:hAnsi="Arial"/>
                <w:sz w:val="16"/>
                <w:szCs w:val="16"/>
                <w:color w:val="0000FF"/>
              </w:rPr>
            </w:pPr>
            <w:hyperlink w:anchor="page88">
              <w:r>
                <w:rPr>
                  <w:rFonts w:ascii="Arial" w:cs="Arial" w:eastAsia="Arial" w:hAnsi="Arial"/>
                  <w:sz w:val="16"/>
                  <w:szCs w:val="16"/>
                  <w:color w:val="0000FF"/>
                </w:rPr>
                <w:t>87</w:t>
              </w:r>
            </w:hyperlink>
          </w:p>
        </w:tc>
      </w:tr>
      <w:tr>
        <w:trPr>
          <w:trHeight w:val="243"/>
        </w:trPr>
        <w:tc>
          <w:tcPr>
            <w:tcW w:w="840" w:type="dxa"/>
            <w:vAlign w:val="bottom"/>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Signatures</w:t>
              </w:r>
            </w:hyperlink>
          </w:p>
        </w:tc>
        <w:tc>
          <w:tcPr>
            <w:tcW w:w="9740" w:type="dxa"/>
            <w:vAlign w:val="bottom"/>
          </w:tcPr>
          <w:p>
            <w:pPr>
              <w:spacing w:after="0"/>
              <w:rPr>
                <w:sz w:val="21"/>
                <w:szCs w:val="21"/>
                <w:color w:val="auto"/>
              </w:rPr>
            </w:pPr>
          </w:p>
        </w:tc>
        <w:tc>
          <w:tcPr>
            <w:tcW w:w="800" w:type="dxa"/>
            <w:vAlign w:val="bottom"/>
          </w:tcPr>
          <w:p>
            <w:pPr>
              <w:jc w:val="center"/>
              <w:spacing w:after="0"/>
              <w:rPr>
                <w:rFonts w:ascii="Arial" w:cs="Arial" w:eastAsia="Arial" w:hAnsi="Arial"/>
                <w:sz w:val="16"/>
                <w:szCs w:val="16"/>
                <w:color w:val="0000FF"/>
              </w:rPr>
            </w:pPr>
            <w:hyperlink w:anchor="page88">
              <w:r>
                <w:rPr>
                  <w:rFonts w:ascii="Arial" w:cs="Arial" w:eastAsia="Arial" w:hAnsi="Arial"/>
                  <w:sz w:val="16"/>
                  <w:szCs w:val="16"/>
                  <w:color w:val="0000FF"/>
                </w:rPr>
                <w:t>88</w:t>
              </w:r>
            </w:hyperlink>
          </w:p>
        </w:tc>
      </w:tr>
      <w:tr>
        <w:trPr>
          <w:trHeight w:val="243"/>
        </w:trPr>
        <w:tc>
          <w:tcPr>
            <w:tcW w:w="10580" w:type="dxa"/>
            <w:vAlign w:val="bottom"/>
            <w:gridSpan w:val="2"/>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Exhibit Index</w:t>
              </w:r>
            </w:hyperlink>
          </w:p>
        </w:tc>
        <w:tc>
          <w:tcPr>
            <w:tcW w:w="800" w:type="dxa"/>
            <w:vAlign w:val="bottom"/>
          </w:tcPr>
          <w:p>
            <w:pPr>
              <w:jc w:val="center"/>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attain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and research and development;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 and</w:t>
      </w:r>
    </w:p>
    <w:p>
      <w:pPr>
        <w:spacing w:after="0" w:line="9" w:lineRule="exact"/>
        <w:rPr>
          <w:rFonts w:ascii="Arial" w:cs="Arial" w:eastAsia="Arial" w:hAnsi="Arial"/>
          <w:sz w:val="18"/>
          <w:szCs w:val="18"/>
          <w:i w:val="1"/>
          <w:iCs w:val="1"/>
          <w:color w:val="auto"/>
        </w:rPr>
      </w:pPr>
    </w:p>
    <w:p>
      <w:pPr>
        <w:ind w:left="1060" w:right="10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this forward-looking statements is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59"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myriad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 security and compliance solutions.</w:t>
      </w:r>
    </w:p>
    <w:p>
      <w:pPr>
        <w:spacing w:after="0" w:line="15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designed our QualysGuard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or in the cloud. Since inception, our solutions have been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organizations to small businesses, are all served from our globally-distributed cloud platform, enabling us to rapidly deliver new solutions, enhancements and security updates.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w:t>
      </w:r>
      <w:r>
        <w:rPr>
          <w:rFonts w:ascii="Arial" w:cs="Arial" w:eastAsia="Arial" w:hAnsi="Arial"/>
          <w:sz w:val="18"/>
          <w:szCs w:val="18"/>
          <w:color w:val="000000"/>
        </w:rPr>
        <w:t>87%</w:t>
      </w:r>
      <w:r>
        <w:rPr>
          <w:rFonts w:ascii="Arial" w:cs="Arial" w:eastAsia="Arial" w:hAnsi="Arial"/>
          <w:sz w:val="18"/>
          <w:szCs w:val="18"/>
          <w:color w:val="231F20"/>
        </w:rPr>
        <w:t xml:space="preserve">, </w:t>
      </w:r>
      <w:r>
        <w:rPr>
          <w:rFonts w:ascii="Arial" w:cs="Arial" w:eastAsia="Arial" w:hAnsi="Arial"/>
          <w:sz w:val="18"/>
          <w:szCs w:val="18"/>
          <w:color w:val="000000"/>
        </w:rPr>
        <w:t>90%</w:t>
      </w:r>
      <w:r>
        <w:rPr>
          <w:rFonts w:ascii="Arial" w:cs="Arial" w:eastAsia="Arial" w:hAnsi="Arial"/>
          <w:sz w:val="18"/>
          <w:szCs w:val="18"/>
          <w:color w:val="231F20"/>
        </w:rPr>
        <w:t xml:space="preserve"> and </w:t>
      </w:r>
      <w:r>
        <w:rPr>
          <w:rFonts w:ascii="Arial" w:cs="Arial" w:eastAsia="Arial" w:hAnsi="Arial"/>
          <w:sz w:val="18"/>
          <w:szCs w:val="18"/>
          <w:color w:val="000000"/>
        </w:rPr>
        <w:t>92%</w:t>
      </w:r>
      <w:r>
        <w:rPr>
          <w:rFonts w:ascii="Arial" w:cs="Arial" w:eastAsia="Arial" w:hAnsi="Arial"/>
          <w:sz w:val="18"/>
          <w:szCs w:val="18"/>
          <w:color w:val="231F20"/>
        </w:rPr>
        <w:t xml:space="preserve"> of total revenues in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On September 28, 2012, our common stock commenced trading on the NASDAQ Stock Market under the trading symbol “QLYS,” and on October 3, 2012 we closed our initial public offering.</w:t>
      </w:r>
    </w:p>
    <w:p>
      <w:pPr>
        <w:spacing w:after="0" w:line="166"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 Revenues from customers existing at or prior to </w:t>
      </w:r>
      <w:r>
        <w:rPr>
          <w:rFonts w:ascii="Arial" w:cs="Arial" w:eastAsia="Arial" w:hAnsi="Arial"/>
          <w:sz w:val="18"/>
          <w:szCs w:val="18"/>
          <w:color w:val="000000"/>
        </w:rPr>
        <w:t>December 31, 2011</w:t>
      </w:r>
      <w:r>
        <w:rPr>
          <w:rFonts w:ascii="Arial" w:cs="Arial" w:eastAsia="Arial" w:hAnsi="Arial"/>
          <w:sz w:val="18"/>
          <w:szCs w:val="18"/>
          <w:color w:val="231F20"/>
        </w:rPr>
        <w:t xml:space="preserve"> grew </w:t>
      </w:r>
      <w:r>
        <w:rPr>
          <w:rFonts w:ascii="Arial" w:cs="Arial" w:eastAsia="Arial" w:hAnsi="Arial"/>
          <w:sz w:val="18"/>
          <w:szCs w:val="18"/>
          <w:color w:val="000000"/>
        </w:rPr>
        <w:t>$7.8 million</w:t>
      </w:r>
      <w:r>
        <w:rPr>
          <w:rFonts w:ascii="Arial" w:cs="Arial" w:eastAsia="Arial" w:hAnsi="Arial"/>
          <w:sz w:val="18"/>
          <w:szCs w:val="18"/>
          <w:color w:val="231F20"/>
        </w:rPr>
        <w:t xml:space="preserve"> to </w:t>
      </w:r>
      <w:r>
        <w:rPr>
          <w:rFonts w:ascii="Arial" w:cs="Arial" w:eastAsia="Arial" w:hAnsi="Arial"/>
          <w:sz w:val="18"/>
          <w:szCs w:val="18"/>
          <w:color w:val="000000"/>
        </w:rPr>
        <w:t>$84.0 million</w:t>
      </w:r>
      <w:r>
        <w:rPr>
          <w:rFonts w:ascii="Arial" w:cs="Arial" w:eastAsia="Arial" w:hAnsi="Arial"/>
          <w:sz w:val="18"/>
          <w:szCs w:val="18"/>
          <w:color w:val="231F20"/>
        </w:rPr>
        <w:t xml:space="preserve"> during </w:t>
      </w:r>
      <w:r>
        <w:rPr>
          <w:rFonts w:ascii="Arial" w:cs="Arial" w:eastAsia="Arial" w:hAnsi="Arial"/>
          <w:sz w:val="18"/>
          <w:szCs w:val="18"/>
          <w:color w:val="000000"/>
        </w:rPr>
        <w:t>2012</w:t>
      </w:r>
      <w:r>
        <w:rPr>
          <w:rFonts w:ascii="Arial" w:cs="Arial" w:eastAsia="Arial" w:hAnsi="Arial"/>
          <w:sz w:val="18"/>
          <w:szCs w:val="18"/>
          <w:color w:val="231F20"/>
        </w:rPr>
        <w:t>. We expect this trend to continue.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auto"/>
        </w:rPr>
        <w:t>Our QualysGuard Cloud Platform is currently used by over 6,150 organizations in more than 100 countries, including a majority of each of the Forbes Global 100 and Fortune 100. Our revenues increased from $65.4 million in 2010 to $76.2 million in 2011, and reached $91.4 million in 2012. We generated net income of $0.8 million in 2010, $2.0 million in 2011, and $2.3 million in 2012. Total assets as of December 31, 2012 and 2011 were $170.3 million and $68.8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2"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 security and compliance solutions. The key elements of our growth strategy are:</w:t>
      </w:r>
    </w:p>
    <w:p>
      <w:pPr>
        <w:spacing w:after="0" w:line="66" w:lineRule="exact"/>
        <w:rPr>
          <w:sz w:val="20"/>
          <w:szCs w:val="20"/>
          <w:color w:val="auto"/>
        </w:rPr>
      </w:pPr>
    </w:p>
    <w:p>
      <w:pPr>
        <w:ind w:left="660" w:right="1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further enhancing our existing suite of solutions. In 2012, we introduced several new solutions on our platform, including our Web Application Scanning and Zero-Day Risk Analyzer, and have additional solutions under development.</w:t>
      </w:r>
    </w:p>
    <w:p>
      <w:pPr>
        <w:spacing w:after="0" w:line="68"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6,150 customers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industries and geographies, we believe we have a significant opportunity to sell additional solutions to our customers and expand their use of our suite of solutions. Since the majority of our customers initially deploy only one of our solutions and in select parts of their IT infrastructures, our existing customers serve as a strong source of new sales. In this regard, we have significantly expanded our sales execution and marketing functions to increase adoption of our newly developed solutions among our existing customers.</w:t>
      </w:r>
    </w:p>
    <w:p>
      <w:pPr>
        <w:spacing w:after="0" w:line="71" w:lineRule="exact"/>
        <w:rPr>
          <w:rFonts w:ascii="Arial" w:cs="Arial" w:eastAsia="Arial" w:hAnsi="Arial"/>
          <w:sz w:val="18"/>
          <w:szCs w:val="18"/>
          <w:color w:val="auto"/>
        </w:rPr>
      </w:pPr>
    </w:p>
    <w:p>
      <w:pPr>
        <w:ind w:left="660" w:right="14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w:t>
      </w:r>
      <w:r>
        <w:rPr>
          <w:rFonts w:ascii="Arial" w:cs="Arial" w:eastAsia="Arial" w:hAnsi="Arial"/>
          <w:sz w:val="18"/>
          <w:szCs w:val="18"/>
          <w:color w:val="auto"/>
        </w:rPr>
        <w:t>We are pursuing new customers by targeting key accounts and expanding our 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network of channel partners. We will continue to seek to make significant investments to encourage organizations to replace their existing security products with our cloud solutions.</w:t>
      </w:r>
    </w:p>
    <w:p>
      <w:pPr>
        <w:spacing w:after="0" w:line="60"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intend to expand our relationships with key security consulting organizations, managed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w:t>
      </w:r>
    </w:p>
    <w:p>
      <w:pPr>
        <w:spacing w:after="0" w:line="68" w:lineRule="exact"/>
        <w:rPr>
          <w:rFonts w:ascii="Arial" w:cs="Arial" w:eastAsia="Arial" w:hAnsi="Arial"/>
          <w:sz w:val="18"/>
          <w:szCs w:val="18"/>
          <w:color w:val="auto"/>
        </w:rPr>
      </w:pPr>
    </w:p>
    <w:p>
      <w:pPr>
        <w:jc w:val="both"/>
        <w:ind w:left="660" w:right="20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complementary to and can expand the functionality of our cloud platform. We may also seek to acquire technology teams to supplement our own team and increase the breadth of our cloud security and compliance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12"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Our QualysGuard Cloud Platform consists of a suite of IT security and compliance solutions that leverage our shared and extensible core services and our highly scalable multi-tenant cloud infrastructure.</w:t>
      </w:r>
    </w:p>
    <w:p>
      <w:pPr>
        <w:spacing w:after="0" w:line="14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suite of solutions provides security intelligence by automating the life cycle of IT asset discovery, security assessment and compliance management. Our core services layer provides a set of advanced shared technologies that are leveraged by our suite of security and compliance solutions, which we refer to as our Core Services.</w:t>
      </w:r>
    </w:p>
    <w:p>
      <w:pPr>
        <w:spacing w:after="0" w:line="148"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Built on our cloud platform infrastructure, our Core Services provide an integrated framework with proprietary functionalities that act as building blocks to enable efficient and scalable delivery of our customer-facing cloud solutions. Our cloud platform’s infrastructure includes integrated services that deliver a highly automated and scalable scanning infrastructure capable of scanning IT systems and web applications, inside and outside corporate firewalls.</w:t>
      </w:r>
    </w:p>
    <w:p>
      <w:pPr>
        <w:spacing w:after="0" w:line="150"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Core Services and infrastructure layers of our cloud platform deliver benefits to our entire suite of security and compliance solutions, including:</w:t>
      </w:r>
    </w:p>
    <w:p>
      <w:pPr>
        <w:spacing w:after="0" w:line="142" w:lineRule="exact"/>
        <w:rPr>
          <w:sz w:val="20"/>
          <w:szCs w:val="20"/>
          <w:color w:val="auto"/>
        </w:rPr>
      </w:pPr>
    </w:p>
    <w:p>
      <w:pPr>
        <w:ind w:left="660" w:right="4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 and interactive user interfaces with configurable report templates to present scan data with a wide range of presentation options to match a customer’s needs;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Fast searching of several extensive QualysGuard data sets, including scan results, asset data, scan profiles, users and vulnerabilities;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1" w:right="2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right="10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technology for hierarchical asset categorization via dynamic tagging and role-based customer access management;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Distributed scanning platform for global cloud-based environments.</w:t>
      </w:r>
    </w:p>
    <w:p>
      <w:pPr>
        <w:spacing w:after="0" w:line="171"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We also provide open application program interfaces, or APIs, and other developer tools that allow third parties to embed our technology into their solutions and build applications on our cloud platform.</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Suite</w:t>
      </w:r>
    </w:p>
    <w:p>
      <w:pPr>
        <w:spacing w:after="0" w:line="112"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Our suite of solutions, which we refer to as the QualysGuard Cloud Suite, currently includes six solutions: Vulnerability Management, Web Application Scanning, Malware Detection Service, Policy Compliance, PCI Compliance and Qualys SECURE Seal. This integrated set of cloud solutions enables organizations to:</w:t>
      </w:r>
    </w:p>
    <w:p>
      <w:pPr>
        <w:spacing w:after="0" w:line="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and catalogue information assets inside the organization, on the perimeter, or in the cloud;</w:t>
      </w:r>
    </w:p>
    <w:p>
      <w:pPr>
        <w:spacing w:after="0" w:line="90"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assets on an ongoing basis to establish a trusted repository for IT system configurations and to maintain hierarchical relationships between them;</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policies to establish a secure and compliant IT infrastructure and automate ongoing security and compliance assessments of IT systems and applications in accordance with best practices;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Proactively identify and help fix vulnerabilities to mitigate security risks and achieve compliance;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Monitor and measure security and compliance through a unified user interface; and</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security and compliance reports tailored to differing customer needs, including management personnel, auditors and security professionals.</w:t>
      </w:r>
    </w:p>
    <w:p>
      <w:pPr>
        <w:spacing w:after="0" w:line="14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customers can subscribe to one or more of our security and compliance solutions based on their initial needs and expand their subscriptions over time to new areas within their organization or to additional QualysGuard solutions. We offer two editions of our QualysGuard Cloud Suite, the Enterprise edition for large and medium-sized enterprises and the Express edition for small and medium-sized businesses. QualysGuard Cloud Suite solutions are described below.</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Vulnerability Management</w:t>
      </w:r>
    </w:p>
    <w:p>
      <w:pPr>
        <w:spacing w:after="0" w:line="10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QualysGuard Vulnerability Management, or QualysGuard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KnowledgeBase of known vulnerabilities, QualysGuard VM enables cost-effective protection against vulnerabilities without substantial resource deployment.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Policy Compliance</w:t>
      </w:r>
    </w:p>
    <w:p>
      <w:pPr>
        <w:spacing w:after="0" w:line="108"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QualysGuard Policy Compliance, or QualysGuard PC, allows customers to analyze and collect configuration and access control information from their networked devices and web applications and automatically maps this information to internal policies and external regulations in order to document compliance. QualysGuard PC is fully automated and helps reduce customers’ cost of compliance without requiring the use of software agents.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PCI Compliance</w:t>
      </w:r>
    </w:p>
    <w:p>
      <w:pPr>
        <w:spacing w:after="0" w:line="108"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auto"/>
        </w:rPr>
        <w:t>QualysGuard PCI Compliance, or QualysGuard PCI, provides organizations that store cardholder data a cost-effective and highly automated solution to verify and document compliance with PCI DSS. QualysGuard PCI allows merchants to complete the annual PCI Self-Assessment Questionnaire, or SAQ</w:t>
      </w:r>
      <w:r>
        <w:rPr>
          <w:rFonts w:ascii="Arial" w:cs="Arial" w:eastAsia="Arial" w:hAnsi="Arial"/>
          <w:sz w:val="18"/>
          <w:szCs w:val="18"/>
          <w:b w:val="1"/>
          <w:bCs w:val="1"/>
          <w:color w:val="auto"/>
        </w:rPr>
        <w:t>,</w:t>
      </w:r>
      <w:r>
        <w:rPr>
          <w:rFonts w:ascii="Arial" w:cs="Arial" w:eastAsia="Arial" w:hAnsi="Arial"/>
          <w:sz w:val="18"/>
          <w:szCs w:val="18"/>
          <w:color w:val="auto"/>
        </w:rPr>
        <w:t xml:space="preserve"> to perform vulnerability scanning for quarterly PCI audits and to meet the demands of PCI for web application security.</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Scanning</w:t>
      </w:r>
    </w:p>
    <w:p>
      <w:pPr>
        <w:spacing w:after="0" w:line="10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QualysGuard Web Application Scanning, or QualysGuard WAS, uses the scalability of our cloud platform to allow customers to discover, catalog and scan a large number of web applications. QualysGuard WAS scans and analyzes custom web applications and identifies vulnerabilities that threaten underlying databases or bypass access controls. These web applications are often the main attack vectors for cyber attackers.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Malware Detection Service</w:t>
      </w:r>
    </w:p>
    <w:p>
      <w:pPr>
        <w:spacing w:after="0" w:line="10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QualysGuard Malware Detection Service, or QualysGuard MDS, provides organizations with the ability to scan, identify and remove malware infections from their websites. QualysGuard MDS utilizes behavioral and static analysis to provide malware detection to organizations. It provides periodic scanning to monitor websites and delivers email alerts to notify customers of infections.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Firewall</w:t>
      </w:r>
    </w:p>
    <w:p>
      <w:pPr>
        <w:spacing w:after="0" w:line="10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QualysGuard Web Application Firewall, or QualysGuard WAF, currently in beta testing, delivers enterprise-grade web application security without the costs, footprint, and complexity associated with appliance-based web application firewall solutions. It is designed to protect web applications from attack vectors by enhancing default web application configurations and virtual patching. QualysGuard WAF can improve website performance by reducing page load times and optimizing bandwidth.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SECURE Seal</w:t>
      </w:r>
    </w:p>
    <w:p>
      <w:pPr>
        <w:spacing w:after="0" w:line="10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QualysGuard SECURE Seal helps organizations demonstrate to their online customers that they maintain a proactive security program. This solution includes scanning for the presence of malware, network and web application vulnerabilities and for SSL certificate validation. Websites that regularly perform these security scans with no critical security issues detected can display a QualysGuard SECURE Seal on their website to demonstrate to visitors that they are proactively securing their websites.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Core Services</w:t>
      </w:r>
    </w:p>
    <w:p>
      <w:pPr>
        <w:spacing w:after="0" w:line="112"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Our Core Services include:</w:t>
      </w:r>
    </w:p>
    <w:p>
      <w:pPr>
        <w:spacing w:after="0" w:line="43" w:lineRule="exact"/>
        <w:rPr>
          <w:sz w:val="20"/>
          <w:szCs w:val="20"/>
          <w:color w:val="auto"/>
        </w:rPr>
      </w:pPr>
    </w:p>
    <w:p>
      <w:pPr>
        <w:ind w:left="660" w:right="4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w:t>
      </w:r>
    </w:p>
    <w:p>
      <w:pPr>
        <w:spacing w:after="0" w:line="26" w:lineRule="exact"/>
        <w:rPr>
          <w:rFonts w:ascii="Arial" w:cs="Arial" w:eastAsia="Arial" w:hAnsi="Arial"/>
          <w:sz w:val="18"/>
          <w:szCs w:val="18"/>
          <w:color w:val="auto"/>
        </w:rPr>
      </w:pPr>
    </w:p>
    <w:p>
      <w:pPr>
        <w:ind w:left="660" w:right="2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26"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26" w:lineRule="exact"/>
        <w:rPr>
          <w:rFonts w:ascii="Arial" w:cs="Arial" w:eastAsia="Arial" w:hAnsi="Arial"/>
          <w:sz w:val="18"/>
          <w:szCs w:val="18"/>
          <w:color w:val="auto"/>
        </w:rPr>
      </w:pPr>
    </w:p>
    <w:p>
      <w:pPr>
        <w:ind w:left="660" w:right="380" w:hanging="328"/>
        <w:spacing w:after="0" w:line="28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29"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Big Data Correlation and Analytics Engine</w:t>
      </w:r>
      <w:r>
        <w:rPr>
          <w:rFonts w:ascii="Arial" w:cs="Arial" w:eastAsia="Arial" w:hAnsi="Arial"/>
          <w:sz w:val="18"/>
          <w:szCs w:val="18"/>
          <w:color w:val="auto"/>
        </w:rPr>
        <w:t>. Provides capabilities for indexing, searching and correlating large amounts of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data with other security incidents and third-party security intelligence data. Embedded workflows enable customers to quickly assess risk and access information for remediation, incident analysis and forensic investigations.</w:t>
      </w:r>
    </w:p>
    <w:p>
      <w:pPr>
        <w:spacing w:after="0" w:line="41"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Infrastructure</w:t>
      </w:r>
    </w:p>
    <w:p>
      <w:pPr>
        <w:spacing w:after="0" w:line="11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Our infrastructure layer, which we refer to as our Infrastructure, includes the data, data processing capabilities, software and hardware infrastructure and infrastructure management capabilities that provide the foundation for our cloud platform and allow us to automatically scale our Infrastructure and Core Services to scan millions of IPs. Each Infrastructure service is described below:</w:t>
      </w:r>
    </w:p>
    <w:p>
      <w:pPr>
        <w:spacing w:after="0" w:line="49" w:lineRule="exact"/>
        <w:rPr>
          <w:sz w:val="20"/>
          <w:szCs w:val="20"/>
          <w:color w:val="auto"/>
        </w:rPr>
      </w:pPr>
    </w:p>
    <w:p>
      <w:pPr>
        <w:ind w:left="660" w:right="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Scalable Capacity</w:t>
      </w:r>
      <w:r>
        <w:rPr>
          <w:rFonts w:ascii="Arial" w:cs="Arial" w:eastAsia="Arial" w:hAnsi="Arial"/>
          <w:sz w:val="18"/>
          <w:szCs w:val="18"/>
          <w:color w:val="auto"/>
        </w:rPr>
        <w:t>. We have designed a modular and scalable infrastructure that leverages virtualization and cloud technologies.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allows our operations team to dynamically allocate additional capacity on-demand across our entire QualysGuard Cloud Platform to address the growth and scalability of our solutions.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08" w:lineRule="exact"/>
        <w:rPr>
          <w:sz w:val="20"/>
          <w:szCs w:val="20"/>
          <w:color w:val="auto"/>
        </w:rPr>
      </w:pPr>
    </w:p>
    <w:p>
      <w:pPr>
        <w:jc w:val="both"/>
        <w:ind w:left="660" w:right="28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Big Data Indexing and Storage. </w:t>
      </w:r>
      <w:r>
        <w:rPr>
          <w:rFonts w:ascii="Arial" w:cs="Arial" w:eastAsia="Arial" w:hAnsi="Arial"/>
          <w:sz w:val="18"/>
          <w:szCs w:val="18"/>
          <w:color w:val="auto"/>
        </w:rPr>
        <w:t>Built on top of our secure data storage model, this engine indexes petabytes of data and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real-time to execute tags or rules to dynamically update IT assets’ properties, which are used in various workflows for scanning, reporting and remediation.</w:t>
      </w:r>
    </w:p>
    <w:p>
      <w:pPr>
        <w:spacing w:after="0" w:line="4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QualysGuard KnowledgeBase. </w:t>
      </w:r>
      <w:r>
        <w:rPr>
          <w:rFonts w:ascii="Arial" w:cs="Arial" w:eastAsia="Arial" w:hAnsi="Arial"/>
          <w:sz w:val="18"/>
          <w:szCs w:val="18"/>
          <w:color w:val="auto"/>
        </w:rPr>
        <w:t>QualysGuard relies on our comprehensive repository, which we refer to as our KnowledgeBase, of</w:t>
      </w:r>
      <w:r>
        <w:rPr>
          <w:rFonts w:ascii="Arial" w:cs="Arial" w:eastAsia="Arial" w:hAnsi="Arial"/>
          <w:sz w:val="18"/>
          <w:szCs w:val="18"/>
          <w:i w:val="1"/>
          <w:iCs w:val="1"/>
          <w:color w:val="auto"/>
        </w:rPr>
        <w:t xml:space="preserve"> </w:t>
      </w:r>
      <w:r>
        <w:rPr>
          <w:rFonts w:ascii="Arial" w:cs="Arial" w:eastAsia="Arial" w:hAnsi="Arial"/>
          <w:sz w:val="18"/>
          <w:szCs w:val="18"/>
          <w:color w:val="auto"/>
        </w:rPr>
        <w:t>known vulnerabilities and compliance controls for a wide range of devices, technologies and applications that powers our security and compliance scanning technology. We update our KnowledgeBase daily with signatures for new vulnerabilities, control checks, validated fixes and improvements.</w:t>
      </w:r>
    </w:p>
    <w:p>
      <w:pPr>
        <w:spacing w:after="0" w:line="44" w:lineRule="exact"/>
        <w:rPr>
          <w:rFonts w:ascii="Arial" w:cs="Arial" w:eastAsia="Arial" w:hAnsi="Arial"/>
          <w:sz w:val="18"/>
          <w:szCs w:val="18"/>
          <w:color w:val="auto"/>
        </w:rPr>
      </w:pPr>
    </w:p>
    <w:p>
      <w:pPr>
        <w:ind w:left="660" w:right="24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Managed Scanner Appliances. </w:t>
      </w:r>
      <w:r>
        <w:rPr>
          <w:rFonts w:ascii="Arial" w:cs="Arial" w:eastAsia="Arial" w:hAnsi="Arial"/>
          <w:sz w:val="18"/>
          <w:szCs w:val="18"/>
          <w:color w:val="auto"/>
        </w:rPr>
        <w:t>As part of our cloud platform, we host and operate a large number of globally distributed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appliances that our customers use to scan their externally facing systems and web applications. To scan internal IT assets, customers can also deploy our scanners, which are available on a subscription basis as physical appliances or downloadable virtual images, within their internal networks. Our scanner appliances self-update daily in a transparent manner using our automated and proprietary scan management technology. These scanner appliances allow us to scale our cloud platform to scan networked devices and web applications across organizations’ networks around the world.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2012</w:t>
      </w:r>
      <w:r>
        <w:rPr>
          <w:rFonts w:ascii="Arial" w:cs="Arial" w:eastAsia="Arial" w:hAnsi="Arial"/>
          <w:sz w:val="18"/>
          <w:szCs w:val="18"/>
          <w:color w:val="231F20"/>
        </w:rPr>
        <w:t xml:space="preserve">, we had over </w:t>
      </w:r>
      <w:r>
        <w:rPr>
          <w:rFonts w:ascii="Arial" w:cs="Arial" w:eastAsia="Arial" w:hAnsi="Arial"/>
          <w:sz w:val="18"/>
          <w:szCs w:val="18"/>
          <w:color w:val="000000"/>
        </w:rPr>
        <w:t>6,150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w:t>
      </w:r>
      <w:r>
        <w:rPr>
          <w:rFonts w:ascii="Arial" w:cs="Arial" w:eastAsia="Arial" w:hAnsi="Arial"/>
          <w:sz w:val="18"/>
          <w:szCs w:val="18"/>
          <w:color w:val="000000"/>
        </w:rPr>
        <w:t>In each of 2012, 2011 and 2010, no one customer accounted for more than 10% of our revenues.</w:t>
      </w:r>
      <w:r>
        <w:rPr>
          <w:rFonts w:ascii="Arial" w:cs="Arial" w:eastAsia="Arial" w:hAnsi="Arial"/>
          <w:sz w:val="18"/>
          <w:szCs w:val="18"/>
          <w:color w:val="231F20"/>
        </w:rPr>
        <w:t xml:space="preserve"> In </w:t>
      </w:r>
      <w:r>
        <w:rPr>
          <w:rFonts w:ascii="Arial" w:cs="Arial" w:eastAsia="Arial" w:hAnsi="Arial"/>
          <w:sz w:val="18"/>
          <w:szCs w:val="18"/>
          <w:color w:val="000000"/>
        </w:rPr>
        <w:t>2012, 2011 and 2010</w:t>
      </w:r>
      <w:r>
        <w:rPr>
          <w:rFonts w:ascii="Arial" w:cs="Arial" w:eastAsia="Arial" w:hAnsi="Arial"/>
          <w:sz w:val="18"/>
          <w:szCs w:val="18"/>
          <w:color w:val="231F20"/>
        </w:rPr>
        <w:t xml:space="preserve">, approximately </w:t>
      </w:r>
      <w:r>
        <w:rPr>
          <w:rFonts w:ascii="Arial" w:cs="Arial" w:eastAsia="Arial" w:hAnsi="Arial"/>
          <w:sz w:val="18"/>
          <w:szCs w:val="18"/>
          <w:color w:val="000000"/>
        </w:rPr>
        <w:t>68%</w:t>
      </w:r>
      <w:r>
        <w:rPr>
          <w:rFonts w:ascii="Arial" w:cs="Arial" w:eastAsia="Arial" w:hAnsi="Arial"/>
          <w:sz w:val="18"/>
          <w:szCs w:val="18"/>
          <w:color w:val="231F20"/>
        </w:rPr>
        <w:t xml:space="preserve">, </w:t>
      </w:r>
      <w:r>
        <w:rPr>
          <w:rFonts w:ascii="Arial" w:cs="Arial" w:eastAsia="Arial" w:hAnsi="Arial"/>
          <w:sz w:val="18"/>
          <w:szCs w:val="18"/>
          <w:color w:val="000000"/>
        </w:rPr>
        <w:t>67%</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12"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4,000 employees, and an inside sales team, which focuses on small to medium businesses, which generally include organizations with less than 4,000 employees. Both our field and inside sales teams are divided into three geographic regions, including the Americas; Europe, Middle East and Africa; and Asia-Pacific. We also further segment each of our sales teams into groups that focus on adding new customers or expanding relationships with existing customers.</w:t>
      </w:r>
    </w:p>
    <w:p>
      <w:pPr>
        <w:spacing w:after="0" w:line="15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Computacenter UK Ltd., Dell Inc., FishNet Security, Inc., Insight Technologies, Inc., Symantec Corporation and Verizon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2012, 2011 and 2010, 40%, 38% and 33%, respectively, of our revenues were generated by channel partners.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12" w:lineRule="exact"/>
        <w:rPr>
          <w:sz w:val="20"/>
          <w:szCs w:val="20"/>
          <w:color w:val="auto"/>
        </w:rPr>
      </w:pPr>
    </w:p>
    <w:p>
      <w:pPr>
        <w:jc w:val="both"/>
        <w:ind w:right="120"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deliver 24x7x365 customer support from centers located in Redwood City, California; Durham, North Carolina; and Slough, United Kingdom.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any professional services. Accordingly, we do not sell any professional services. However, we do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QualysGuard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Brazil, China, France, India, and United Kingdom, which gives us access to some of the best research and engineering talent in the world. Our focus remains to attract engineering talent as we continue to add new solutions and improve existing ones.</w:t>
      </w:r>
    </w:p>
    <w:p>
      <w:pPr>
        <w:spacing w:after="0" w:line="15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$20.2 million, $19.6 million and $15.8 million for 2012, 2011 and 2010,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data center operations are provided by Savvis Communications Corporation, or Savvis, pursuant to a master services agreement dated June 22, 2010, and Interoute Communications Limited, or Interoute, pursuant to a master agreement dated March 31, 2008. Under these agreements, Savvis and Interoute provide us with data center space in various locations. The Savvis agreement had an initial term of 24 months; upon the completion of this initial term, services have automatically continued to renew for successive one month periods. The provision of renewed service for such successive one month periods may be terminated by either party upon the provision of upon written notice, subject to applicable cure periods if the other party has materially breached its obligations under the agreement. As of December 31, 2012, we are seeking to negotiate a 24 month renewal under the original master services agreement. The Interoute agreement has an initial term of three years, which is automatically renewed for additional one-year terms, unless terminated (i) immediately upon written notice, subject to applicable cure periods, if the other party has materially breached its obligations, or breached certain specific obligations under the agreement or (ii) by Interoute in the event that we engage in fraud, fail to make undisputed payments or violate certain Interoute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48" w:lineRule="exact"/>
        <w:rPr>
          <w:sz w:val="20"/>
          <w:szCs w:val="20"/>
          <w:color w:val="auto"/>
        </w:rPr>
      </w:pPr>
    </w:p>
    <w:p>
      <w:pPr>
        <w:ind w:right="400" w:firstLine="405"/>
        <w:spacing w:after="0" w:line="252" w:lineRule="auto"/>
        <w:rPr>
          <w:sz w:val="20"/>
          <w:szCs w:val="20"/>
          <w:color w:val="auto"/>
        </w:rPr>
      </w:pPr>
      <w:r>
        <w:rPr>
          <w:rFonts w:ascii="Arial" w:cs="Arial" w:eastAsia="Arial" w:hAnsi="Arial"/>
          <w:sz w:val="18"/>
          <w:szCs w:val="18"/>
          <w:color w:val="auto"/>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15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We have one issued patent, several pending U.S. patent applications and an inbound license to four U.S. patents, which was obtained in connection with our acquisition of Nemean.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QualysGuard Cloud Platform, which we believe differentiates us from our competitors.</w:t>
      </w:r>
    </w:p>
    <w:p>
      <w:pPr>
        <w:spacing w:after="0" w:line="15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copy or obtain and use our technology to develop products with the same functionality as our solution. Policing unauthorized use of our technology and intellectual property rights is difficult.</w:t>
      </w:r>
    </w:p>
    <w:p>
      <w:pPr>
        <w:spacing w:after="0" w:line="14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As of December 31, 2012, we had 359 full-time employees, including 123 in research and development, 137 in sales and marketing, 58 in operations and customer support and 41 in general and administrative. As of December 31, 2012, we had 264 employees in the United States and 95 employees internationally. None of our U.S. employees are covered by collective bargaining agreements. Employees in certain European countries have the benefits of collective bargaining arrangements at the national level. We believe our employee relations are good and we have not experienced any work stoppages.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1600 Bridge Parkway, Redwood City, California 94065.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6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We have not been consistently profitable on a quarterly or annual basis. While we have experienced significant revenue growth over recent years, we may not be able to sustain or increase our growth or return to profitability in the future. Although we had net income for each of the three years ended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we had net losses in the fourth quarter of 2011 and in the first two quarters of 2012. The net losses were primarily due to increased sales and marketing activities during those quarters as we continued to expand our worldwide customer base as well as focus on the promotion of our new solutions. We plan to continue to invest in our infrastructure, new solutions, research and development and sales and marketing, and as a result, we cannot assure you that we will maintain profitability. In addition, as a public company, we incur significant accounting, legal and other expenses that we did not incur as a private company. As a result of these increased expenditures, we will have to generate and sustain increased revenues to achieve future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41" w:right="29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3" w:lineRule="exact"/>
        <w:rPr>
          <w:sz w:val="20"/>
          <w:szCs w:val="20"/>
          <w:color w:val="auto"/>
        </w:rPr>
      </w:pPr>
    </w:p>
    <w:p>
      <w:pPr>
        <w:ind w:left="660" w:right="5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33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41" w:right="29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87%, 90%</w:t>
      </w:r>
      <w:r>
        <w:rPr>
          <w:rFonts w:ascii="Arial" w:cs="Arial" w:eastAsia="Arial" w:hAnsi="Arial"/>
          <w:sz w:val="18"/>
          <w:szCs w:val="18"/>
          <w:color w:val="231F20"/>
        </w:rPr>
        <w:t xml:space="preserve">, </w:t>
      </w:r>
      <w:r>
        <w:rPr>
          <w:rFonts w:ascii="Arial" w:cs="Arial" w:eastAsia="Arial" w:hAnsi="Arial"/>
          <w:sz w:val="18"/>
          <w:szCs w:val="18"/>
          <w:color w:val="000000"/>
        </w:rPr>
        <w:t>and 92%</w:t>
      </w:r>
      <w:r>
        <w:rPr>
          <w:rFonts w:ascii="Arial" w:cs="Arial" w:eastAsia="Arial" w:hAnsi="Arial"/>
          <w:sz w:val="18"/>
          <w:szCs w:val="18"/>
          <w:color w:val="231F20"/>
        </w:rPr>
        <w:t xml:space="preserve"> of our revenues from subscriptions to our QualysGuard Vulnerability Management solution for the years ended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two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two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intend to add additional data center facilities in 2013 to provide additional capacity for our cloud platform and enable disaster recovery. These additional facilities may not be operational in the anticipated time 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6"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6"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2010</w:t>
      </w:r>
      <w:r>
        <w:rPr>
          <w:rFonts w:ascii="Arial" w:cs="Arial" w:eastAsia="Arial" w:hAnsi="Arial"/>
          <w:sz w:val="18"/>
          <w:szCs w:val="18"/>
          <w:color w:val="231F20"/>
        </w:rPr>
        <w:t xml:space="preserve"> to </w:t>
      </w:r>
      <w:r>
        <w:rPr>
          <w:rFonts w:ascii="Arial" w:cs="Arial" w:eastAsia="Arial" w:hAnsi="Arial"/>
          <w:sz w:val="18"/>
          <w:szCs w:val="18"/>
          <w:color w:val="000000"/>
        </w:rPr>
        <w:t>2012</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$65.4 million</w:t>
      </w:r>
      <w:r>
        <w:rPr>
          <w:rFonts w:ascii="Arial" w:cs="Arial" w:eastAsia="Arial" w:hAnsi="Arial"/>
          <w:sz w:val="18"/>
          <w:szCs w:val="18"/>
          <w:color w:val="231F20"/>
        </w:rPr>
        <w:t xml:space="preserve"> to </w:t>
      </w:r>
      <w:r>
        <w:rPr>
          <w:rFonts w:ascii="Arial" w:cs="Arial" w:eastAsia="Arial" w:hAnsi="Arial"/>
          <w:sz w:val="18"/>
          <w:szCs w:val="18"/>
          <w:color w:val="000000"/>
        </w:rPr>
        <w:t>$91.4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232 employees at the beginning of 2010 to</w:t>
      </w:r>
      <w:r>
        <w:rPr>
          <w:rFonts w:ascii="Arial" w:cs="Arial" w:eastAsia="Arial" w:hAnsi="Arial"/>
          <w:sz w:val="18"/>
          <w:szCs w:val="18"/>
          <w:color w:val="000000"/>
        </w:rPr>
        <w:t xml:space="preserve"> 359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2012</w:t>
      </w:r>
      <w:r>
        <w:rPr>
          <w:rFonts w:ascii="Arial" w:cs="Arial" w:eastAsia="Arial" w:hAnsi="Arial"/>
          <w:sz w:val="18"/>
          <w:szCs w:val="18"/>
          <w:color w:val="231F20"/>
        </w:rPr>
        <w:t>.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the forecasts of market growth included in this Annual Report on Form 10-K should not be taken as indicative of our future growth.</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40%</w:t>
      </w:r>
      <w:r>
        <w:rPr>
          <w:rFonts w:ascii="Arial" w:cs="Arial" w:eastAsia="Arial" w:hAnsi="Arial"/>
          <w:sz w:val="18"/>
          <w:szCs w:val="18"/>
          <w:color w:val="231F20"/>
        </w:rPr>
        <w:t>,</w:t>
      </w:r>
      <w:r>
        <w:rPr>
          <w:rFonts w:ascii="Arial" w:cs="Arial" w:eastAsia="Arial" w:hAnsi="Arial"/>
          <w:sz w:val="18"/>
          <w:szCs w:val="18"/>
          <w:color w:val="000000"/>
        </w:rPr>
        <w:t xml:space="preserve"> 38% </w:t>
      </w:r>
      <w:r>
        <w:rPr>
          <w:rFonts w:ascii="Arial" w:cs="Arial" w:eastAsia="Arial" w:hAnsi="Arial"/>
          <w:sz w:val="18"/>
          <w:szCs w:val="18"/>
          <w:color w:val="231F20"/>
        </w:rPr>
        <w:t>and</w:t>
      </w:r>
      <w:r>
        <w:rPr>
          <w:rFonts w:ascii="Arial" w:cs="Arial" w:eastAsia="Arial" w:hAnsi="Arial"/>
          <w:sz w:val="18"/>
          <w:szCs w:val="18"/>
          <w:color w:val="000000"/>
        </w:rPr>
        <w:t xml:space="preserve"> 33%</w:t>
      </w:r>
      <w:r>
        <w:rPr>
          <w:rFonts w:ascii="Arial" w:cs="Arial" w:eastAsia="Arial" w:hAnsi="Arial"/>
          <w:sz w:val="18"/>
          <w:szCs w:val="18"/>
          <w:color w:val="231F20"/>
        </w:rPr>
        <w:t>, respectively, of our revenues from sales of subscriptions for our solutions through channel partners, and the percentage of</w:t>
      </w:r>
      <w:r>
        <w:rPr>
          <w:rFonts w:ascii="Arial" w:cs="Arial" w:eastAsia="Arial" w:hAnsi="Arial"/>
          <w:sz w:val="18"/>
          <w:szCs w:val="18"/>
          <w:color w:val="000000"/>
        </w:rPr>
        <w:t xml:space="preserve"> </w:t>
      </w:r>
      <w:r>
        <w:rPr>
          <w:rFonts w:ascii="Arial" w:cs="Arial" w:eastAsia="Arial" w:hAnsi="Arial"/>
          <w:sz w:val="18"/>
          <w:szCs w:val="18"/>
          <w:color w:val="231F20"/>
        </w:rPr>
        <w:t xml:space="preserve">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w:t>
      </w:r>
      <w:r>
        <w:rPr>
          <w:rFonts w:ascii="Arial" w:cs="Arial" w:eastAsia="Arial" w:hAnsi="Arial"/>
          <w:sz w:val="18"/>
          <w:szCs w:val="18"/>
          <w:color w:val="000000"/>
        </w:rPr>
        <w:t xml:space="preserve">4% </w:t>
      </w:r>
      <w:r>
        <w:rPr>
          <w:rFonts w:ascii="Arial" w:cs="Arial" w:eastAsia="Arial" w:hAnsi="Arial"/>
          <w:sz w:val="18"/>
          <w:szCs w:val="18"/>
          <w:color w:val="231F20"/>
        </w:rPr>
        <w:t>and</w:t>
      </w:r>
      <w:r>
        <w:rPr>
          <w:rFonts w:ascii="Arial" w:cs="Arial" w:eastAsia="Arial" w:hAnsi="Arial"/>
          <w:sz w:val="18"/>
          <w:szCs w:val="18"/>
          <w:color w:val="000000"/>
        </w:rPr>
        <w:t xml:space="preserve"> 3% </w:t>
      </w:r>
      <w:r>
        <w:rPr>
          <w:rFonts w:ascii="Arial" w:cs="Arial" w:eastAsia="Arial" w:hAnsi="Arial"/>
          <w:sz w:val="18"/>
          <w:szCs w:val="18"/>
          <w:color w:val="231F20"/>
        </w:rPr>
        <w:t>of our revenues for the years ended</w:t>
      </w:r>
      <w:r>
        <w:rPr>
          <w:rFonts w:ascii="Arial" w:cs="Arial" w:eastAsia="Arial" w:hAnsi="Arial"/>
          <w:sz w:val="18"/>
          <w:szCs w:val="18"/>
          <w:color w:val="000000"/>
        </w:rPr>
        <w:t xml:space="preserve"> December 31, 2012</w:t>
      </w:r>
      <w:r>
        <w:rPr>
          <w:rFonts w:ascii="Arial" w:cs="Arial" w:eastAsia="Arial" w:hAnsi="Arial"/>
          <w:sz w:val="18"/>
          <w:szCs w:val="18"/>
          <w:color w:val="231F20"/>
        </w:rPr>
        <w:t>,</w:t>
      </w:r>
      <w:r>
        <w:rPr>
          <w:rFonts w:ascii="Arial" w:cs="Arial" w:eastAsia="Arial" w:hAnsi="Arial"/>
          <w:sz w:val="18"/>
          <w:szCs w:val="18"/>
          <w:color w:val="000000"/>
        </w:rPr>
        <w:t xml:space="preserve"> 2011 </w:t>
      </w:r>
      <w:r>
        <w:rPr>
          <w:rFonts w:ascii="Arial" w:cs="Arial" w:eastAsia="Arial" w:hAnsi="Arial"/>
          <w:sz w:val="18"/>
          <w:szCs w:val="18"/>
          <w:color w:val="231F20"/>
        </w:rPr>
        <w:t>and</w:t>
      </w:r>
      <w:r>
        <w:rPr>
          <w:rFonts w:ascii="Arial" w:cs="Arial" w:eastAsia="Arial" w:hAnsi="Arial"/>
          <w:sz w:val="18"/>
          <w:szCs w:val="18"/>
          <w:color w:val="000000"/>
        </w:rPr>
        <w:t xml:space="preserve"> 2010</w:t>
      </w:r>
      <w:r>
        <w:rPr>
          <w:rFonts w:ascii="Arial" w:cs="Arial" w:eastAsia="Arial" w:hAnsi="Arial"/>
          <w:sz w:val="18"/>
          <w:szCs w:val="18"/>
          <w:color w:val="231F20"/>
        </w:rPr>
        <w:t>, respectively. Our agreements with our channel partners</w:t>
      </w:r>
      <w:r>
        <w:rPr>
          <w:rFonts w:ascii="Arial" w:cs="Arial" w:eastAsia="Arial" w:hAnsi="Arial"/>
          <w:sz w:val="18"/>
          <w:szCs w:val="18"/>
          <w:color w:val="000000"/>
        </w:rPr>
        <w:t xml:space="preserve"> </w:t>
      </w:r>
      <w:r>
        <w:rPr>
          <w:rFonts w:ascii="Arial" w:cs="Arial" w:eastAsia="Arial" w:hAnsi="Arial"/>
          <w:sz w:val="18"/>
          <w:szCs w:val="18"/>
          <w:color w:val="231F20"/>
        </w:rPr>
        <w:t>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8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1" w:right="2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231F20"/>
        </w:rPr>
        <w:t xml:space="preserve">Our reporting currency is the U.S. dollar and we generate a majority of our revenues in U.S. dollars. However, in </w:t>
      </w:r>
      <w:r>
        <w:rPr>
          <w:rFonts w:ascii="Arial" w:cs="Arial" w:eastAsia="Arial" w:hAnsi="Arial"/>
          <w:sz w:val="17"/>
          <w:szCs w:val="17"/>
          <w:color w:val="000000"/>
        </w:rPr>
        <w:t>2012</w:t>
      </w:r>
      <w:r>
        <w:rPr>
          <w:rFonts w:ascii="Arial" w:cs="Arial" w:eastAsia="Arial" w:hAnsi="Arial"/>
          <w:sz w:val="17"/>
          <w:szCs w:val="17"/>
          <w:color w:val="231F20"/>
        </w:rPr>
        <w:t xml:space="preserve">, we incurred approximately </w:t>
      </w:r>
      <w:r>
        <w:rPr>
          <w:rFonts w:ascii="Arial" w:cs="Arial" w:eastAsia="Arial" w:hAnsi="Arial"/>
          <w:sz w:val="17"/>
          <w:szCs w:val="17"/>
          <w:color w:val="000000"/>
        </w:rPr>
        <w:t>21%</w:t>
      </w:r>
      <w:r>
        <w:rPr>
          <w:rFonts w:ascii="Arial" w:cs="Arial" w:eastAsia="Arial" w:hAnsi="Arial"/>
          <w:sz w:val="17"/>
          <w:szCs w:val="17"/>
          <w:color w:val="231F20"/>
        </w:rPr>
        <w:t xml:space="preserve"> of our expenses outside of the United States in foreign currencies, primarily Euros, principally with respect to salaries and related personnel expenses associated with our European operations. Additionally, in </w:t>
      </w:r>
      <w:r>
        <w:rPr>
          <w:rFonts w:ascii="Arial" w:cs="Arial" w:eastAsia="Arial" w:hAnsi="Arial"/>
          <w:sz w:val="17"/>
          <w:szCs w:val="17"/>
          <w:color w:val="000000"/>
        </w:rPr>
        <w:t>2012</w:t>
      </w:r>
      <w:r>
        <w:rPr>
          <w:rFonts w:ascii="Arial" w:cs="Arial" w:eastAsia="Arial" w:hAnsi="Arial"/>
          <w:sz w:val="17"/>
          <w:szCs w:val="17"/>
          <w:color w:val="231F20"/>
        </w:rPr>
        <w:t xml:space="preserve">, approximately </w:t>
      </w:r>
      <w:r>
        <w:rPr>
          <w:rFonts w:ascii="Arial" w:cs="Arial" w:eastAsia="Arial" w:hAnsi="Arial"/>
          <w:sz w:val="17"/>
          <w:szCs w:val="17"/>
          <w:color w:val="000000"/>
        </w:rPr>
        <w:t>21%</w:t>
      </w:r>
      <w:r>
        <w:rPr>
          <w:rFonts w:ascii="Arial" w:cs="Arial" w:eastAsia="Arial" w:hAnsi="Arial"/>
          <w:sz w:val="17"/>
          <w:szCs w:val="17"/>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192"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have one issued patent and several pending U.S. patent applications, and may file additional patent applications in the future. Additionally, as of </w:t>
      </w:r>
      <w:r>
        <w:rPr>
          <w:rFonts w:ascii="Arial" w:cs="Arial" w:eastAsia="Arial" w:hAnsi="Arial"/>
          <w:sz w:val="18"/>
          <w:szCs w:val="18"/>
          <w:color w:val="000000"/>
        </w:rPr>
        <w:t>December 31, 2012</w:t>
      </w:r>
      <w:r>
        <w:rPr>
          <w:rFonts w:ascii="Arial" w:cs="Arial" w:eastAsia="Arial" w:hAnsi="Arial"/>
          <w:sz w:val="18"/>
          <w:szCs w:val="18"/>
          <w:color w:val="231F20"/>
        </w:rPr>
        <w:t>, we had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 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13" w:lineRule="exact"/>
        <w:rPr>
          <w:sz w:val="20"/>
          <w:szCs w:val="20"/>
          <w:color w:val="auto"/>
        </w:rPr>
      </w:pPr>
    </w:p>
    <w:p>
      <w:pPr>
        <w:ind w:right="16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$0.4 million</w:t>
      </w:r>
      <w:r>
        <w:rPr>
          <w:rFonts w:ascii="Arial" w:cs="Arial" w:eastAsia="Arial" w:hAnsi="Arial"/>
          <w:sz w:val="18"/>
          <w:szCs w:val="18"/>
          <w:color w:val="231F20"/>
        </w:rPr>
        <w:t xml:space="preserve"> on our consolidated balance sheet as of </w:t>
      </w:r>
      <w:r>
        <w:rPr>
          <w:rFonts w:ascii="Arial" w:cs="Arial" w:eastAsia="Arial" w:hAnsi="Arial"/>
          <w:sz w:val="18"/>
          <w:szCs w:val="18"/>
          <w:color w:val="000000"/>
        </w:rPr>
        <w:t>December 31, 2012</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19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231F20"/>
        </w:rPr>
        <w:t xml:space="preserve">For example, 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 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 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1" w:right="27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goodwill and intangibles, reserves, accounting for income taxes and stock-based compensation.</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$52.9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During the quarter ended June 30, 2012, we identified a deficiency in our internal control over financial reporting and we determined that we should restate our consolidated financial statements as of December 31, 2010 and 2011 and for the year ended December 31, 2010 to correct an error in our 2010 provision for income taxes. The restatement related to the tax benefit resulting from a reduction of our liability for uncertain tax positions upon the lapse of the statute of limitations for the 2007 tax year of our French subsidiary. We did not release the liability at December 31, 2010 due to an error in the determination of when the statute of limitations would expire. Our review of the tax provision prepared by a third-party tax advisor was not effective in identifying the error in an appropriate timeframe. We concluded that this control deficiency was not a material weakness, but rather constituted a significant deficiency in our internal control over financial reporting. However, other control deficiencies which may rise to the level of a material weakness may be discovered in the future. In addition, our current controls and any new controls that we develop may 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and may result in additional restatements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Annual Report on Form 10-K and other quarterly and annual reports and provide an annual management report on the effectiveness of our internal control over financial reporting commencing with our Annual Report on Form 10-K for the year ending December 31, 2013. Our independent registered public accounting firm is not required to formally attest to the effectiveness of our internal control over financial reporting until the later of our Annual Report on Form 10-K for the year ending December 31, 2013 or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would remain an “emerging growth company” for up to five years, although,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89"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2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2012</w:t>
      </w:r>
      <w:r>
        <w:rPr>
          <w:rFonts w:ascii="Arial" w:cs="Arial" w:eastAsia="Arial" w:hAnsi="Arial"/>
          <w:sz w:val="18"/>
          <w:szCs w:val="18"/>
          <w:color w:val="231F20"/>
        </w:rPr>
        <w:t>, our executive officers, directors and holders of 5% or more of our outstanding common stock beneficially own, in the aggregate, a majority of our outstanding common stock. As a result, such persons, acting together, have the ability to control our management and affairs and substantially all matters submitted to our stockholders for approval, including the election and removal of directors and approval of any significant transaction. These persons also have the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1" w:right="27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commenced trading of our common stock on September 28, 2012 and on October 3, 2012, we closed our initial public offering, or the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The offering included </w:t>
      </w:r>
      <w:r>
        <w:rPr>
          <w:rFonts w:ascii="Arial" w:cs="Arial" w:eastAsia="Arial" w:hAnsi="Arial"/>
          <w:sz w:val="18"/>
          <w:szCs w:val="18"/>
          <w:color w:val="000000"/>
        </w:rPr>
        <w:t>7,836,250</w:t>
      </w:r>
      <w:r>
        <w:rPr>
          <w:rFonts w:ascii="Arial" w:cs="Arial" w:eastAsia="Arial" w:hAnsi="Arial"/>
          <w:sz w:val="18"/>
          <w:szCs w:val="18"/>
          <w:color w:val="231F20"/>
        </w:rPr>
        <w:t xml:space="preserve"> shares sold and issued by us and </w:t>
      </w:r>
      <w:r>
        <w:rPr>
          <w:rFonts w:ascii="Arial" w:cs="Arial" w:eastAsia="Arial" w:hAnsi="Arial"/>
          <w:sz w:val="18"/>
          <w:szCs w:val="18"/>
          <w:color w:val="000000"/>
        </w:rPr>
        <w:t>875,000</w:t>
      </w:r>
      <w:r>
        <w:rPr>
          <w:rFonts w:ascii="Arial" w:cs="Arial" w:eastAsia="Arial" w:hAnsi="Arial"/>
          <w:sz w:val="18"/>
          <w:szCs w:val="18"/>
          <w:color w:val="231F20"/>
        </w:rPr>
        <w:t xml:space="preserve"> shares sold by selling stockholders. As of December 31, 2012, we had </w:t>
      </w:r>
      <w:r>
        <w:rPr>
          <w:rFonts w:ascii="Arial" w:cs="Arial" w:eastAsia="Arial" w:hAnsi="Arial"/>
          <w:sz w:val="18"/>
          <w:szCs w:val="18"/>
          <w:color w:val="000000"/>
        </w:rPr>
        <w:t>31,420,028</w:t>
      </w:r>
      <w:r>
        <w:rPr>
          <w:rFonts w:ascii="Arial" w:cs="Arial" w:eastAsia="Arial" w:hAnsi="Arial"/>
          <w:sz w:val="18"/>
          <w:szCs w:val="18"/>
          <w:color w:val="231F20"/>
        </w:rPr>
        <w:t xml:space="preserve"> shares of common stock outstanding. The </w:t>
      </w:r>
      <w:r>
        <w:rPr>
          <w:rFonts w:ascii="Arial" w:cs="Arial" w:eastAsia="Arial" w:hAnsi="Arial"/>
          <w:sz w:val="18"/>
          <w:szCs w:val="18"/>
          <w:color w:val="000000"/>
        </w:rPr>
        <w:t>8,711,250 shares sold in the IPO</w:t>
      </w:r>
      <w:r>
        <w:rPr>
          <w:rFonts w:ascii="Arial" w:cs="Arial" w:eastAsia="Arial" w:hAnsi="Arial"/>
          <w:sz w:val="18"/>
          <w:szCs w:val="18"/>
          <w:color w:val="231F20"/>
        </w:rPr>
        <w:t xml:space="preserve"> are freely tradable. The remaining outstanding common shares of </w:t>
      </w:r>
      <w:r>
        <w:rPr>
          <w:rFonts w:ascii="Arial" w:cs="Arial" w:eastAsia="Arial" w:hAnsi="Arial"/>
          <w:sz w:val="18"/>
          <w:szCs w:val="18"/>
          <w:color w:val="000000"/>
        </w:rPr>
        <w:t>22,708,778 are subject to lock up agreements</w:t>
      </w:r>
      <w:r>
        <w:rPr>
          <w:rFonts w:ascii="Arial" w:cs="Arial" w:eastAsia="Arial" w:hAnsi="Arial"/>
          <w:sz w:val="18"/>
          <w:szCs w:val="18"/>
          <w:color w:val="231F20"/>
        </w:rPr>
        <w:t xml:space="preserve"> and may be sold upon expiration of the lock-up agreements in March 2013, subject to compliance with applicable law. In addition, as of December 31, 2012, we had outstanding options to purchase </w:t>
      </w:r>
      <w:r>
        <w:rPr>
          <w:rFonts w:ascii="Arial" w:cs="Arial" w:eastAsia="Arial" w:hAnsi="Arial"/>
          <w:sz w:val="18"/>
          <w:szCs w:val="18"/>
          <w:color w:val="000000"/>
        </w:rPr>
        <w:t>6,513,508</w:t>
      </w:r>
      <w:r>
        <w:rPr>
          <w:rFonts w:ascii="Arial" w:cs="Arial" w:eastAsia="Arial" w:hAnsi="Arial"/>
          <w:sz w:val="18"/>
          <w:szCs w:val="18"/>
          <w:color w:val="231F20"/>
        </w:rPr>
        <w:t xml:space="preserve"> shares of common stock that, if exercised, will result in these additional shares becoming available for sale upon expiration of the lock-up agreements. A large portion of these shares and options are held by a small number of persons and investment funds. Sales by these stockholders or optionholders of a substantial number of shares could significantly reduce the trading price of our common stock. Moreover, certain holders of shares of common stock have rights, subject to some conditions, to require us to file registration statements covering the shares they currently hold, or to include these shares in registration statements that we may file for ourselves or other stockholders.</w:t>
      </w:r>
    </w:p>
    <w:p>
      <w:pPr>
        <w:spacing w:after="0" w:line="212"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 xml:space="preserve">An aggregate of </w:t>
      </w:r>
      <w:r>
        <w:rPr>
          <w:rFonts w:ascii="Arial" w:cs="Arial" w:eastAsia="Arial" w:hAnsi="Arial"/>
          <w:sz w:val="18"/>
          <w:szCs w:val="18"/>
          <w:color w:val="000000"/>
        </w:rPr>
        <w:t>2,902,125</w:t>
      </w:r>
      <w:r>
        <w:rPr>
          <w:rFonts w:ascii="Arial" w:cs="Arial" w:eastAsia="Arial" w:hAnsi="Arial"/>
          <w:sz w:val="18"/>
          <w:szCs w:val="18"/>
          <w:color w:val="231F20"/>
        </w:rPr>
        <w:t xml:space="preserve"> shares of our common stock is reserved for future issuance under our 2012 Equity Incentive Plan, which can be freely sold in the public market upon issuance, subject to lock-up agreements. If a large number of these shares are sold in the public market, the sales could reduce the trading price of our common stock.</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Our principal executive offices are located in Redwood City, California, where we occupy a 50,000 square-foot facility under a lease expiring on November 30, 2017. We have additional U.S. offices in Bellevue, Washington; Denver, Colorado; Durham, North Carolina; and Madison, Wisconsin. We also lease offices in Beijing, China; Courbevoie, France; Manila, Philippines; Munich, Germany; Pune, India; Ras al-Khaimah, United Arab Emirates; Slough, United Kingdom; and Tokyo, Japan. We believe our facilities are adequate for our current needs and for the foreseeable future.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operate two principal data centers at third-party facilities in Santa Clara, California and Geneva, Switzerland.</w:t>
      </w:r>
    </w:p>
    <w:p>
      <w:pPr>
        <w:spacing w:after="0" w:line="36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1" w:right="27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common stock has been listed on the NASDAQ Stock Market under the trading symbol “QLYS” since September 28, 2012. Prior to that date, there was no public trading market for our common stock. Our IPO was priced at $12.00 per share on September 27, 2012. The following table sets forth the high and low per share sales prices for our common stock as reported on the NASDAQ Stock Market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0"/>
        </w:trPr>
        <w:tc>
          <w:tcPr>
            <w:tcW w:w="8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2012:</w:t>
            </w:r>
          </w:p>
        </w:tc>
        <w:tc>
          <w:tcPr>
            <w:tcW w:w="3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(from September 28, 2012)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February 28, 2013, there were approximately 501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2012. All outstanding awards relate to our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 Number of Securities to</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rPr>
              <w:t>(c) Number of Securities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be</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Issued Upon</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Exercise of</w:t>
            </w:r>
          </w:p>
        </w:tc>
        <w:tc>
          <w:tcPr>
            <w:tcW w:w="22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(b) Weighted-Average</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140" w:type="dxa"/>
            <w:vAlign w:val="bottom"/>
          </w:tcPr>
          <w:p>
            <w:pPr>
              <w:spacing w:after="0"/>
              <w:rPr>
                <w:sz w:val="17"/>
                <w:szCs w:val="17"/>
                <w:color w:val="auto"/>
              </w:rPr>
            </w:pPr>
          </w:p>
        </w:tc>
        <w:tc>
          <w:tcPr>
            <w:tcW w:w="21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Exercise Price of</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28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Securities Reflected in</w:t>
            </w:r>
          </w:p>
        </w:tc>
        <w:tc>
          <w:tcPr>
            <w:tcW w:w="0" w:type="dxa"/>
            <w:vAlign w:val="bottom"/>
          </w:tcPr>
          <w:p>
            <w:pPr>
              <w:spacing w:after="0"/>
              <w:rPr>
                <w:sz w:val="1"/>
                <w:szCs w:val="1"/>
                <w:color w:val="auto"/>
              </w:rPr>
            </w:pPr>
          </w:p>
        </w:tc>
      </w:tr>
      <w:tr>
        <w:trPr>
          <w:trHeight w:val="246"/>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and Rights</w:t>
            </w:r>
          </w:p>
        </w:tc>
        <w:tc>
          <w:tcPr>
            <w:tcW w:w="140" w:type="dxa"/>
            <w:vAlign w:val="bottom"/>
          </w:tcPr>
          <w:p>
            <w:pPr>
              <w:spacing w:after="0"/>
              <w:rPr>
                <w:sz w:val="21"/>
                <w:szCs w:val="21"/>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Warrants and Rights</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9"/>
              </w:rPr>
              <w:t>Column (a))</w:t>
            </w:r>
          </w:p>
        </w:tc>
        <w:tc>
          <w:tcPr>
            <w:tcW w:w="0" w:type="dxa"/>
            <w:vAlign w:val="bottom"/>
          </w:tcPr>
          <w:p>
            <w:pPr>
              <w:spacing w:after="0"/>
              <w:rPr>
                <w:sz w:val="1"/>
                <w:szCs w:val="1"/>
                <w:color w:val="auto"/>
              </w:rPr>
            </w:pPr>
          </w:p>
        </w:tc>
      </w:tr>
      <w:tr>
        <w:trPr>
          <w:trHeight w:val="294"/>
        </w:trPr>
        <w:tc>
          <w:tcPr>
            <w:tcW w:w="3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w:t>
            </w:r>
          </w:p>
        </w:tc>
        <w:tc>
          <w:tcPr>
            <w:tcW w:w="26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9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21"/>
                <w:szCs w:val="21"/>
                <w:color w:val="auto"/>
                <w:vertAlign w:val="superscript"/>
              </w:rPr>
              <w:t>1</w:t>
            </w:r>
          </w:p>
        </w:tc>
        <w:tc>
          <w:tcPr>
            <w:tcW w:w="2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6,513,508</w:t>
            </w:r>
          </w:p>
        </w:tc>
        <w:tc>
          <w:tcPr>
            <w:tcW w:w="2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21"/>
                <w:szCs w:val="21"/>
                <w:color w:val="auto"/>
              </w:rPr>
            </w:pPr>
          </w:p>
        </w:tc>
        <w:tc>
          <w:tcPr>
            <w:tcW w:w="3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2,902,125</w:t>
            </w:r>
          </w:p>
        </w:tc>
        <w:tc>
          <w:tcPr>
            <w:tcW w:w="0" w:type="dxa"/>
            <w:vAlign w:val="bottom"/>
          </w:tcPr>
          <w:p>
            <w:pPr>
              <w:spacing w:after="0"/>
              <w:rPr>
                <w:sz w:val="1"/>
                <w:szCs w:val="1"/>
                <w:color w:val="auto"/>
              </w:rPr>
            </w:pPr>
          </w:p>
        </w:tc>
      </w:tr>
      <w:tr>
        <w:trPr>
          <w:trHeight w:val="68"/>
        </w:trPr>
        <w:tc>
          <w:tcPr>
            <w:tcW w:w="324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right="200" w:hanging="9"/>
        <w:spacing w:after="0" w:line="233" w:lineRule="auto"/>
        <w:tabs>
          <w:tab w:leader="none" w:pos="37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September 28, 2012 (the date our common stock commenced trading on the NASDAQ Stock Market) through December 31, 2012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5848985" cy="4159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5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$100 invested on 9/28/12 in stock or index, including reinvestment of dividends. Fiscal year ending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28,</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6"/>
        </w:trPr>
        <w:tc>
          <w:tcPr>
            <w:tcW w:w="4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October 31, 2012</w:t>
            </w:r>
          </w:p>
        </w:tc>
        <w:tc>
          <w:tcPr>
            <w:tcW w:w="1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November 30, 2012</w:t>
            </w: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 2012</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Qualys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91.67</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94.49</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104.45</w:t>
            </w: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NASDAQ Global Select Market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95.55</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96.67</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96.97</w:t>
            </w:r>
          </w:p>
        </w:tc>
      </w:tr>
      <w:tr>
        <w:trPr>
          <w:trHeight w:val="27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Computer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93.12</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93.04</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92.56</w:t>
            </w:r>
          </w:p>
        </w:tc>
      </w:tr>
    </w:tbl>
    <w:p>
      <w:pPr>
        <w:spacing w:after="0" w:line="3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Form S-1 Registration Statement (Registration No. 333-182027) relating to our IPO was declared effective by the SEC on September 27, 2012 and the offering commenced on September 28, 2012. On October 3, 2012, we closed our IPO and received net proceeds of approximately $87.5 million after deducting underwriting discounts and commissions, and before deducting total expenses in connection with our IPO of approximately $2.9 million.</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believe our existing cash and cash from operations will be sufficient to fund our operations for at least the next twelve months. We intend to use the net proceeds from the offering for capital expenditures, working capital and other general corporate purposes, which may include hiring additional personnel and investing in sales and marketing and research and development. In addition, we expect to spend approximately $12.0 million through December 31, 2013 for capital expenditures, primarily related to infrastructure to support the anticipated growth in our business. We may also use a portion of the net proceeds to acquire or invest in complementary businesses, technologies, or other assets. We have not entered into any agreements or commitments with respect to any acquisitions or investments at this time.</w:t>
      </w:r>
    </w:p>
    <w:p>
      <w:pPr>
        <w:spacing w:after="0" w:line="209"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 xml:space="preserve">Pending these uses, we invested the net proceeds in </w:t>
      </w:r>
      <w:r>
        <w:rPr>
          <w:rFonts w:ascii="Arial" w:cs="Arial" w:eastAsia="Arial" w:hAnsi="Arial"/>
          <w:sz w:val="18"/>
          <w:szCs w:val="18"/>
          <w:color w:val="231F20"/>
        </w:rPr>
        <w:t>highly liquid money market funds,</w:t>
      </w:r>
      <w:r>
        <w:rPr>
          <w:rFonts w:ascii="Arial" w:cs="Arial" w:eastAsia="Arial" w:hAnsi="Arial"/>
          <w:sz w:val="18"/>
          <w:szCs w:val="18"/>
          <w:color w:val="auto"/>
        </w:rPr>
        <w:t xml:space="preserve"> fixed-income U.S. government agency securities and commercial paper.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and Other Data</w:t>
      </w:r>
    </w:p>
    <w:p>
      <w:pPr>
        <w:spacing w:after="0" w:line="20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following selected consolidated financial and other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2012 are not necessarily indicative of operating results to be expected for any other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50,258</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18,404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13,247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10,692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40,718</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270"/>
        </w:trPr>
        <w:tc>
          <w:tcPr>
            <w:tcW w:w="5280" w:type="dxa"/>
            <w:vAlign w:val="bottom"/>
          </w:tcPr>
          <w:p>
            <w:pPr>
              <w:ind w:left="38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31,526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29,056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24,782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22,830</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8,183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7,455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6,670</w:t>
            </w: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60,059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41,205</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64"/>
        </w:trPr>
        <w:tc>
          <w:tcPr>
            <w:tcW w:w="5280" w:type="dxa"/>
            <w:vAlign w:val="bottom"/>
          </w:tcPr>
          <w:p>
            <w:pPr>
              <w:ind w:left="3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provision for (benefit from)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common stockholders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51"/>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income (loss) per share attributable to common stockholders: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4"/>
                <w:szCs w:val="14"/>
                <w:color w:val="auto"/>
              </w:rPr>
              <w:t>Weighted-average shares used in computing net income (loss)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attributable to common stockholders: </w:t>
            </w:r>
            <w:r>
              <w:rPr>
                <w:rFonts w:ascii="Arial" w:cs="Arial" w:eastAsia="Arial" w:hAnsi="Arial"/>
                <w:sz w:val="17"/>
                <w:szCs w:val="17"/>
                <w:color w:val="auto"/>
                <w:vertAlign w:val="superscript"/>
              </w:rPr>
              <w:t>(2)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28,352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23,562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22,804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investments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118,432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24,548</w:t>
            </w:r>
          </w:p>
        </w:tc>
        <w:tc>
          <w:tcPr>
            <w:tcW w:w="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15,010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9,949</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7,655</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170,318</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68,789</w:t>
            </w:r>
          </w:p>
        </w:tc>
        <w:tc>
          <w:tcPr>
            <w:tcW w:w="44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44,360</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34,244</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27,932</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56,497</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46,717</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37,811</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33,266</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29,019</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8,616</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4,713</w:t>
            </w:r>
          </w:p>
        </w:tc>
        <w:tc>
          <w:tcPr>
            <w:tcW w:w="44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1,734</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1,864</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1,090</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63,873</w:t>
            </w: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63,745</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63,745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63,745</w:t>
            </w:r>
          </w:p>
        </w:tc>
      </w:tr>
      <w:tr>
        <w:trPr>
          <w:trHeight w:val="258"/>
        </w:trPr>
        <w:tc>
          <w:tcPr>
            <w:tcW w:w="5280" w:type="dxa"/>
            <w:vAlign w:val="bottom"/>
          </w:tcPr>
          <w:p>
            <w:pPr>
              <w:ind w:left="4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91,555</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(64,424)</w:t>
            </w:r>
          </w:p>
        </w:tc>
        <w:tc>
          <w:tcPr>
            <w:tcW w:w="4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(69,401)</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(72,740)</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(74,310)</w:t>
            </w:r>
          </w:p>
        </w:tc>
      </w:tr>
    </w:tbl>
    <w:p>
      <w:pPr>
        <w:spacing w:after="0" w:line="17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r>
      <w:tr>
        <w:trPr>
          <w:trHeight w:val="243"/>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stock-based compensation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803</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1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See Notes 1 and 12 to our consolidated financial statements included elsewhere in this Annual Report on Form 10-K for an explanation of the calculations of our basic and diluted income (loss) per share attributable to common stockholders.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Data (unaudited):</w:t>
      </w:r>
    </w:p>
    <w:p>
      <w:pPr>
        <w:spacing w:after="0" w:line="112"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Four Quarters Ended</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50"/>
        </w:trPr>
        <w:tc>
          <w:tcPr>
            <w:tcW w:w="5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Four-Quarter Bookings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101,200</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85,118</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69,977</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61,672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53,765</w:t>
            </w:r>
          </w:p>
        </w:tc>
      </w:tr>
      <w:tr>
        <w:trPr>
          <w:trHeight w:val="39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10,426</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7,648</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Four-Quarter Bookings</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w:t>
      </w:r>
    </w:p>
    <w:p>
      <w:pPr>
        <w:spacing w:after="0" w:line="15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revenues to Four-Quarter Bookings for the four quarters ended December 31, 2012, 2011, 2010, 2009 and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Four Quarters Ended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50"/>
        </w:trPr>
        <w:tc>
          <w:tcPr>
            <w:tcW w:w="5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76,212</w:t>
            </w:r>
          </w:p>
        </w:tc>
        <w:tc>
          <w:tcPr>
            <w:tcW w:w="4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50,258</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Beginning of the Four-Quarter Period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25,512</w:t>
            </w:r>
          </w:p>
        </w:tc>
      </w:tr>
      <w:tr>
        <w:trPr>
          <w:trHeight w:val="264"/>
        </w:trPr>
        <w:tc>
          <w:tcPr>
            <w:tcW w:w="52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Ending</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56,497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29,019</w:t>
            </w:r>
          </w:p>
        </w:tc>
      </w:tr>
      <w:tr>
        <w:trPr>
          <w:trHeight w:val="250"/>
        </w:trPr>
        <w:tc>
          <w:tcPr>
            <w:tcW w:w="52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change</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3,507</w:t>
            </w:r>
          </w:p>
        </w:tc>
      </w:tr>
      <w:tr>
        <w:trPr>
          <w:trHeight w:val="243"/>
        </w:trPr>
        <w:tc>
          <w:tcPr>
            <w:tcW w:w="5280" w:type="dxa"/>
            <w:vAlign w:val="bottom"/>
          </w:tcPr>
          <w:p>
            <w:pPr>
              <w:ind w:left="40"/>
              <w:spacing w:after="0"/>
              <w:rPr>
                <w:sz w:val="20"/>
                <w:szCs w:val="20"/>
                <w:color w:val="auto"/>
              </w:rPr>
            </w:pPr>
            <w:r>
              <w:rPr>
                <w:rFonts w:ascii="Arial" w:cs="Arial" w:eastAsia="Arial" w:hAnsi="Arial"/>
                <w:sz w:val="14"/>
                <w:szCs w:val="14"/>
                <w:color w:val="auto"/>
              </w:rPr>
              <w:t>Four-Quarter Bookings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101,200</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85,118</w:t>
            </w:r>
          </w:p>
        </w:tc>
        <w:tc>
          <w:tcPr>
            <w:tcW w:w="48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69,977</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61,672</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53,765</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5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(loss) before (1) other (income) expense, net, which includes interest income, interest expense and other income and expense, (2) provision for (benefit from) income taxes, (3) depreciation and amortization of property and equipment, (4) amortization of intangible assets and (5) stock-based compensation.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right="48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(loss) to Adjusted EBITDA for the years ended December 31, 2012, 2011, 2010, 2009 and 2008.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354</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Depreciation and amortization of property and equipment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3,317</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Stock-based compensation</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w:t>
            </w: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3,677</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Four-Quarter Bookings and Adjusted EBITDA</w:t>
      </w:r>
    </w:p>
    <w:p>
      <w:pPr>
        <w:spacing w:after="0" w:line="112"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auto"/>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61" w:lineRule="exact"/>
        <w:rPr>
          <w:sz w:val="20"/>
          <w:szCs w:val="20"/>
          <w:color w:val="auto"/>
        </w:rPr>
      </w:pPr>
    </w:p>
    <w:p>
      <w:pPr>
        <w:ind w:left="660" w:right="70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Four-Quarter Bookings reflects the amount of revenues over a four-quarter period, plus the net change in the current portion of deferred revenues, while revenues are recognized ratably over the subscription periods;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0"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spacing w:after="0" w:line="61"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Four-Quarter Bookings or Adjusted EBITDA differently or not at all, which reduces their usefulness as a comparative measure.</w:t>
      </w:r>
    </w:p>
    <w:p>
      <w:pPr>
        <w:spacing w:after="0" w:line="142"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Because of these limitations, Four-Quarter Bookings and Adjusted EBITDA should be considered alongside other financial performance measures, including revenues, net income (loss) and our financial results presented in accordance with U.S. GAAP.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and Other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w:t>
      </w:r>
      <w:r>
        <w:rPr>
          <w:rFonts w:ascii="Arial" w:cs="Arial" w:eastAsia="Arial" w:hAnsi="Arial"/>
          <w:sz w:val="18"/>
          <w:szCs w:val="18"/>
          <w:color w:val="000000"/>
        </w:rPr>
        <w:t>87%</w:t>
      </w:r>
      <w:r>
        <w:rPr>
          <w:rFonts w:ascii="Arial" w:cs="Arial" w:eastAsia="Arial" w:hAnsi="Arial"/>
          <w:sz w:val="18"/>
          <w:szCs w:val="18"/>
          <w:color w:val="231F20"/>
        </w:rPr>
        <w:t xml:space="preserve">, </w:t>
      </w:r>
      <w:r>
        <w:rPr>
          <w:rFonts w:ascii="Arial" w:cs="Arial" w:eastAsia="Arial" w:hAnsi="Arial"/>
          <w:sz w:val="18"/>
          <w:szCs w:val="18"/>
          <w:color w:val="000000"/>
        </w:rPr>
        <w:t>90%</w:t>
      </w:r>
      <w:r>
        <w:rPr>
          <w:rFonts w:ascii="Arial" w:cs="Arial" w:eastAsia="Arial" w:hAnsi="Arial"/>
          <w:sz w:val="18"/>
          <w:szCs w:val="18"/>
          <w:color w:val="231F20"/>
        </w:rPr>
        <w:t xml:space="preserve"> and </w:t>
      </w:r>
      <w:r>
        <w:rPr>
          <w:rFonts w:ascii="Arial" w:cs="Arial" w:eastAsia="Arial" w:hAnsi="Arial"/>
          <w:sz w:val="18"/>
          <w:szCs w:val="18"/>
          <w:color w:val="000000"/>
        </w:rPr>
        <w:t>92%</w:t>
      </w:r>
      <w:r>
        <w:rPr>
          <w:rFonts w:ascii="Arial" w:cs="Arial" w:eastAsia="Arial" w:hAnsi="Arial"/>
          <w:sz w:val="18"/>
          <w:szCs w:val="18"/>
          <w:color w:val="231F20"/>
        </w:rPr>
        <w:t xml:space="preserve"> of total revenues in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w:t>
      </w:r>
    </w:p>
    <w:p>
      <w:pPr>
        <w:spacing w:after="0" w:line="207"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 Revenues from customers existing at or prior to </w:t>
      </w:r>
      <w:r>
        <w:rPr>
          <w:rFonts w:ascii="Arial" w:cs="Arial" w:eastAsia="Arial" w:hAnsi="Arial"/>
          <w:sz w:val="18"/>
          <w:szCs w:val="18"/>
          <w:color w:val="000000"/>
        </w:rPr>
        <w:t>December 31, 2011</w:t>
      </w:r>
      <w:r>
        <w:rPr>
          <w:rFonts w:ascii="Arial" w:cs="Arial" w:eastAsia="Arial" w:hAnsi="Arial"/>
          <w:sz w:val="18"/>
          <w:szCs w:val="18"/>
          <w:color w:val="231F20"/>
        </w:rPr>
        <w:t xml:space="preserve"> grew </w:t>
      </w:r>
      <w:r>
        <w:rPr>
          <w:rFonts w:ascii="Arial" w:cs="Arial" w:eastAsia="Arial" w:hAnsi="Arial"/>
          <w:sz w:val="18"/>
          <w:szCs w:val="18"/>
          <w:color w:val="000000"/>
        </w:rPr>
        <w:t>$7.8 million</w:t>
      </w:r>
      <w:r>
        <w:rPr>
          <w:rFonts w:ascii="Arial" w:cs="Arial" w:eastAsia="Arial" w:hAnsi="Arial"/>
          <w:sz w:val="18"/>
          <w:szCs w:val="18"/>
          <w:color w:val="231F20"/>
        </w:rPr>
        <w:t xml:space="preserve"> to </w:t>
      </w:r>
      <w:r>
        <w:rPr>
          <w:rFonts w:ascii="Arial" w:cs="Arial" w:eastAsia="Arial" w:hAnsi="Arial"/>
          <w:sz w:val="18"/>
          <w:szCs w:val="18"/>
          <w:color w:val="000000"/>
        </w:rPr>
        <w:t>$84.0 million</w:t>
      </w:r>
      <w:r>
        <w:rPr>
          <w:rFonts w:ascii="Arial" w:cs="Arial" w:eastAsia="Arial" w:hAnsi="Arial"/>
          <w:sz w:val="18"/>
          <w:szCs w:val="18"/>
          <w:color w:val="231F20"/>
        </w:rPr>
        <w:t xml:space="preserve"> during </w:t>
      </w:r>
      <w:r>
        <w:rPr>
          <w:rFonts w:ascii="Arial" w:cs="Arial" w:eastAsia="Arial" w:hAnsi="Arial"/>
          <w:sz w:val="18"/>
          <w:szCs w:val="18"/>
          <w:color w:val="000000"/>
        </w:rPr>
        <w:t>2012</w:t>
      </w:r>
      <w:r>
        <w:rPr>
          <w:rFonts w:ascii="Arial" w:cs="Arial" w:eastAsia="Arial" w:hAnsi="Arial"/>
          <w:sz w:val="18"/>
          <w:szCs w:val="18"/>
          <w:color w:val="231F20"/>
        </w:rPr>
        <w:t>. We expect this trend to continue.</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2012</w:t>
      </w:r>
      <w:r>
        <w:rPr>
          <w:rFonts w:ascii="Arial" w:cs="Arial" w:eastAsia="Arial" w:hAnsi="Arial"/>
          <w:sz w:val="18"/>
          <w:szCs w:val="18"/>
          <w:color w:val="231F20"/>
        </w:rPr>
        <w:t xml:space="preserve">, we had over </w:t>
      </w:r>
      <w:r>
        <w:rPr>
          <w:rFonts w:ascii="Arial" w:cs="Arial" w:eastAsia="Arial" w:hAnsi="Arial"/>
          <w:sz w:val="18"/>
          <w:szCs w:val="18"/>
          <w:color w:val="000000"/>
        </w:rPr>
        <w:t>6,150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In </w:t>
      </w:r>
      <w:r>
        <w:rPr>
          <w:rFonts w:ascii="Arial" w:cs="Arial" w:eastAsia="Arial" w:hAnsi="Arial"/>
          <w:sz w:val="18"/>
          <w:szCs w:val="18"/>
          <w:color w:val="000000"/>
        </w:rPr>
        <w:t>2012, 2011 and 2010</w:t>
      </w:r>
      <w:r>
        <w:rPr>
          <w:rFonts w:ascii="Arial" w:cs="Arial" w:eastAsia="Arial" w:hAnsi="Arial"/>
          <w:sz w:val="18"/>
          <w:szCs w:val="18"/>
          <w:color w:val="231F20"/>
        </w:rPr>
        <w:t xml:space="preserve">, approximately </w:t>
      </w:r>
      <w:r>
        <w:rPr>
          <w:rFonts w:ascii="Arial" w:cs="Arial" w:eastAsia="Arial" w:hAnsi="Arial"/>
          <w:sz w:val="18"/>
          <w:szCs w:val="18"/>
          <w:color w:val="000000"/>
        </w:rPr>
        <w:t>68%</w:t>
      </w:r>
      <w:r>
        <w:rPr>
          <w:rFonts w:ascii="Arial" w:cs="Arial" w:eastAsia="Arial" w:hAnsi="Arial"/>
          <w:sz w:val="18"/>
          <w:szCs w:val="18"/>
          <w:color w:val="231F20"/>
        </w:rPr>
        <w:t xml:space="preserve">, </w:t>
      </w:r>
      <w:r>
        <w:rPr>
          <w:rFonts w:ascii="Arial" w:cs="Arial" w:eastAsia="Arial" w:hAnsi="Arial"/>
          <w:sz w:val="18"/>
          <w:szCs w:val="18"/>
          <w:color w:val="000000"/>
        </w:rPr>
        <w:t>67%</w:t>
      </w:r>
      <w:r>
        <w:rPr>
          <w:rFonts w:ascii="Arial" w:cs="Arial" w:eastAsia="Arial" w:hAnsi="Arial"/>
          <w:sz w:val="18"/>
          <w:szCs w:val="18"/>
          <w:color w:val="231F20"/>
        </w:rPr>
        <w:t xml:space="preserve"> and </w:t>
      </w:r>
      <w:r>
        <w:rPr>
          <w:rFonts w:ascii="Arial" w:cs="Arial" w:eastAsia="Arial" w:hAnsi="Arial"/>
          <w:sz w:val="18"/>
          <w:szCs w:val="18"/>
          <w:color w:val="000000"/>
        </w:rPr>
        <w:t>67%</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7"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231F20"/>
        </w:rPr>
        <w:t xml:space="preserve">We have had strong revenue growth over the past three years. </w:t>
      </w:r>
      <w:r>
        <w:rPr>
          <w:rFonts w:ascii="Arial" w:cs="Arial" w:eastAsia="Arial" w:hAnsi="Arial"/>
          <w:sz w:val="18"/>
          <w:szCs w:val="18"/>
          <w:color w:val="000000"/>
        </w:rPr>
        <w:t>Our revenues increased from $65.4 million in 2010 to $76.2 million in</w:t>
      </w:r>
      <w:r>
        <w:rPr>
          <w:rFonts w:ascii="Arial" w:cs="Arial" w:eastAsia="Arial" w:hAnsi="Arial"/>
          <w:sz w:val="18"/>
          <w:szCs w:val="18"/>
          <w:color w:val="231F20"/>
        </w:rPr>
        <w:t xml:space="preserve"> </w:t>
      </w:r>
      <w:r>
        <w:rPr>
          <w:rFonts w:ascii="Arial" w:cs="Arial" w:eastAsia="Arial" w:hAnsi="Arial"/>
          <w:sz w:val="18"/>
          <w:szCs w:val="18"/>
          <w:color w:val="000000"/>
        </w:rPr>
        <w:t>2011, and reached $91.4 million in 2012</w:t>
      </w:r>
      <w:r>
        <w:rPr>
          <w:rFonts w:ascii="Arial" w:cs="Arial" w:eastAsia="Arial" w:hAnsi="Arial"/>
          <w:sz w:val="18"/>
          <w:szCs w:val="18"/>
          <w:color w:val="231F20"/>
        </w:rPr>
        <w:t>, representing period-over-period increases of</w:t>
      </w:r>
      <w:r>
        <w:rPr>
          <w:rFonts w:ascii="Arial" w:cs="Arial" w:eastAsia="Arial" w:hAnsi="Arial"/>
          <w:sz w:val="18"/>
          <w:szCs w:val="18"/>
          <w:color w:val="000000"/>
        </w:rPr>
        <w:t xml:space="preserve"> $ 10.8 million</w:t>
      </w:r>
      <w:r>
        <w:rPr>
          <w:rFonts w:ascii="Arial" w:cs="Arial" w:eastAsia="Arial" w:hAnsi="Arial"/>
          <w:sz w:val="18"/>
          <w:szCs w:val="18"/>
          <w:color w:val="231F20"/>
        </w:rPr>
        <w:t>, and</w:t>
      </w:r>
      <w:r>
        <w:rPr>
          <w:rFonts w:ascii="Arial" w:cs="Arial" w:eastAsia="Arial" w:hAnsi="Arial"/>
          <w:sz w:val="18"/>
          <w:szCs w:val="18"/>
          <w:color w:val="000000"/>
        </w:rPr>
        <w:t xml:space="preserve"> $15.2 million</w:t>
      </w:r>
      <w:r>
        <w:rPr>
          <w:rFonts w:ascii="Arial" w:cs="Arial" w:eastAsia="Arial" w:hAnsi="Arial"/>
          <w:sz w:val="18"/>
          <w:szCs w:val="18"/>
          <w:color w:val="231F20"/>
        </w:rPr>
        <w:t>, or</w:t>
      </w:r>
      <w:r>
        <w:rPr>
          <w:rFonts w:ascii="Arial" w:cs="Arial" w:eastAsia="Arial" w:hAnsi="Arial"/>
          <w:sz w:val="18"/>
          <w:szCs w:val="18"/>
          <w:color w:val="000000"/>
        </w:rPr>
        <w:t xml:space="preserve"> 16% </w:t>
      </w:r>
      <w:r>
        <w:rPr>
          <w:rFonts w:ascii="Arial" w:cs="Arial" w:eastAsia="Arial" w:hAnsi="Arial"/>
          <w:sz w:val="18"/>
          <w:szCs w:val="18"/>
          <w:color w:val="231F20"/>
        </w:rPr>
        <w:t>and</w:t>
      </w:r>
      <w:r>
        <w:rPr>
          <w:rFonts w:ascii="Arial" w:cs="Arial" w:eastAsia="Arial" w:hAnsi="Arial"/>
          <w:sz w:val="18"/>
          <w:szCs w:val="18"/>
          <w:color w:val="000000"/>
        </w:rPr>
        <w:t xml:space="preserve"> 20%</w:t>
      </w:r>
      <w:r>
        <w:rPr>
          <w:rFonts w:ascii="Arial" w:cs="Arial" w:eastAsia="Arial" w:hAnsi="Arial"/>
          <w:sz w:val="18"/>
          <w:szCs w:val="18"/>
          <w:color w:val="231F20"/>
        </w:rPr>
        <w:t>,</w:t>
      </w:r>
      <w:r>
        <w:rPr>
          <w:rFonts w:ascii="Arial" w:cs="Arial" w:eastAsia="Arial" w:hAnsi="Arial"/>
          <w:sz w:val="18"/>
          <w:szCs w:val="18"/>
          <w:color w:val="000000"/>
        </w:rPr>
        <w:t xml:space="preserve"> </w:t>
      </w:r>
      <w:r>
        <w:rPr>
          <w:rFonts w:ascii="Arial" w:cs="Arial" w:eastAsia="Arial" w:hAnsi="Arial"/>
          <w:sz w:val="18"/>
          <w:szCs w:val="18"/>
          <w:color w:val="231F20"/>
        </w:rPr>
        <w:t xml:space="preserve">respectively. </w:t>
      </w:r>
      <w:r>
        <w:rPr>
          <w:rFonts w:ascii="Arial" w:cs="Arial" w:eastAsia="Arial" w:hAnsi="Arial"/>
          <w:sz w:val="18"/>
          <w:szCs w:val="18"/>
          <w:color w:val="000000"/>
        </w:rPr>
        <w:t>We generated net income of $0.8 million in 2010, $2.0 million in 2011, and $2.3 million in 2012.</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231F20"/>
        </w:rPr>
        <w:t xml:space="preserve">On September 28, 2012, our common stock commenced trading on the NASDAQ Stock Market under the trading symbol “QLYS,” and on October 3, 2012 we closed our initial public offering. In our initial public offering, we sold and issued </w:t>
      </w:r>
      <w:r>
        <w:rPr>
          <w:rFonts w:ascii="Arial" w:cs="Arial" w:eastAsia="Arial" w:hAnsi="Arial"/>
          <w:sz w:val="18"/>
          <w:szCs w:val="18"/>
          <w:color w:val="000000"/>
        </w:rPr>
        <w:t>7,836,250</w:t>
      </w:r>
      <w:r>
        <w:rPr>
          <w:rFonts w:ascii="Arial" w:cs="Arial" w:eastAsia="Arial" w:hAnsi="Arial"/>
          <w:sz w:val="18"/>
          <w:szCs w:val="18"/>
          <w:color w:val="231F20"/>
        </w:rPr>
        <w:t xml:space="preserve"> shares and certain selling stockholders sold an additional </w:t>
      </w:r>
      <w:r>
        <w:rPr>
          <w:rFonts w:ascii="Arial" w:cs="Arial" w:eastAsia="Arial" w:hAnsi="Arial"/>
          <w:sz w:val="18"/>
          <w:szCs w:val="18"/>
          <w:color w:val="000000"/>
        </w:rPr>
        <w:t>875,000</w:t>
      </w:r>
      <w:r>
        <w:rPr>
          <w:rFonts w:ascii="Arial" w:cs="Arial" w:eastAsia="Arial" w:hAnsi="Arial"/>
          <w:sz w:val="18"/>
          <w:szCs w:val="18"/>
          <w:color w:val="231F20"/>
        </w:rPr>
        <w:t xml:space="preserve"> shares. The net proceeds to us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 See the section titled “Selected Consolidated Financial and Other Data-Non-GAAP Financial Measures” for a reconciliation of revenues to Four-Quarter Bookings.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5"/>
          </w:tcPr>
          <w:p>
            <w:pPr>
              <w:jc w:val="center"/>
              <w:ind w:right="219"/>
              <w:spacing w:after="0"/>
              <w:rPr>
                <w:sz w:val="20"/>
                <w:szCs w:val="20"/>
                <w:color w:val="auto"/>
              </w:rPr>
            </w:pPr>
            <w:r>
              <w:rPr>
                <w:rFonts w:ascii="Arial" w:cs="Arial" w:eastAsia="Arial" w:hAnsi="Arial"/>
                <w:sz w:val="16"/>
                <w:szCs w:val="16"/>
                <w:b w:val="1"/>
                <w:bCs w:val="1"/>
                <w:color w:val="auto"/>
              </w:rPr>
              <w:t>Four Quarters Ended December 31,</w:t>
            </w:r>
          </w:p>
        </w:tc>
      </w:tr>
      <w:tr>
        <w:trPr>
          <w:trHeight w:val="264"/>
        </w:trPr>
        <w:tc>
          <w:tcPr>
            <w:tcW w:w="6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r>
      <w:tr>
        <w:trPr>
          <w:trHeight w:val="247"/>
        </w:trPr>
        <w:tc>
          <w:tcPr>
            <w:tcW w:w="6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Four-Quarter Bookings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101,200</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85,118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69,977</w:t>
            </w:r>
          </w:p>
        </w:tc>
      </w:tr>
      <w:tr>
        <w:trPr>
          <w:trHeight w:val="251"/>
        </w:trPr>
        <w:tc>
          <w:tcPr>
            <w:tcW w:w="6780" w:type="dxa"/>
            <w:vAlign w:val="bottom"/>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See the section titled “Selected Consolidated Financial and Other Data-Non-GAAP Financial Measures” for a reconciliation of net income to Adjusted EBITDA,</w:t>
      </w:r>
    </w:p>
    <w:p>
      <w:pPr>
        <w:spacing w:after="0" w:line="206"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49"/>
        </w:trPr>
        <w:tc>
          <w:tcPr>
            <w:tcW w:w="1260" w:type="dxa"/>
            <w:vAlign w:val="bottom"/>
            <w:tcBorders>
              <w:top w:val="single" w:sz="8" w:color="0000FF"/>
            </w:tcBorders>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r>
      <w:tr>
        <w:trPr>
          <w:trHeight w:val="222"/>
        </w:trPr>
        <w:tc>
          <w:tcPr>
            <w:tcW w:w="1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8"/>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7,648</w:t>
            </w:r>
          </w:p>
        </w:tc>
      </w:tr>
      <w:tr>
        <w:trPr>
          <w:trHeight w:val="251"/>
        </w:trPr>
        <w:tc>
          <w:tcPr>
            <w:tcW w:w="6700" w:type="dxa"/>
            <w:vAlign w:val="bottom"/>
            <w:gridSpan w:val="3"/>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21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provided to certain customers as part of their subscriptions, expenses related to the use of third-party data centers, amortization of third-party technology licensing fees, fees paid to contractors who supplement or support our operations center personnel and overhead allocations. We expect to make significant capital investments to expand our data center operations, which will increase the cost of revenues in absolute dollars.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that sales and marketing expenses will increase in absolute dollars.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fees and overhead allocations. We anticipate that we will incur additional expenses for personnel and for professional services, including auditing and legal services, insurance and other corporate governance-related expenses, including compliance with Section 404 of the Sarbanes-Oxley Act, related to operating as a public company. We expect that general and administrative expenses will increase in absolute dollars, especially in the near term, as we continue to add personnel to support our growth and operate as a public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231F20"/>
        </w:rPr>
        <w:t>Our other income (expense), net consists primarily of interest expense associated with our capital leases and foreign exchange gains and losses, the majority of which result from fluctuations between the U.S. dollar and the Euro, British pound and Japanese yen.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net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and also due to changes in our earnings projections, by changes in the valuation of our deferred tax assets or liabilities, or by changes in tax laws, regulations, or accounting principles.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41" w:right="27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income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Statements of Income Data:</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91,420</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76,212</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65,432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40" w:type="dxa"/>
            <w:vAlign w:val="bottom"/>
            <w:tcBorders>
              <w:bottom w:val="single" w:sz="8" w:color="231F20"/>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auto"/>
              </w:rPr>
              <w:t>18,404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26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auto"/>
              </w:rPr>
              <w:t>13,247</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auto"/>
              </w:rPr>
              <w:t>11,204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73,016</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62,965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54,228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20,195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19,633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20" w:type="dxa"/>
            <w:vAlign w:val="bottom"/>
            <w:gridSpan w:val="2"/>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37,738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31,526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29,056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40" w:type="dxa"/>
            <w:vAlign w:val="bottom"/>
            <w:tcBorders>
              <w:bottom w:val="single" w:sz="8" w:color="231F20"/>
            </w:tcBorders>
            <w:shd w:val="clear" w:color="auto" w:fill="CCEEFF"/>
          </w:tcPr>
          <w:p>
            <w:pPr>
              <w:spacing w:after="0"/>
              <w:rPr>
                <w:sz w:val="23"/>
                <w:szCs w:val="23"/>
                <w:color w:val="auto"/>
              </w:rPr>
            </w:pPr>
          </w:p>
        </w:tc>
        <w:tc>
          <w:tcPr>
            <w:tcW w:w="32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auto"/>
              </w:rPr>
              <w:t>12,079</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26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auto"/>
              </w:rPr>
              <w:t>8,900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231F20"/>
            </w:tcBorders>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1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auto"/>
              </w:rPr>
              <w:t>8,183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70,012</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60,059</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53,019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2,906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2,638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2,370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40" w:type="dxa"/>
            <w:vAlign w:val="bottom"/>
            <w:tcBorders>
              <w:bottom w:val="single" w:sz="8" w:color="231F20"/>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auto"/>
              </w:rPr>
              <w:t>358</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26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2,280</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1,954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9"/>
                <w:szCs w:val="9"/>
                <w:color w:val="231F20"/>
              </w:rPr>
              <w:t>____________________</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6720" w:type="dxa"/>
            <w:vAlign w:val="bottom"/>
            <w:gridSpan w:val="2"/>
          </w:tcPr>
          <w:p>
            <w:pPr>
              <w:spacing w:after="0"/>
              <w:rPr>
                <w:sz w:val="20"/>
                <w:szCs w:val="20"/>
                <w:color w:val="auto"/>
              </w:rPr>
            </w:pPr>
            <w:r>
              <w:rPr>
                <w:rFonts w:ascii="Arial" w:cs="Arial" w:eastAsia="Arial" w:hAnsi="Arial"/>
                <w:sz w:val="17"/>
                <w:szCs w:val="17"/>
                <w:color w:val="231F20"/>
                <w:vertAlign w:val="superscript"/>
              </w:rPr>
              <w:t>(1)</w:t>
            </w:r>
            <w:r>
              <w:rPr>
                <w:rFonts w:ascii="Arial" w:cs="Arial" w:eastAsia="Arial" w:hAnsi="Arial"/>
                <w:sz w:val="14"/>
                <w:szCs w:val="14"/>
                <w:color w:val="231F20"/>
              </w:rPr>
              <w:t xml:space="preserve"> Includes stock-based compensation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32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4"/>
                <w:szCs w:val="14"/>
                <w:color w:val="auto"/>
              </w:rPr>
              <w:t>Research and development</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General and administrative</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32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income data for each of the periods presented as a percentage of revenues.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65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r>
      <w:tr>
        <w:trPr>
          <w:trHeight w:val="257"/>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57"/>
        </w:trPr>
        <w:tc>
          <w:tcPr>
            <w:tcW w:w="74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60"/>
        </w:trPr>
        <w:tc>
          <w:tcPr>
            <w:tcW w:w="74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74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60"/>
        </w:trPr>
        <w:tc>
          <w:tcPr>
            <w:tcW w:w="7420" w:type="dxa"/>
            <w:vAlign w:val="bottom"/>
            <w:gridSpan w:val="3"/>
          </w:tcPr>
          <w:p>
            <w:pPr>
              <w:ind w:left="280"/>
              <w:spacing w:after="0"/>
              <w:rPr>
                <w:sz w:val="20"/>
                <w:szCs w:val="20"/>
                <w:color w:val="auto"/>
              </w:rPr>
            </w:pPr>
            <w:r>
              <w:rPr>
                <w:rFonts w:ascii="Arial" w:cs="Arial" w:eastAsia="Arial" w:hAnsi="Arial"/>
                <w:sz w:val="16"/>
                <w:szCs w:val="16"/>
                <w:color w:val="auto"/>
              </w:rPr>
              <w:t>Sales and marketing</w:t>
            </w: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73"/>
        </w:trPr>
        <w:tc>
          <w:tcPr>
            <w:tcW w:w="6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50"/>
        </w:trPr>
        <w:tc>
          <w:tcPr>
            <w:tcW w:w="65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57"/>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6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6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r>
      <w:tr>
        <w:trPr>
          <w:trHeight w:val="24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2012 and 2011</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6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91,420</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15,208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21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$ 15.2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xml:space="preserve">. Revenues from customers existing at or prior to </w:t>
      </w:r>
      <w:r>
        <w:rPr>
          <w:rFonts w:ascii="Arial" w:cs="Arial" w:eastAsia="Arial" w:hAnsi="Arial"/>
          <w:sz w:val="18"/>
          <w:szCs w:val="18"/>
          <w:color w:val="000000"/>
        </w:rPr>
        <w:t>December 31, 2011</w:t>
      </w:r>
      <w:r>
        <w:rPr>
          <w:rFonts w:ascii="Arial" w:cs="Arial" w:eastAsia="Arial" w:hAnsi="Arial"/>
          <w:sz w:val="18"/>
          <w:szCs w:val="18"/>
          <w:color w:val="231F20"/>
        </w:rPr>
        <w:t xml:space="preserve"> grew </w:t>
      </w:r>
      <w:r>
        <w:rPr>
          <w:rFonts w:ascii="Arial" w:cs="Arial" w:eastAsia="Arial" w:hAnsi="Arial"/>
          <w:sz w:val="18"/>
          <w:szCs w:val="18"/>
          <w:color w:val="000000"/>
        </w:rPr>
        <w:t xml:space="preserve">$7.8 million </w:t>
      </w:r>
      <w:r>
        <w:rPr>
          <w:rFonts w:ascii="Arial" w:cs="Arial" w:eastAsia="Arial" w:hAnsi="Arial"/>
          <w:sz w:val="18"/>
          <w:szCs w:val="18"/>
          <w:color w:val="231F20"/>
        </w:rPr>
        <w:t>to</w:t>
      </w:r>
      <w:r>
        <w:rPr>
          <w:rFonts w:ascii="Arial" w:cs="Arial" w:eastAsia="Arial" w:hAnsi="Arial"/>
          <w:sz w:val="18"/>
          <w:szCs w:val="18"/>
          <w:color w:val="000000"/>
        </w:rPr>
        <w:t xml:space="preserve"> $84.0 million </w:t>
      </w:r>
      <w:r>
        <w:rPr>
          <w:rFonts w:ascii="Arial" w:cs="Arial" w:eastAsia="Arial" w:hAnsi="Arial"/>
          <w:sz w:val="18"/>
          <w:szCs w:val="18"/>
          <w:color w:val="231F20"/>
        </w:rPr>
        <w:t>in</w:t>
      </w:r>
      <w:r>
        <w:rPr>
          <w:rFonts w:ascii="Arial" w:cs="Arial" w:eastAsia="Arial" w:hAnsi="Arial"/>
          <w:sz w:val="18"/>
          <w:szCs w:val="18"/>
          <w:color w:val="000000"/>
        </w:rPr>
        <w:t xml:space="preserve"> 2012 </w:t>
      </w:r>
      <w:r>
        <w:rPr>
          <w:rFonts w:ascii="Arial" w:cs="Arial" w:eastAsia="Arial" w:hAnsi="Arial"/>
          <w:sz w:val="18"/>
          <w:szCs w:val="18"/>
          <w:color w:val="231F20"/>
        </w:rPr>
        <w:t>due to increased subscriptions. Subscriptions from new customers added in</w:t>
      </w:r>
      <w:r>
        <w:rPr>
          <w:rFonts w:ascii="Arial" w:cs="Arial" w:eastAsia="Arial" w:hAnsi="Arial"/>
          <w:sz w:val="18"/>
          <w:szCs w:val="18"/>
          <w:color w:val="000000"/>
        </w:rPr>
        <w:t xml:space="preserve"> 2012 </w:t>
      </w:r>
      <w:r>
        <w:rPr>
          <w:rFonts w:ascii="Arial" w:cs="Arial" w:eastAsia="Arial" w:hAnsi="Arial"/>
          <w:sz w:val="18"/>
          <w:szCs w:val="18"/>
          <w:color w:val="231F20"/>
        </w:rPr>
        <w:t>contributed</w:t>
      </w:r>
      <w:r>
        <w:rPr>
          <w:rFonts w:ascii="Arial" w:cs="Arial" w:eastAsia="Arial" w:hAnsi="Arial"/>
          <w:sz w:val="18"/>
          <w:szCs w:val="18"/>
          <w:color w:val="000000"/>
        </w:rPr>
        <w:t xml:space="preserve"> $7.4 million </w:t>
      </w:r>
      <w:r>
        <w:rPr>
          <w:rFonts w:ascii="Arial" w:cs="Arial" w:eastAsia="Arial" w:hAnsi="Arial"/>
          <w:sz w:val="18"/>
          <w:szCs w:val="18"/>
          <w:color w:val="231F20"/>
        </w:rPr>
        <w:t xml:space="preserve">to the increase in revenues. Of the total increase of </w:t>
      </w:r>
      <w:r>
        <w:rPr>
          <w:rFonts w:ascii="Arial" w:cs="Arial" w:eastAsia="Arial" w:hAnsi="Arial"/>
          <w:sz w:val="18"/>
          <w:szCs w:val="18"/>
          <w:color w:val="000000"/>
        </w:rPr>
        <w:t>$15.2 million</w:t>
      </w:r>
      <w:r>
        <w:rPr>
          <w:rFonts w:ascii="Arial" w:cs="Arial" w:eastAsia="Arial" w:hAnsi="Arial"/>
          <w:sz w:val="18"/>
          <w:szCs w:val="18"/>
          <w:color w:val="231F20"/>
        </w:rPr>
        <w:t xml:space="preserve">, </w:t>
      </w:r>
      <w:r>
        <w:rPr>
          <w:rFonts w:ascii="Arial" w:cs="Arial" w:eastAsia="Arial" w:hAnsi="Arial"/>
          <w:sz w:val="18"/>
          <w:szCs w:val="18"/>
          <w:color w:val="000000"/>
        </w:rPr>
        <w:t>$11.6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$3.6</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was from customers in foreign countries. The growth in revenues reflects increased demand for our solutions.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18,404</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13,247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5,157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$5.2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primarily due to $2.0 million of higher depreciation expenses related to additional data center equipment, third-party software and physical scanner appliances deployed to customers, increased personnel expenses of $1.5 million, principally driven by the addition of employees in our operations team, and increased third-party software maintenance expense of $1.0 million. The decrease in gross profit percentage reflects the impact of increased investments to expand our data center infrastructure and to add capacity to deploy new solutions on our cloud platform.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20,195</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19,633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562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$0.6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primarily due to an increase in personnel expenses of $0.6 million, principally driven by the addition of employees as we continue to invest in enhancing our platform and developing new solutions.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37,738</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6,212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$6.2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primarily due to an increase in personnel expenses of $4.9 million, principally driven by the addition of employees as we continue to expand our domestic and international sales and marketing efforts, and higher sales commissions as a result of higher bookings, increased travel and related expense of $0.5 million and increased marketing program and event expenses of $0.3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12,079</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3,179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$3.2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primarily due to an increase in personnel expenses of $1.4 million, principally driven by the addition of employees to support the growth of our business, an increase in non-employee stock-based compensation of $0.3 million and an increase in professional services expenses of $0.7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Year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(366)</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(536)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170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51"/>
        </w:trPr>
        <w:tc>
          <w:tcPr>
            <w:tcW w:w="53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 xml:space="preserve">Other income (expense), net decreased </w:t>
      </w:r>
      <w:r>
        <w:rPr>
          <w:rFonts w:ascii="Arial" w:cs="Arial" w:eastAsia="Arial" w:hAnsi="Arial"/>
          <w:sz w:val="17"/>
          <w:szCs w:val="17"/>
          <w:color w:val="000000"/>
        </w:rPr>
        <w:t>$0.2 million</w:t>
      </w:r>
      <w:r>
        <w:rPr>
          <w:rFonts w:ascii="Arial" w:cs="Arial" w:eastAsia="Arial" w:hAnsi="Arial"/>
          <w:sz w:val="17"/>
          <w:szCs w:val="17"/>
          <w:color w:val="231F20"/>
        </w:rPr>
        <w:t xml:space="preserve"> in </w:t>
      </w:r>
      <w:r>
        <w:rPr>
          <w:rFonts w:ascii="Arial" w:cs="Arial" w:eastAsia="Arial" w:hAnsi="Arial"/>
          <w:sz w:val="17"/>
          <w:szCs w:val="17"/>
          <w:color w:val="000000"/>
        </w:rPr>
        <w:t>2012</w:t>
      </w:r>
      <w:r>
        <w:rPr>
          <w:rFonts w:ascii="Arial" w:cs="Arial" w:eastAsia="Arial" w:hAnsi="Arial"/>
          <w:sz w:val="17"/>
          <w:szCs w:val="17"/>
          <w:color w:val="231F20"/>
        </w:rPr>
        <w:t xml:space="preserve"> compared to </w:t>
      </w:r>
      <w:r>
        <w:rPr>
          <w:rFonts w:ascii="Arial" w:cs="Arial" w:eastAsia="Arial" w:hAnsi="Arial"/>
          <w:sz w:val="17"/>
          <w:szCs w:val="17"/>
          <w:color w:val="000000"/>
        </w:rPr>
        <w:t>2011</w:t>
      </w:r>
      <w:r>
        <w:rPr>
          <w:rFonts w:ascii="Arial" w:cs="Arial" w:eastAsia="Arial" w:hAnsi="Arial"/>
          <w:sz w:val="17"/>
          <w:szCs w:val="17"/>
          <w:color w:val="231F20"/>
        </w:rPr>
        <w:t>, primarily due to lower foreign currency exchange losses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color w:val="231F20"/>
        </w:rPr>
        <w:t>compared to</w:t>
      </w:r>
      <w:r>
        <w:rPr>
          <w:rFonts w:ascii="Arial" w:cs="Arial" w:eastAsia="Arial" w:hAnsi="Arial"/>
          <w:sz w:val="18"/>
          <w:szCs w:val="18"/>
          <w:color w:val="auto"/>
        </w:rPr>
        <w:t xml:space="preserve"> 2011.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358</w:t>
            </w:r>
          </w:p>
        </w:tc>
        <w:tc>
          <w:tcPr>
            <w:tcW w:w="98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53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 xml:space="preserve">Provision for income taxes decreased </w:t>
      </w:r>
      <w:r>
        <w:rPr>
          <w:rFonts w:ascii="Arial" w:cs="Arial" w:eastAsia="Arial" w:hAnsi="Arial"/>
          <w:sz w:val="18"/>
          <w:szCs w:val="18"/>
          <w:color w:val="000000"/>
        </w:rPr>
        <w:t>$0.1 million</w:t>
      </w:r>
      <w:r>
        <w:rPr>
          <w:rFonts w:ascii="Arial" w:cs="Arial" w:eastAsia="Arial" w:hAnsi="Arial"/>
          <w:sz w:val="18"/>
          <w:szCs w:val="18"/>
          <w:color w:val="231F20"/>
        </w:rPr>
        <w:t xml:space="preserve"> in </w:t>
      </w:r>
      <w:r>
        <w:rPr>
          <w:rFonts w:ascii="Arial" w:cs="Arial" w:eastAsia="Arial" w:hAnsi="Arial"/>
          <w:sz w:val="18"/>
          <w:szCs w:val="18"/>
          <w:color w:val="000000"/>
        </w:rPr>
        <w:t>2012</w:t>
      </w:r>
      <w:r>
        <w:rPr>
          <w:rFonts w:ascii="Arial" w:cs="Arial" w:eastAsia="Arial" w:hAnsi="Arial"/>
          <w:sz w:val="18"/>
          <w:szCs w:val="18"/>
          <w:color w:val="231F20"/>
        </w:rPr>
        <w:t xml:space="preserve"> compared to </w:t>
      </w:r>
      <w:r>
        <w:rPr>
          <w:rFonts w:ascii="Arial" w:cs="Arial" w:eastAsia="Arial" w:hAnsi="Arial"/>
          <w:sz w:val="18"/>
          <w:szCs w:val="18"/>
          <w:color w:val="000000"/>
        </w:rPr>
        <w:t>2011</w:t>
      </w:r>
      <w:r>
        <w:rPr>
          <w:rFonts w:ascii="Arial" w:cs="Arial" w:eastAsia="Arial" w:hAnsi="Arial"/>
          <w:sz w:val="18"/>
          <w:szCs w:val="18"/>
          <w:color w:val="231F20"/>
        </w:rPr>
        <w:t xml:space="preserve">, primarily due to a reduction of the liability for uncertain tax positions of $0.1 million, primarily resulting from closure of tax years in foreign jurisdictions during </w:t>
      </w:r>
      <w:r>
        <w:rPr>
          <w:rFonts w:ascii="Arial" w:cs="Arial" w:eastAsia="Arial" w:hAnsi="Arial"/>
          <w:sz w:val="18"/>
          <w:szCs w:val="18"/>
          <w:color w:val="000000"/>
        </w:rPr>
        <w:t>2012</w:t>
      </w:r>
      <w:r>
        <w:rPr>
          <w:rFonts w:ascii="Arial" w:cs="Arial" w:eastAsia="Arial" w:hAnsi="Arial"/>
          <w:sz w:val="18"/>
          <w:szCs w:val="18"/>
          <w:color w:val="231F20"/>
        </w:rPr>
        <w:t>, partially offset by increases in foreign and state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2011 and 2010</w:t>
      </w: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10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76,212</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65,432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10,780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161"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Revenues increased $ 10.8 million in 2011 compared to 2010. Revenues from customers existing at or prior to December 31, 2010 grew $5.8 million to $71.2 million in 2011 due to increased subscriptions. Subscriptions from new customers added in 2011 contributed $5.0 million to the increase in revenues. Of the total increase of $10.8 million, $7.4 million was from customers in the United States and the remaining $3.4 million was from customers in foreign countries. The growth in revenues reflects increased demand for our solutions.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13,247</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2,043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500" w:firstLine="405"/>
        <w:spacing w:after="0" w:line="256" w:lineRule="auto"/>
        <w:rPr>
          <w:sz w:val="20"/>
          <w:szCs w:val="20"/>
          <w:color w:val="auto"/>
        </w:rPr>
      </w:pPr>
      <w:r>
        <w:rPr>
          <w:rFonts w:ascii="Arial" w:cs="Arial" w:eastAsia="Arial" w:hAnsi="Arial"/>
          <w:sz w:val="18"/>
          <w:szCs w:val="18"/>
          <w:color w:val="auto"/>
        </w:rPr>
        <w:t>Cost of revenues increased $2.0 million in 2011 compared to 2010, primarily due to $1.4 million of increased personnel expenses, principally driven by the addition of employees in our operations team and customer support team, and $0.6 million of higher depreciation expenses, principally driven by additional data center equipment and third-party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19,633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3,853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Research and development expenses increased $3.9 million in 2011 compared to 2010, primarily due to increased personnel expenses of $3.0 million, principally driven by the addition of employees and higher performance-based compensation, as we continued to invest in enhancing our platform and solutions, and developing new solutions, increased travel expenses of $0.3 million, and increased amortization expenses of $0.3 million as a result of the addition of intangible assets acquired through our acquisition of Nemean Networks, LLC, or Nemean, in 2010.</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31,526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2,470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Sales and marketing expenses increased $2.5 million in 2011 compared to 2010, primarily due to increased personnel expenses of $1.5 million, principally driven by the addition of employees as we continued to expand our domestic and international sales and marketing efforts and higher sales commissions as a result of higher bookings, increased marketing program and event expenses of $0.5 million, and higher travel and related expenses of $0.3 million.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8,900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717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General and administrative expenses increased $0.7 million in 2011 compared to 2010, primarily due to increased personnel expenses of $0.3 million, principally driven by higher performance-based compensation, and higher administrative expenses of $0.3 million, primarily for additions of office equipment and third-party fees to support our growth.</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24"/>
                <w:szCs w:val="24"/>
                <w:color w:val="auto"/>
              </w:rPr>
            </w:pPr>
          </w:p>
        </w:tc>
      </w:tr>
      <w:tr>
        <w:trPr>
          <w:trHeight w:val="264"/>
        </w:trPr>
        <w:tc>
          <w:tcPr>
            <w:tcW w:w="5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8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(536)</w:t>
            </w: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was consistent in 2011 compared to 2010.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w w:val="99"/>
              </w:rPr>
              <w:t>December 31,</w:t>
            </w:r>
          </w:p>
        </w:tc>
        <w:tc>
          <w:tcPr>
            <w:tcW w:w="34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24"/>
                <w:szCs w:val="24"/>
                <w:color w:val="auto"/>
              </w:rPr>
            </w:pPr>
          </w:p>
        </w:tc>
      </w:tr>
      <w:tr>
        <w:trPr>
          <w:trHeight w:val="264"/>
        </w:trPr>
        <w:tc>
          <w:tcPr>
            <w:tcW w:w="58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416</w:t>
            </w: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620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Provision for (benefit from) income taxes increased $0.6 million in 2011 compared to 2010. Our benefit from income taxes in 2010 included a $ 0.4 million tax benefit resulting from a reduction of the liability for uncertain tax positions upon the lapse of the statute of limitations for the 2007 tax year of our French subsidiary in 2010. Our provision for income taxes in 2011 also increased compared to 2010 due to an increase in pre-tax income related to international operations and state taxes, as we utilized net operating losses to offset federal income taxes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Since our inception, we had financed our operations primarily through proceeds from the issuance of our preferred stock, including $ 23.2 million invested by Philippe F. Courtot, our Chairman, President and Chief Executive Officer, and cash flows from operations. On October 3, 2012, we closed our IPO and received net proceeds of approximately </w:t>
      </w:r>
      <w:r>
        <w:rPr>
          <w:rFonts w:ascii="Arial" w:cs="Arial" w:eastAsia="Arial" w:hAnsi="Arial"/>
          <w:sz w:val="18"/>
          <w:szCs w:val="18"/>
          <w:color w:val="000000"/>
        </w:rPr>
        <w:t>$ 87.5 million</w:t>
      </w:r>
      <w:r>
        <w:rPr>
          <w:rFonts w:ascii="Arial" w:cs="Arial" w:eastAsia="Arial" w:hAnsi="Arial"/>
          <w:sz w:val="18"/>
          <w:szCs w:val="18"/>
          <w:color w:val="231F20"/>
        </w:rPr>
        <w:t xml:space="preserve"> after deducting underwriting discounts and commissions, and before deducting total expenses in connection with our IPO of </w:t>
      </w:r>
      <w:r>
        <w:rPr>
          <w:rFonts w:ascii="Arial" w:cs="Arial" w:eastAsia="Arial" w:hAnsi="Arial"/>
          <w:sz w:val="18"/>
          <w:szCs w:val="18"/>
          <w:color w:val="000000"/>
        </w:rPr>
        <w:t>$2.9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2012</w:t>
      </w:r>
      <w:r>
        <w:rPr>
          <w:rFonts w:ascii="Arial" w:cs="Arial" w:eastAsia="Arial" w:hAnsi="Arial"/>
          <w:sz w:val="18"/>
          <w:szCs w:val="18"/>
          <w:color w:val="231F20"/>
        </w:rPr>
        <w:t xml:space="preserve">, our principal source of liquidity was cash, cash equivalents and short-term investments of </w:t>
      </w:r>
      <w:r>
        <w:rPr>
          <w:rFonts w:ascii="Arial" w:cs="Arial" w:eastAsia="Arial" w:hAnsi="Arial"/>
          <w:sz w:val="18"/>
          <w:szCs w:val="18"/>
          <w:color w:val="000000"/>
        </w:rPr>
        <w:t>$118.4 million</w:t>
      </w:r>
      <w:r>
        <w:rPr>
          <w:rFonts w:ascii="Arial" w:cs="Arial" w:eastAsia="Arial" w:hAnsi="Arial"/>
          <w:sz w:val="18"/>
          <w:szCs w:val="18"/>
          <w:color w:val="231F20"/>
        </w:rPr>
        <w:t xml:space="preserve">, including </w:t>
      </w:r>
      <w:r>
        <w:rPr>
          <w:rFonts w:ascii="Arial" w:cs="Arial" w:eastAsia="Arial" w:hAnsi="Arial"/>
          <w:sz w:val="18"/>
          <w:szCs w:val="18"/>
          <w:color w:val="000000"/>
        </w:rPr>
        <w:t>$1.4 million</w:t>
      </w:r>
      <w:r>
        <w:rPr>
          <w:rFonts w:ascii="Arial" w:cs="Arial" w:eastAsia="Arial" w:hAnsi="Arial"/>
          <w:sz w:val="18"/>
          <w:szCs w:val="18"/>
          <w:color w:val="231F20"/>
        </w:rPr>
        <w:t xml:space="preserve"> held outside of the United States by our foreign subsidiaries. We do not anticipate that we will need funds generated from foreign operations to fund our domestic operations. However, if we repatriate these funds, we could be subject to U.S. income taxes on such amounts, less previously paid foreign income taxes.</w:t>
      </w:r>
    </w:p>
    <w:p>
      <w:pPr>
        <w:spacing w:after="0" w:line="20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2012, 2011 and 2010</w:t>
      </w:r>
      <w:r>
        <w:rPr>
          <w:rFonts w:ascii="Arial" w:cs="Arial" w:eastAsia="Arial" w:hAnsi="Arial"/>
          <w:sz w:val="18"/>
          <w:szCs w:val="18"/>
          <w:color w:val="231F20"/>
        </w:rPr>
        <w:t xml:space="preserve">. We believe our existing cash, cash equivalents, short-term investments, and cash from operations will be sufficient to fund our operations for at least the next twelve months. We expect to spend approximately </w:t>
      </w:r>
      <w:r>
        <w:rPr>
          <w:rFonts w:ascii="Arial" w:cs="Arial" w:eastAsia="Arial" w:hAnsi="Arial"/>
          <w:sz w:val="18"/>
          <w:szCs w:val="18"/>
          <w:color w:val="000000"/>
        </w:rPr>
        <w:t>$12.0 million</w:t>
      </w:r>
      <w:r>
        <w:rPr>
          <w:rFonts w:ascii="Arial" w:cs="Arial" w:eastAsia="Arial" w:hAnsi="Arial"/>
          <w:sz w:val="18"/>
          <w:szCs w:val="18"/>
          <w:color w:val="231F20"/>
        </w:rPr>
        <w:t xml:space="preserve"> through December 31, </w:t>
      </w:r>
      <w:r>
        <w:rPr>
          <w:rFonts w:ascii="Arial" w:cs="Arial" w:eastAsia="Arial" w:hAnsi="Arial"/>
          <w:sz w:val="18"/>
          <w:szCs w:val="18"/>
          <w:color w:val="000000"/>
        </w:rPr>
        <w:t>2013</w:t>
      </w:r>
      <w:r>
        <w:rPr>
          <w:rFonts w:ascii="Arial" w:cs="Arial" w:eastAsia="Arial" w:hAnsi="Arial"/>
          <w:sz w:val="18"/>
          <w:szCs w:val="18"/>
          <w:color w:val="231F20"/>
        </w:rPr>
        <w:t xml:space="preserve">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7"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To the extent that existing cash, cash equivalents, short-term investments, and cash from operations are insufficient to fund our future activities, we may need to raise additional funding through debt and equity financing. Additional funds may not be available on favorable terms or at all.</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39"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2010</w:t>
            </w:r>
          </w:p>
        </w:tc>
      </w:tr>
      <w:tr>
        <w:trPr>
          <w:trHeight w:val="247"/>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9,896</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(94,784)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(4,261)</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83,202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2012</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$22.0 million</w:t>
      </w:r>
      <w:r>
        <w:rPr>
          <w:rFonts w:ascii="Arial" w:cs="Arial" w:eastAsia="Arial" w:hAnsi="Arial"/>
          <w:sz w:val="18"/>
          <w:szCs w:val="18"/>
          <w:color w:val="231F20"/>
        </w:rPr>
        <w:t xml:space="preserve"> in cash related to an increase of </w:t>
      </w:r>
      <w:r>
        <w:rPr>
          <w:rFonts w:ascii="Arial" w:cs="Arial" w:eastAsia="Arial" w:hAnsi="Arial"/>
          <w:sz w:val="18"/>
          <w:szCs w:val="18"/>
          <w:color w:val="000000"/>
        </w:rPr>
        <w:t>$13.7 million</w:t>
      </w:r>
      <w:r>
        <w:rPr>
          <w:rFonts w:ascii="Arial" w:cs="Arial" w:eastAsia="Arial" w:hAnsi="Arial"/>
          <w:sz w:val="18"/>
          <w:szCs w:val="18"/>
          <w:color w:val="231F20"/>
        </w:rPr>
        <w:t xml:space="preserve"> in deferred revenues, attributable to increased collections from customers and an increase in subscriptions exceeding one year and net income of </w:t>
      </w:r>
      <w:r>
        <w:rPr>
          <w:rFonts w:ascii="Arial" w:cs="Arial" w:eastAsia="Arial" w:hAnsi="Arial"/>
          <w:sz w:val="18"/>
          <w:szCs w:val="18"/>
          <w:color w:val="000000"/>
        </w:rPr>
        <w:t>$ 2.3 million</w:t>
      </w:r>
      <w:r>
        <w:rPr>
          <w:rFonts w:ascii="Arial" w:cs="Arial" w:eastAsia="Arial" w:hAnsi="Arial"/>
          <w:sz w:val="18"/>
          <w:szCs w:val="18"/>
          <w:color w:val="231F20"/>
        </w:rPr>
        <w:t xml:space="preserve">, adjusted by non-cash items including depreciation and amortization of </w:t>
      </w:r>
      <w:r>
        <w:rPr>
          <w:rFonts w:ascii="Arial" w:cs="Arial" w:eastAsia="Arial" w:hAnsi="Arial"/>
          <w:sz w:val="18"/>
          <w:szCs w:val="18"/>
          <w:color w:val="000000"/>
        </w:rPr>
        <w:t>$7.3 million and</w:t>
      </w:r>
      <w:r>
        <w:rPr>
          <w:rFonts w:ascii="Arial" w:cs="Arial" w:eastAsia="Arial" w:hAnsi="Arial"/>
          <w:sz w:val="18"/>
          <w:szCs w:val="18"/>
          <w:color w:val="231F20"/>
        </w:rPr>
        <w:t xml:space="preserve"> stock-based compensation of </w:t>
      </w:r>
      <w:r>
        <w:rPr>
          <w:rFonts w:ascii="Arial" w:cs="Arial" w:eastAsia="Arial" w:hAnsi="Arial"/>
          <w:sz w:val="18"/>
          <w:szCs w:val="18"/>
          <w:color w:val="000000"/>
        </w:rPr>
        <w:t>$3.5 million</w:t>
      </w:r>
      <w:r>
        <w:rPr>
          <w:rFonts w:ascii="Arial" w:cs="Arial" w:eastAsia="Arial" w:hAnsi="Arial"/>
          <w:sz w:val="18"/>
          <w:szCs w:val="18"/>
          <w:color w:val="231F20"/>
        </w:rPr>
        <w:t xml:space="preserve">. These sources of cash were partially offset by an increase of </w:t>
      </w:r>
      <w:r>
        <w:rPr>
          <w:rFonts w:ascii="Arial" w:cs="Arial" w:eastAsia="Arial" w:hAnsi="Arial"/>
          <w:sz w:val="18"/>
          <w:szCs w:val="18"/>
          <w:color w:val="000000"/>
        </w:rPr>
        <w:t>$4.0 million</w:t>
      </w:r>
      <w:r>
        <w:rPr>
          <w:rFonts w:ascii="Arial" w:cs="Arial" w:eastAsia="Arial" w:hAnsi="Arial"/>
          <w:sz w:val="18"/>
          <w:szCs w:val="18"/>
          <w:color w:val="231F20"/>
        </w:rPr>
        <w:t xml:space="preserve"> in accounts receivable due to the overall growth of our business and a decrease of </w:t>
      </w:r>
      <w:r>
        <w:rPr>
          <w:rFonts w:ascii="Arial" w:cs="Arial" w:eastAsia="Arial" w:hAnsi="Arial"/>
          <w:sz w:val="18"/>
          <w:szCs w:val="18"/>
          <w:color w:val="000000"/>
        </w:rPr>
        <w:t>$1.4 million</w:t>
      </w:r>
      <w:r>
        <w:rPr>
          <w:rFonts w:ascii="Arial" w:cs="Arial" w:eastAsia="Arial" w:hAnsi="Arial"/>
          <w:sz w:val="18"/>
          <w:szCs w:val="18"/>
          <w:color w:val="231F20"/>
        </w:rPr>
        <w:t xml:space="preserve"> in accounts payable and accrued liabilities due to the timing of payments.</w:t>
      </w:r>
    </w:p>
    <w:p>
      <w:pPr>
        <w:spacing w:after="0" w:line="15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2011, operating activities provided $17.2 million in cash as a result of net income of $2.0 million, adjusted by non-cash items, including depreciation and amortization of $5.4 million and stock-based compensation of $2.1 million. Working capital sources of cash were related to an increase of $11.9 million in deferred revenues, attributable to increased collections from customers and subscriptions exceeding one year, a $4.1 million increase in accounts payable and accrued liabilities primarily related to increased headcount and operations, and a $1.7 million increase in other non-current liabilities related to obligations for multi-year maintenance and support agreements for third-party licensed technology. These sources of cash were partially offset by an increase of $6.7 million in accounts receivable due to the overall growth of our business as new bookings outpaced collections of existing receivables and a $3.8 million increase in prepaid expenses and other assets related to long-term maintenance contracts on third-party licensed technology.</w:t>
      </w:r>
    </w:p>
    <w:p>
      <w:pPr>
        <w:spacing w:after="0" w:line="9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2010, operating activities provided $9.9 million in cash as a result of net income of $ 0.8 million, adjusted by non-cash items, including depreciation and amortization of $4.6 million and stock-based compensation of $1.9 million. Working capital sources of cash were related to an increase of $4.4 million in deferred revenues, attributable to increased collections from customers. These sources of cash were partially offset by an increase of $1.2 million in accounts receivable due to the overall growth of our business.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8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2012, we invested $83.5 million of our IPO proceeds in short-term investments. In 2012, 2011 and 2010, we used $11.2 million, $7.5 million and $1.5 million, respectively, of cash for capital expenditures, including computer hardware and software for our data centers to support our growth and development and to purchase physical scanner appliances provided to certain customers as part of their subscriptions. Additionally, in 2010, we used $2.8 million of cash for the acquisition of Nemean.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39"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2012</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$83.2 million</w:t>
      </w:r>
      <w:r>
        <w:rPr>
          <w:rFonts w:ascii="Arial" w:cs="Arial" w:eastAsia="Arial" w:hAnsi="Arial"/>
          <w:sz w:val="18"/>
          <w:szCs w:val="18"/>
          <w:color w:val="231F20"/>
        </w:rPr>
        <w:t xml:space="preserve"> was primarily attributable to proceeds of </w:t>
      </w:r>
      <w:r>
        <w:rPr>
          <w:rFonts w:ascii="Arial" w:cs="Arial" w:eastAsia="Arial" w:hAnsi="Arial"/>
          <w:sz w:val="18"/>
          <w:szCs w:val="18"/>
          <w:color w:val="000000"/>
        </w:rPr>
        <w:t>$84.5 million</w:t>
      </w:r>
      <w:r>
        <w:rPr>
          <w:rFonts w:ascii="Arial" w:cs="Arial" w:eastAsia="Arial" w:hAnsi="Arial"/>
          <w:sz w:val="18"/>
          <w:szCs w:val="18"/>
          <w:color w:val="231F20"/>
        </w:rPr>
        <w:t xml:space="preserve"> from our initial public offering, net of offering costs, and </w:t>
      </w:r>
      <w:r>
        <w:rPr>
          <w:rFonts w:ascii="Arial" w:cs="Arial" w:eastAsia="Arial" w:hAnsi="Arial"/>
          <w:sz w:val="18"/>
          <w:szCs w:val="18"/>
          <w:color w:val="000000"/>
        </w:rPr>
        <w:t>$2.1 million</w:t>
      </w:r>
      <w:r>
        <w:rPr>
          <w:rFonts w:ascii="Arial" w:cs="Arial" w:eastAsia="Arial" w:hAnsi="Arial"/>
          <w:sz w:val="18"/>
          <w:szCs w:val="18"/>
          <w:color w:val="231F20"/>
        </w:rPr>
        <w:t xml:space="preserve"> of proceeds from the exercise of stock options. These cash inflows were partially offset by repayments on our capital lease obligations of </w:t>
      </w:r>
      <w:r>
        <w:rPr>
          <w:rFonts w:ascii="Arial" w:cs="Arial" w:eastAsia="Arial" w:hAnsi="Arial"/>
          <w:sz w:val="18"/>
          <w:szCs w:val="18"/>
          <w:color w:val="000000"/>
        </w:rPr>
        <w:t>$2.4 million</w:t>
      </w:r>
      <w:r>
        <w:rPr>
          <w:rFonts w:ascii="Arial" w:cs="Arial" w:eastAsia="Arial" w:hAnsi="Arial"/>
          <w:sz w:val="18"/>
          <w:szCs w:val="18"/>
          <w:color w:val="231F20"/>
        </w:rPr>
        <w:t xml:space="preserve"> and payment of non-contingent consideration related to our Nemean acquisition of </w:t>
      </w:r>
      <w:r>
        <w:rPr>
          <w:rFonts w:ascii="Arial" w:cs="Arial" w:eastAsia="Arial" w:hAnsi="Arial"/>
          <w:sz w:val="18"/>
          <w:szCs w:val="18"/>
          <w:color w:val="000000"/>
        </w:rPr>
        <w:t>$1.0 million.</w:t>
      </w:r>
    </w:p>
    <w:p>
      <w:pPr>
        <w:spacing w:after="0" w:line="150"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auto"/>
        </w:rPr>
        <w:t>In 2011, cash used in financing activities of $10,000 was primarily attributable to repayments on our capital lease obligations of $1.5 million partially offset by $1.5 million of proceeds from the exercise of stock options and warrants.</w:t>
      </w:r>
    </w:p>
    <w:p>
      <w:pPr>
        <w:spacing w:after="0" w:line="142"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In 2010, cash used in financing activities of $0.5 million was primarily attributable to repayments on our capital lease obligations of $1.1 million partially offset by $0.6 million of proceeds from the exercise of stock options.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Line of Credit</w:t>
      </w:r>
    </w:p>
    <w:p>
      <w:pPr>
        <w:spacing w:after="0" w:line="139"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had an equipment line of credit that was available for draws in 2010, 2011 and through its expiration in February 2012. The amount available under the line increased from $ 1.5 million to $3.3 million during that time period. </w:t>
      </w:r>
      <w:r>
        <w:rPr>
          <w:rFonts w:ascii="Arial" w:cs="Arial" w:eastAsia="Arial" w:hAnsi="Arial"/>
          <w:sz w:val="18"/>
          <w:szCs w:val="18"/>
          <w:color w:val="000000"/>
        </w:rPr>
        <w:t>At December 31, 2011</w:t>
      </w:r>
      <w:r>
        <w:rPr>
          <w:rFonts w:ascii="Arial" w:cs="Arial" w:eastAsia="Arial" w:hAnsi="Arial"/>
          <w:sz w:val="18"/>
          <w:szCs w:val="18"/>
          <w:color w:val="231F20"/>
        </w:rPr>
        <w:t xml:space="preserve">, we had $ 0.9 million in outstanding borrowings under this line of credit, which are recorded in capital lease obligations in the consolidated balance sheet. The remaining amount available for borrowings at December 31, 2011 was $ 0.9 million. At </w:t>
      </w:r>
      <w:r>
        <w:rPr>
          <w:rFonts w:ascii="Arial" w:cs="Arial" w:eastAsia="Arial" w:hAnsi="Arial"/>
          <w:sz w:val="18"/>
          <w:szCs w:val="18"/>
          <w:color w:val="000000"/>
        </w:rPr>
        <w:t>December 31, 2012</w:t>
      </w:r>
      <w:r>
        <w:rPr>
          <w:rFonts w:ascii="Arial" w:cs="Arial" w:eastAsia="Arial" w:hAnsi="Arial"/>
          <w:sz w:val="18"/>
          <w:szCs w:val="18"/>
          <w:color w:val="231F20"/>
        </w:rPr>
        <w:t>, we had no outstanding borrowings under this line of credit and we are not able to draw any further funds as the line has expired.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160" w:firstLine="405"/>
        <w:spacing w:after="0" w:line="278" w:lineRule="auto"/>
        <w:rPr>
          <w:sz w:val="20"/>
          <w:szCs w:val="20"/>
          <w:color w:val="auto"/>
        </w:rPr>
      </w:pPr>
      <w:r>
        <w:rPr>
          <w:rFonts w:ascii="Arial" w:cs="Arial" w:eastAsia="Arial" w:hAnsi="Arial"/>
          <w:sz w:val="17"/>
          <w:szCs w:val="17"/>
          <w:color w:val="auto"/>
        </w:rPr>
        <w:t>Our principal commitments consist of obligations under our outstanding leases for office space and third-party data centers, capital lease and third-party software maintenance obligations. The following table summarizes our contractual cash obligations, including future interest payments, at December 31, 2012 and the effect such obligations are expected to have on our liquidity and cash flows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7"/>
                <w:szCs w:val="17"/>
                <w:color w:val="auto"/>
              </w:rPr>
            </w:pPr>
          </w:p>
        </w:tc>
        <w:tc>
          <w:tcPr>
            <w:tcW w:w="1260" w:type="dxa"/>
            <w:vAlign w:val="bottom"/>
          </w:tcPr>
          <w:p>
            <w:pPr>
              <w:jc w:val="center"/>
              <w:ind w:right="20"/>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1 Year</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Years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5 Years</w:t>
            </w:r>
          </w:p>
        </w:tc>
      </w:tr>
      <w:tr>
        <w:trPr>
          <w:trHeight w:val="247"/>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 obligations</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Maintenance obligations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13,175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4,955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5,320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represent our obligations to make payments under the lease agreements for our facilities, data centers and office equipment leases.</w:t>
      </w:r>
    </w:p>
    <w:p>
      <w:pPr>
        <w:ind w:left="260" w:hanging="252"/>
        <w:spacing w:after="0" w:line="187" w:lineRule="auto"/>
        <w:tabs>
          <w:tab w:leader="none" w:pos="2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Capital lease obligations represent financing on computer software purchases.</w:t>
      </w:r>
    </w:p>
    <w:p>
      <w:pPr>
        <w:ind w:left="260" w:hanging="252"/>
        <w:spacing w:after="0" w:line="199" w:lineRule="auto"/>
        <w:tabs>
          <w:tab w:leader="none" w:pos="2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Maintenance obligations relate to third-party software licenses.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ind w:right="640" w:firstLine="405"/>
        <w:spacing w:after="0" w:line="250"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25" w:lineRule="exact"/>
        <w:rPr>
          <w:sz w:val="20"/>
          <w:szCs w:val="20"/>
          <w:color w:val="auto"/>
        </w:rPr>
      </w:pPr>
    </w:p>
    <w:p>
      <w:pPr>
        <w:ind w:right="70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derive revenues from subscriptions that require customers to pay a fee in order to access our cloud solutions.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 In some limited cases, we also provide certain computer equipment used to extend our QualysGuard Cloud Platform into our customers’ private cloud environment. Customers generally enter into one year renewable annual subscriptions. We assess the ability to separate multiple deliverables in accordance with the relevant accounting literature.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We recognize revenues when all of the following conditions are met: (a) there is persuasive evidence of an arrangement; (b) the service has been provided to the customer; (c) the collection of the fees is reasonably assured; and (d) the amount of fees to be paid by the customer is fixed or determinable.</w:t>
      </w:r>
    </w:p>
    <w:p>
      <w:pPr>
        <w:spacing w:after="0" w:line="6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Costs of shipping and handling charges associated with physical scanner appliances and other computer equipment are included in cost of revenues.</w:t>
      </w:r>
    </w:p>
    <w:p>
      <w:pPr>
        <w:spacing w:after="0" w:line="71"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Deferred revenues consist of revenues billed or received that will be recognized in the future under subscriptions existing at the balance sheet date.</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Goodwill represents the excess of the aggregate purchase price paid over the fair value of the net tangible and identifiable intangible assets acquired. Goodwill and other intangible assets are not amortized and are tested for impairment at least annually or whenever events or changes in circumstances indicate that the fair value is less than carrying value. We have determined that we operate in one reporting unit. We performed qualitative assessments for 2012 of our single reporting unit and of our intangible assets not subject to amortization. These assessments did not indicate that it is more likely than not that the reporting unit fair value or the intangible assets fair value is less than their carrying values, and concluded there was no impairment of goodwill or intangible assets not subject to amortization. The goodwill balance was $0.3 million and the balance of intangible assets not subject to amortization was $0.3 million as of December 31, 2012 and 2011. No impairment of goodwill or intangible assets not subject to amortization was recorded for 2012, 2011 or 2010.</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subject to taxes in the United States as well as other tax jurisdictions in which we conduct business. Earnings from our non-U.S.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income tax and may be subject to U.S. income tax.</w:t>
      </w:r>
    </w:p>
    <w:p>
      <w:pPr>
        <w:spacing w:after="0" w:line="171"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and laws expected to apply to taxable income in the years in which those temporary differences are expected to reverse. The effect on deferred tax assets and liabilities of a change in tax rates is recognized in income in the period in which the statutory rate change is enacted in law.</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2012, we had recorded a valuation allowance on our net deferred tax assets. In assessing the recoverability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management considers whether it is more likely than not that some portion or all of the deferred tax assets will be 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realization of deferred tax assets is dependent upon generation of future taxable income during the periods in which temporary differences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loss carry-forwards and tax credits become deductible. Management considers projected future taxable income and tax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strategies in making this assessment and ensuring that the deferred tax asset valuation allowance is adjusted as appropriate.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based on the accumulation of negative evidence, such as inconsistent quarterly earnings, including operating losses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December 31, 2011, March 31, 2012 and June 30, 2012, continued heavy investment in 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and in our infrastructure, and international expansion, management determined it was not more likely than not that the benefits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will be realized. If we determine in the future that we will be able to realize all or a portion of our net operating loss or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carryforwards and other deferred tax assets, an adjustment to our net operating loss or tax credit carryforwards and other deferred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would increase net income in the period in which we make such a determination.</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assessed our income tax positions and recognized tax benefits for all years subject to examination, based upon evaluation of the facts, circumstances and information available at the end of each period. We recognize tax benefits from uncertain tax positions when it is more likely than not that the position will be sustained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upon examination, including resolutions of any related appeals or litigation processes, based on the technical merits of the position. We record interest and penalties related to unrecognized tax benefits in our provision for income taxes.</w:t>
      </w:r>
    </w:p>
    <w:p>
      <w:pPr>
        <w:spacing w:after="0" w:line="142"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Significant judgment is required in evaluating tax positions and determining the provision for income taxes. The objectives of accounting for income taxes are to recognize the amount of taxes payable or refundable for the current year and the deferred tax liabilities and assets for the future tax consequences of events that have been recognized in an entity’s financial statements or tax returns. Variations in the actual outcome of these future tax consequences could materially impact our financial position, results of operations or cash flows.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jc w:val="both"/>
        <w:ind w:right="260" w:firstLine="405"/>
        <w:spacing w:after="0" w:line="256" w:lineRule="auto"/>
        <w:rPr>
          <w:sz w:val="20"/>
          <w:szCs w:val="20"/>
          <w:color w:val="auto"/>
        </w:rPr>
      </w:pPr>
      <w:r>
        <w:rPr>
          <w:rFonts w:ascii="Arial" w:cs="Arial" w:eastAsia="Arial" w:hAnsi="Arial"/>
          <w:sz w:val="18"/>
          <w:szCs w:val="18"/>
          <w:color w:val="auto"/>
        </w:rPr>
        <w:t>We recognize compensation expense for our employee stock options over the requisite service period for awards of equity instruments based on the grant-date fair value of those awards ultimately expected to vest. Forfeitures are estimated on the date of grant and revised if actual or expected forfeiture activity differs materially from original estimates.</w:t>
      </w:r>
    </w:p>
    <w:p>
      <w:pPr>
        <w:spacing w:after="0" w:line="148"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stock-based payment awards requires the use of highly subjective assumptions, including the expected life of the stock-based payment awards and stock price volatility. The assumptions used in calculating the fair value of stock-based payment awards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148"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Until the completion of our IPO on October 3, 2012, we were a private company and lacked company-specific historical and implied volatility information. Accordingly, we have estimated our expected volatility based on the historical volatility of our self-designated peer group consisting of publicly-held companies selected because of the similarity of their industry, business model and financial risk profile. The expected volatility of options granted has been determined using an average of the historical volatility measures of this peer group of companies for a period equal to the expected term of the option. We intend to continue to consistently apply this process using the same or similar entities until such time that sufficient information regarding the volatility of our share price becomes available or we determine that other companies should be added or are no longer suitable.</w:t>
      </w:r>
    </w:p>
    <w:p>
      <w:pPr>
        <w:spacing w:after="0" w:line="15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expected term of options was estimated by analyzing the historical period from grant to settlement of the stock option. This analysis includes exercises and forfeitures, and also gives consideration to the expected holding period for those options that were still outstanding. The risk-free interest rate is based on a daily treasury yield curve rate that has a term consistent with the expected life of the stock option. We have not paid and do not anticipate paying cash dividends on our common stock, and therefore our expected dividend yield is assumed to be zero. We also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If our actual forfeiture rate is materially different from its estimate, the stock-based compensation expense could be significantly different from what we have recorded in the current period.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Pre-IPO Common Stock Valuations</w:t>
      </w:r>
    </w:p>
    <w:p>
      <w:pPr>
        <w:spacing w:after="0" w:line="19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historically granted stock options at exercise prices equal to the fair value as determined by our board of directors on the date of grant, with inputs from management. Because our common stock was not publicly traded prior to our IPO, our board of directors exercised significant judgment in determining the fair value of our common stock on the date of grant based on a number of objective and subjective factors. Factors considered by our board of directors included:</w:t>
      </w:r>
    </w:p>
    <w:p>
      <w:pPr>
        <w:spacing w:after="0" w:line="2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contemporaneous independent valuations performed at periodic intervals by outside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future financial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peer group trading multiples;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41" w:right="27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company since the last time the board of directors approved option grants and made a determination of fair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illiquidity of shares of our common stock;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prospects and opportunity for liquidity events such as an initial public offering and possible strategic merger or sale.</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Factors, Assumptions and Methodologies Used in Determining the Fair Value of Common Stock</w:t>
      </w:r>
    </w:p>
    <w:p>
      <w:pPr>
        <w:spacing w:after="0" w:line="24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Prior to our IPO in September 2012, our valuation analysis was conducted under a probability-weighted expected return method, or PWERM, as prescribed by the AICPA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PWERM approach employs various market approach and income approach calculations depending upon the likelihood of various liquidation scenarios. For each of the various scenarios, an equity value is estimated and the rights and preferences for each shareholder class are considered to allocate the equity value to common shares. The common share value is then multiplied by a discount factor reflecting the calculated discount rate and the timing of the event. Lastly, the common share value is multiplied by an estimated probability for each scenario. The probability and timing of each scenario are based upon discussions between our board of directors and our management team. Under the PWERM, the value of our common stock is based on upon three possible future events for our company:</w:t>
      </w:r>
    </w:p>
    <w:p>
      <w:pPr>
        <w:spacing w:after="0" w:line="20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merger or sale;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Continuation as a private company.</w:t>
      </w:r>
    </w:p>
    <w:p>
      <w:pPr>
        <w:spacing w:after="0" w:line="117"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The market approach uses similar companies or transactions in the marketplace. We utilized the guideline publicly traded company method of the market approach for the initial public offering scenario and the guideline merged and acquired company method of the market approach for the strategic merger or sale scenario. We identified companies similar to our business and used this peer group of companies to develop relevant market multiples and ratios. We then applied these market multiples and ratios to our financial forecasts to create an indication of total equity value. The income approach, which we utilized to assess fair value of the common stock under the assumption we remained a private company, is an estimate of the present value of the future monetary benefits generated by an investment in that asset. Specifically, debt-free cash flows and the estimated terminal value are discounted at appropriate risk-adjusted discount rates to estimate the total invested capital value of the equity.</w:t>
      </w:r>
    </w:p>
    <w:p>
      <w:pPr>
        <w:spacing w:after="0" w:line="20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When considering which companies to include in our comparable peer companies, we focused on U.S. publicly traded companies in the IT security industry in which we operate and software-as-a-service companies with business models similar to ours. We considered a number of factors which required us to make judgments as to the comparability of these companies to ours, including business description, business size, revenue model, development stage and historical operating results. We then analyzed the business and financial profiles of the selected companies for similarities to us and, based on this assessment, we selected our comparable peer companies.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The selection of our comparable peer companies changed over time as we continued evaluating whether the selected companies remained comparable to us and considering recent initial public offerings and sale transactions. Based on these considerations, we believed the comparable peer companies were a representative group for purposes of performing contemporaneous valuations. However, there could be inherent differences that may impact comparability. Several of the comparable companies are larger than us in terms of total revenues and assets, and several have experienced net operating losses and have not yet generated net income.</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Companies in the comparable peer group used for the initial public offering scenario were generally consistent with the peer group utilized to determine estimated volatility, subject to the following differences. The peer group of companies used to determine volatility was made up of a larger number of companies than that considered in our peer group for contemporaneous valuation purposes, primarily due to fewer common comparabilities to us. All but one company in our peer group used for contemporaneous valuation purposes were included in our peer group used to determine estimated volatility.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360" w:firstLine="405"/>
        <w:spacing w:after="0" w:line="253" w:lineRule="auto"/>
        <w:rPr>
          <w:sz w:val="20"/>
          <w:szCs w:val="20"/>
          <w:color w:val="auto"/>
        </w:rPr>
      </w:pPr>
      <w:r>
        <w:rPr>
          <w:rFonts w:ascii="Arial" w:cs="Arial" w:eastAsia="Arial" w:hAnsi="Arial"/>
          <w:sz w:val="18"/>
          <w:szCs w:val="18"/>
          <w:color w:val="auto"/>
        </w:rPr>
        <w:t>For all valuation periods presented, for the initial public offering scenario, we reviewed the forecasted twelve-month revenue and last twelve-month revenue multiples of comparable peer companies and selected an appropriate multiple based on our assessment of our comparability to these companies. We then applied the selected multiple to our forecasted twelve-month revenues and last twelve-month revenues and used an average of the two resulting values, which was weighted more heavily for the forecasted revenues, to determine our enterprise value under the initial public offering scenario.</w:t>
      </w:r>
    </w:p>
    <w:p>
      <w:pPr>
        <w:spacing w:after="0" w:line="206"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For all valuation periods presented, for the merger or sale scenario, we reviewed the last twelve-month revenue and last twelve-month EBITDA multiples of comparable peer companies who were recently acquired and selected an appropriate multiple based on our assessment of our comparability to these companies. We then applied the selected multiple to our last twelve-month revenues and last twelve-month EBITDA and used an average of the two resulting values to determine our enterprise value under the merger or sale scenario.</w:t>
      </w:r>
    </w:p>
    <w:p>
      <w:pPr>
        <w:spacing w:after="0" w:line="204"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We did not use comparable peer companies for any other estimates used in determining valuations. All other assumptions, such as the risk-adjusted discount rate, discount for lack of marketability, expected term and interest rate, were determined based on the analysis performed by us without reference to comparable peer companies.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Post-IPO Common Stock Valuations</w:t>
      </w:r>
    </w:p>
    <w:p>
      <w:pPr>
        <w:spacing w:after="0" w:line="247"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Following our IPO, we established a policy of using the closing sales price per share as quoted on the NASDAQ Stock Market on the date of grant for purposes of determining the exercise price per share for our common stock options.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cash equivalents, short-term investments, accounts receivable, restricted cash, accounts payable, and other current liabilities, the carrying amounts approximate their fair value due to the relatively short maturity of these balances.</w:t>
      </w:r>
    </w:p>
    <w:p>
      <w:pPr>
        <w:spacing w:after="0" w:line="96"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measure and report our cash equivalents, short-term investments and a derivative forward currency contract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117"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7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and derivative financial instruments consisting of forward currency contracts. The securities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 inputs. See Note 2 to our consolidated financial statements</w:t>
      </w:r>
      <w:r>
        <w:rPr>
          <w:rFonts w:ascii="Arial" w:cs="Arial" w:eastAsia="Arial" w:hAnsi="Arial"/>
          <w:sz w:val="18"/>
          <w:szCs w:val="18"/>
          <w:color w:val="000000"/>
        </w:rPr>
        <w:t xml:space="preserve"> </w:t>
      </w:r>
      <w:r>
        <w:rPr>
          <w:rFonts w:ascii="Arial" w:cs="Arial" w:eastAsia="Arial" w:hAnsi="Arial"/>
          <w:sz w:val="18"/>
          <w:szCs w:val="18"/>
          <w:color w:val="231F20"/>
        </w:rPr>
        <w:t>included elsewhere in this Annual Report on Form 10-K for more information regarding the fair value measurement of our financial instruments.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right="160" w:firstLine="405"/>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1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8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Beginning in December 2011, we began to use foreign exchange forward contracts to partially mitigate the impact of fluctuations in cash and accounts receivable balances denominated in Euros. We do not use these contracts for speculative or trading purposes, nor are they designated as hedges. These contracts typically have a maturity of one month, and we record gains and losses from these instruments in other income (expense), net.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2"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 xml:space="preserve">We have $118.4 million in cash, cash equivalents and short-term investments at December 31, 2012. Cash and cash equivalents </w:t>
      </w:r>
      <w:r>
        <w:rPr>
          <w:rFonts w:ascii="Arial" w:cs="Arial" w:eastAsia="Arial" w:hAnsi="Arial"/>
          <w:sz w:val="18"/>
          <w:szCs w:val="18"/>
          <w:color w:val="231F20"/>
        </w:rPr>
        <w:t>include</w:t>
      </w:r>
      <w:r>
        <w:rPr>
          <w:rFonts w:ascii="Arial" w:cs="Arial" w:eastAsia="Arial" w:hAnsi="Arial"/>
          <w:sz w:val="18"/>
          <w:szCs w:val="18"/>
          <w:color w:val="auto"/>
        </w:rPr>
        <w:t xml:space="preserve"> </w:t>
      </w:r>
      <w:r>
        <w:rPr>
          <w:rFonts w:ascii="Arial" w:cs="Arial" w:eastAsia="Arial" w:hAnsi="Arial"/>
          <w:sz w:val="18"/>
          <w:szCs w:val="18"/>
          <w:color w:val="231F20"/>
        </w:rPr>
        <w:t>cash held in banks and highly liquid money market funds and commercial paper</w:t>
      </w:r>
      <w:r>
        <w:rPr>
          <w:rFonts w:ascii="Arial" w:cs="Arial" w:eastAsia="Arial" w:hAnsi="Arial"/>
          <w:sz w:val="18"/>
          <w:szCs w:val="18"/>
          <w:color w:val="000000"/>
        </w:rPr>
        <w:t>. Short-term investments consist of fixed-income U.S.</w:t>
      </w:r>
      <w:r>
        <w:rPr>
          <w:rFonts w:ascii="Arial" w:cs="Arial" w:eastAsia="Arial" w:hAnsi="Arial"/>
          <w:sz w:val="18"/>
          <w:szCs w:val="18"/>
          <w:color w:val="231F20"/>
        </w:rPr>
        <w:t xml:space="preserve"> </w:t>
      </w:r>
      <w:r>
        <w:rPr>
          <w:rFonts w:ascii="Arial" w:cs="Arial" w:eastAsia="Arial" w:hAnsi="Arial"/>
          <w:sz w:val="18"/>
          <w:szCs w:val="18"/>
          <w:color w:val="000000"/>
        </w:rPr>
        <w:t>government agency securities and commercial paper. All of these investments have maturities of less than one year from date of purchase.</w:t>
      </w:r>
    </w:p>
    <w:p>
      <w:pPr>
        <w:spacing w:after="0" w:line="20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primary objective of our investment activities is the preservation of principal and supporting our liquidity requirements. We do not enter into investments for trading or speculative purposes. Our investments are subject to market risk due changes in interest rates, which may affect the interest income we earn and the fair market value of the investments. Due to the short-term nature of these investments, we do not believe that a 10% increase or decrease in interest rates would have a material impact. We therefore do not expect our operating results or cash flows to be materially affected by a sudden change in market interest rates.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41" w:right="27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 and Supplementary Data</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3"/>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rPr>
              <w:t>Qualys,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9"/>
        </w:trPr>
        <w:tc>
          <w:tcPr>
            <w:tcW w:w="900" w:type="dxa"/>
            <w:vAlign w:val="bottom"/>
          </w:tcPr>
          <w:p>
            <w:pPr>
              <w:spacing w:after="0"/>
              <w:rPr>
                <w:sz w:val="20"/>
                <w:szCs w:val="20"/>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w w:val="98"/>
              </w:rPr>
              <w:t>INDEX TO CONSOLIDATED FINANCIAL STATEMENTS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88"/>
        </w:trPr>
        <w:tc>
          <w:tcPr>
            <w:tcW w:w="9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9780" w:type="dxa"/>
            <w:vAlign w:val="bottom"/>
            <w:gridSpan w:val="2"/>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900" w:type="dxa"/>
            <w:vAlign w:val="bottom"/>
            <w:gridSpan w:val="2"/>
          </w:tcPr>
          <w:p>
            <w:pPr>
              <w:jc w:val="center"/>
              <w:ind w:left="639"/>
              <w:spacing w:after="0"/>
              <w:rPr>
                <w:rFonts w:ascii="Arial" w:cs="Arial" w:eastAsia="Arial" w:hAnsi="Arial"/>
                <w:sz w:val="16"/>
                <w:szCs w:val="16"/>
                <w:color w:val="0000FF"/>
              </w:rPr>
            </w:pPr>
            <w:hyperlink w:anchor="page60">
              <w:r>
                <w:rPr>
                  <w:rFonts w:ascii="Arial" w:cs="Arial" w:eastAsia="Arial" w:hAnsi="Arial"/>
                  <w:sz w:val="16"/>
                  <w:szCs w:val="16"/>
                  <w:color w:val="0000FF"/>
                </w:rPr>
                <w:t>59</w:t>
              </w:r>
            </w:hyperlink>
          </w:p>
        </w:tc>
        <w:tc>
          <w:tcPr>
            <w:tcW w:w="700" w:type="dxa"/>
            <w:vAlign w:val="bottom"/>
          </w:tcPr>
          <w:p>
            <w:pPr>
              <w:spacing w:after="0"/>
              <w:rPr>
                <w:sz w:val="16"/>
                <w:szCs w:val="16"/>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Balance Sheets</w:t>
            </w:r>
          </w:p>
        </w:tc>
        <w:tc>
          <w:tcPr>
            <w:tcW w:w="900" w:type="dxa"/>
            <w:vAlign w:val="bottom"/>
            <w:gridSpan w:val="2"/>
          </w:tcPr>
          <w:p>
            <w:pPr>
              <w:jc w:val="center"/>
              <w:ind w:left="639"/>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Income</w:t>
            </w:r>
          </w:p>
        </w:tc>
        <w:tc>
          <w:tcPr>
            <w:tcW w:w="900" w:type="dxa"/>
            <w:vAlign w:val="bottom"/>
            <w:gridSpan w:val="2"/>
          </w:tcPr>
          <w:p>
            <w:pPr>
              <w:jc w:val="center"/>
              <w:ind w:left="639"/>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Comprehensive Income</w:t>
            </w:r>
          </w:p>
        </w:tc>
        <w:tc>
          <w:tcPr>
            <w:tcW w:w="900" w:type="dxa"/>
            <w:vAlign w:val="bottom"/>
            <w:gridSpan w:val="2"/>
          </w:tcPr>
          <w:p>
            <w:pPr>
              <w:jc w:val="center"/>
              <w:ind w:left="639"/>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Cash Flows</w:t>
            </w:r>
          </w:p>
        </w:tc>
        <w:tc>
          <w:tcPr>
            <w:tcW w:w="900" w:type="dxa"/>
            <w:vAlign w:val="bottom"/>
            <w:gridSpan w:val="2"/>
          </w:tcPr>
          <w:p>
            <w:pPr>
              <w:jc w:val="center"/>
              <w:ind w:left="639"/>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Convertible Preferred Stock and Stockholders' Equity (Deficit)</w:t>
            </w:r>
          </w:p>
        </w:tc>
        <w:tc>
          <w:tcPr>
            <w:tcW w:w="900" w:type="dxa"/>
            <w:vAlign w:val="bottom"/>
            <w:gridSpan w:val="2"/>
          </w:tcPr>
          <w:p>
            <w:pPr>
              <w:jc w:val="center"/>
              <w:ind w:left="639"/>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Notes to Consolidated Financial Statements</w:t>
            </w:r>
          </w:p>
        </w:tc>
        <w:tc>
          <w:tcPr>
            <w:tcW w:w="900" w:type="dxa"/>
            <w:vAlign w:val="bottom"/>
            <w:gridSpan w:val="2"/>
          </w:tcPr>
          <w:p>
            <w:pPr>
              <w:jc w:val="center"/>
              <w:ind w:left="639"/>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c>
          <w:tcPr>
            <w:tcW w:w="7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2012 and 2011, and the related consolidated statements of income, comprehensive income, cash flows and convertible preferred stock and stockholders’ equity (deficit) for each of the three years in the period ended December 31, 2012. Our audits of the basic consolidated financial statements included the financial statement schedule listed in the index appearing under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Qualys, Inc.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34,885</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24,548</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83,547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$331 and $230 at December 31, 2012 and 2011, respectively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24,545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20,750</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3,774</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147,354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49,072</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18,148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13,861</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3,175</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2,252</w:t>
            </w:r>
          </w:p>
        </w:tc>
      </w:tr>
      <w:tr>
        <w:trPr>
          <w:trHeight w:val="283"/>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170,318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68,789</w:t>
            </w:r>
          </w:p>
        </w:tc>
      </w:tr>
      <w:tr>
        <w:trPr>
          <w:trHeight w:val="25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Current Liabilities :</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2,254</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7,803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8,468</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56,497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46,717</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1,987</w:t>
            </w:r>
          </w:p>
        </w:tc>
      </w:tr>
      <w:tr>
        <w:trPr>
          <w:trHeight w:val="256"/>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59,426</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8,616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4,713</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2,134</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2,406</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78,763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69,340</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A convertible preferred stock: $0.001 par value; no shares authorized, issued and outstanding at December 31, 2012;</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48,079,860 shares authorized, 4,766,543 shares issued and outstanding at December 31, 2011; aggregate liquidation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preference—$0 and $28,774 at December 31, 2012 and 2011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28,603</w:t>
            </w: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Series B convertible preferred stock: $0.001 par value; no shares authorized, issued and outstanding at December 31, 2012;</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8360" w:type="dxa"/>
            <w:vAlign w:val="bottom"/>
          </w:tcPr>
          <w:p>
            <w:pPr>
              <w:ind w:left="520"/>
              <w:spacing w:after="0"/>
              <w:rPr>
                <w:sz w:val="20"/>
                <w:szCs w:val="20"/>
                <w:color w:val="auto"/>
              </w:rPr>
            </w:pPr>
            <w:r>
              <w:rPr>
                <w:rFonts w:ascii="Arial" w:cs="Arial" w:eastAsia="Arial" w:hAnsi="Arial"/>
                <w:sz w:val="14"/>
                <w:szCs w:val="14"/>
                <w:color w:val="auto"/>
              </w:rPr>
              <w:t>110,314,114 shares authorized, 11,031,387 shares issued and outstanding at December 31, 2011; aggregate liquidation</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preference—$0 and $28,862 at December 31, 2012 and 2011</w:t>
            </w:r>
          </w:p>
        </w:tc>
        <w:tc>
          <w:tcPr>
            <w:tcW w:w="3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28,568</w:t>
            </w: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C convertible preferred stock: $0.001 par value; no shares authorized, issued and outstanding at December 31,</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2012; 18,006,026 shares authorized, 1,799,328 shares issued and outstanding at December 31, 2011; aggregate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8"/>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liquidation preference— $0 and $6,631 at December 31, 2012 and 2011</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6,702</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convertible preferred stock</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63,873</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 (deficit):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2012;</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no shares authorized, issued and outstanding at December 31, 2011</w:t>
            </w:r>
          </w:p>
        </w:tc>
        <w:tc>
          <w:tcPr>
            <w:tcW w:w="3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31,420,028 shares issued and outstanding at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December 31, 2012; 299,900,000 shares authorized, 5,300,288 shares issued and outstanding at December 31, 2011</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166,651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12,927</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(74,092)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(76,372)</w:t>
            </w:r>
          </w:p>
        </w:tc>
      </w:tr>
      <w:tr>
        <w:trPr>
          <w:trHeight w:val="250"/>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 (deficit)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91,555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(64,424)</w:t>
            </w:r>
          </w:p>
        </w:tc>
      </w:tr>
      <w:tr>
        <w:trPr>
          <w:trHeight w:val="243"/>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 convertible preferred stock and stockholders’ equity (deficit)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170,318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68,789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41"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65,432</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18,404</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13,247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11,204</w:t>
            </w:r>
          </w:p>
        </w:tc>
      </w:tr>
      <w:tr>
        <w:trPr>
          <w:trHeight w:val="25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73,016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54,228</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20,195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15,780</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37,738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29,056</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12,079</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8,183</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70,012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60,059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53,019</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358</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1,076</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r>
      <w:tr>
        <w:trPr>
          <w:trHeight w:val="21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 common stockholders: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11,891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4,706</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100" w:type="dxa"/>
            <w:vAlign w:val="bottom"/>
          </w:tcPr>
          <w:p>
            <w:pPr>
              <w:ind w:left="280"/>
              <w:spacing w:after="0"/>
              <w:rPr>
                <w:sz w:val="20"/>
                <w:szCs w:val="20"/>
                <w:color w:val="auto"/>
              </w:rPr>
            </w:pPr>
            <w:r>
              <w:rPr>
                <w:rFonts w:ascii="Arial" w:cs="Arial" w:eastAsia="Arial" w:hAnsi="Arial"/>
                <w:sz w:val="14"/>
                <w:szCs w:val="14"/>
                <w:color w:val="auto"/>
              </w:rPr>
              <w:t>Diluted</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28,352</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23,562</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r>
      <w:tr>
        <w:trPr>
          <w:trHeight w:val="264"/>
        </w:trPr>
        <w:tc>
          <w:tcPr>
            <w:tcW w:w="7100" w:type="dxa"/>
            <w:vAlign w:val="bottom"/>
          </w:tcPr>
          <w:p>
            <w:pPr>
              <w:ind w:left="180"/>
              <w:spacing w:after="0"/>
              <w:rPr>
                <w:sz w:val="20"/>
                <w:szCs w:val="20"/>
                <w:color w:val="auto"/>
              </w:rPr>
            </w:pPr>
            <w:r>
              <w:rPr>
                <w:rFonts w:ascii="Arial" w:cs="Arial" w:eastAsia="Arial" w:hAnsi="Arial"/>
                <w:sz w:val="14"/>
                <w:szCs w:val="14"/>
                <w:color w:val="auto"/>
              </w:rPr>
              <w:t>Foreign currency translation gain (loss),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231F20"/>
              </w:rPr>
              <w:t>Change in unrealized gain (loss) on short-term investments, net of zero tax</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top w:val="single" w:sz="8" w:color="231F20"/>
              <w:bottom w:val="single" w:sz="8" w:color="231F20"/>
            </w:tcBorders>
          </w:tcPr>
          <w:p>
            <w:pPr>
              <w:spacing w:after="0"/>
              <w:rPr>
                <w:sz w:val="21"/>
                <w:szCs w:val="21"/>
                <w:color w:val="auto"/>
              </w:rPr>
            </w:pPr>
          </w:p>
        </w:tc>
        <w:tc>
          <w:tcPr>
            <w:tcW w:w="50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231F20"/>
              <w:bottom w:val="single" w:sz="8" w:color="231F20"/>
            </w:tcBorders>
          </w:tcPr>
          <w:p>
            <w:pPr>
              <w:spacing w:after="0"/>
              <w:rPr>
                <w:sz w:val="21"/>
                <w:szCs w:val="21"/>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231F20"/>
              <w:bottom w:val="single" w:sz="8" w:color="231F20"/>
            </w:tcBorders>
          </w:tcPr>
          <w:p>
            <w:pPr>
              <w:spacing w:after="0"/>
              <w:rPr>
                <w:sz w:val="21"/>
                <w:szCs w:val="21"/>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4"/>
                <w:szCs w:val="14"/>
                <w:color w:val="auto"/>
              </w:rPr>
              <w:t>(9)</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r>
      <w:tr>
        <w:trPr>
          <w:trHeight w:val="20"/>
        </w:trPr>
        <w:tc>
          <w:tcPr>
            <w:tcW w:w="7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3,452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Amortization of premiums on short-term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13,683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21,952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17,190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258"/>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(83,547)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(11,188)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Acquisition of business, net</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56"/>
        </w:trPr>
        <w:tc>
          <w:tcPr>
            <w:tcW w:w="710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(94,784)</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0" w:type="dxa"/>
            <w:vAlign w:val="bottom"/>
          </w:tcPr>
          <w:p>
            <w:pPr>
              <w:spacing w:after="0"/>
              <w:rPr>
                <w:sz w:val="1"/>
                <w:szCs w:val="1"/>
                <w:color w:val="auto"/>
              </w:rPr>
            </w:pPr>
          </w:p>
        </w:tc>
      </w:tr>
      <w:tr>
        <w:trPr>
          <w:trHeight w:val="258"/>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initial public offering, net of offering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84,534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1,685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early exercise of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issuance of Series C Preferred Stock</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Non-contingent payment related to acquisition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10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83,202</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5,061</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9,949</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15,010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 of property and equipment under capital lease</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Conversion of convertible preferred stock to common stock</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63,873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acquisition of business</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8"/>
        </w:trPr>
        <w:tc>
          <w:tcPr>
            <w:tcW w:w="7100" w:type="dxa"/>
            <w:vAlign w:val="bottom"/>
          </w:tcPr>
          <w:p>
            <w:pPr>
              <w:ind w:left="280"/>
              <w:spacing w:after="0"/>
              <w:rPr>
                <w:sz w:val="20"/>
                <w:szCs w:val="20"/>
                <w:color w:val="auto"/>
              </w:rPr>
            </w:pPr>
            <w:r>
              <w:rPr>
                <w:rFonts w:ascii="Arial" w:cs="Arial" w:eastAsia="Arial" w:hAnsi="Arial"/>
                <w:sz w:val="14"/>
                <w:szCs w:val="14"/>
                <w:color w:val="auto"/>
              </w:rPr>
              <w:t>Issuance of common stock for acquisition of license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20" w:type="dxa"/>
            <w:vAlign w:val="bottom"/>
            <w:gridSpan w:val="4"/>
          </w:tcPr>
          <w:p>
            <w:pPr>
              <w:ind w:left="3680"/>
              <w:spacing w:after="0"/>
              <w:rPr>
                <w:sz w:val="20"/>
                <w:szCs w:val="20"/>
                <w:color w:val="auto"/>
              </w:rPr>
            </w:pPr>
            <w:r>
              <w:rPr>
                <w:rFonts w:ascii="Arial" w:cs="Arial" w:eastAsia="Arial" w:hAnsi="Arial"/>
                <w:sz w:val="14"/>
                <w:szCs w:val="14"/>
                <w:color w:val="231F20"/>
              </w:rPr>
              <w:t>See accompanying Notes to Consolidated Financial Statements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41" w:right="23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2009</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for acquisition of business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2010</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right="280"/>
        <w:spacing w:after="0" w:line="230" w:lineRule="auto"/>
        <w:rPr>
          <w:sz w:val="20"/>
          <w:szCs w:val="20"/>
          <w:color w:val="auto"/>
        </w:rPr>
      </w:pPr>
      <w:r>
        <w:rPr>
          <w:rFonts w:ascii="Arial" w:cs="Arial" w:eastAsia="Arial" w:hAnsi="Arial"/>
          <w:sz w:val="13"/>
          <w:szCs w:val="13"/>
          <w:color w:val="auto"/>
        </w:rPr>
        <w:t>Issuance of Series C Preferred Stock upon exercise of warrants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adjustments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2011</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Foreign currency translation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Change in unrealized gain(loss) on short-term investments</w:t>
      </w:r>
    </w:p>
    <w:p>
      <w:pPr>
        <w:spacing w:after="0" w:line="132" w:lineRule="exact"/>
        <w:rPr>
          <w:sz w:val="20"/>
          <w:szCs w:val="20"/>
          <w:color w:val="auto"/>
        </w:rPr>
      </w:pPr>
    </w:p>
    <w:p>
      <w:pPr>
        <w:ind w:left="280"/>
        <w:spacing w:after="0" w:line="230" w:lineRule="auto"/>
        <w:rPr>
          <w:sz w:val="20"/>
          <w:szCs w:val="20"/>
          <w:color w:val="auto"/>
        </w:rPr>
      </w:pPr>
      <w:r>
        <w:rPr>
          <w:rFonts w:ascii="Arial" w:cs="Arial" w:eastAsia="Arial" w:hAnsi="Arial"/>
          <w:sz w:val="13"/>
          <w:szCs w:val="13"/>
          <w:color w:val="auto"/>
        </w:rPr>
        <w:t>Issuance of common stock upon initial public offering, net of offering costs</w:t>
      </w:r>
    </w:p>
    <w:p>
      <w:pPr>
        <w:spacing w:after="0" w:line="38" w:lineRule="exact"/>
        <w:rPr>
          <w:sz w:val="20"/>
          <w:szCs w:val="20"/>
          <w:color w:val="auto"/>
        </w:rPr>
      </w:pPr>
    </w:p>
    <w:p>
      <w:pPr>
        <w:ind w:left="280" w:right="40"/>
        <w:spacing w:after="0" w:line="230" w:lineRule="auto"/>
        <w:rPr>
          <w:sz w:val="20"/>
          <w:szCs w:val="20"/>
          <w:color w:val="auto"/>
        </w:rPr>
      </w:pPr>
      <w:r>
        <w:rPr>
          <w:rFonts w:ascii="Arial" w:cs="Arial" w:eastAsia="Arial" w:hAnsi="Arial"/>
          <w:sz w:val="13"/>
          <w:szCs w:val="13"/>
          <w:color w:val="auto"/>
        </w:rPr>
        <w:t>Conversion of preferred stock to common stock upon initial public offering</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for acquisition of license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2012</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Borders>
              <w:right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0"/>
        </w:trPr>
        <w:tc>
          <w:tcPr>
            <w:tcW w:w="1700" w:type="dxa"/>
            <w:vAlign w:val="bottom"/>
            <w:tcBorders>
              <w:right w:val="single" w:sz="8" w:color="auto"/>
            </w:tcBorders>
            <w:gridSpan w:val="4"/>
          </w:tcPr>
          <w:p>
            <w:pPr>
              <w:jc w:val="right"/>
              <w:ind w:right="317"/>
              <w:spacing w:after="0" w:line="140" w:lineRule="exact"/>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2"/>
                <w:szCs w:val="12"/>
                <w:color w:val="auto"/>
              </w:rPr>
            </w:pPr>
          </w:p>
        </w:tc>
        <w:tc>
          <w:tcPr>
            <w:tcW w:w="1700" w:type="dxa"/>
            <w:vAlign w:val="bottom"/>
            <w:gridSpan w:val="5"/>
          </w:tcPr>
          <w:p>
            <w:pPr>
              <w:ind w:left="360"/>
              <w:spacing w:after="0" w:line="140" w:lineRule="exact"/>
              <w:rPr>
                <w:sz w:val="20"/>
                <w:szCs w:val="20"/>
                <w:color w:val="auto"/>
              </w:rPr>
            </w:pPr>
            <w:r>
              <w:rPr>
                <w:rFonts w:ascii="Arial" w:cs="Arial" w:eastAsia="Arial" w:hAnsi="Arial"/>
                <w:sz w:val="13"/>
                <w:szCs w:val="13"/>
                <w:b w:val="1"/>
                <w:bCs w:val="1"/>
                <w:color w:val="auto"/>
              </w:rPr>
              <w:t>Common Stock</w:t>
            </w:r>
          </w:p>
        </w:tc>
        <w:tc>
          <w:tcPr>
            <w:tcW w:w="90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2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3"/>
                <w:szCs w:val="3"/>
                <w:color w:val="auto"/>
              </w:rPr>
            </w:pPr>
          </w:p>
        </w:tc>
        <w:tc>
          <w:tcPr>
            <w:tcW w:w="820" w:type="dxa"/>
            <w:vAlign w:val="bottom"/>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80"/>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Loss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8"/>
          </w:tcPr>
          <w:p>
            <w:pPr>
              <w:spacing w:after="0"/>
              <w:rPr>
                <w:sz w:val="20"/>
                <w:szCs w:val="20"/>
                <w:color w:val="auto"/>
              </w:rPr>
            </w:pPr>
            <w:r>
              <w:rPr>
                <w:rFonts w:ascii="Arial" w:cs="Arial" w:eastAsia="Arial" w:hAnsi="Arial"/>
                <w:sz w:val="13"/>
                <w:szCs w:val="13"/>
                <w:b w:val="1"/>
                <w:bCs w:val="1"/>
                <w:color w:val="auto"/>
              </w:rPr>
              <w:t>(in thousands, except share data)</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right"/>
              <w:ind w:right="57"/>
              <w:spacing w:after="0"/>
              <w:rPr>
                <w:sz w:val="20"/>
                <w:szCs w:val="20"/>
                <w:color w:val="auto"/>
              </w:rPr>
            </w:pPr>
            <w:r>
              <w:rPr>
                <w:rFonts w:ascii="Arial" w:cs="Arial" w:eastAsia="Arial" w:hAnsi="Arial"/>
                <w:sz w:val="13"/>
                <w:szCs w:val="13"/>
                <w:color w:val="auto"/>
              </w:rPr>
              <w:t>17,562,410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63,745</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4,652,675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7,237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(79,173)</w:t>
            </w:r>
          </w:p>
        </w:tc>
        <w:tc>
          <w:tcPr>
            <w:tcW w:w="100" w:type="dxa"/>
            <w:vAlign w:val="bottom"/>
          </w:tcPr>
          <w:p>
            <w:pPr>
              <w:spacing w:after="0"/>
              <w:rPr>
                <w:sz w:val="23"/>
                <w:szCs w:val="2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(72,740)</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317,802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(136,876)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25,000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8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1,855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250"/>
        </w:trPr>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17,562,410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63,745</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4,862,351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9,738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(78,326)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(69,401)</w:t>
            </w:r>
          </w:p>
        </w:tc>
        <w:tc>
          <w:tcPr>
            <w:tcW w:w="0" w:type="dxa"/>
            <w:vAlign w:val="bottom"/>
          </w:tcPr>
          <w:p>
            <w:pPr>
              <w:spacing w:after="0"/>
              <w:rPr>
                <w:sz w:val="1"/>
                <w:szCs w:val="1"/>
                <w:color w:val="auto"/>
              </w:rPr>
            </w:pPr>
          </w:p>
        </w:tc>
      </w:tr>
      <w:tr>
        <w:trPr>
          <w:trHeight w:val="241"/>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1,954</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324"/>
        </w:trPr>
        <w:tc>
          <w:tcPr>
            <w:tcW w:w="840" w:type="dxa"/>
            <w:vAlign w:val="bottom"/>
          </w:tcPr>
          <w:p>
            <w:pPr>
              <w:jc w:val="right"/>
              <w:ind w:right="57"/>
              <w:spacing w:after="0"/>
              <w:rPr>
                <w:sz w:val="20"/>
                <w:szCs w:val="20"/>
                <w:color w:val="auto"/>
              </w:rPr>
            </w:pPr>
            <w:r>
              <w:rPr>
                <w:rFonts w:ascii="Arial" w:cs="Arial" w:eastAsia="Arial" w:hAnsi="Arial"/>
                <w:sz w:val="13"/>
                <w:szCs w:val="13"/>
                <w:color w:val="auto"/>
              </w:rPr>
              <w:t>34,848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432,687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6,250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2,088</w:t>
            </w:r>
          </w:p>
        </w:tc>
        <w:tc>
          <w:tcPr>
            <w:tcW w:w="0" w:type="dxa"/>
            <w:vAlign w:val="bottom"/>
          </w:tcPr>
          <w:p>
            <w:pPr>
              <w:spacing w:after="0"/>
              <w:rPr>
                <w:sz w:val="1"/>
                <w:szCs w:val="1"/>
                <w:color w:val="auto"/>
              </w:rPr>
            </w:pPr>
          </w:p>
        </w:tc>
      </w:tr>
      <w:tr>
        <w:trPr>
          <w:trHeight w:val="28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50"/>
        </w:trPr>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63,873</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5,300,288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12,927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(76,372)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(64,424)</w:t>
            </w:r>
          </w:p>
        </w:tc>
        <w:tc>
          <w:tcPr>
            <w:tcW w:w="0" w:type="dxa"/>
            <w:vAlign w:val="bottom"/>
          </w:tcPr>
          <w:p>
            <w:pPr>
              <w:spacing w:after="0"/>
              <w:rPr>
                <w:sz w:val="1"/>
                <w:szCs w:val="1"/>
                <w:color w:val="auto"/>
              </w:rPr>
            </w:pPr>
          </w:p>
        </w:tc>
      </w:tr>
      <w:tr>
        <w:trPr>
          <w:trHeight w:val="241"/>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2,280</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24"/>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7,836,250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84,526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84,534</w:t>
            </w:r>
          </w:p>
        </w:tc>
        <w:tc>
          <w:tcPr>
            <w:tcW w:w="0" w:type="dxa"/>
            <w:vAlign w:val="bottom"/>
          </w:tcPr>
          <w:p>
            <w:pPr>
              <w:spacing w:after="0"/>
              <w:rPr>
                <w:sz w:val="1"/>
                <w:szCs w:val="1"/>
                <w:color w:val="auto"/>
              </w:rPr>
            </w:pPr>
          </w:p>
        </w:tc>
      </w:tr>
      <w:tr>
        <w:trPr>
          <w:trHeight w:val="324"/>
        </w:trPr>
        <w:tc>
          <w:tcPr>
            <w:tcW w:w="840" w:type="dxa"/>
            <w:vAlign w:val="bottom"/>
          </w:tcPr>
          <w:p>
            <w:pPr>
              <w:jc w:val="right"/>
              <w:ind w:right="1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(63,873)</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63,856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63,873</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724,316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(60,126)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15,945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70"/>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6,097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80"/>
        </w:trPr>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3,407</w:t>
            </w:r>
          </w:p>
        </w:tc>
        <w:tc>
          <w:tcPr>
            <w:tcW w:w="0" w:type="dxa"/>
            <w:vAlign w:val="bottom"/>
          </w:tcPr>
          <w:p>
            <w:pPr>
              <w:spacing w:after="0"/>
              <w:rPr>
                <w:sz w:val="1"/>
                <w:szCs w:val="1"/>
                <w:color w:val="auto"/>
              </w:rPr>
            </w:pPr>
          </w:p>
        </w:tc>
      </w:tr>
      <w:tr>
        <w:trPr>
          <w:trHeight w:val="237"/>
        </w:trPr>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31,420,028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166,651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(74,092)</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91,555</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-5607685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-5264785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-4921885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-4578985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-4236085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-3892550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-3549650</wp:posOffset>
            </wp:positionV>
            <wp:extent cx="72466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-3172460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-2829560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-2486660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-2143125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-1800225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-1423035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-702310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-359410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3600" w:space="180"/>
            <w:col w:w="7640"/>
          </w:cols>
          <w:pgMar w:left="240" w:top="141"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October 3, 2012</w:t>
      </w:r>
      <w:r>
        <w:rPr>
          <w:rFonts w:ascii="Arial" w:cs="Arial" w:eastAsia="Arial" w:hAnsi="Arial"/>
          <w:sz w:val="18"/>
          <w:szCs w:val="18"/>
          <w:color w:val="231F20"/>
        </w:rPr>
        <w:t xml:space="preserve">, the Company closed its initial public offering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at an offering price of </w:t>
      </w:r>
      <w:r>
        <w:rPr>
          <w:rFonts w:ascii="Arial" w:cs="Arial" w:eastAsia="Arial" w:hAnsi="Arial"/>
          <w:sz w:val="18"/>
          <w:szCs w:val="18"/>
          <w:color w:val="000000"/>
        </w:rPr>
        <w:t xml:space="preserve">$12.00 </w:t>
      </w:r>
      <w:r>
        <w:rPr>
          <w:rFonts w:ascii="Arial" w:cs="Arial" w:eastAsia="Arial" w:hAnsi="Arial"/>
          <w:sz w:val="18"/>
          <w:szCs w:val="18"/>
          <w:color w:val="231F20"/>
        </w:rPr>
        <w:t>per share. The offering included</w:t>
      </w:r>
      <w:r>
        <w:rPr>
          <w:rFonts w:ascii="Arial" w:cs="Arial" w:eastAsia="Arial" w:hAnsi="Arial"/>
          <w:sz w:val="18"/>
          <w:szCs w:val="18"/>
          <w:color w:val="000000"/>
        </w:rPr>
        <w:t xml:space="preserve"> 7,836,250 </w:t>
      </w:r>
      <w:r>
        <w:rPr>
          <w:rFonts w:ascii="Arial" w:cs="Arial" w:eastAsia="Arial" w:hAnsi="Arial"/>
          <w:sz w:val="18"/>
          <w:szCs w:val="18"/>
          <w:color w:val="231F20"/>
        </w:rPr>
        <w:t>shares sold and issued by the Company and</w:t>
      </w:r>
      <w:r>
        <w:rPr>
          <w:rFonts w:ascii="Arial" w:cs="Arial" w:eastAsia="Arial" w:hAnsi="Arial"/>
          <w:sz w:val="18"/>
          <w:szCs w:val="18"/>
          <w:color w:val="000000"/>
        </w:rPr>
        <w:t xml:space="preserve"> 875,000 </w:t>
      </w:r>
      <w:r>
        <w:rPr>
          <w:rFonts w:ascii="Arial" w:cs="Arial" w:eastAsia="Arial" w:hAnsi="Arial"/>
          <w:sz w:val="18"/>
          <w:szCs w:val="18"/>
          <w:color w:val="231F20"/>
        </w:rPr>
        <w:t>shares sold by selling stockholders.</w:t>
      </w:r>
      <w:r>
        <w:rPr>
          <w:rFonts w:ascii="Arial" w:cs="Arial" w:eastAsia="Arial" w:hAnsi="Arial"/>
          <w:sz w:val="18"/>
          <w:szCs w:val="18"/>
          <w:color w:val="000000"/>
        </w:rPr>
        <w:t xml:space="preserve"> </w:t>
      </w:r>
      <w:r>
        <w:rPr>
          <w:rFonts w:ascii="Arial" w:cs="Arial" w:eastAsia="Arial" w:hAnsi="Arial"/>
          <w:sz w:val="18"/>
          <w:szCs w:val="18"/>
          <w:color w:val="231F20"/>
        </w:rPr>
        <w:t xml:space="preserve">The shares sold in the offering included </w:t>
      </w:r>
      <w:r>
        <w:rPr>
          <w:rFonts w:ascii="Arial" w:cs="Arial" w:eastAsia="Arial" w:hAnsi="Arial"/>
          <w:sz w:val="18"/>
          <w:szCs w:val="18"/>
          <w:color w:val="000000"/>
        </w:rPr>
        <w:t>1,136,250</w:t>
      </w:r>
      <w:r>
        <w:rPr>
          <w:rFonts w:ascii="Arial" w:cs="Arial" w:eastAsia="Arial" w:hAnsi="Arial"/>
          <w:sz w:val="18"/>
          <w:szCs w:val="18"/>
          <w:color w:val="231F20"/>
        </w:rPr>
        <w:t xml:space="preserve"> shares sold by the Company pursuant to the underwriters’ full exercise of their over-allotment option. The net proceeds to the Company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 xml:space="preserve">. Immediately prior to the closing, all of the Company’s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The accompanying consolidated financial statements and footnotes have been prepared in accordance with accounting principles generally accepted in the United States (“U.S. GAAP”) and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w:t>
      </w:r>
    </w:p>
    <w:p>
      <w:pPr>
        <w:spacing w:after="0" w:line="206" w:lineRule="exact"/>
        <w:rPr>
          <w:sz w:val="20"/>
          <w:szCs w:val="20"/>
          <w:color w:val="auto"/>
        </w:rPr>
      </w:pPr>
    </w:p>
    <w:p>
      <w:pPr>
        <w:jc w:val="both"/>
        <w:ind w:right="400" w:firstLine="405"/>
        <w:spacing w:after="0" w:line="291" w:lineRule="auto"/>
        <w:rPr>
          <w:sz w:val="20"/>
          <w:szCs w:val="20"/>
          <w:color w:val="auto"/>
        </w:rPr>
      </w:pPr>
      <w:r>
        <w:rPr>
          <w:rFonts w:ascii="Arial" w:cs="Arial" w:eastAsia="Arial" w:hAnsi="Arial"/>
          <w:sz w:val="17"/>
          <w:szCs w:val="17"/>
          <w:color w:val="231F20"/>
        </w:rPr>
        <w:t>Certain prior year amounts have been reclassified to conform to the current year presentation. These reclassifications did not change previously reported total assets, liabilities, convertible preferred stock, stockholders' equity (deficit), income from operations or net income.</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41" w:right="27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Convertible Preferred Stock</w:t>
      </w:r>
    </w:p>
    <w:p>
      <w:pPr>
        <w:spacing w:after="0" w:line="139"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231F20"/>
        </w:rPr>
        <w:t xml:space="preserve">Prior to the completion of our IPO, a sale of all or substantially all of the Company’s assets or merger or consolidation of the Company with another entity was treated as a liquidation unless, following such transaction, the Company’s stockholders directly or indirectly owned, in the aggregate, more than </w:t>
      </w:r>
      <w:r>
        <w:rPr>
          <w:rFonts w:ascii="Arial" w:cs="Arial" w:eastAsia="Arial" w:hAnsi="Arial"/>
          <w:sz w:val="18"/>
          <w:szCs w:val="18"/>
          <w:color w:val="000000"/>
        </w:rPr>
        <w:t>50%</w:t>
      </w:r>
      <w:r>
        <w:rPr>
          <w:rFonts w:ascii="Arial" w:cs="Arial" w:eastAsia="Arial" w:hAnsi="Arial"/>
          <w:sz w:val="18"/>
          <w:szCs w:val="18"/>
          <w:color w:val="231F20"/>
        </w:rPr>
        <w:t xml:space="preserve"> of the total voting power of the surviving or acquiring entity. These liquidation provisions and the extent of preferred stock holdings resulted in the convertible preferred stock having redemption features that were not solely in the control of the Company. Because a potential purchaser could have acquired a majority of the outstanding voting stock, triggering a redemption that was outside of the Company’s control, all shares of convertible preferred stock were presented outside of permanent equity in the accompanying consolidated balance sheet as of </w:t>
      </w:r>
      <w:r>
        <w:rPr>
          <w:rFonts w:ascii="Arial" w:cs="Arial" w:eastAsia="Arial" w:hAnsi="Arial"/>
          <w:sz w:val="18"/>
          <w:szCs w:val="18"/>
          <w:color w:val="000000"/>
        </w:rPr>
        <w:t>December 31, 2011</w:t>
      </w:r>
      <w:r>
        <w:rPr>
          <w:rFonts w:ascii="Arial" w:cs="Arial" w:eastAsia="Arial" w:hAnsi="Arial"/>
          <w:sz w:val="18"/>
          <w:szCs w:val="18"/>
          <w:color w:val="231F20"/>
        </w:rPr>
        <w:t>.</w:t>
      </w:r>
    </w:p>
    <w:p>
      <w:pPr>
        <w:spacing w:after="0" w:line="20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 xml:space="preserve">On October 3, 2012, immediately prior to the closing of the Company’s IPO, all outstanding shares of convertible preferred stock converted into an equivalent number of shares of common stock. The related carrying value of the convertible preferred stock of </w:t>
      </w:r>
      <w:r>
        <w:rPr>
          <w:rFonts w:ascii="Arial" w:cs="Arial" w:eastAsia="Arial" w:hAnsi="Arial"/>
          <w:sz w:val="18"/>
          <w:szCs w:val="18"/>
          <w:color w:val="000000"/>
        </w:rPr>
        <w:t>$63.9 million</w:t>
      </w:r>
      <w:r>
        <w:rPr>
          <w:rFonts w:ascii="Arial" w:cs="Arial" w:eastAsia="Arial" w:hAnsi="Arial"/>
          <w:sz w:val="18"/>
          <w:szCs w:val="18"/>
          <w:color w:val="231F20"/>
        </w:rPr>
        <w:t xml:space="preserve"> was reclassified to common stock and additional paid-in capital at the time of the conversion.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Company invests its cash, cash equivalents and short-term investments with major financial institutions. Cash balances with any one institution at times may be in excess of federally insured limits. Cash equivalents and short-term investments are invested in high-quality investment grade financial instruments and are diversified. The Company has not experienced any losses in such accounts and believes it is not exposed to any significant credit risk.</w:t>
      </w:r>
    </w:p>
    <w:p>
      <w:pPr>
        <w:spacing w:after="0" w:line="9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 </w:t>
      </w:r>
      <w:r>
        <w:rPr>
          <w:rFonts w:ascii="Arial" w:cs="Arial" w:eastAsia="Arial" w:hAnsi="Arial"/>
          <w:sz w:val="18"/>
          <w:szCs w:val="18"/>
          <w:color w:val="000000"/>
        </w:rPr>
        <w:t>One</w:t>
      </w:r>
      <w:r>
        <w:rPr>
          <w:rFonts w:ascii="Arial" w:cs="Arial" w:eastAsia="Arial" w:hAnsi="Arial"/>
          <w:sz w:val="18"/>
          <w:szCs w:val="18"/>
          <w:color w:val="231F20"/>
        </w:rPr>
        <w:t xml:space="preserve"> channel partner accounted for </w:t>
      </w:r>
      <w:r>
        <w:rPr>
          <w:rFonts w:ascii="Arial" w:cs="Arial" w:eastAsia="Arial" w:hAnsi="Arial"/>
          <w:sz w:val="18"/>
          <w:szCs w:val="18"/>
          <w:color w:val="000000"/>
        </w:rPr>
        <w:t>13%</w:t>
      </w:r>
      <w:r>
        <w:rPr>
          <w:rFonts w:ascii="Arial" w:cs="Arial" w:eastAsia="Arial" w:hAnsi="Arial"/>
          <w:sz w:val="18"/>
          <w:szCs w:val="18"/>
          <w:color w:val="231F20"/>
        </w:rPr>
        <w:t xml:space="preserve"> of the Company’s accounts receivable balance as of </w:t>
      </w:r>
      <w:r>
        <w:rPr>
          <w:rFonts w:ascii="Arial" w:cs="Arial" w:eastAsia="Arial" w:hAnsi="Arial"/>
          <w:sz w:val="18"/>
          <w:szCs w:val="18"/>
          <w:color w:val="000000"/>
        </w:rPr>
        <w:t>December 31, 2011</w:t>
      </w:r>
      <w:r>
        <w:rPr>
          <w:rFonts w:ascii="Arial" w:cs="Arial" w:eastAsia="Arial" w:hAnsi="Arial"/>
          <w:sz w:val="18"/>
          <w:szCs w:val="18"/>
          <w:color w:val="231F20"/>
        </w:rPr>
        <w: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and Short-Term Investments</w:t>
      </w:r>
    </w:p>
    <w:p>
      <w:pPr>
        <w:spacing w:after="0" w:line="139" w:lineRule="exact"/>
        <w:rPr>
          <w:sz w:val="20"/>
          <w:szCs w:val="20"/>
          <w:color w:val="auto"/>
        </w:rPr>
      </w:pPr>
    </w:p>
    <w:p>
      <w:pPr>
        <w:jc w:val="both"/>
        <w:ind w:right="480" w:firstLine="405"/>
        <w:spacing w:after="0" w:line="256"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and commercial paper, all with original maturities of three months or less when acquired. </w:t>
      </w:r>
      <w:r>
        <w:rPr>
          <w:rFonts w:ascii="Arial" w:cs="Arial" w:eastAsia="Arial" w:hAnsi="Arial"/>
          <w:sz w:val="18"/>
          <w:szCs w:val="18"/>
          <w:color w:val="000000"/>
        </w:rPr>
        <w:t>Short-term investments consist of fixed-income U.S. government agency securities and</w:t>
      </w:r>
      <w:r>
        <w:rPr>
          <w:rFonts w:ascii="Arial" w:cs="Arial" w:eastAsia="Arial" w:hAnsi="Arial"/>
          <w:sz w:val="18"/>
          <w:szCs w:val="18"/>
          <w:color w:val="231F20"/>
        </w:rPr>
        <w:t xml:space="preserve"> </w:t>
      </w:r>
      <w:r>
        <w:rPr>
          <w:rFonts w:ascii="Arial" w:cs="Arial" w:eastAsia="Arial" w:hAnsi="Arial"/>
          <w:sz w:val="18"/>
          <w:szCs w:val="18"/>
          <w:color w:val="000000"/>
        </w:rPr>
        <w:t>commercial paper, all with original maturities greater than three months and less than one year.</w:t>
      </w:r>
    </w:p>
    <w:p>
      <w:pPr>
        <w:spacing w:after="0" w:line="9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Cash is stated at cost, which approximates fair market value. </w:t>
      </w:r>
      <w:r>
        <w:rPr>
          <w:rFonts w:ascii="Arial" w:cs="Arial" w:eastAsia="Arial" w:hAnsi="Arial"/>
          <w:sz w:val="18"/>
          <w:szCs w:val="18"/>
          <w:color w:val="000000"/>
        </w:rPr>
        <w:t xml:space="preserve">Cash equivalents and short-term investments are classified as available-for-sale and are carried at fair value. Unrealized gains and losses in fair value are reported in </w:t>
      </w:r>
      <w:r>
        <w:rPr>
          <w:rFonts w:ascii="Arial" w:cs="Arial" w:eastAsia="Arial" w:hAnsi="Arial"/>
          <w:sz w:val="18"/>
          <w:szCs w:val="18"/>
          <w:color w:val="231F20"/>
        </w:rPr>
        <w:t>other comprehensive income (loss) and are included</w:t>
      </w:r>
      <w:r>
        <w:rPr>
          <w:rFonts w:ascii="Arial" w:cs="Arial" w:eastAsia="Arial" w:hAnsi="Arial"/>
          <w:sz w:val="18"/>
          <w:szCs w:val="18"/>
          <w:color w:val="000000"/>
        </w:rPr>
        <w:t xml:space="preserve"> </w:t>
      </w:r>
      <w:r>
        <w:rPr>
          <w:rFonts w:ascii="Arial" w:cs="Arial" w:eastAsia="Arial" w:hAnsi="Arial"/>
          <w:sz w:val="18"/>
          <w:szCs w:val="18"/>
          <w:color w:val="231F20"/>
        </w:rPr>
        <w:t xml:space="preserve">in the consolidated statement of convertible preferred stock and stockholders' equity (deficit). When the available-for-sale securities are sold, </w:t>
      </w:r>
      <w:r>
        <w:rPr>
          <w:rFonts w:ascii="Arial" w:cs="Arial" w:eastAsia="Arial" w:hAnsi="Arial"/>
          <w:sz w:val="18"/>
          <w:szCs w:val="18"/>
          <w:color w:val="000000"/>
        </w:rPr>
        <w:t>cost is based on the specific identification method, and the realized gains and losses are included in other income (expense) in the consolidated statements of income. Short-term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 than 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41" w:right="25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139"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Restricted cash includes amounts maintained with banks as security deposits for certain leased facilities and, accordingly, is classified as a non-current asset. It is stated at cost, which approximates fair market value.</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 Property under capital lease is amortized over the term of the respective lease or the estimated useful life of the asset, whichever is shorter.</w:t>
      </w:r>
    </w:p>
    <w:p>
      <w:pPr>
        <w:spacing w:after="0" w:line="96"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the Company has not written down any of its long-lived assets as a result of impairment.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2012</w:t>
      </w:r>
      <w:r>
        <w:rPr>
          <w:rFonts w:ascii="Arial" w:cs="Arial" w:eastAsia="Arial" w:hAnsi="Arial"/>
          <w:sz w:val="18"/>
          <w:szCs w:val="18"/>
          <w:color w:val="231F20"/>
        </w:rPr>
        <w:t xml:space="preserve"> and concluded there was no impairment of goodwill.</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2012</w:t>
      </w:r>
      <w:r>
        <w:rPr>
          <w:rFonts w:ascii="Arial" w:cs="Arial" w:eastAsia="Arial" w:hAnsi="Arial"/>
          <w:sz w:val="18"/>
          <w:szCs w:val="18"/>
          <w:color w:val="231F20"/>
        </w:rPr>
        <w:t xml:space="preserve"> and concluded there was no impairment of the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w:t>
      </w:r>
    </w:p>
    <w:p>
      <w:pPr>
        <w:spacing w:after="0" w:line="206"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The Company capitalizes qualifying software costs developed or obtained for internal use. These costs generally include internal costs, such as payroll and benefits of those employees directly associated with the development of the software. Total capitalized development costs are </w:t>
      </w:r>
      <w:r>
        <w:rPr>
          <w:rFonts w:ascii="Arial" w:cs="Arial" w:eastAsia="Arial" w:hAnsi="Arial"/>
          <w:sz w:val="18"/>
          <w:szCs w:val="18"/>
          <w:color w:val="000000"/>
        </w:rPr>
        <w:t>$0.3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The capitalized development costs are recorded within other noncurrent assets and were fully amortized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consolidated balance sheets. Gains and losses resulting from currency exchange rate movements on these forward contracts are recognized in other income (expense) in the accompanying consolidated statements of income in the period in which the exchange rates change and offset the foreign currency gains and losses on the underlying exposure being hedged. The Company does not enter into financial instruments for trading or speculative purposes.</w:t>
      </w:r>
    </w:p>
    <w:p>
      <w:pPr>
        <w:spacing w:after="0" w:line="20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w:t>
      </w:r>
      <w:r>
        <w:rPr>
          <w:rFonts w:ascii="Arial" w:cs="Arial" w:eastAsia="Arial" w:hAnsi="Arial"/>
          <w:sz w:val="18"/>
          <w:szCs w:val="18"/>
          <w:color w:val="000000"/>
        </w:rPr>
        <w:t>one</w:t>
      </w:r>
      <w:r>
        <w:rPr>
          <w:rFonts w:ascii="Arial" w:cs="Arial" w:eastAsia="Arial" w:hAnsi="Arial"/>
          <w:sz w:val="18"/>
          <w:szCs w:val="18"/>
          <w:color w:val="231F20"/>
        </w:rPr>
        <w:t xml:space="preserve"> outstanding forward contract with a notional amount of </w:t>
      </w:r>
      <w:r>
        <w:rPr>
          <w:rFonts w:ascii="Arial" w:cs="Arial" w:eastAsia="Arial" w:hAnsi="Arial"/>
          <w:sz w:val="18"/>
          <w:szCs w:val="18"/>
          <w:color w:val="000000"/>
        </w:rPr>
        <w:t>10.7 million</w:t>
      </w:r>
      <w:r>
        <w:rPr>
          <w:rFonts w:ascii="Arial" w:cs="Arial" w:eastAsia="Arial" w:hAnsi="Arial"/>
          <w:sz w:val="18"/>
          <w:szCs w:val="18"/>
          <w:color w:val="231F20"/>
        </w:rPr>
        <w:t xml:space="preserve"> Euros, which expired on </w:t>
      </w:r>
      <w:r>
        <w:rPr>
          <w:rFonts w:ascii="Arial" w:cs="Arial" w:eastAsia="Arial" w:hAnsi="Arial"/>
          <w:sz w:val="18"/>
          <w:szCs w:val="18"/>
          <w:color w:val="000000"/>
        </w:rPr>
        <w:t>January 31, 2013</w:t>
      </w:r>
      <w:r>
        <w:rPr>
          <w:rFonts w:ascii="Arial" w:cs="Arial" w:eastAsia="Arial" w:hAnsi="Arial"/>
          <w:sz w:val="18"/>
          <w:szCs w:val="18"/>
          <w:color w:val="231F20"/>
        </w:rPr>
        <w:t>. At</w:t>
      </w:r>
      <w:r>
        <w:rPr>
          <w:rFonts w:ascii="Arial" w:cs="Arial" w:eastAsia="Arial" w:hAnsi="Arial"/>
          <w:sz w:val="18"/>
          <w:szCs w:val="18"/>
          <w:color w:val="000000"/>
        </w:rPr>
        <w:t xml:space="preserve"> December 31, 2011</w:t>
      </w:r>
      <w:r>
        <w:rPr>
          <w:rFonts w:ascii="Arial" w:cs="Arial" w:eastAsia="Arial" w:hAnsi="Arial"/>
          <w:sz w:val="18"/>
          <w:szCs w:val="18"/>
          <w:color w:val="231F20"/>
        </w:rPr>
        <w:t>, the Company had</w:t>
      </w:r>
      <w:r>
        <w:rPr>
          <w:rFonts w:ascii="Arial" w:cs="Arial" w:eastAsia="Arial" w:hAnsi="Arial"/>
          <w:sz w:val="18"/>
          <w:szCs w:val="18"/>
          <w:color w:val="000000"/>
        </w:rPr>
        <w:t xml:space="preserve"> one </w:t>
      </w:r>
      <w:r>
        <w:rPr>
          <w:rFonts w:ascii="Arial" w:cs="Arial" w:eastAsia="Arial" w:hAnsi="Arial"/>
          <w:sz w:val="18"/>
          <w:szCs w:val="18"/>
          <w:color w:val="231F20"/>
        </w:rPr>
        <w:t>outstanding forward contract with a notional amount of</w:t>
      </w:r>
      <w:r>
        <w:rPr>
          <w:rFonts w:ascii="Arial" w:cs="Arial" w:eastAsia="Arial" w:hAnsi="Arial"/>
          <w:sz w:val="18"/>
          <w:szCs w:val="18"/>
          <w:color w:val="000000"/>
        </w:rPr>
        <w:t xml:space="preserve"> 3.7 million </w:t>
      </w:r>
      <w:r>
        <w:rPr>
          <w:rFonts w:ascii="Arial" w:cs="Arial" w:eastAsia="Arial" w:hAnsi="Arial"/>
          <w:sz w:val="18"/>
          <w:szCs w:val="18"/>
          <w:color w:val="231F20"/>
        </w:rPr>
        <w:t>Euros,</w:t>
      </w:r>
      <w:r>
        <w:rPr>
          <w:rFonts w:ascii="Arial" w:cs="Arial" w:eastAsia="Arial" w:hAnsi="Arial"/>
          <w:sz w:val="18"/>
          <w:szCs w:val="18"/>
          <w:color w:val="000000"/>
        </w:rPr>
        <w:t xml:space="preserve"> </w:t>
      </w:r>
      <w:r>
        <w:rPr>
          <w:rFonts w:ascii="Arial" w:cs="Arial" w:eastAsia="Arial" w:hAnsi="Arial"/>
          <w:sz w:val="18"/>
          <w:szCs w:val="18"/>
          <w:color w:val="231F20"/>
        </w:rPr>
        <w:t xml:space="preserve">which expired on </w:t>
      </w:r>
      <w:r>
        <w:rPr>
          <w:rFonts w:ascii="Arial" w:cs="Arial" w:eastAsia="Arial" w:hAnsi="Arial"/>
          <w:sz w:val="18"/>
          <w:szCs w:val="18"/>
          <w:color w:val="000000"/>
        </w:rPr>
        <w:t>January 31, 2012</w:t>
      </w:r>
      <w:r>
        <w:rPr>
          <w:rFonts w:ascii="Arial" w:cs="Arial" w:eastAsia="Arial" w:hAnsi="Arial"/>
          <w:sz w:val="18"/>
          <w:szCs w:val="18"/>
          <w:color w:val="231F20"/>
        </w:rPr>
        <w:t xml:space="preserve">. These contracts were entered into at the end of each period, and thus the fair value of the contracts was </w:t>
      </w:r>
      <w:r>
        <w:rPr>
          <w:rFonts w:ascii="Arial" w:cs="Arial" w:eastAsia="Arial" w:hAnsi="Arial"/>
          <w:sz w:val="18"/>
          <w:szCs w:val="18"/>
          <w:color w:val="000000"/>
        </w:rPr>
        <w:t xml:space="preserve">$0 </w:t>
      </w:r>
      <w:r>
        <w:rPr>
          <w:rFonts w:ascii="Arial" w:cs="Arial" w:eastAsia="Arial" w:hAnsi="Arial"/>
          <w:sz w:val="18"/>
          <w:szCs w:val="18"/>
          <w:color w:val="231F20"/>
        </w:rPr>
        <w:t>at</w:t>
      </w:r>
      <w:r>
        <w:rPr>
          <w:rFonts w:ascii="Arial" w:cs="Arial" w:eastAsia="Arial" w:hAnsi="Arial"/>
          <w:sz w:val="18"/>
          <w:szCs w:val="18"/>
          <w:color w:val="000000"/>
        </w:rPr>
        <w:t xml:space="preserve"> December 31,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The Company began to use these forward contracts in December 2011. In</w:t>
      </w:r>
      <w:r>
        <w:rPr>
          <w:rFonts w:ascii="Arial" w:cs="Arial" w:eastAsia="Arial" w:hAnsi="Arial"/>
          <w:sz w:val="18"/>
          <w:szCs w:val="18"/>
          <w:color w:val="000000"/>
        </w:rPr>
        <w:t xml:space="preserve"> 2012</w:t>
      </w:r>
      <w:r>
        <w:rPr>
          <w:rFonts w:ascii="Arial" w:cs="Arial" w:eastAsia="Arial" w:hAnsi="Arial"/>
          <w:sz w:val="18"/>
          <w:szCs w:val="18"/>
          <w:color w:val="231F20"/>
        </w:rPr>
        <w:t>, the Company recorded a</w:t>
      </w:r>
      <w:r>
        <w:rPr>
          <w:rFonts w:ascii="Arial" w:cs="Arial" w:eastAsia="Arial" w:hAnsi="Arial"/>
          <w:sz w:val="18"/>
          <w:szCs w:val="18"/>
          <w:color w:val="000000"/>
        </w:rPr>
        <w:t xml:space="preserve"> </w:t>
      </w:r>
      <w:r>
        <w:rPr>
          <w:rFonts w:ascii="Arial" w:cs="Arial" w:eastAsia="Arial" w:hAnsi="Arial"/>
          <w:sz w:val="18"/>
          <w:szCs w:val="18"/>
          <w:color w:val="231F20"/>
        </w:rPr>
        <w:t xml:space="preserve">loss of </w:t>
      </w:r>
      <w:r>
        <w:rPr>
          <w:rFonts w:ascii="Arial" w:cs="Arial" w:eastAsia="Arial" w:hAnsi="Arial"/>
          <w:sz w:val="18"/>
          <w:szCs w:val="18"/>
          <w:color w:val="000000"/>
        </w:rPr>
        <w:t>$0.4 million</w:t>
      </w:r>
      <w:r>
        <w:rPr>
          <w:rFonts w:ascii="Arial" w:cs="Arial" w:eastAsia="Arial" w:hAnsi="Arial"/>
          <w:sz w:val="18"/>
          <w:szCs w:val="18"/>
          <w:color w:val="231F20"/>
        </w:rPr>
        <w:t xml:space="preserve"> from these contracts, which was partially offset by foreign currency transaction gains of </w:t>
      </w:r>
      <w:r>
        <w:rPr>
          <w:rFonts w:ascii="Arial" w:cs="Arial" w:eastAsia="Arial" w:hAnsi="Arial"/>
          <w:sz w:val="18"/>
          <w:szCs w:val="18"/>
          <w:color w:val="000000"/>
        </w:rPr>
        <w:t>$0.2 million</w:t>
      </w:r>
      <w:r>
        <w:rPr>
          <w:rFonts w:ascii="Arial" w:cs="Arial" w:eastAsia="Arial" w:hAnsi="Arial"/>
          <w:sz w:val="18"/>
          <w:szCs w:val="18"/>
          <w:color w:val="231F20"/>
        </w:rPr>
        <w:t xml:space="preserve"> for the year. There were </w:t>
      </w:r>
      <w:r>
        <w:rPr>
          <w:rFonts w:ascii="Arial" w:cs="Arial" w:eastAsia="Arial" w:hAnsi="Arial"/>
          <w:sz w:val="18"/>
          <w:szCs w:val="18"/>
          <w:color w:val="000000"/>
        </w:rPr>
        <w:t xml:space="preserve">no </w:t>
      </w:r>
      <w:r>
        <w:rPr>
          <w:rFonts w:ascii="Arial" w:cs="Arial" w:eastAsia="Arial" w:hAnsi="Arial"/>
          <w:sz w:val="18"/>
          <w:szCs w:val="18"/>
          <w:color w:val="231F20"/>
        </w:rPr>
        <w:t>gains or losses from forward contracts in</w:t>
      </w:r>
      <w:r>
        <w:rPr>
          <w:rFonts w:ascii="Arial" w:cs="Arial" w:eastAsia="Arial" w:hAnsi="Arial"/>
          <w:sz w:val="18"/>
          <w:szCs w:val="18"/>
          <w:color w:val="000000"/>
        </w:rPr>
        <w:t xml:space="preserve"> 2011</w:t>
      </w:r>
      <w:r>
        <w:rPr>
          <w:rFonts w:ascii="Arial" w:cs="Arial" w:eastAsia="Arial" w:hAnsi="Arial"/>
          <w:sz w:val="18"/>
          <w:szCs w:val="18"/>
          <w:color w:val="231F20"/>
        </w:rPr>
        <w:t>. These derivatives were not designated as hedges.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The Company recognizes stock-based compensation expense for its employee stock options over the requisite service period for awards of equity instruments based on the grant-date fair value of those awards expected to vest. Forfeitures are estimated on the date of grant and revised if actual or expected forfeiture activity differs materially from original estimates.</w:t>
      </w:r>
    </w:p>
    <w:p>
      <w:pPr>
        <w:spacing w:after="0" w:line="202"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model. The stock-based compensation expense for non-employees is subject to periodic adjustments as the options vest, and the expense is recognized over the period in which services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Customers are required to return physical scanner appliances if they do not renew their subscriptions.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 Because the customer’s access to the Company’s cloud solutions are delivered at the same time as or within close proximity to the delivery of physical scanner appliances and the terms are commensurate for these services and equipment, the Company considers these elements as a single unit of accounting recognized ratably over the subscription period.</w:t>
      </w:r>
    </w:p>
    <w:p>
      <w:pPr>
        <w:spacing w:after="0" w:line="20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Beginning on January 1, 2011, the Company adopted authoritative accounting guidance on multiple-element arrangements, using the prospective method for all arrangements entered into or materially modified from the date of adoption. As a result of implementing this authoritative guidance, the Company’s revenues for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were not materially different from what would have been recognized under the previous guidance for multiple-element arrangements.</w:t>
      </w:r>
    </w:p>
    <w:p>
      <w:pPr>
        <w:spacing w:after="0" w:line="204"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promotional materials. The Company incurred advertising costs of </w:t>
      </w:r>
      <w:r>
        <w:rPr>
          <w:rFonts w:ascii="Arial" w:cs="Arial" w:eastAsia="Arial" w:hAnsi="Arial"/>
          <w:sz w:val="18"/>
          <w:szCs w:val="18"/>
          <w:color w:val="000000"/>
        </w:rPr>
        <w:t>$4.3 million,</w:t>
      </w:r>
      <w:r>
        <w:rPr>
          <w:rFonts w:ascii="Arial" w:cs="Arial" w:eastAsia="Arial" w:hAnsi="Arial"/>
          <w:sz w:val="18"/>
          <w:szCs w:val="18"/>
          <w:color w:val="231F20"/>
        </w:rPr>
        <w:t xml:space="preserve"> </w:t>
      </w:r>
      <w:r>
        <w:rPr>
          <w:rFonts w:ascii="Arial" w:cs="Arial" w:eastAsia="Arial" w:hAnsi="Arial"/>
          <w:sz w:val="18"/>
          <w:szCs w:val="18"/>
          <w:color w:val="000000"/>
        </w:rPr>
        <w:t>$4.1 million</w:t>
      </w:r>
      <w:r>
        <w:rPr>
          <w:rFonts w:ascii="Arial" w:cs="Arial" w:eastAsia="Arial" w:hAnsi="Arial"/>
          <w:sz w:val="18"/>
          <w:szCs w:val="18"/>
          <w:color w:val="231F20"/>
        </w:rPr>
        <w:t xml:space="preserve">, and </w:t>
      </w:r>
      <w:r>
        <w:rPr>
          <w:rFonts w:ascii="Arial" w:cs="Arial" w:eastAsia="Arial" w:hAnsi="Arial"/>
          <w:sz w:val="18"/>
          <w:szCs w:val="18"/>
          <w:color w:val="000000"/>
        </w:rPr>
        <w:t>$3.8 million</w:t>
      </w:r>
      <w:r>
        <w:rPr>
          <w:rFonts w:ascii="Arial" w:cs="Arial" w:eastAsia="Arial" w:hAnsi="Arial"/>
          <w:sz w:val="18"/>
          <w:szCs w:val="18"/>
          <w:color w:val="231F20"/>
        </w:rPr>
        <w:t xml:space="preserve"> for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13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The Company uses the asset and liability method to account for income taxes. Under this method, deferred tax assets and liabilities are determined based on differences between the financial reporting and tax basis of assets and liabilities. Deferred tax assets and liabilities are measured using statutory tax rates and laws that will be in effect when the differences are expected to reverse. A valuation allowance is established, when necessary, to reduce deferred tax assets to the amount expected to be realized.</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141"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operates in various tax jurisdictions and is subject to audit by various tax authorities. Tax positions are based upon their technical merits, relevant tax law and the specific facts and circumstances as of each reporting period. Changes in facts and circumstances could result in material changes to the amounts recorded for such tax positions. A tax position is only recognized in the financial statements if it is “more likely than not” to be sustained based solely on its technical merits as of the reporting date. The Company considers many factors when evaluating and estimating its tax positions and tax benefits, which may require periodic adjustments that could result in recognition of additional tax benefits or additional charges to the tax provision and may not accurately reflect the actual outcomes. The Company’s policy is to recognize interest and penalties relating to unrecognized tax benefits as a component of the provision for income taxes.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Comprehensive Income (Loss)</w:t>
      </w:r>
    </w:p>
    <w:p>
      <w:pPr>
        <w:spacing w:after="0" w:line="247"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Other comprehensive income (loss) consists of foreign currency translation adjustments and unrealized gains (losses) on available-for-sale short-term investments, which are not included in the Company’s net income. Both of these items are reflected net of tax. Total comprehensive income includes net income and other comprehensive income (loss) and is included in the consolidated statements of comprehensive income.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Translation and Transactions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Company’s operations are conducted in various countries around the world and the financial statements of its foreign subsidiaries are reported in the applicable local foreign currencies (functional currencies). Financial information is translated from the applicable functional currency to the U.S. dollar, the reporting currency, for inclusion in the Company’s consolidated financial statements. Accordingly, the assets and liabilities of the Company’s foreign subsidiaries are translated using exchange rates in effect as of the balance sheet date, and income and expenses are translated at average exchange rates during the period. Resulting translation adjustments are included as a component of accumulated other comprehensive income (loss) in stockholders’ equity (deficit).</w:t>
      </w:r>
    </w:p>
    <w:p>
      <w:pPr>
        <w:spacing w:after="0" w:line="209" w:lineRule="exact"/>
        <w:rPr>
          <w:sz w:val="20"/>
          <w:szCs w:val="20"/>
          <w:color w:val="auto"/>
        </w:rPr>
      </w:pPr>
    </w:p>
    <w:p>
      <w:pPr>
        <w:ind w:right="760" w:firstLine="405"/>
        <w:spacing w:after="0" w:line="262" w:lineRule="auto"/>
        <w:rPr>
          <w:sz w:val="20"/>
          <w:szCs w:val="20"/>
          <w:color w:val="auto"/>
        </w:rPr>
      </w:pPr>
      <w:r>
        <w:rPr>
          <w:rFonts w:ascii="Arial" w:cs="Arial" w:eastAsia="Arial" w:hAnsi="Arial"/>
          <w:sz w:val="18"/>
          <w:szCs w:val="18"/>
          <w:color w:val="231F20"/>
        </w:rPr>
        <w:t xml:space="preserve">Foreign currency transaction gains or losses are recognized in other income (expense). The Company recorded foreign currency transaction gains (losses) of </w:t>
      </w:r>
      <w:r>
        <w:rPr>
          <w:rFonts w:ascii="Arial" w:cs="Arial" w:eastAsia="Arial" w:hAnsi="Arial"/>
          <w:sz w:val="18"/>
          <w:szCs w:val="18"/>
          <w:color w:val="000000"/>
        </w:rPr>
        <w:t>$(0.2) million, $(0.3) million</w:t>
      </w:r>
      <w:r>
        <w:rPr>
          <w:rFonts w:ascii="Arial" w:cs="Arial" w:eastAsia="Arial" w:hAnsi="Arial"/>
          <w:sz w:val="18"/>
          <w:szCs w:val="18"/>
          <w:color w:val="231F20"/>
        </w:rPr>
        <w:t xml:space="preserve"> and </w:t>
      </w:r>
      <w:r>
        <w:rPr>
          <w:rFonts w:ascii="Arial" w:cs="Arial" w:eastAsia="Arial" w:hAnsi="Arial"/>
          <w:sz w:val="18"/>
          <w:szCs w:val="18"/>
          <w:color w:val="000000"/>
        </w:rPr>
        <w:t>$(0.4) million</w:t>
      </w:r>
      <w:r>
        <w:rPr>
          <w:rFonts w:ascii="Arial" w:cs="Arial" w:eastAsia="Arial" w:hAnsi="Arial"/>
          <w:sz w:val="18"/>
          <w:szCs w:val="18"/>
          <w:color w:val="231F20"/>
        </w:rPr>
        <w:t xml:space="preserve"> during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w:t>
      </w:r>
    </w:p>
    <w:p>
      <w:pPr>
        <w:spacing w:after="0" w:line="13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and cash equivalents, short-term investments, accounts receivable, restricted cash,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right="80" w:firstLine="405"/>
        <w:spacing w:after="0" w:line="253" w:lineRule="auto"/>
        <w:rPr>
          <w:sz w:val="20"/>
          <w:szCs w:val="20"/>
          <w:color w:val="auto"/>
        </w:rPr>
      </w:pPr>
      <w:r>
        <w:rPr>
          <w:rFonts w:ascii="Arial" w:cs="Arial" w:eastAsia="Arial" w:hAnsi="Arial"/>
          <w:sz w:val="18"/>
          <w:szCs w:val="18"/>
          <w:color w:val="231F20"/>
        </w:rPr>
        <w:t>The Company measures and reports its cash equivalents, short-term investments and a derivative forward currency contract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6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41" w:right="25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and derivative financial instruments consisting of forward currency contracts. The securities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 inputs. See Note 2 for more information</w:t>
      </w:r>
      <w:r>
        <w:rPr>
          <w:rFonts w:ascii="Arial" w:cs="Arial" w:eastAsia="Arial" w:hAnsi="Arial"/>
          <w:sz w:val="18"/>
          <w:szCs w:val="18"/>
          <w:color w:val="000000"/>
        </w:rPr>
        <w:t xml:space="preserve"> </w:t>
      </w:r>
      <w:r>
        <w:rPr>
          <w:rFonts w:ascii="Arial" w:cs="Arial" w:eastAsia="Arial" w:hAnsi="Arial"/>
          <w:sz w:val="18"/>
          <w:szCs w:val="18"/>
          <w:color w:val="231F20"/>
        </w:rPr>
        <w:t>regarding the fair value measurement of the Company's financial instruments.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 Attributable to Common Stockholders</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The Company computes net income attributable to common stockholders using the two-class method required for participating securities. Convertible preferred stock and common stock subject to repurchase resulting from the early exercise of stock options are considered to be participating securities since they contain non-forfeitable rights to dividends or dividend equivalents in the event the Company declares a dividend for common stock. In accordance with the two-class method, earnings allocated to these participating securities are subtracted from net income after deducting preferred stock dividends, if any, to determine total undistributed earnings to be allocated to common stockholders. The holders of our convertible preferred stock do not have a contractual obligation to share in our net losses and such shares are excluded from the computation of basic earnings per share in periods of net loss.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Basic net income per share attributable to common stockholders is computed by dividing net income attributable to common stockholders by the weighted-average number of common shares outstanding during the period. All participating securities are excluded from basic weighted average common shares outstanding. In computing diluted net income attributable to common stockholders, undistributed earnings are reallocated to reflect the potential impact of dilutive securities. Diluted net income per share is computed by dividing net income attributable to common stockholders by the weighted-average number of shares of common stock outstanding during the period, adjusted for the effects of potentially dilutive common shares, which comprise outstanding stock options, warrants, convertible preferred stock and contingently issuable shares related to an acquisition. The dilutive potential common shares are computed using the treasury stock method or the as-if converted method, as applicable. The effects of outstanding stock options, warrants, convertible preferred stock and contingently issuable shares related to an acquisition are excluded from the computation of diluted net income per common share in periods in which the effect would be antidilutive.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39"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78" w:lineRule="exact"/>
        <w:rPr>
          <w:sz w:val="20"/>
          <w:szCs w:val="20"/>
          <w:color w:val="auto"/>
        </w:rPr>
      </w:pPr>
    </w:p>
    <w:p>
      <w:pPr>
        <w:ind w:right="360" w:firstLine="405"/>
        <w:spacing w:after="0" w:line="258" w:lineRule="auto"/>
        <w:rPr>
          <w:sz w:val="20"/>
          <w:szCs w:val="20"/>
          <w:color w:val="auto"/>
        </w:rPr>
      </w:pPr>
      <w:r>
        <w:rPr>
          <w:rFonts w:ascii="Arial" w:cs="Arial" w:eastAsia="Arial" w:hAnsi="Arial"/>
          <w:sz w:val="18"/>
          <w:szCs w:val="18"/>
          <w:color w:val="auto"/>
        </w:rPr>
        <w:t xml:space="preserve">In June 2011, the FASB issued ASU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xml:space="preserve"> The new guidance eliminated the option to report other comprehensive income and its components in the statement of changes in stockholders' equity. Instead, an entity is required to present either a continuous statement of net income and other comprehensive income or in two separate but consecutive statements. The Company adopted this new amended guidance during the year ended December 31, 2012. Adoption of this new amended guidance resulted only in changes to presentation of the financial statements.</w:t>
      </w:r>
    </w:p>
    <w:p>
      <w:pPr>
        <w:spacing w:after="0" w:line="1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231F20"/>
        </w:rPr>
        <w:t xml:space="preserve">In December 2011, the FASB issued ASU 2011-11, </w:t>
      </w:r>
      <w:r>
        <w:rPr>
          <w:rFonts w:ascii="Arial" w:cs="Arial" w:eastAsia="Arial" w:hAnsi="Arial"/>
          <w:sz w:val="18"/>
          <w:szCs w:val="18"/>
          <w:i w:val="1"/>
          <w:iCs w:val="1"/>
          <w:color w:val="231F20"/>
        </w:rPr>
        <w:t>Balance Sheet (Topic 210): Disclosures about Offsetting Assets and Liabilities</w:t>
      </w:r>
      <w:r>
        <w:rPr>
          <w:rFonts w:ascii="Arial" w:cs="Arial" w:eastAsia="Arial" w:hAnsi="Arial"/>
          <w:sz w:val="18"/>
          <w:szCs w:val="18"/>
          <w:color w:val="231F20"/>
        </w:rPr>
        <w:t>. This newly issued accounting standard requires an entity to disclose both gross and net information about instruments and transactions eligible for offset in the statement of financial position as well as instruments and transactions executed under a master netting or similar arrangement and was issued to enable users of financial statements to understand the effects or potential effects of those arrangements on its financial position. This ASU is required to be applied retrospectively and is effective for fiscal years, and interim periods within those years, beginning on or after January 1, 2013. As this accounting standard only requires enhanced disclosure, the adoption of this standard is not expected to have an impact the Company’s financial position or results of operations.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1" w:right="2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8"/>
          <w:szCs w:val="18"/>
          <w:color w:val="231F20"/>
        </w:rPr>
        <w:t xml:space="preserve">In July 2012, the FASB issued ASU 2012-02, </w:t>
      </w:r>
      <w:r>
        <w:rPr>
          <w:rFonts w:ascii="Arial" w:cs="Arial" w:eastAsia="Arial" w:hAnsi="Arial"/>
          <w:sz w:val="18"/>
          <w:szCs w:val="18"/>
          <w:i w:val="1"/>
          <w:iCs w:val="1"/>
          <w:color w:val="231F20"/>
        </w:rPr>
        <w:t>Intangibles—Goodwill and Other (Topic 350)—Testing Indefinite-Lived Intangible Assets for</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Impairment. </w:t>
      </w:r>
      <w:r>
        <w:rPr>
          <w:rFonts w:ascii="Arial" w:cs="Arial" w:eastAsia="Arial" w:hAnsi="Arial"/>
          <w:sz w:val="18"/>
          <w:szCs w:val="18"/>
          <w:color w:val="231F20"/>
        </w:rPr>
        <w:t>This standard allows entities to use a qualitative approach to test indefinite-lived intangible assets for impairment. ASU 2012-</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231F20"/>
        </w:rPr>
        <w:t>02 permits an entity to first perform a qualitative assessment to determine whether it is more likely than not (a more than 50% likelihood) that the fair value of an indefinite-lived intangible asset is less than its carrying amount. If the fair value is not considered to be less than the carrying amount, no further evaluation is necessary. If there is more than 50% likelihood the fair value is less than the carrying amount, it is necessary to perform the currently prescribed quantitative impairment test by comparing the fair value of the indefinite-lived intangible asset with its carrying value. ASU 2012-02 is effective for annual and interim impairment tests performed for fiscal years beginning after September 15, 2012 and earlier adoption is permitted. The Company adopted this standard for the annual qualitative assessment of indefinite-live intangible assets for the year ended December 31, 2012, which did not have a material impact on its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Reverse Stock Split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In September 2012, the Company’s board of directors and stockholders approved an amendment to the Company’s amended and restated certificate of incorporation effecting a </w:t>
      </w:r>
      <w:r>
        <w:rPr>
          <w:rFonts w:ascii="Arial" w:cs="Arial" w:eastAsia="Arial" w:hAnsi="Arial"/>
          <w:sz w:val="18"/>
          <w:szCs w:val="18"/>
          <w:color w:val="000000"/>
        </w:rPr>
        <w:t>one-for-ten reverse stock split</w:t>
      </w:r>
      <w:r>
        <w:rPr>
          <w:rFonts w:ascii="Arial" w:cs="Arial" w:eastAsia="Arial" w:hAnsi="Arial"/>
          <w:sz w:val="18"/>
          <w:szCs w:val="18"/>
          <w:color w:val="231F20"/>
        </w:rPr>
        <w:t xml:space="preserve"> of the Company’s issued and outstanding shares of common and convertible preferred stock. The par value of the common and convertible preferred stock was not adjusted as a result of the reverse stock split. All issued and outstanding common stock, convertible preferred stock, warrants for convertible preferred stock, options for common stock, contingently issuable shares of common stock and per share amounts contained in the Company’s consolidated financial statements have been retroactively adjusted to reflect this reverse stock split for all periods presented.</w:t>
      </w: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restricted cash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23,419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11,296</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83,541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83,547</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6"/>
                <w:szCs w:val="16"/>
                <w:b w:val="1"/>
                <w:bCs w:val="1"/>
                <w:color w:val="auto"/>
              </w:rPr>
              <w:t>December 31, 2011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 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24,548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24,548</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4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94,843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a derivative financial instrument, consisting of a foreign currency forward contract, was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 was entered into on the last day of the period. This instrument was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700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802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247"/>
        </w:trPr>
        <w:tc>
          <w:tcPr>
            <w:tcW w:w="10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1"/>
                <w:szCs w:val="2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18,798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12,483</w:t>
            </w: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6,327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5,720</w:t>
            </w: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16,470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13,394</w:t>
            </w:r>
          </w:p>
        </w:tc>
      </w:tr>
      <w:tr>
        <w:trPr>
          <w:trHeight w:val="27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1,418</w:t>
            </w:r>
          </w:p>
        </w:tc>
      </w:tr>
      <w:tr>
        <w:trPr>
          <w:trHeight w:val="247"/>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3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44,812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34,345</w:t>
            </w:r>
          </w:p>
        </w:tc>
      </w:tr>
      <w:tr>
        <w:trPr>
          <w:trHeight w:val="27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(26,664)</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(20,484)</w:t>
            </w:r>
          </w:p>
        </w:tc>
      </w:tr>
      <w:tr>
        <w:trPr>
          <w:trHeight w:val="24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18,148</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13,861</w:t>
            </w:r>
          </w:p>
        </w:tc>
      </w:tr>
      <w:tr>
        <w:trPr>
          <w:trHeight w:val="20"/>
        </w:trPr>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 xml:space="preserve">Assets held under capital lease included in computer equipment and software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totaled approximately </w:t>
      </w:r>
      <w:r>
        <w:rPr>
          <w:rFonts w:ascii="Arial" w:cs="Arial" w:eastAsia="Arial" w:hAnsi="Arial"/>
          <w:sz w:val="18"/>
          <w:szCs w:val="18"/>
          <w:color w:val="000000"/>
        </w:rPr>
        <w:t>$8.1</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December 31, 2012 </w:t>
      </w:r>
      <w:r>
        <w:rPr>
          <w:rFonts w:ascii="Arial" w:cs="Arial" w:eastAsia="Arial" w:hAnsi="Arial"/>
          <w:sz w:val="18"/>
          <w:szCs w:val="18"/>
          <w:color w:val="231F20"/>
        </w:rPr>
        <w:t>and</w:t>
      </w:r>
      <w:r>
        <w:rPr>
          <w:rFonts w:ascii="Arial" w:cs="Arial" w:eastAsia="Arial" w:hAnsi="Arial"/>
          <w:sz w:val="18"/>
          <w:szCs w:val="18"/>
          <w:color w:val="000000"/>
        </w:rPr>
        <w:t xml:space="preserve"> 2011 </w:t>
      </w:r>
      <w:r>
        <w:rPr>
          <w:rFonts w:ascii="Arial" w:cs="Arial" w:eastAsia="Arial" w:hAnsi="Arial"/>
          <w:sz w:val="18"/>
          <w:szCs w:val="18"/>
          <w:color w:val="231F20"/>
        </w:rPr>
        <w:t>totaled</w:t>
      </w:r>
      <w:r>
        <w:rPr>
          <w:rFonts w:ascii="Arial" w:cs="Arial" w:eastAsia="Arial" w:hAnsi="Arial"/>
          <w:sz w:val="18"/>
          <w:szCs w:val="18"/>
          <w:color w:val="000000"/>
        </w:rPr>
        <w:t xml:space="preserve"> $4.9 million </w:t>
      </w:r>
      <w:r>
        <w:rPr>
          <w:rFonts w:ascii="Arial" w:cs="Arial" w:eastAsia="Arial" w:hAnsi="Arial"/>
          <w:sz w:val="18"/>
          <w:szCs w:val="18"/>
          <w:color w:val="231F20"/>
        </w:rPr>
        <w:t>and</w:t>
      </w:r>
      <w:r>
        <w:rPr>
          <w:rFonts w:ascii="Arial" w:cs="Arial" w:eastAsia="Arial" w:hAnsi="Arial"/>
          <w:sz w:val="18"/>
          <w:szCs w:val="18"/>
          <w:color w:val="000000"/>
        </w:rPr>
        <w:t xml:space="preserve"> $3.3 million</w:t>
      </w:r>
      <w:r>
        <w:rPr>
          <w:rFonts w:ascii="Arial" w:cs="Arial" w:eastAsia="Arial" w:hAnsi="Arial"/>
          <w:sz w:val="18"/>
          <w:szCs w:val="18"/>
          <w:color w:val="231F20"/>
        </w:rPr>
        <w:t>, respectively. The capital</w:t>
      </w:r>
      <w:r>
        <w:rPr>
          <w:rFonts w:ascii="Arial" w:cs="Arial" w:eastAsia="Arial" w:hAnsi="Arial"/>
          <w:sz w:val="18"/>
          <w:szCs w:val="18"/>
          <w:color w:val="000000"/>
        </w:rPr>
        <w:t xml:space="preserve"> </w:t>
      </w:r>
      <w:r>
        <w:rPr>
          <w:rFonts w:ascii="Arial" w:cs="Arial" w:eastAsia="Arial" w:hAnsi="Arial"/>
          <w:sz w:val="18"/>
          <w:szCs w:val="18"/>
          <w:color w:val="231F20"/>
        </w:rPr>
        <w:t>lease obligations are secured by the related equipment and software.</w:t>
      </w:r>
    </w:p>
    <w:p>
      <w:pPr>
        <w:spacing w:after="0" w:line="20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$5.5 million</w:t>
      </w:r>
      <w:r>
        <w:rPr>
          <w:rFonts w:ascii="Arial" w:cs="Arial" w:eastAsia="Arial" w:hAnsi="Arial"/>
          <w:sz w:val="18"/>
          <w:szCs w:val="18"/>
          <w:color w:val="231F20"/>
        </w:rPr>
        <w:t xml:space="preserve"> and </w:t>
      </w:r>
      <w:r>
        <w:rPr>
          <w:rFonts w:ascii="Arial" w:cs="Arial" w:eastAsia="Arial" w:hAnsi="Arial"/>
          <w:sz w:val="18"/>
          <w:szCs w:val="18"/>
          <w:color w:val="000000"/>
        </w:rPr>
        <w:t>$3.4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including assets that have not been placed in service of </w:t>
      </w:r>
      <w:r>
        <w:rPr>
          <w:rFonts w:ascii="Arial" w:cs="Arial" w:eastAsia="Arial" w:hAnsi="Arial"/>
          <w:sz w:val="18"/>
          <w:szCs w:val="18"/>
          <w:color w:val="000000"/>
        </w:rPr>
        <w:t xml:space="preserve">$1.5 million </w:t>
      </w:r>
      <w:r>
        <w:rPr>
          <w:rFonts w:ascii="Arial" w:cs="Arial" w:eastAsia="Arial" w:hAnsi="Arial"/>
          <w:sz w:val="18"/>
          <w:szCs w:val="18"/>
          <w:color w:val="231F20"/>
        </w:rPr>
        <w:t>and</w:t>
      </w:r>
      <w:r>
        <w:rPr>
          <w:rFonts w:ascii="Arial" w:cs="Arial" w:eastAsia="Arial" w:hAnsi="Arial"/>
          <w:sz w:val="18"/>
          <w:szCs w:val="18"/>
          <w:color w:val="000000"/>
        </w:rPr>
        <w:t xml:space="preserve"> $0.2 million</w:t>
      </w:r>
      <w:r>
        <w:rPr>
          <w:rFonts w:ascii="Arial" w:cs="Arial" w:eastAsia="Arial" w:hAnsi="Arial"/>
          <w:sz w:val="18"/>
          <w:szCs w:val="18"/>
          <w:color w:val="231F20"/>
        </w:rPr>
        <w:t>, respectively. Other fixed assets not placed in service at</w:t>
      </w:r>
      <w:r>
        <w:rPr>
          <w:rFonts w:ascii="Arial" w:cs="Arial" w:eastAsia="Arial" w:hAnsi="Arial"/>
          <w:sz w:val="18"/>
          <w:szCs w:val="18"/>
          <w:color w:val="000000"/>
        </w:rPr>
        <w:t xml:space="preserve"> December 31,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included in computer</w:t>
      </w:r>
      <w:r>
        <w:rPr>
          <w:rFonts w:ascii="Arial" w:cs="Arial" w:eastAsia="Arial" w:hAnsi="Arial"/>
          <w:sz w:val="18"/>
          <w:szCs w:val="18"/>
          <w:color w:val="000000"/>
        </w:rPr>
        <w:t xml:space="preserve"> </w:t>
      </w:r>
      <w:r>
        <w:rPr>
          <w:rFonts w:ascii="Arial" w:cs="Arial" w:eastAsia="Arial" w:hAnsi="Arial"/>
          <w:sz w:val="18"/>
          <w:szCs w:val="18"/>
          <w:color w:val="231F20"/>
        </w:rPr>
        <w:t xml:space="preserve">equipment and leasehold improvements, relate to new information technology systems and tenant improvements of approximately </w:t>
      </w:r>
      <w:r>
        <w:rPr>
          <w:rFonts w:ascii="Arial" w:cs="Arial" w:eastAsia="Arial" w:hAnsi="Arial"/>
          <w:sz w:val="18"/>
          <w:szCs w:val="18"/>
          <w:color w:val="000000"/>
        </w:rPr>
        <w:t>$1.7 million</w:t>
      </w:r>
      <w:r>
        <w:rPr>
          <w:rFonts w:ascii="Arial" w:cs="Arial" w:eastAsia="Arial" w:hAnsi="Arial"/>
          <w:sz w:val="18"/>
          <w:szCs w:val="18"/>
          <w:color w:val="231F20"/>
        </w:rPr>
        <w:t xml:space="preserve"> and </w:t>
      </w:r>
      <w:r>
        <w:rPr>
          <w:rFonts w:ascii="Arial" w:cs="Arial" w:eastAsia="Arial" w:hAnsi="Arial"/>
          <w:sz w:val="18"/>
          <w:szCs w:val="18"/>
          <w:color w:val="000000"/>
        </w:rPr>
        <w:t>$0.5 million,</w:t>
      </w:r>
      <w:r>
        <w:rPr>
          <w:rFonts w:ascii="Arial" w:cs="Arial" w:eastAsia="Arial" w:hAnsi="Arial"/>
          <w:sz w:val="18"/>
          <w:szCs w:val="18"/>
          <w:color w:val="231F20"/>
        </w:rPr>
        <w:t xml:space="preserve"> respectively. Depreciation and amortization expense relating to property and equipment, including capitalized leases, was </w:t>
      </w:r>
      <w:r>
        <w:rPr>
          <w:rFonts w:ascii="Arial" w:cs="Arial" w:eastAsia="Arial" w:hAnsi="Arial"/>
          <w:sz w:val="18"/>
          <w:szCs w:val="18"/>
          <w:color w:val="000000"/>
        </w:rPr>
        <w:t>$6.9</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$4.9 million </w:t>
      </w:r>
      <w:r>
        <w:rPr>
          <w:rFonts w:ascii="Arial" w:cs="Arial" w:eastAsia="Arial" w:hAnsi="Arial"/>
          <w:sz w:val="18"/>
          <w:szCs w:val="18"/>
          <w:color w:val="231F20"/>
        </w:rPr>
        <w:t>and</w:t>
      </w:r>
      <w:r>
        <w:rPr>
          <w:rFonts w:ascii="Arial" w:cs="Arial" w:eastAsia="Arial" w:hAnsi="Arial"/>
          <w:sz w:val="18"/>
          <w:szCs w:val="18"/>
          <w:color w:val="000000"/>
        </w:rPr>
        <w:t xml:space="preserve"> $4.4 million </w:t>
      </w:r>
      <w:r>
        <w:rPr>
          <w:rFonts w:ascii="Arial" w:cs="Arial" w:eastAsia="Arial" w:hAnsi="Arial"/>
          <w:sz w:val="18"/>
          <w:szCs w:val="18"/>
          <w:color w:val="231F20"/>
        </w:rPr>
        <w:t>for</w:t>
      </w:r>
      <w:r>
        <w:rPr>
          <w:rFonts w:ascii="Arial" w:cs="Arial" w:eastAsia="Arial" w:hAnsi="Arial"/>
          <w:sz w:val="18"/>
          <w:szCs w:val="18"/>
          <w:color w:val="000000"/>
        </w:rPr>
        <w:t xml:space="preserve"> 2012, 2011 </w:t>
      </w:r>
      <w:r>
        <w:rPr>
          <w:rFonts w:ascii="Arial" w:cs="Arial" w:eastAsia="Arial" w:hAnsi="Arial"/>
          <w:sz w:val="18"/>
          <w:szCs w:val="18"/>
          <w:color w:val="231F20"/>
        </w:rPr>
        <w:t>and</w:t>
      </w:r>
      <w:r>
        <w:rPr>
          <w:rFonts w:ascii="Arial" w:cs="Arial" w:eastAsia="Arial" w:hAnsi="Arial"/>
          <w:sz w:val="18"/>
          <w:szCs w:val="18"/>
          <w:color w:val="000000"/>
        </w:rPr>
        <w:t xml:space="preserve"> 2010</w:t>
      </w:r>
      <w:r>
        <w:rPr>
          <w:rFonts w:ascii="Arial" w:cs="Arial" w:eastAsia="Arial" w:hAnsi="Arial"/>
          <w:sz w:val="18"/>
          <w:szCs w:val="18"/>
          <w:color w:val="231F20"/>
        </w:rPr>
        <w:t>, respectively.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w:t>
      </w:r>
    </w:p>
    <w:p>
      <w:pPr>
        <w:spacing w:after="0" w:line="261"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 xml:space="preserve">On August 31, 2010, the Company acquired Nemean Networks, LLC (“Nemean”), a company developing network security solutions for detection and awareness of external intrusions to computer networks. The Company acquired Nemean to provide additional solutions on its cloud platform. The consideration for this acquisition consisted of </w:t>
      </w:r>
      <w:r>
        <w:rPr>
          <w:rFonts w:ascii="Arial" w:cs="Arial" w:eastAsia="Arial" w:hAnsi="Arial"/>
          <w:sz w:val="18"/>
          <w:szCs w:val="18"/>
          <w:color w:val="000000"/>
        </w:rPr>
        <w:t>$3.7 million</w:t>
      </w:r>
      <w:r>
        <w:rPr>
          <w:rFonts w:ascii="Arial" w:cs="Arial" w:eastAsia="Arial" w:hAnsi="Arial"/>
          <w:sz w:val="18"/>
          <w:szCs w:val="18"/>
          <w:color w:val="231F20"/>
        </w:rPr>
        <w:t xml:space="preserve"> in cash and common stock, including a non-contingent payment of </w:t>
      </w:r>
      <w:r>
        <w:rPr>
          <w:rFonts w:ascii="Arial" w:cs="Arial" w:eastAsia="Arial" w:hAnsi="Arial"/>
          <w:sz w:val="18"/>
          <w:szCs w:val="18"/>
          <w:color w:val="000000"/>
        </w:rPr>
        <w:t>$1.0 million</w:t>
      </w:r>
      <w:r>
        <w:rPr>
          <w:rFonts w:ascii="Arial" w:cs="Arial" w:eastAsia="Arial" w:hAnsi="Arial"/>
          <w:sz w:val="18"/>
          <w:szCs w:val="18"/>
          <w:color w:val="231F20"/>
        </w:rPr>
        <w:t xml:space="preserve"> in cash and </w:t>
      </w:r>
      <w:r>
        <w:rPr>
          <w:rFonts w:ascii="Arial" w:cs="Arial" w:eastAsia="Arial" w:hAnsi="Arial"/>
          <w:sz w:val="18"/>
          <w:szCs w:val="18"/>
          <w:color w:val="000000"/>
        </w:rPr>
        <w:t>6,250</w:t>
      </w:r>
      <w:r>
        <w:rPr>
          <w:rFonts w:ascii="Arial" w:cs="Arial" w:eastAsia="Arial" w:hAnsi="Arial"/>
          <w:sz w:val="18"/>
          <w:szCs w:val="18"/>
          <w:color w:val="231F20"/>
        </w:rPr>
        <w:t xml:space="preserve"> shares of common stock, both of which occurred in September 2012. The non-contingent cash payment amount was recorded in current liabilities at December 31, 2011 at its net present value. The Company accounted for this transaction as a business combination.</w:t>
      </w: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960" w:firstLine="405"/>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4"/>
        </w:trPr>
        <w:tc>
          <w:tcPr>
            <w:tcW w:w="3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75"/>
        </w:trPr>
        <w:tc>
          <w:tcPr>
            <w:tcW w:w="356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b w:val="1"/>
                <w:bCs w:val="1"/>
                <w:color w:val="auto"/>
              </w:rPr>
              <w:t>Net Book</w:t>
            </w:r>
          </w:p>
        </w:tc>
      </w:tr>
      <w:tr>
        <w:trPr>
          <w:trHeight w:val="196"/>
        </w:trPr>
        <w:tc>
          <w:tcPr>
            <w:tcW w:w="35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Value</w:t>
            </w:r>
          </w:p>
        </w:tc>
      </w:tr>
      <w:tr>
        <w:trPr>
          <w:trHeight w:val="25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1,273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1,546</w:t>
            </w:r>
          </w:p>
        </w:tc>
      </w:tr>
      <w:tr>
        <w:trPr>
          <w:trHeight w:val="260"/>
        </w:trPr>
        <w:tc>
          <w:tcPr>
            <w:tcW w:w="356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14 years</w:t>
            </w:r>
          </w:p>
        </w:tc>
        <w:tc>
          <w:tcPr>
            <w:tcW w:w="220" w:type="dxa"/>
            <w:vAlign w:val="bottom"/>
          </w:tcPr>
          <w:p>
            <w:pPr>
              <w:spacing w:after="0"/>
              <w:rPr>
                <w:sz w:val="22"/>
                <w:szCs w:val="22"/>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1,212</w:t>
            </w:r>
          </w:p>
        </w:tc>
      </w:tr>
      <w:tr>
        <w:trPr>
          <w:trHeight w:val="273"/>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years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w:t>
            </w:r>
          </w:p>
        </w:tc>
      </w:tr>
      <w:tr>
        <w:trPr>
          <w:trHeight w:val="280"/>
        </w:trPr>
        <w:tc>
          <w:tcPr>
            <w:tcW w:w="3560" w:type="dxa"/>
            <w:vAlign w:val="bottom"/>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2,516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3,420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2,880</w:t>
            </w:r>
          </w:p>
        </w:tc>
      </w:tr>
      <w:tr>
        <w:trPr>
          <w:trHeight w:val="247"/>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780" w:type="dxa"/>
            <w:vAlign w:val="bottom"/>
            <w:tcBorders>
              <w:top w:val="single" w:sz="8" w:color="CCEEFF"/>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780" w:type="dxa"/>
            <w:vAlign w:val="bottom"/>
            <w:tcBorders>
              <w:top w:val="single" w:sz="8" w:color="CCEEFF"/>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295</w:t>
            </w:r>
          </w:p>
        </w:tc>
      </w:tr>
      <w:tr>
        <w:trPr>
          <w:trHeight w:val="240"/>
        </w:trPr>
        <w:tc>
          <w:tcPr>
            <w:tcW w:w="356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3,175</w:t>
            </w:r>
          </w:p>
        </w:tc>
      </w:tr>
      <w:tr>
        <w:trPr>
          <w:trHeight w:val="20"/>
        </w:trPr>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20"/>
              <w:spacing w:after="0"/>
              <w:rPr>
                <w:sz w:val="20"/>
                <w:szCs w:val="20"/>
                <w:color w:val="auto"/>
              </w:rPr>
            </w:pPr>
            <w:r>
              <w:rPr>
                <w:rFonts w:ascii="Arial" w:cs="Arial" w:eastAsia="Arial" w:hAnsi="Arial"/>
                <w:sz w:val="18"/>
                <w:szCs w:val="18"/>
                <w:color w:val="231F20"/>
              </w:rPr>
              <w:t xml:space="preserve">Intangibles amortization expense was </w:t>
            </w:r>
            <w:r>
              <w:rPr>
                <w:rFonts w:ascii="Arial" w:cs="Arial" w:eastAsia="Arial" w:hAnsi="Arial"/>
                <w:sz w:val="18"/>
                <w:szCs w:val="18"/>
                <w:color w:val="000000"/>
              </w:rPr>
              <w:t>$0.4 million,</w:t>
            </w:r>
            <w:r>
              <w:rPr>
                <w:rFonts w:ascii="Arial" w:cs="Arial" w:eastAsia="Arial" w:hAnsi="Arial"/>
                <w:sz w:val="18"/>
                <w:szCs w:val="18"/>
                <w:color w:val="231F20"/>
              </w:rPr>
              <w:t xml:space="preserve"> </w:t>
            </w:r>
            <w:r>
              <w:rPr>
                <w:rFonts w:ascii="Arial" w:cs="Arial" w:eastAsia="Arial" w:hAnsi="Arial"/>
                <w:sz w:val="18"/>
                <w:szCs w:val="18"/>
                <w:color w:val="000000"/>
              </w:rPr>
              <w:t>$0.4 million</w:t>
            </w:r>
            <w:r>
              <w:rPr>
                <w:rFonts w:ascii="Arial" w:cs="Arial" w:eastAsia="Arial" w:hAnsi="Arial"/>
                <w:sz w:val="18"/>
                <w:szCs w:val="18"/>
                <w:color w:val="231F20"/>
              </w:rPr>
              <w:t xml:space="preserve"> and </w:t>
            </w:r>
            <w:r>
              <w:rPr>
                <w:rFonts w:ascii="Arial" w:cs="Arial" w:eastAsia="Arial" w:hAnsi="Arial"/>
                <w:sz w:val="18"/>
                <w:szCs w:val="18"/>
                <w:color w:val="000000"/>
              </w:rPr>
              <w:t>$0.1 million</w:t>
            </w:r>
            <w:r>
              <w:rPr>
                <w:rFonts w:ascii="Arial" w:cs="Arial" w:eastAsia="Arial" w:hAnsi="Arial"/>
                <w:sz w:val="18"/>
                <w:szCs w:val="18"/>
                <w:color w:val="231F20"/>
              </w:rPr>
              <w:t xml:space="preserve"> for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9940" w:type="dxa"/>
            <w:vAlign w:val="bottom"/>
          </w:tcPr>
          <w:p>
            <w:pPr>
              <w:ind w:left="420"/>
              <w:spacing w:after="0"/>
              <w:rPr>
                <w:sz w:val="20"/>
                <w:szCs w:val="20"/>
                <w:color w:val="auto"/>
              </w:rPr>
            </w:pPr>
            <w:r>
              <w:rPr>
                <w:rFonts w:ascii="Arial" w:cs="Arial" w:eastAsia="Arial" w:hAnsi="Arial"/>
                <w:sz w:val="18"/>
                <w:szCs w:val="18"/>
                <w:color w:val="231F20"/>
                <w:w w:val="99"/>
              </w:rPr>
              <w:t xml:space="preserve">As of </w:t>
            </w:r>
            <w:r>
              <w:rPr>
                <w:rFonts w:ascii="Arial" w:cs="Arial" w:eastAsia="Arial" w:hAnsi="Arial"/>
                <w:sz w:val="18"/>
                <w:szCs w:val="18"/>
                <w:color w:val="000000"/>
                <w:w w:val="99"/>
              </w:rPr>
              <w:t>December 31, 2012</w:t>
            </w:r>
            <w:r>
              <w:rPr>
                <w:rFonts w:ascii="Arial" w:cs="Arial" w:eastAsia="Arial" w:hAnsi="Arial"/>
                <w:sz w:val="18"/>
                <w:szCs w:val="18"/>
                <w:color w:val="231F20"/>
                <w:w w:val="99"/>
              </w:rPr>
              <w:t>, the Company expects amortization expense in future periods to be as follows (in thousands):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9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w:t>
            </w:r>
          </w:p>
        </w:tc>
      </w:tr>
      <w:tr>
        <w:trPr>
          <w:trHeight w:val="24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1" w:right="2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Line of Credit</w:t>
      </w:r>
    </w:p>
    <w:p>
      <w:pPr>
        <w:spacing w:after="0" w:line="139"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In March 2009, the Company entered into an equipment line of credit of </w:t>
      </w:r>
      <w:r>
        <w:rPr>
          <w:rFonts w:ascii="Arial" w:cs="Arial" w:eastAsia="Arial" w:hAnsi="Arial"/>
          <w:sz w:val="18"/>
          <w:szCs w:val="18"/>
          <w:color w:val="000000"/>
        </w:rPr>
        <w:t>$ 1.5 million</w:t>
      </w:r>
      <w:r>
        <w:rPr>
          <w:rFonts w:ascii="Arial" w:cs="Arial" w:eastAsia="Arial" w:hAnsi="Arial"/>
          <w:sz w:val="18"/>
          <w:szCs w:val="18"/>
          <w:color w:val="231F20"/>
        </w:rPr>
        <w:t xml:space="preserve">. The line of credit allowed the Company to borrow to purchase specific equipment. Each advance was immediately amortizable and payable in </w:t>
      </w:r>
      <w:r>
        <w:rPr>
          <w:rFonts w:ascii="Arial" w:cs="Arial" w:eastAsia="Arial" w:hAnsi="Arial"/>
          <w:sz w:val="18"/>
          <w:szCs w:val="18"/>
          <w:color w:val="000000"/>
        </w:rPr>
        <w:t>30</w:t>
      </w:r>
      <w:r>
        <w:rPr>
          <w:rFonts w:ascii="Arial" w:cs="Arial" w:eastAsia="Arial" w:hAnsi="Arial"/>
          <w:sz w:val="18"/>
          <w:szCs w:val="18"/>
          <w:color w:val="231F20"/>
        </w:rPr>
        <w:t xml:space="preserve"> monthly installments, with the final maturity date to be no later than September 2012. Each advance was secured by the specific equipment and carried an interest rate of </w:t>
      </w:r>
      <w:r>
        <w:rPr>
          <w:rFonts w:ascii="Arial" w:cs="Arial" w:eastAsia="Arial" w:hAnsi="Arial"/>
          <w:sz w:val="18"/>
          <w:szCs w:val="18"/>
          <w:color w:val="000000"/>
        </w:rPr>
        <w:t>9.0%</w:t>
      </w:r>
      <w:r>
        <w:rPr>
          <w:rFonts w:ascii="Arial" w:cs="Arial" w:eastAsia="Arial" w:hAnsi="Arial"/>
          <w:sz w:val="18"/>
          <w:szCs w:val="18"/>
          <w:color w:val="231F20"/>
        </w:rPr>
        <w:t xml:space="preserve">. In March 2010, the Company amended its equipment line of credit. The amount available for draws at the time of the amendment was increased by </w:t>
      </w:r>
      <w:r>
        <w:rPr>
          <w:rFonts w:ascii="Arial" w:cs="Arial" w:eastAsia="Arial" w:hAnsi="Arial"/>
          <w:sz w:val="18"/>
          <w:szCs w:val="18"/>
          <w:color w:val="000000"/>
        </w:rPr>
        <w:t>$0.8</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and was available through February 2011. Each advance was immediately amortizable and payable in</w:t>
      </w:r>
      <w:r>
        <w:rPr>
          <w:rFonts w:ascii="Arial" w:cs="Arial" w:eastAsia="Arial" w:hAnsi="Arial"/>
          <w:sz w:val="18"/>
          <w:szCs w:val="18"/>
          <w:color w:val="000000"/>
        </w:rPr>
        <w:t xml:space="preserve"> 30 </w:t>
      </w:r>
      <w:r>
        <w:rPr>
          <w:rFonts w:ascii="Arial" w:cs="Arial" w:eastAsia="Arial" w:hAnsi="Arial"/>
          <w:sz w:val="18"/>
          <w:szCs w:val="18"/>
          <w:color w:val="231F20"/>
        </w:rPr>
        <w:t>monthly installments, with</w:t>
      </w:r>
      <w:r>
        <w:rPr>
          <w:rFonts w:ascii="Arial" w:cs="Arial" w:eastAsia="Arial" w:hAnsi="Arial"/>
          <w:sz w:val="18"/>
          <w:szCs w:val="18"/>
          <w:color w:val="000000"/>
        </w:rPr>
        <w:t xml:space="preserve"> </w:t>
      </w:r>
      <w:r>
        <w:rPr>
          <w:rFonts w:ascii="Arial" w:cs="Arial" w:eastAsia="Arial" w:hAnsi="Arial"/>
          <w:sz w:val="18"/>
          <w:szCs w:val="18"/>
          <w:color w:val="231F20"/>
        </w:rPr>
        <w:t xml:space="preserve">final maturity date to be no later than August 2013, and carried an interest rate of </w:t>
      </w:r>
      <w:r>
        <w:rPr>
          <w:rFonts w:ascii="Arial" w:cs="Arial" w:eastAsia="Arial" w:hAnsi="Arial"/>
          <w:sz w:val="18"/>
          <w:szCs w:val="18"/>
          <w:color w:val="000000"/>
        </w:rPr>
        <w:t>7.5%</w:t>
      </w:r>
      <w:r>
        <w:rPr>
          <w:rFonts w:ascii="Arial" w:cs="Arial" w:eastAsia="Arial" w:hAnsi="Arial"/>
          <w:sz w:val="18"/>
          <w:szCs w:val="18"/>
          <w:color w:val="231F20"/>
        </w:rPr>
        <w:t xml:space="preserve">. In December 2010, the Company completed a second amendment to its equipment line of credit. The amount available for draws at the time of the amendment was increased by an additional </w:t>
      </w:r>
      <w:r>
        <w:rPr>
          <w:rFonts w:ascii="Arial" w:cs="Arial" w:eastAsia="Arial" w:hAnsi="Arial"/>
          <w:sz w:val="18"/>
          <w:szCs w:val="18"/>
          <w:color w:val="000000"/>
        </w:rPr>
        <w:t>$1.0</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and was available through February 2012. Each advance is immediately amortizable and payable in</w:t>
      </w:r>
      <w:r>
        <w:rPr>
          <w:rFonts w:ascii="Arial" w:cs="Arial" w:eastAsia="Arial" w:hAnsi="Arial"/>
          <w:sz w:val="18"/>
          <w:szCs w:val="18"/>
          <w:color w:val="000000"/>
        </w:rPr>
        <w:t xml:space="preserve"> 30 </w:t>
      </w:r>
      <w:r>
        <w:rPr>
          <w:rFonts w:ascii="Arial" w:cs="Arial" w:eastAsia="Arial" w:hAnsi="Arial"/>
          <w:sz w:val="18"/>
          <w:szCs w:val="18"/>
          <w:color w:val="231F20"/>
        </w:rPr>
        <w:t>monthly installments, with the</w:t>
      </w:r>
      <w:r>
        <w:rPr>
          <w:rFonts w:ascii="Arial" w:cs="Arial" w:eastAsia="Arial" w:hAnsi="Arial"/>
          <w:sz w:val="18"/>
          <w:szCs w:val="18"/>
          <w:color w:val="000000"/>
        </w:rPr>
        <w:t xml:space="preserve"> </w:t>
      </w:r>
      <w:r>
        <w:rPr>
          <w:rFonts w:ascii="Arial" w:cs="Arial" w:eastAsia="Arial" w:hAnsi="Arial"/>
          <w:sz w:val="18"/>
          <w:szCs w:val="18"/>
          <w:color w:val="231F20"/>
        </w:rPr>
        <w:t xml:space="preserve">final maturity date to be no later than August 2014, and carries an interest rate of </w:t>
      </w:r>
      <w:r>
        <w:rPr>
          <w:rFonts w:ascii="Arial" w:cs="Arial" w:eastAsia="Arial" w:hAnsi="Arial"/>
          <w:sz w:val="18"/>
          <w:szCs w:val="18"/>
          <w:color w:val="000000"/>
        </w:rPr>
        <w:t>6.5%</w:t>
      </w:r>
      <w:r>
        <w:rPr>
          <w:rFonts w:ascii="Arial" w:cs="Arial" w:eastAsia="Arial" w:hAnsi="Arial"/>
          <w:sz w:val="18"/>
          <w:szCs w:val="18"/>
          <w:color w:val="231F20"/>
        </w:rPr>
        <w:t xml:space="preserve">. </w:t>
      </w:r>
      <w:r>
        <w:rPr>
          <w:rFonts w:ascii="Arial" w:cs="Arial" w:eastAsia="Arial" w:hAnsi="Arial"/>
          <w:sz w:val="18"/>
          <w:szCs w:val="18"/>
          <w:color w:val="000000"/>
        </w:rPr>
        <w:t>At December 31, 2011</w:t>
      </w:r>
      <w:r>
        <w:rPr>
          <w:rFonts w:ascii="Arial" w:cs="Arial" w:eastAsia="Arial" w:hAnsi="Arial"/>
          <w:sz w:val="18"/>
          <w:szCs w:val="18"/>
          <w:color w:val="231F20"/>
        </w:rPr>
        <w:t xml:space="preserve">, the Company had </w:t>
      </w:r>
      <w:r>
        <w:rPr>
          <w:rFonts w:ascii="Arial" w:cs="Arial" w:eastAsia="Arial" w:hAnsi="Arial"/>
          <w:sz w:val="18"/>
          <w:szCs w:val="18"/>
          <w:color w:val="000000"/>
        </w:rPr>
        <w:t>$0.9 million</w:t>
      </w:r>
      <w:r>
        <w:rPr>
          <w:rFonts w:ascii="Arial" w:cs="Arial" w:eastAsia="Arial" w:hAnsi="Arial"/>
          <w:sz w:val="18"/>
          <w:szCs w:val="18"/>
          <w:color w:val="231F20"/>
        </w:rPr>
        <w:t xml:space="preserve"> in outstanding borrowings under this line of credit, which are recorded in capital lease obligations in the consolidated balance sheet. The remaining amount available for borrowings at December 31, 2011 was </w:t>
      </w:r>
      <w:r>
        <w:rPr>
          <w:rFonts w:ascii="Arial" w:cs="Arial" w:eastAsia="Arial" w:hAnsi="Arial"/>
          <w:sz w:val="18"/>
          <w:szCs w:val="18"/>
          <w:color w:val="000000"/>
        </w:rPr>
        <w:t>$0.9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w:t>
      </w:r>
      <w:r>
        <w:rPr>
          <w:rFonts w:ascii="Arial" w:cs="Arial" w:eastAsia="Arial" w:hAnsi="Arial"/>
          <w:sz w:val="18"/>
          <w:szCs w:val="18"/>
          <w:color w:val="000000"/>
        </w:rPr>
        <w:t>no</w:t>
      </w:r>
      <w:r>
        <w:rPr>
          <w:rFonts w:ascii="Arial" w:cs="Arial" w:eastAsia="Arial" w:hAnsi="Arial"/>
          <w:sz w:val="18"/>
          <w:szCs w:val="18"/>
          <w:color w:val="231F20"/>
        </w:rPr>
        <w:t xml:space="preserve"> outstanding borrowings under this line of credit and the Company was not able to draw any further funds as the line expired in February 2012.</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231F20"/>
        </w:rPr>
        <w:t xml:space="preserve">The Company leases certain computer equipment and its corporate office and data center facilities under noncancelable operating leases for varying periods through 2019. The Company has also entered into capital lease obligations, with varying interest rates from </w:t>
      </w:r>
      <w:r>
        <w:rPr>
          <w:rFonts w:ascii="Arial" w:cs="Arial" w:eastAsia="Arial" w:hAnsi="Arial"/>
          <w:sz w:val="18"/>
          <w:szCs w:val="18"/>
          <w:color w:val="000000"/>
        </w:rPr>
        <w:t>1.8%</w:t>
      </w:r>
      <w:r>
        <w:rPr>
          <w:rFonts w:ascii="Arial" w:cs="Arial" w:eastAsia="Arial" w:hAnsi="Arial"/>
          <w:sz w:val="18"/>
          <w:szCs w:val="18"/>
          <w:color w:val="231F20"/>
        </w:rPr>
        <w:t xml:space="preserve"> to </w:t>
      </w:r>
      <w:r>
        <w:rPr>
          <w:rFonts w:ascii="Arial" w:cs="Arial" w:eastAsia="Arial" w:hAnsi="Arial"/>
          <w:sz w:val="18"/>
          <w:szCs w:val="18"/>
          <w:color w:val="000000"/>
        </w:rPr>
        <w:t>9.0%</w:t>
      </w:r>
      <w:r>
        <w:rPr>
          <w:rFonts w:ascii="Arial" w:cs="Arial" w:eastAsia="Arial" w:hAnsi="Arial"/>
          <w:sz w:val="18"/>
          <w:szCs w:val="18"/>
          <w:color w:val="231F20"/>
        </w:rPr>
        <w:t xml:space="preserve">, a portion of which are secured by the related computer equipment and software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w:t>
      </w:r>
    </w:p>
    <w:p>
      <w:pPr>
        <w:spacing w:after="0" w:line="202"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of </w:t>
      </w:r>
      <w:r>
        <w:rPr>
          <w:rFonts w:ascii="Arial" w:cs="Arial" w:eastAsia="Arial" w:hAnsi="Arial"/>
          <w:sz w:val="18"/>
          <w:szCs w:val="18"/>
          <w:color w:val="000000"/>
        </w:rPr>
        <w:t>$ 1.6 million</w:t>
      </w:r>
      <w:r>
        <w:rPr>
          <w:rFonts w:ascii="Arial" w:cs="Arial" w:eastAsia="Arial" w:hAnsi="Arial"/>
          <w:sz w:val="18"/>
          <w:szCs w:val="18"/>
          <w:color w:val="231F20"/>
        </w:rPr>
        <w:t xml:space="preserve"> and </w:t>
      </w:r>
      <w:r>
        <w:rPr>
          <w:rFonts w:ascii="Arial" w:cs="Arial" w:eastAsia="Arial" w:hAnsi="Arial"/>
          <w:sz w:val="18"/>
          <w:szCs w:val="18"/>
          <w:color w:val="000000"/>
        </w:rPr>
        <w:t>$2.6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Such obligation for maintenance and support is recorded in current and other noncurrent liabilities in the consolidated balance sheets.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December 31, 2012</w:t>
      </w:r>
      <w:r>
        <w:rPr>
          <w:rFonts w:ascii="Arial" w:cs="Arial" w:eastAsia="Arial" w:hAnsi="Arial"/>
          <w:sz w:val="18"/>
          <w:szCs w:val="18"/>
          <w:color w:val="231F20"/>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8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line="20" w:lineRule="exact"/>
              <w:rPr>
                <w:sz w:val="1"/>
                <w:szCs w:val="1"/>
                <w:color w:val="auto"/>
              </w:rPr>
            </w:pPr>
          </w:p>
        </w:tc>
      </w:tr>
      <w:tr>
        <w:trPr>
          <w:trHeight w:val="247"/>
        </w:trPr>
        <w:tc>
          <w:tcPr>
            <w:tcW w:w="80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Present value of minimum payments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lease obligations, noncurrent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$4.3 million,</w:t>
      </w:r>
      <w:r>
        <w:rPr>
          <w:rFonts w:ascii="Arial" w:cs="Arial" w:eastAsia="Arial" w:hAnsi="Arial"/>
          <w:sz w:val="18"/>
          <w:szCs w:val="18"/>
          <w:color w:val="231F20"/>
        </w:rPr>
        <w:t xml:space="preserve"> </w:t>
      </w:r>
      <w:r>
        <w:rPr>
          <w:rFonts w:ascii="Arial" w:cs="Arial" w:eastAsia="Arial" w:hAnsi="Arial"/>
          <w:sz w:val="18"/>
          <w:szCs w:val="18"/>
          <w:color w:val="000000"/>
        </w:rPr>
        <w:t>$3.4 million and $ 3.3 million for 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the Company has accrued </w:t>
      </w:r>
      <w:r>
        <w:rPr>
          <w:rFonts w:ascii="Arial" w:cs="Arial" w:eastAsia="Arial" w:hAnsi="Arial"/>
          <w:sz w:val="18"/>
          <w:szCs w:val="18"/>
          <w:color w:val="000000"/>
        </w:rPr>
        <w:t>$0.4 million</w:t>
      </w:r>
      <w:r>
        <w:rPr>
          <w:rFonts w:ascii="Arial" w:cs="Arial" w:eastAsia="Arial" w:hAnsi="Arial"/>
          <w:sz w:val="18"/>
          <w:szCs w:val="18"/>
          <w:color w:val="231F20"/>
        </w:rPr>
        <w:t xml:space="preserve"> and </w:t>
      </w:r>
      <w:r>
        <w:rPr>
          <w:rFonts w:ascii="Arial" w:cs="Arial" w:eastAsia="Arial" w:hAnsi="Arial"/>
          <w:sz w:val="18"/>
          <w:szCs w:val="18"/>
          <w:color w:val="000000"/>
        </w:rPr>
        <w:t>$0.3 million</w:t>
      </w:r>
      <w:r>
        <w:rPr>
          <w:rFonts w:ascii="Arial" w:cs="Arial" w:eastAsia="Arial" w:hAnsi="Arial"/>
          <w:sz w:val="18"/>
          <w:szCs w:val="18"/>
          <w:color w:val="231F20"/>
        </w:rPr>
        <w:t>, respectively, of deferred rent related to these agreements, which is reflected in other noncurrent liabilities in the accompanying consolidated balance sheets.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1" w:right="2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39"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to the respective government authorities. For those jurisdictions where the Company has not yet billed sales tax to its customers and believes it may have exposure, it has recorded a provision of </w:t>
      </w:r>
      <w:r>
        <w:rPr>
          <w:rFonts w:ascii="Arial" w:cs="Arial" w:eastAsia="Arial" w:hAnsi="Arial"/>
          <w:sz w:val="18"/>
          <w:szCs w:val="18"/>
          <w:color w:val="000000"/>
        </w:rPr>
        <w:t xml:space="preserve">$0.4 million </w:t>
      </w:r>
      <w:r>
        <w:rPr>
          <w:rFonts w:ascii="Arial" w:cs="Arial" w:eastAsia="Arial" w:hAnsi="Arial"/>
          <w:sz w:val="18"/>
          <w:szCs w:val="18"/>
          <w:color w:val="231F20"/>
        </w:rPr>
        <w:t>and</w:t>
      </w:r>
      <w:r>
        <w:rPr>
          <w:rFonts w:ascii="Arial" w:cs="Arial" w:eastAsia="Arial" w:hAnsi="Arial"/>
          <w:sz w:val="18"/>
          <w:szCs w:val="18"/>
          <w:color w:val="000000"/>
        </w:rPr>
        <w:t xml:space="preserve"> $0.3 million </w:t>
      </w:r>
      <w:r>
        <w:rPr>
          <w:rFonts w:ascii="Arial" w:cs="Arial" w:eastAsia="Arial" w:hAnsi="Arial"/>
          <w:sz w:val="18"/>
          <w:szCs w:val="18"/>
          <w:color w:val="231F20"/>
        </w:rPr>
        <w:t>at</w:t>
      </w:r>
      <w:r>
        <w:rPr>
          <w:rFonts w:ascii="Arial" w:cs="Arial" w:eastAsia="Arial" w:hAnsi="Arial"/>
          <w:sz w:val="18"/>
          <w:szCs w:val="18"/>
          <w:color w:val="000000"/>
        </w:rPr>
        <w:t xml:space="preserve"> December 31,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 which is recorded within accrued liabilities in the consolidated</w:t>
      </w:r>
      <w:r>
        <w:rPr>
          <w:rFonts w:ascii="Arial" w:cs="Arial" w:eastAsia="Arial" w:hAnsi="Arial"/>
          <w:sz w:val="18"/>
          <w:szCs w:val="18"/>
          <w:color w:val="000000"/>
        </w:rPr>
        <w:t xml:space="preserve"> </w:t>
      </w:r>
      <w:r>
        <w:rPr>
          <w:rFonts w:ascii="Arial" w:cs="Arial" w:eastAsia="Arial" w:hAnsi="Arial"/>
          <w:sz w:val="18"/>
          <w:szCs w:val="18"/>
          <w:color w:val="231F20"/>
        </w:rPr>
        <w:t xml:space="preserve">balance sheets. However, taxing jurisdictions have differing rules and regulations, which are subject to varying interpretations that may change over time. Other than the liability that the Company has accrued in its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December 31, 2012</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December 31, 2012</w:t>
      </w:r>
      <w:r>
        <w:rPr>
          <w:rFonts w:ascii="Arial" w:cs="Arial" w:eastAsia="Arial" w:hAnsi="Arial"/>
          <w:sz w:val="18"/>
          <w:szCs w:val="18"/>
          <w:color w:val="231F20"/>
        </w:rPr>
        <w:t>, the Company has not recorded any material liabilities in accordance with accounting for contingencies.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 7.</w:t>
            </w:r>
          </w:p>
        </w:tc>
        <w:tc>
          <w:tcPr>
            <w:tcW w:w="856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w:t>
            </w:r>
          </w:p>
        </w:tc>
        <w:tc>
          <w:tcPr>
            <w:tcW w:w="1820" w:type="dxa"/>
            <w:vAlign w:val="bottom"/>
          </w:tcPr>
          <w:p>
            <w:pPr>
              <w:spacing w:after="0"/>
              <w:rPr>
                <w:sz w:val="20"/>
                <w:szCs w:val="20"/>
                <w:color w:val="auto"/>
              </w:rPr>
            </w:pPr>
          </w:p>
        </w:tc>
      </w:tr>
      <w:tr>
        <w:trPr>
          <w:trHeight w:val="446"/>
        </w:trPr>
        <w:tc>
          <w:tcPr>
            <w:tcW w:w="958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820" w:type="dxa"/>
            <w:vAlign w:val="bottom"/>
          </w:tcPr>
          <w:p>
            <w:pPr>
              <w:spacing w:after="0"/>
              <w:rPr>
                <w:sz w:val="24"/>
                <w:szCs w:val="24"/>
                <w:color w:val="auto"/>
              </w:rPr>
            </w:pPr>
          </w:p>
        </w:tc>
      </w:tr>
      <w:tr>
        <w:trPr>
          <w:trHeight w:val="432"/>
        </w:trPr>
        <w:tc>
          <w:tcPr>
            <w:tcW w:w="9580" w:type="dxa"/>
            <w:vAlign w:val="bottom"/>
            <w:gridSpan w:val="3"/>
          </w:tcPr>
          <w:p>
            <w:pPr>
              <w:ind w:left="420"/>
              <w:spacing w:after="0"/>
              <w:rPr>
                <w:sz w:val="20"/>
                <w:szCs w:val="20"/>
                <w:color w:val="auto"/>
              </w:rPr>
            </w:pPr>
            <w:r>
              <w:rPr>
                <w:rFonts w:ascii="Arial" w:cs="Arial" w:eastAsia="Arial" w:hAnsi="Arial"/>
                <w:sz w:val="18"/>
                <w:szCs w:val="18"/>
                <w:color w:val="231F20"/>
              </w:rPr>
              <w:t>The Company had reserved shares of common stock for future issuance as of December 31, 2012:</w:t>
            </w:r>
          </w:p>
        </w:tc>
        <w:tc>
          <w:tcPr>
            <w:tcW w:w="1820" w:type="dxa"/>
            <w:vAlign w:val="bottom"/>
          </w:tcPr>
          <w:p>
            <w:pPr>
              <w:spacing w:after="0"/>
              <w:rPr>
                <w:sz w:val="24"/>
                <w:szCs w:val="24"/>
                <w:color w:val="auto"/>
              </w:rPr>
            </w:pPr>
          </w:p>
        </w:tc>
      </w:tr>
      <w:tr>
        <w:trPr>
          <w:trHeight w:val="611"/>
        </w:trPr>
        <w:tc>
          <w:tcPr>
            <w:tcW w:w="9580" w:type="dxa"/>
            <w:vAlign w:val="bottom"/>
            <w:gridSpan w:val="3"/>
          </w:tcPr>
          <w:p>
            <w:pPr>
              <w:ind w:left="40"/>
              <w:spacing w:after="0"/>
              <w:rPr>
                <w:sz w:val="20"/>
                <w:szCs w:val="20"/>
                <w:color w:val="auto"/>
              </w:rPr>
            </w:pPr>
            <w:r>
              <w:rPr>
                <w:rFonts w:ascii="Arial" w:cs="Arial" w:eastAsia="Arial" w:hAnsi="Arial"/>
                <w:sz w:val="16"/>
                <w:szCs w:val="16"/>
                <w:color w:val="auto"/>
              </w:rPr>
              <w:t>Options outstanding under equity incentive plans</w:t>
            </w:r>
          </w:p>
        </w:tc>
        <w:tc>
          <w:tcPr>
            <w:tcW w:w="1820" w:type="dxa"/>
            <w:vAlign w:val="bottom"/>
          </w:tcPr>
          <w:p>
            <w:pPr>
              <w:spacing w:after="0"/>
              <w:rPr>
                <w:sz w:val="24"/>
                <w:szCs w:val="24"/>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2000</w:t>
            </w:r>
          </w:p>
        </w:tc>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6,366,633</w:t>
            </w:r>
          </w:p>
        </w:tc>
      </w:tr>
      <w:tr>
        <w:trPr>
          <w:trHeight w:val="270"/>
        </w:trPr>
        <w:tc>
          <w:tcPr>
            <w:tcW w:w="660" w:type="dxa"/>
            <w:vAlign w:val="bottom"/>
          </w:tcPr>
          <w:p>
            <w:pPr>
              <w:ind w:left="280"/>
              <w:spacing w:after="0"/>
              <w:rPr>
                <w:sz w:val="20"/>
                <w:szCs w:val="20"/>
                <w:color w:val="auto"/>
              </w:rPr>
            </w:pPr>
            <w:r>
              <w:rPr>
                <w:rFonts w:ascii="Arial" w:cs="Arial" w:eastAsia="Arial" w:hAnsi="Arial"/>
                <w:sz w:val="16"/>
                <w:szCs w:val="16"/>
                <w:color w:val="auto"/>
              </w:rPr>
              <w:t>2012</w:t>
            </w:r>
          </w:p>
        </w:tc>
        <w:tc>
          <w:tcPr>
            <w:tcW w:w="8920" w:type="dxa"/>
            <w:vAlign w:val="bottom"/>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146,875</w:t>
            </w:r>
          </w:p>
        </w:tc>
      </w:tr>
      <w:tr>
        <w:trPr>
          <w:trHeight w:val="270"/>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equity incentive plans</w:t>
            </w:r>
          </w:p>
        </w:tc>
        <w:tc>
          <w:tcPr>
            <w:tcW w:w="1820" w:type="dxa"/>
            <w:vAlign w:val="bottom"/>
            <w:shd w:val="clear" w:color="auto" w:fill="CCEEFF"/>
          </w:tcPr>
          <w:p>
            <w:pPr>
              <w:spacing w:after="0"/>
              <w:rPr>
                <w:sz w:val="23"/>
                <w:szCs w:val="23"/>
                <w:color w:val="auto"/>
              </w:rPr>
            </w:pPr>
          </w:p>
        </w:tc>
      </w:tr>
      <w:tr>
        <w:trPr>
          <w:trHeight w:val="270"/>
        </w:trPr>
        <w:tc>
          <w:tcPr>
            <w:tcW w:w="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2012</w:t>
            </w:r>
          </w:p>
        </w:tc>
        <w:tc>
          <w:tcPr>
            <w:tcW w:w="8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2,902,125</w:t>
            </w:r>
          </w:p>
        </w:tc>
      </w:tr>
      <w:tr>
        <w:trPr>
          <w:trHeight w:val="234"/>
        </w:trPr>
        <w:tc>
          <w:tcPr>
            <w:tcW w:w="9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9,415,633</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1"/>
          <w:szCs w:val="11"/>
          <w:color w:val="231F20"/>
        </w:rPr>
      </w:pPr>
      <w:r>
        <w:rPr>
          <w:rFonts w:ascii="Arial" w:cs="Arial" w:eastAsia="Arial" w:hAnsi="Arial"/>
          <w:sz w:val="14"/>
          <w:szCs w:val="14"/>
          <w:color w:val="231F20"/>
        </w:rPr>
        <w:t>See Note 8 for a description of these plans.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Convertible Preferred Stock</w:t>
      </w:r>
    </w:p>
    <w:p>
      <w:pPr>
        <w:spacing w:after="0" w:line="139"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2012</w:t>
      </w:r>
      <w:r>
        <w:rPr>
          <w:rFonts w:ascii="Arial" w:cs="Arial" w:eastAsia="Arial" w:hAnsi="Arial"/>
          <w:sz w:val="18"/>
          <w:szCs w:val="18"/>
          <w:color w:val="231F20"/>
        </w:rPr>
        <w:t xml:space="preserve">, there are </w:t>
      </w:r>
      <w:r>
        <w:rPr>
          <w:rFonts w:ascii="Arial" w:cs="Arial" w:eastAsia="Arial" w:hAnsi="Arial"/>
          <w:sz w:val="18"/>
          <w:szCs w:val="18"/>
          <w:color w:val="000000"/>
        </w:rPr>
        <w:t>no</w:t>
      </w:r>
      <w:r>
        <w:rPr>
          <w:rFonts w:ascii="Arial" w:cs="Arial" w:eastAsia="Arial" w:hAnsi="Arial"/>
          <w:sz w:val="18"/>
          <w:szCs w:val="18"/>
          <w:color w:val="231F20"/>
        </w:rPr>
        <w:t xml:space="preserve"> authorized, issued or outstanding shares of convertible preferred stock. All outstanding shares were converted to common stock immediately prior to the closing of the IPO on October 3, 2012.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1" w:right="2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3"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2011</w:t>
      </w:r>
      <w:r>
        <w:rPr>
          <w:rFonts w:ascii="Arial" w:cs="Arial" w:eastAsia="Arial" w:hAnsi="Arial"/>
          <w:sz w:val="18"/>
          <w:szCs w:val="18"/>
          <w:color w:val="231F20"/>
        </w:rPr>
        <w:t xml:space="preserve">, the Company was authorized to issue </w:t>
      </w:r>
      <w:r>
        <w:rPr>
          <w:rFonts w:ascii="Arial" w:cs="Arial" w:eastAsia="Arial" w:hAnsi="Arial"/>
          <w:sz w:val="18"/>
          <w:szCs w:val="18"/>
          <w:color w:val="000000"/>
        </w:rPr>
        <w:t>176,400,000</w:t>
      </w:r>
      <w:r>
        <w:rPr>
          <w:rFonts w:ascii="Arial" w:cs="Arial" w:eastAsia="Arial" w:hAnsi="Arial"/>
          <w:sz w:val="18"/>
          <w:szCs w:val="18"/>
          <w:color w:val="231F20"/>
        </w:rPr>
        <w:t xml:space="preserve"> shares of convertible preferred stock with a par value of </w:t>
      </w:r>
      <w:r>
        <w:rPr>
          <w:rFonts w:ascii="Arial" w:cs="Arial" w:eastAsia="Arial" w:hAnsi="Arial"/>
          <w:sz w:val="18"/>
          <w:szCs w:val="18"/>
          <w:color w:val="000000"/>
        </w:rPr>
        <w:t xml:space="preserve">$0.001 </w:t>
      </w:r>
      <w:r>
        <w:rPr>
          <w:rFonts w:ascii="Arial" w:cs="Arial" w:eastAsia="Arial" w:hAnsi="Arial"/>
          <w:sz w:val="18"/>
          <w:szCs w:val="18"/>
          <w:color w:val="231F20"/>
        </w:rPr>
        <w:t>per share. The Company had designated</w:t>
      </w:r>
      <w:r>
        <w:rPr>
          <w:rFonts w:ascii="Arial" w:cs="Arial" w:eastAsia="Arial" w:hAnsi="Arial"/>
          <w:sz w:val="18"/>
          <w:szCs w:val="18"/>
          <w:color w:val="000000"/>
        </w:rPr>
        <w:t xml:space="preserve"> 48,079,860 </w:t>
      </w:r>
      <w:r>
        <w:rPr>
          <w:rFonts w:ascii="Arial" w:cs="Arial" w:eastAsia="Arial" w:hAnsi="Arial"/>
          <w:sz w:val="18"/>
          <w:szCs w:val="18"/>
          <w:color w:val="231F20"/>
        </w:rPr>
        <w:t>shares as Series A Preferred Stock,</w:t>
      </w:r>
      <w:r>
        <w:rPr>
          <w:rFonts w:ascii="Arial" w:cs="Arial" w:eastAsia="Arial" w:hAnsi="Arial"/>
          <w:sz w:val="18"/>
          <w:szCs w:val="18"/>
          <w:color w:val="000000"/>
        </w:rPr>
        <w:t xml:space="preserve"> 110,314,114 </w:t>
      </w:r>
      <w:r>
        <w:rPr>
          <w:rFonts w:ascii="Arial" w:cs="Arial" w:eastAsia="Arial" w:hAnsi="Arial"/>
          <w:sz w:val="18"/>
          <w:szCs w:val="18"/>
          <w:color w:val="231F20"/>
        </w:rPr>
        <w:t>shares as Series B Preferred</w:t>
      </w:r>
      <w:r>
        <w:rPr>
          <w:rFonts w:ascii="Arial" w:cs="Arial" w:eastAsia="Arial" w:hAnsi="Arial"/>
          <w:sz w:val="18"/>
          <w:szCs w:val="18"/>
          <w:color w:val="000000"/>
        </w:rPr>
        <w:t xml:space="preserve"> </w:t>
      </w:r>
      <w:r>
        <w:rPr>
          <w:rFonts w:ascii="Arial" w:cs="Arial" w:eastAsia="Arial" w:hAnsi="Arial"/>
          <w:sz w:val="18"/>
          <w:szCs w:val="18"/>
          <w:color w:val="231F20"/>
        </w:rPr>
        <w:t xml:space="preserve">Stock, and </w:t>
      </w:r>
      <w:r>
        <w:rPr>
          <w:rFonts w:ascii="Arial" w:cs="Arial" w:eastAsia="Arial" w:hAnsi="Arial"/>
          <w:sz w:val="18"/>
          <w:szCs w:val="18"/>
          <w:color w:val="000000"/>
        </w:rPr>
        <w:t>18,006,026</w:t>
      </w:r>
      <w:r>
        <w:rPr>
          <w:rFonts w:ascii="Arial" w:cs="Arial" w:eastAsia="Arial" w:hAnsi="Arial"/>
          <w:sz w:val="18"/>
          <w:szCs w:val="18"/>
          <w:color w:val="231F20"/>
        </w:rPr>
        <w:t xml:space="preserve"> shares as Series C Preferred Stock.</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 xml:space="preserve">Effective October 3, 2012, the Company is authorized to issue </w:t>
      </w:r>
      <w:r>
        <w:rPr>
          <w:rFonts w:ascii="Arial" w:cs="Arial" w:eastAsia="Arial" w:hAnsi="Arial"/>
          <w:sz w:val="18"/>
          <w:szCs w:val="18"/>
          <w:color w:val="000000"/>
        </w:rPr>
        <w:t>20,000,000</w:t>
      </w:r>
      <w:r>
        <w:rPr>
          <w:rFonts w:ascii="Arial" w:cs="Arial" w:eastAsia="Arial" w:hAnsi="Arial"/>
          <w:sz w:val="18"/>
          <w:szCs w:val="18"/>
          <w:color w:val="231F20"/>
        </w:rPr>
        <w:t xml:space="preserve"> shares of undesignated preferred stock with a par value of </w:t>
      </w:r>
      <w:r>
        <w:rPr>
          <w:rFonts w:ascii="Arial" w:cs="Arial" w:eastAsia="Arial" w:hAnsi="Arial"/>
          <w:sz w:val="18"/>
          <w:szCs w:val="18"/>
          <w:color w:val="000000"/>
        </w:rPr>
        <w:t xml:space="preserve">$0.001 </w:t>
      </w:r>
      <w:r>
        <w:rPr>
          <w:rFonts w:ascii="Arial" w:cs="Arial" w:eastAsia="Arial" w:hAnsi="Arial"/>
          <w:sz w:val="18"/>
          <w:szCs w:val="18"/>
          <w:color w:val="231F20"/>
        </w:rPr>
        <w:t>per share. Each series of preferred stock will have such</w:t>
      </w:r>
      <w:r>
        <w:rPr>
          <w:rFonts w:ascii="Arial" w:cs="Arial" w:eastAsia="Arial" w:hAnsi="Arial"/>
          <w:sz w:val="18"/>
          <w:szCs w:val="18"/>
          <w:color w:val="000000"/>
        </w:rPr>
        <w:t xml:space="preserve"> rights and preferences including dividend rights, dividend rate, conversion rights, voting rights, rights and terms of redemption (including sinking fund provisions), redemption price, and liquidation preferences as determined by the Board. </w:t>
      </w:r>
      <w:r>
        <w:rPr>
          <w:rFonts w:ascii="Arial" w:cs="Arial" w:eastAsia="Arial" w:hAnsi="Arial"/>
          <w:sz w:val="18"/>
          <w:szCs w:val="18"/>
          <w:color w:val="231F20"/>
        </w:rPr>
        <w:t>As of</w:t>
      </w:r>
      <w:r>
        <w:rPr>
          <w:rFonts w:ascii="Arial" w:cs="Arial" w:eastAsia="Arial" w:hAnsi="Arial"/>
          <w:sz w:val="18"/>
          <w:szCs w:val="18"/>
          <w:color w:val="000000"/>
        </w:rPr>
        <w:t xml:space="preserve"> December 31, 2012</w:t>
      </w:r>
      <w:r>
        <w:rPr>
          <w:rFonts w:ascii="Arial" w:cs="Arial" w:eastAsia="Arial" w:hAnsi="Arial"/>
          <w:sz w:val="18"/>
          <w:szCs w:val="18"/>
          <w:color w:val="231F20"/>
        </w:rPr>
        <w:t>, there are no issued or outstanding shares of preferred stock.</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Warrants</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connection with the issuance of promissory notes in July 2005, the Company granted warrants to purchase 61,507 shares of Series C Preferred Stock at an exercise price of $3.66 per share. The warrants were sold to the note holders at a purchase price of $0.10 per share. In 2011, 30,754 shares of Series C Preferred Stock were purchased upon exercise of these warrants. No warrants are exercisable or outstanding as of December 31, 2012 and 2011.</w:t>
      </w:r>
    </w:p>
    <w:p>
      <w:pPr>
        <w:spacing w:after="0" w:line="150"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Also in connection with the notes, in May 2006, the Company granted warrants to purchase shares 8,185 of Series C Preferred Stock at an exercise price of $3.76 per share. In 2011, 4,094 shares of Series C Preferred Stock were purchased upon exercise of these warrants. No warrants are exercisable or outstanding as of December 31, 2012 and 2011.</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Employee Stock and Benefit Plans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Employee Stock Plans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our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our subsidiary corporations' employees and consultants. </w:t>
      </w:r>
      <w:r>
        <w:rPr>
          <w:rFonts w:ascii="Arial" w:cs="Arial" w:eastAsia="Arial" w:hAnsi="Arial"/>
          <w:sz w:val="18"/>
          <w:szCs w:val="18"/>
          <w:color w:val="000000"/>
        </w:rPr>
        <w:t>Options, SARs, RSAs, RSUs, performance</w:t>
      </w:r>
      <w:r>
        <w:rPr>
          <w:rFonts w:ascii="Arial" w:cs="Arial" w:eastAsia="Arial" w:hAnsi="Arial"/>
          <w:sz w:val="18"/>
          <w:szCs w:val="18"/>
          <w:color w:val="231F20"/>
        </w:rPr>
        <w:t xml:space="preserve"> </w:t>
      </w:r>
      <w:r>
        <w:rPr>
          <w:rFonts w:ascii="Arial" w:cs="Arial" w:eastAsia="Arial" w:hAnsi="Arial"/>
          <w:sz w:val="18"/>
          <w:szCs w:val="18"/>
          <w:color w:val="000000"/>
        </w:rPr>
        <w:t xml:space="preserve">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2012</w:t>
      </w:r>
      <w:r>
        <w:rPr>
          <w:rFonts w:ascii="Arial" w:cs="Arial" w:eastAsia="Arial" w:hAnsi="Arial"/>
          <w:sz w:val="18"/>
          <w:szCs w:val="18"/>
          <w:color w:val="231F20"/>
        </w:rPr>
        <w:t>,</w:t>
      </w:r>
      <w:r>
        <w:rPr>
          <w:rFonts w:ascii="Arial" w:cs="Arial" w:eastAsia="Arial" w:hAnsi="Arial"/>
          <w:sz w:val="18"/>
          <w:szCs w:val="18"/>
          <w:color w:val="000000"/>
        </w:rPr>
        <w:t xml:space="preserve"> 2,902,125 shares were available for grant under the 2012 Plan.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41" w:right="2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At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there were </w:t>
      </w:r>
      <w:r>
        <w:rPr>
          <w:rFonts w:ascii="Arial" w:cs="Arial" w:eastAsia="Arial" w:hAnsi="Arial"/>
          <w:sz w:val="18"/>
          <w:szCs w:val="18"/>
          <w:color w:val="000000"/>
        </w:rPr>
        <w:t>47,220</w:t>
      </w:r>
      <w:r>
        <w:rPr>
          <w:rFonts w:ascii="Arial" w:cs="Arial" w:eastAsia="Arial" w:hAnsi="Arial"/>
          <w:sz w:val="18"/>
          <w:szCs w:val="18"/>
          <w:color w:val="231F20"/>
        </w:rPr>
        <w:t xml:space="preserve"> and </w:t>
      </w:r>
      <w:r>
        <w:rPr>
          <w:rFonts w:ascii="Arial" w:cs="Arial" w:eastAsia="Arial" w:hAnsi="Arial"/>
          <w:sz w:val="18"/>
          <w:szCs w:val="18"/>
          <w:color w:val="000000"/>
        </w:rPr>
        <w:t>76,437</w:t>
      </w:r>
      <w:r>
        <w:rPr>
          <w:rFonts w:ascii="Arial" w:cs="Arial" w:eastAsia="Arial" w:hAnsi="Arial"/>
          <w:sz w:val="18"/>
          <w:szCs w:val="18"/>
          <w:color w:val="231F20"/>
        </w:rPr>
        <w:t xml:space="preserve"> shares, respectively, that were subject to the Company’s right to repurchase. Shares repurchased by the Company are added to the pool of options available for future grant. The Company repurchased </w:t>
      </w:r>
      <w:r>
        <w:rPr>
          <w:rFonts w:ascii="Arial" w:cs="Arial" w:eastAsia="Arial" w:hAnsi="Arial"/>
          <w:sz w:val="18"/>
          <w:szCs w:val="18"/>
          <w:color w:val="000000"/>
        </w:rPr>
        <w:t>60,126,</w:t>
      </w:r>
      <w:r>
        <w:rPr>
          <w:rFonts w:ascii="Arial" w:cs="Arial" w:eastAsia="Arial" w:hAnsi="Arial"/>
          <w:sz w:val="18"/>
          <w:szCs w:val="18"/>
          <w:color w:val="231F20"/>
        </w:rPr>
        <w:t xml:space="preserve"> </w:t>
      </w:r>
      <w:r>
        <w:rPr>
          <w:rFonts w:ascii="Arial" w:cs="Arial" w:eastAsia="Arial" w:hAnsi="Arial"/>
          <w:sz w:val="18"/>
          <w:szCs w:val="18"/>
          <w:color w:val="000000"/>
        </w:rPr>
        <w:t>1,000 and 136,876</w:t>
      </w:r>
      <w:r>
        <w:rPr>
          <w:rFonts w:ascii="Arial" w:cs="Arial" w:eastAsia="Arial" w:hAnsi="Arial"/>
          <w:sz w:val="18"/>
          <w:szCs w:val="18"/>
          <w:color w:val="231F20"/>
        </w:rPr>
        <w:t xml:space="preserve"> unvested common shares in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xml:space="preserve">, respectively. The amounts paid for these shares purchased under an early exercise of stock options are not reported as a component of stockholders’ equity (deficit) until those shares vest. The amounts received in exchange for these shares totaled </w:t>
      </w:r>
      <w:r>
        <w:rPr>
          <w:rFonts w:ascii="Arial" w:cs="Arial" w:eastAsia="Arial" w:hAnsi="Arial"/>
          <w:sz w:val="18"/>
          <w:szCs w:val="18"/>
          <w:color w:val="000000"/>
        </w:rPr>
        <w:t>$0.3 million</w:t>
      </w:r>
      <w:r>
        <w:rPr>
          <w:rFonts w:ascii="Arial" w:cs="Arial" w:eastAsia="Arial" w:hAnsi="Arial"/>
          <w:sz w:val="18"/>
          <w:szCs w:val="18"/>
          <w:color w:val="231F20"/>
        </w:rPr>
        <w:t xml:space="preserve"> and </w:t>
      </w:r>
      <w:r>
        <w:rPr>
          <w:rFonts w:ascii="Arial" w:cs="Arial" w:eastAsia="Arial" w:hAnsi="Arial"/>
          <w:sz w:val="18"/>
          <w:szCs w:val="18"/>
          <w:color w:val="000000"/>
        </w:rPr>
        <w:t>$0.4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have been recorded as an accrued liability in the accompanying consolidated balance sheets and will be reclassified to common stock and additional paid-in capital as the shares vest.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employee compensation is included in the consolidated statements of income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r>
      <w:tr>
        <w:trPr>
          <w:trHeight w:val="247"/>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60"/>
        </w:trPr>
        <w:tc>
          <w:tcPr>
            <w:tcW w:w="71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w:t>
            </w: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w:t>
      </w:r>
      <w:r>
        <w:rPr>
          <w:rFonts w:ascii="Arial" w:cs="Arial" w:eastAsia="Arial" w:hAnsi="Arial"/>
          <w:sz w:val="18"/>
          <w:szCs w:val="18"/>
          <w:color w:val="000000"/>
        </w:rPr>
        <w:t>$5.8 million</w:t>
      </w:r>
      <w:r>
        <w:rPr>
          <w:rFonts w:ascii="Arial" w:cs="Arial" w:eastAsia="Arial" w:hAnsi="Arial"/>
          <w:sz w:val="18"/>
          <w:szCs w:val="18"/>
          <w:color w:val="231F20"/>
        </w:rPr>
        <w:t xml:space="preserve"> of total unrecognized employee compensation cost related to nonvested awards that it expects to recognize over a weighted-average period of </w:t>
      </w:r>
      <w:r>
        <w:rPr>
          <w:rFonts w:ascii="Arial" w:cs="Arial" w:eastAsia="Arial" w:hAnsi="Arial"/>
          <w:sz w:val="18"/>
          <w:szCs w:val="18"/>
          <w:color w:val="000000"/>
        </w:rPr>
        <w:t>2</w:t>
      </w:r>
      <w:r>
        <w:rPr>
          <w:rFonts w:ascii="Arial" w:cs="Arial" w:eastAsia="Arial" w:hAnsi="Arial"/>
          <w:sz w:val="18"/>
          <w:szCs w:val="18"/>
          <w:color w:val="231F20"/>
        </w:rPr>
        <w:t xml:space="preserve"> years.</w:t>
      </w:r>
    </w:p>
    <w:p>
      <w:pPr>
        <w:spacing w:after="0" w:line="142"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rPr>
              <w:t>2010</w:t>
            </w: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680" w:type="dxa"/>
            <w:vAlign w:val="bottom"/>
            <w:gridSpan w:val="3"/>
            <w:shd w:val="clear" w:color="auto" w:fill="CCEEFF"/>
          </w:tcPr>
          <w:p>
            <w:pPr>
              <w:jc w:val="center"/>
              <w:ind w:left="259"/>
              <w:spacing w:after="0"/>
              <w:rPr>
                <w:sz w:val="20"/>
                <w:szCs w:val="20"/>
                <w:color w:val="auto"/>
              </w:rPr>
            </w:pPr>
            <w:r>
              <w:rPr>
                <w:rFonts w:ascii="Arial" w:cs="Arial" w:eastAsia="Arial" w:hAnsi="Arial"/>
                <w:sz w:val="16"/>
                <w:szCs w:val="16"/>
                <w:color w:val="auto"/>
                <w:w w:val="98"/>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5.5</w:t>
            </w:r>
          </w:p>
        </w:tc>
        <w:tc>
          <w:tcPr>
            <w:tcW w:w="560" w:type="dxa"/>
            <w:vAlign w:val="bottom"/>
            <w:shd w:val="clear" w:color="auto" w:fill="CCEEFF"/>
          </w:tcPr>
          <w:p>
            <w:pPr>
              <w:spacing w:after="0"/>
              <w:rPr>
                <w:sz w:val="22"/>
                <w:szCs w:val="22"/>
                <w:color w:val="auto"/>
              </w:rPr>
            </w:pPr>
          </w:p>
        </w:tc>
      </w:tr>
      <w:tr>
        <w:trPr>
          <w:trHeight w:val="260"/>
        </w:trPr>
        <w:tc>
          <w:tcPr>
            <w:tcW w:w="710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780" w:type="dxa"/>
            <w:vAlign w:val="bottom"/>
          </w:tcPr>
          <w:p>
            <w:pPr>
              <w:jc w:val="right"/>
              <w:spacing w:after="0"/>
              <w:rPr>
                <w:sz w:val="20"/>
                <w:szCs w:val="20"/>
                <w:color w:val="auto"/>
              </w:rPr>
            </w:pPr>
            <w:r>
              <w:rPr>
                <w:rFonts w:ascii="Arial" w:cs="Arial" w:eastAsia="Arial" w:hAnsi="Arial"/>
                <w:sz w:val="16"/>
                <w:szCs w:val="16"/>
                <w:color w:val="auto"/>
              </w:rPr>
              <w:t>52% to</w:t>
            </w:r>
          </w:p>
        </w:tc>
        <w:tc>
          <w:tcPr>
            <w:tcW w:w="380" w:type="dxa"/>
            <w:vAlign w:val="bottom"/>
          </w:tcPr>
          <w:p>
            <w:pPr>
              <w:ind w:left="20"/>
              <w:spacing w:after="0"/>
              <w:rPr>
                <w:sz w:val="20"/>
                <w:szCs w:val="20"/>
                <w:color w:val="auto"/>
              </w:rPr>
            </w:pPr>
            <w:r>
              <w:rPr>
                <w:rFonts w:ascii="Arial" w:cs="Arial" w:eastAsia="Arial" w:hAnsi="Arial"/>
                <w:sz w:val="16"/>
                <w:szCs w:val="16"/>
                <w:color w:val="auto"/>
              </w:rPr>
              <w:t>53%</w:t>
            </w:r>
          </w:p>
        </w:tc>
        <w:tc>
          <w:tcPr>
            <w:tcW w:w="1680" w:type="dxa"/>
            <w:vAlign w:val="bottom"/>
            <w:gridSpan w:val="3"/>
          </w:tcPr>
          <w:p>
            <w:pPr>
              <w:jc w:val="center"/>
              <w:ind w:left="239"/>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 to</w:t>
            </w:r>
          </w:p>
        </w:tc>
        <w:tc>
          <w:tcPr>
            <w:tcW w:w="560" w:type="dxa"/>
            <w:vAlign w:val="bottom"/>
          </w:tcPr>
          <w:p>
            <w:pPr>
              <w:spacing w:after="0"/>
              <w:rPr>
                <w:sz w:val="20"/>
                <w:szCs w:val="20"/>
                <w:color w:val="auto"/>
              </w:rPr>
            </w:pPr>
            <w:r>
              <w:rPr>
                <w:rFonts w:ascii="Arial" w:cs="Arial" w:eastAsia="Arial" w:hAnsi="Arial"/>
                <w:sz w:val="16"/>
                <w:szCs w:val="16"/>
                <w:color w:val="auto"/>
              </w:rPr>
              <w:t>58%</w:t>
            </w: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to</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0.9%</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0.9% to 2.3%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 to</w:t>
            </w:r>
          </w:p>
        </w:tc>
        <w:tc>
          <w:tcPr>
            <w:tcW w:w="560" w:type="dxa"/>
            <w:vAlign w:val="bottom"/>
            <w:shd w:val="clear" w:color="auto" w:fill="CCEEFF"/>
          </w:tcPr>
          <w:p>
            <w:pPr>
              <w:spacing w:after="0"/>
              <w:rPr>
                <w:sz w:val="20"/>
                <w:szCs w:val="20"/>
                <w:color w:val="auto"/>
              </w:rPr>
            </w:pPr>
            <w:r>
              <w:rPr>
                <w:rFonts w:ascii="Arial" w:cs="Arial" w:eastAsia="Arial" w:hAnsi="Arial"/>
                <w:sz w:val="16"/>
                <w:szCs w:val="16"/>
                <w:color w:val="auto"/>
              </w:rPr>
              <w:t>2.3%</w:t>
            </w:r>
          </w:p>
        </w:tc>
      </w:tr>
      <w:tr>
        <w:trPr>
          <w:trHeight w:val="251"/>
        </w:trPr>
        <w:tc>
          <w:tcPr>
            <w:tcW w:w="710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w:t>
            </w:r>
          </w:p>
        </w:tc>
        <w:tc>
          <w:tcPr>
            <w:tcW w:w="600" w:type="dxa"/>
            <w:vAlign w:val="bottom"/>
          </w:tcPr>
          <w:p>
            <w:pPr>
              <w:jc w:val="center"/>
              <w:ind w:left="279"/>
              <w:spacing w:after="0"/>
              <w:rPr>
                <w:sz w:val="20"/>
                <w:szCs w:val="20"/>
                <w:color w:val="auto"/>
              </w:rPr>
            </w:pPr>
            <w:r>
              <w:rPr>
                <w:rFonts w:ascii="Arial" w:cs="Arial" w:eastAsia="Arial" w:hAnsi="Arial"/>
                <w:sz w:val="16"/>
                <w:szCs w:val="16"/>
                <w:color w:val="auto"/>
                <w:w w:val="99"/>
              </w:rPr>
              <w:t>—</w:t>
            </w:r>
          </w:p>
        </w:tc>
        <w:tc>
          <w:tcPr>
            <w:tcW w:w="560" w:type="dxa"/>
            <w:vAlign w:val="bottom"/>
          </w:tcPr>
          <w:p>
            <w:pPr>
              <w:spacing w:after="0"/>
              <w:rPr>
                <w:sz w:val="21"/>
                <w:szCs w:val="21"/>
                <w:color w:val="auto"/>
              </w:rPr>
            </w:pPr>
          </w:p>
        </w:tc>
      </w:tr>
    </w:tbl>
    <w:p>
      <w:pPr>
        <w:spacing w:after="0" w:line="23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206"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$0.5 million, $0.1 million</w:t>
      </w:r>
      <w:r>
        <w:rPr>
          <w:rFonts w:ascii="Arial" w:cs="Arial" w:eastAsia="Arial" w:hAnsi="Arial"/>
          <w:sz w:val="18"/>
          <w:szCs w:val="18"/>
          <w:color w:val="231F20"/>
        </w:rPr>
        <w:t xml:space="preserve"> and </w:t>
      </w:r>
      <w:r>
        <w:rPr>
          <w:rFonts w:ascii="Arial" w:cs="Arial" w:eastAsia="Arial" w:hAnsi="Arial"/>
          <w:sz w:val="18"/>
          <w:szCs w:val="18"/>
          <w:color w:val="000000"/>
        </w:rPr>
        <w:t>$0.1 million</w:t>
      </w:r>
      <w:r>
        <w:rPr>
          <w:rFonts w:ascii="Arial" w:cs="Arial" w:eastAsia="Arial" w:hAnsi="Arial"/>
          <w:sz w:val="18"/>
          <w:szCs w:val="18"/>
          <w:color w:val="231F20"/>
        </w:rPr>
        <w:t xml:space="preserve"> for </w:t>
      </w:r>
      <w:r>
        <w:rPr>
          <w:rFonts w:ascii="Arial" w:cs="Arial" w:eastAsia="Arial" w:hAnsi="Arial"/>
          <w:sz w:val="18"/>
          <w:szCs w:val="18"/>
          <w:color w:val="000000"/>
        </w:rPr>
        <w:t>2012</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xml:space="preserve"> and </w:t>
      </w:r>
      <w:r>
        <w:rPr>
          <w:rFonts w:ascii="Arial" w:cs="Arial" w:eastAsia="Arial" w:hAnsi="Arial"/>
          <w:sz w:val="18"/>
          <w:szCs w:val="18"/>
          <w:color w:val="000000"/>
        </w:rPr>
        <w:t>2010</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1" w:right="2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56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Intrinsic</w:t>
            </w:r>
          </w:p>
        </w:tc>
      </w:tr>
      <w:tr>
        <w:trPr>
          <w:trHeight w:val="228"/>
        </w:trPr>
        <w:tc>
          <w:tcPr>
            <w:tcW w:w="5560" w:type="dxa"/>
            <w:vAlign w:val="bottom"/>
          </w:tcPr>
          <w:p>
            <w:pPr>
              <w:spacing w:after="0"/>
              <w:rPr>
                <w:sz w:val="19"/>
                <w:szCs w:val="19"/>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 (Years)</w:t>
            </w:r>
          </w:p>
        </w:tc>
        <w:tc>
          <w:tcPr>
            <w:tcW w:w="180" w:type="dxa"/>
            <w:vAlign w:val="bottom"/>
          </w:tcPr>
          <w:p>
            <w:pPr>
              <w:spacing w:after="0"/>
              <w:rPr>
                <w:sz w:val="19"/>
                <w:szCs w:val="19"/>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6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2009</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5,212,984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6,486</w:t>
            </w:r>
          </w:p>
        </w:tc>
      </w:tr>
      <w:tr>
        <w:trPr>
          <w:trHeight w:val="260"/>
        </w:trPr>
        <w:tc>
          <w:tcPr>
            <w:tcW w:w="55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1,357,702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2010</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5,600,875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6,964</w:t>
            </w:r>
          </w:p>
        </w:tc>
      </w:tr>
      <w:tr>
        <w:trPr>
          <w:trHeight w:val="260"/>
        </w:trPr>
        <w:tc>
          <w:tcPr>
            <w:tcW w:w="55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1,816,850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(672,997)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2011</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6,312,041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w:t>
            </w:r>
          </w:p>
        </w:tc>
      </w:tr>
      <w:tr>
        <w:trPr>
          <w:trHeight w:val="260"/>
        </w:trPr>
        <w:tc>
          <w:tcPr>
            <w:tcW w:w="55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1,478,781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4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6,513,508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0"/>
        </w:trPr>
        <w:tc>
          <w:tcPr>
            <w:tcW w:w="5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7"/>
        </w:trPr>
        <w:tc>
          <w:tcPr>
            <w:tcW w:w="5560" w:type="dxa"/>
            <w:vAlign w:val="bottom"/>
          </w:tcPr>
          <w:p>
            <w:pPr>
              <w:ind w:left="40"/>
              <w:spacing w:after="0"/>
              <w:rPr>
                <w:sz w:val="20"/>
                <w:szCs w:val="20"/>
                <w:color w:val="auto"/>
              </w:rPr>
            </w:pPr>
            <w:r>
              <w:rPr>
                <w:rFonts w:ascii="Arial" w:cs="Arial" w:eastAsia="Arial" w:hAnsi="Arial"/>
                <w:sz w:val="16"/>
                <w:szCs w:val="16"/>
                <w:color w:val="auto"/>
              </w:rPr>
              <w:t>Vested and expected to vest—December 31, 2012</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6,150,545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65,333</w:t>
            </w:r>
          </w:p>
        </w:tc>
      </w:tr>
      <w:tr>
        <w:trPr>
          <w:trHeight w:val="28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Exercisable—December 31, 2012</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6,366,588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66,184</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Vested</w:t>
            </w:r>
          </w:p>
        </w:tc>
        <w:tc>
          <w:tcPr>
            <w:tcW w:w="1180" w:type="dxa"/>
            <w:vAlign w:val="bottom"/>
            <w:tcBorders>
              <w:bottom w:val="single" w:sz="8" w:color="auto"/>
            </w:tcBorders>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Per</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$0.10 - $1.50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490,401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490,401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6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$1.60 - $1.90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945,782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945,782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8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$2.00 - $2.80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836,955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828,156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$2.90</w:t>
            </w:r>
          </w:p>
        </w:tc>
        <w:tc>
          <w:tcPr>
            <w:tcW w:w="2980" w:type="dxa"/>
            <w:vAlign w:val="bottom"/>
          </w:tcPr>
          <w:p>
            <w:pPr>
              <w:ind w:left="20"/>
              <w:spacing w:after="0"/>
              <w:rPr>
                <w:sz w:val="20"/>
                <w:szCs w:val="20"/>
                <w:color w:val="auto"/>
              </w:rPr>
            </w:pPr>
            <w:r>
              <w:rPr>
                <w:rFonts w:ascii="Arial" w:cs="Arial" w:eastAsia="Arial" w:hAnsi="Arial"/>
                <w:sz w:val="16"/>
                <w:szCs w:val="16"/>
                <w:color w:val="auto"/>
              </w:rPr>
              <w:t>- $3.80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1,183,268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620,391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$3.90</w:t>
            </w:r>
          </w:p>
        </w:tc>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$4.40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1,044,238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663,582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$4.50</w:t>
            </w:r>
          </w:p>
        </w:tc>
        <w:tc>
          <w:tcPr>
            <w:tcW w:w="2980" w:type="dxa"/>
            <w:vAlign w:val="bottom"/>
          </w:tcPr>
          <w:p>
            <w:pPr>
              <w:ind w:left="20"/>
              <w:spacing w:after="0"/>
              <w:rPr>
                <w:sz w:val="20"/>
                <w:szCs w:val="20"/>
                <w:color w:val="auto"/>
              </w:rPr>
            </w:pPr>
            <w:r>
              <w:rPr>
                <w:rFonts w:ascii="Arial" w:cs="Arial" w:eastAsia="Arial" w:hAnsi="Arial"/>
                <w:sz w:val="16"/>
                <w:szCs w:val="16"/>
                <w:color w:val="auto"/>
              </w:rPr>
              <w:t>- $6.90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1,025,646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353,989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273"/>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$7.00</w:t>
            </w:r>
          </w:p>
        </w:tc>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$13.60</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987,218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48,440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r>
      <w:tr>
        <w:trPr>
          <w:trHeight w:val="240"/>
        </w:trPr>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6,513,508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3,950,741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20"/>
        </w:trPr>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2012</w:t>
      </w:r>
      <w:r>
        <w:rPr>
          <w:rFonts w:ascii="Arial" w:cs="Arial" w:eastAsia="Arial" w:hAnsi="Arial"/>
          <w:sz w:val="18"/>
          <w:szCs w:val="18"/>
          <w:color w:val="231F20"/>
        </w:rPr>
        <w:t>,</w:t>
      </w:r>
      <w:r>
        <w:rPr>
          <w:rFonts w:ascii="Arial" w:cs="Arial" w:eastAsia="Arial" w:hAnsi="Arial"/>
          <w:sz w:val="18"/>
          <w:szCs w:val="18"/>
          <w:color w:val="auto"/>
        </w:rPr>
        <w:t xml:space="preserve"> 2011 </w:t>
      </w:r>
      <w:r>
        <w:rPr>
          <w:rFonts w:ascii="Arial" w:cs="Arial" w:eastAsia="Arial" w:hAnsi="Arial"/>
          <w:sz w:val="18"/>
          <w:szCs w:val="18"/>
          <w:color w:val="231F20"/>
        </w:rPr>
        <w:t>and</w:t>
      </w:r>
      <w:r>
        <w:rPr>
          <w:rFonts w:ascii="Arial" w:cs="Arial" w:eastAsia="Arial" w:hAnsi="Arial"/>
          <w:sz w:val="18"/>
          <w:szCs w:val="18"/>
          <w:color w:val="auto"/>
        </w:rPr>
        <w:t xml:space="preserve"> 2010 was $4.27, $2.56 and $2.14, respectively. The aggregate grant date fair value of the Company’s stock options granted during 2012</w:t>
      </w:r>
      <w:r>
        <w:rPr>
          <w:rFonts w:ascii="Arial" w:cs="Arial" w:eastAsia="Arial" w:hAnsi="Arial"/>
          <w:sz w:val="18"/>
          <w:szCs w:val="18"/>
          <w:color w:val="231F20"/>
        </w:rPr>
        <w:t>,</w:t>
      </w:r>
      <w:r>
        <w:rPr>
          <w:rFonts w:ascii="Arial" w:cs="Arial" w:eastAsia="Arial" w:hAnsi="Arial"/>
          <w:sz w:val="18"/>
          <w:szCs w:val="18"/>
          <w:color w:val="auto"/>
        </w:rPr>
        <w:t xml:space="preserve"> 2011 </w:t>
      </w:r>
      <w:r>
        <w:rPr>
          <w:rFonts w:ascii="Arial" w:cs="Arial" w:eastAsia="Arial" w:hAnsi="Arial"/>
          <w:sz w:val="18"/>
          <w:szCs w:val="18"/>
          <w:color w:val="231F20"/>
        </w:rPr>
        <w:t>and</w:t>
      </w:r>
      <w:r>
        <w:rPr>
          <w:rFonts w:ascii="Arial" w:cs="Arial" w:eastAsia="Arial" w:hAnsi="Arial"/>
          <w:sz w:val="18"/>
          <w:szCs w:val="18"/>
          <w:color w:val="auto"/>
        </w:rPr>
        <w:t xml:space="preserve"> 2010 was $6.3 million, $4.7 million and $2.9 million, respectively.</w:t>
      </w:r>
    </w:p>
    <w:p>
      <w:pPr>
        <w:spacing w:after="0" w:line="148"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The intrinsic value of options exercised was $4.0 million, $0.8 million and $0.7 million during 2012</w:t>
      </w:r>
      <w:r>
        <w:rPr>
          <w:rFonts w:ascii="Arial" w:cs="Arial" w:eastAsia="Arial" w:hAnsi="Arial"/>
          <w:sz w:val="18"/>
          <w:szCs w:val="18"/>
          <w:color w:val="231F20"/>
        </w:rPr>
        <w:t>,</w:t>
      </w:r>
      <w:r>
        <w:rPr>
          <w:rFonts w:ascii="Arial" w:cs="Arial" w:eastAsia="Arial" w:hAnsi="Arial"/>
          <w:sz w:val="18"/>
          <w:szCs w:val="18"/>
          <w:color w:val="auto"/>
        </w:rPr>
        <w:t xml:space="preserve"> 2011 </w:t>
      </w:r>
      <w:r>
        <w:rPr>
          <w:rFonts w:ascii="Arial" w:cs="Arial" w:eastAsia="Arial" w:hAnsi="Arial"/>
          <w:sz w:val="18"/>
          <w:szCs w:val="18"/>
          <w:color w:val="231F20"/>
        </w:rPr>
        <w:t>and</w:t>
      </w:r>
      <w:r>
        <w:rPr>
          <w:rFonts w:ascii="Arial" w:cs="Arial" w:eastAsia="Arial" w:hAnsi="Arial"/>
          <w:sz w:val="18"/>
          <w:szCs w:val="18"/>
          <w:color w:val="auto"/>
        </w:rPr>
        <w:t xml:space="preserve"> 2010, respectively. Intrinsic value of an option is the difference between the fair value of the Company’s common stock at the time of exercise and the exercise price paid.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terms and conditions of RSAs, including vesting criteria and timing are set by the board of directors. The cost of RSAs is determined using the fair value of the Company’s common stock on the date of the grant. Compensation cost is recognized on a straight-line basis over the requisite service period of each grant adjusted for estimated forfeitures. Recipients of RSAs generally have voting and dividend rights without regard to vesting. The Company has the right to repurchase shares that do not vest.</w:t>
      </w:r>
    </w:p>
    <w:p>
      <w:pPr>
        <w:sectPr>
          <w:pgSz w:w="11900" w:h="16838" w:orient="portrait"/>
          <w:cols w:equalWidth="0" w:num="1">
            <w:col w:w="11420"/>
          </w:cols>
          <w:pgMar w:left="240" w:top="14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41"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During 2012, the Company granted 1,000 shares of restricted stock, which vested immediately and had no further restrictions or service period, and resulted in compensation expense of $14,000.</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To date, the Company has not made any contributions to the 401(k) Plan.</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Other Income (Expense), Net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gains (losses)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Amortization of premiums on short-term investments</w:t>
            </w:r>
          </w:p>
        </w:tc>
        <w:tc>
          <w:tcPr>
            <w:tcW w:w="10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0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6400" w:type="dxa"/>
            <w:vAlign w:val="bottom"/>
            <w:gridSpan w:val="2"/>
          </w:tcPr>
          <w:p>
            <w:pPr>
              <w:ind w:left="380"/>
              <w:spacing w:after="0"/>
              <w:rPr>
                <w:sz w:val="20"/>
                <w:szCs w:val="20"/>
                <w:color w:val="auto"/>
              </w:rPr>
            </w:pPr>
            <w:r>
              <w:rPr>
                <w:rFonts w:ascii="Arial" w:cs="Arial" w:eastAsia="Arial" w:hAnsi="Arial"/>
                <w:sz w:val="16"/>
                <w:szCs w:val="16"/>
                <w:color w:val="auto"/>
              </w:rPr>
              <w:t>Other income (expense), net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10.</w:t>
            </w:r>
          </w:p>
        </w:tc>
        <w:tc>
          <w:tcPr>
            <w:tcW w:w="53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Income Taxes</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060" w:type="dxa"/>
            <w:vAlign w:val="bottom"/>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(loss) before provision for (benefit from)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47"/>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47"/>
        </w:trPr>
        <w:tc>
          <w:tcPr>
            <w:tcW w:w="6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64"/>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57"/>
        </w:trPr>
        <w:tc>
          <w:tcPr>
            <w:tcW w:w="6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 (benefit)</w:t>
            </w:r>
          </w:p>
        </w:tc>
        <w:tc>
          <w:tcPr>
            <w:tcW w:w="1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54"/>
        </w:trPr>
        <w:tc>
          <w:tcPr>
            <w:tcW w:w="6400" w:type="dxa"/>
            <w:vAlign w:val="bottom"/>
          </w:tcPr>
          <w:p>
            <w:pPr>
              <w:ind w:left="40"/>
              <w:spacing w:after="0"/>
              <w:rPr>
                <w:sz w:val="20"/>
                <w:szCs w:val="20"/>
                <w:color w:val="auto"/>
              </w:rPr>
            </w:pPr>
            <w:r>
              <w:rPr>
                <w:rFonts w:ascii="Arial" w:cs="Arial" w:eastAsia="Arial" w:hAnsi="Arial"/>
                <w:sz w:val="16"/>
                <w:szCs w:val="16"/>
                <w:color w:val="auto"/>
              </w:rPr>
              <w:t>Deferred</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1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400" w:type="dxa"/>
            <w:vAlign w:val="bottom"/>
          </w:tcPr>
          <w:p>
            <w:pPr>
              <w:ind w:left="720"/>
              <w:spacing w:after="0"/>
              <w:rPr>
                <w:sz w:val="20"/>
                <w:szCs w:val="20"/>
                <w:color w:val="auto"/>
              </w:rPr>
            </w:pPr>
            <w:r>
              <w:rPr>
                <w:rFonts w:ascii="Arial" w:cs="Arial" w:eastAsia="Arial" w:hAnsi="Arial"/>
                <w:sz w:val="16"/>
                <w:szCs w:val="16"/>
                <w:color w:val="auto"/>
              </w:rPr>
              <w:t>Total deferred provision (benefit)</w:t>
            </w:r>
          </w:p>
        </w:tc>
        <w:tc>
          <w:tcPr>
            <w:tcW w:w="1120" w:type="dxa"/>
            <w:vAlign w:val="bottom"/>
          </w:tcPr>
          <w:p>
            <w:pPr>
              <w:spacing w:after="0"/>
              <w:rPr>
                <w:sz w:val="21"/>
                <w:szCs w:val="21"/>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6400" w:type="dxa"/>
            <w:vAlign w:val="bottom"/>
            <w:tcBorders>
              <w:top w:val="single" w:sz="8" w:color="CCEEFF"/>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provision for (benefit from) income taxes</w:t>
            </w: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1" w:right="2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of 34.0% to the Company’s effective tax rate is as follows:</w:t>
      </w:r>
    </w:p>
    <w:p>
      <w:pPr>
        <w:spacing w:after="0" w:line="181"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432"/>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60"/>
        </w:trPr>
        <w:tc>
          <w:tcPr>
            <w:tcW w:w="722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280"/>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81.3</w:t>
            </w:r>
          </w:p>
        </w:tc>
      </w:tr>
      <w:tr>
        <w:trPr>
          <w:trHeight w:val="260"/>
        </w:trPr>
        <w:tc>
          <w:tcPr>
            <w:tcW w:w="722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(50.8)</w:t>
            </w:r>
          </w:p>
        </w:tc>
      </w:tr>
      <w:tr>
        <w:trPr>
          <w:trHeight w:val="280"/>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(102.3)</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r>
      <w:tr>
        <w:trPr>
          <w:trHeight w:val="240"/>
        </w:trPr>
        <w:tc>
          <w:tcPr>
            <w:tcW w:w="7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19,658</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22,584</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3,744</w:t>
            </w: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409</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463</w:t>
            </w:r>
          </w:p>
        </w:tc>
      </w:tr>
      <w:tr>
        <w:trPr>
          <w:trHeight w:val="257"/>
        </w:trPr>
        <w:tc>
          <w:tcPr>
            <w:tcW w:w="81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Gross deferred tax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29,121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29,716</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(26,766)</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2,950</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Intangible assets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Net deferred tax assets (liabilities)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and non-current deferred tax assets and liabilities included in the consolidated balance sheets are recorded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r>
      <w:tr>
        <w:trPr>
          <w:trHeight w:val="247"/>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deferred tax assets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Current deferred tax liabilities</w:t>
            </w:r>
          </w:p>
        </w:tc>
        <w:tc>
          <w:tcPr>
            <w:tcW w:w="10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deferred tax assets</w:t>
            </w:r>
          </w:p>
        </w:tc>
        <w:tc>
          <w:tcPr>
            <w:tcW w:w="10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deferred tax liabilities</w:t>
            </w: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deferred tax assets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41" w:right="2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As of December 31, 2012, we have provided a valuation allowance for our deferred tax assets that we believe are not more likely than not realizable. The valuation allowance decreased by $0.5 million for 2012 and decreased by $0.8 million for 2011.</w:t>
      </w:r>
    </w:p>
    <w:p>
      <w:pPr>
        <w:spacing w:after="0" w:line="14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At December 31, 2012, the Company had federal and state net operating loss carryforwards of approximately $52.9 million and $29.5 million, respectively, available to reduce federal and state taxable income. The Company’s federal net operating losses expire in the years 2021 to 2031, and its state net operating losses expire from 2013 to 2030. Utilization of the Company’s net operating loss carryforwards may be subject to a substantial annual limitation due to the ownership change limitations provided by the Internal Revenue Code and similar state provisions. Such an annual limitation could result in the expiration of the net operating loss carryforwards before utilization. As of December 31, 2012, the Company had federal and state research and development credits of $3.1 million and $3.8 million, respectively. Federal research and development credits expire in the years 2022 to 2031. State research and development credits do not expire.</w:t>
      </w:r>
    </w:p>
    <w:p>
      <w:pPr>
        <w:spacing w:after="0" w:line="15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U.S. income taxes were not provided on undistributed earnings from investments in non-U.S. subsidiaries as the Company intends to continue to reinvest the earnings of these foreign subsidiaries indefinitely. The Company’s share of undistributed earnings of foreign subsidiaries that could be subject to additional U.S. income tax if remitted was approximately $8.2 million and $7.5 million as of December 31, 2012 and 2011, respectively. Determination of the amount of unrecognized deferred tax liability for temporary differences related to investments in these non-U.S. subsidiaries that are essentially permanent in duration is not practicable.</w:t>
      </w:r>
    </w:p>
    <w:p>
      <w:pPr>
        <w:spacing w:after="0" w:line="152" w:lineRule="exact"/>
        <w:rPr>
          <w:sz w:val="20"/>
          <w:szCs w:val="20"/>
          <w:color w:val="auto"/>
        </w:rPr>
      </w:pPr>
    </w:p>
    <w:p>
      <w:pPr>
        <w:jc w:val="both"/>
        <w:ind w:right="120" w:firstLine="405"/>
        <w:spacing w:after="0" w:line="254" w:lineRule="auto"/>
        <w:rPr>
          <w:sz w:val="20"/>
          <w:szCs w:val="20"/>
          <w:color w:val="auto"/>
        </w:rPr>
      </w:pPr>
      <w:r>
        <w:rPr>
          <w:rFonts w:ascii="Arial" w:cs="Arial" w:eastAsia="Arial" w:hAnsi="Arial"/>
          <w:sz w:val="18"/>
          <w:szCs w:val="18"/>
          <w:color w:val="auto"/>
        </w:rPr>
        <w:t>The evaluation of a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13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47"/>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Lapse of statute of limitations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4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unrecognized tax benefits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The unrecognized tax benefits, if recognized and in absence of full valuation allowance, would impact the income tax provision by $1.0 million, $1.2 million and $0.5 million as of December 31, 2012, 2011 and 2010, respectively.</w:t>
      </w:r>
    </w:p>
    <w:p>
      <w:pPr>
        <w:spacing w:after="0" w:line="156"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The Company has elected to include interest and penalties as a component of income tax expense. The amounts were not material for 2012, 2011 and 2010.</w:t>
      </w:r>
    </w:p>
    <w:p>
      <w:pPr>
        <w:spacing w:after="0" w:line="142"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2007 to 2012 remain open to examination by the major taxing jurisdictions in which the Company is subject to tax, with the exception of France which remains open to examination for the 2011 and 2012 tax years only. As of December 31, 2012, the Company was not under examination by the Internal Revenue Service or any state tax jurisdictions.</w:t>
      </w:r>
    </w:p>
    <w:p>
      <w:pPr>
        <w:spacing w:after="0" w:line="150"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On January 2, 2013, the American Taxpayer Relief Act of 2012 (H.R. 8) was signed into law which retroactively extends the federal research and development credit from January 1, 2012 through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1" w:right="2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(“CODM”)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2011</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47"/>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(in thousands)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62,616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51,044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43,669</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28,804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25,168</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21,763</w:t>
            </w:r>
          </w:p>
        </w:tc>
      </w:tr>
      <w:tr>
        <w:trPr>
          <w:trHeight w:val="26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91,420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76,212</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65,432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property and equipment locations outside the United States were not material.</w:t>
      </w:r>
    </w:p>
    <w:p>
      <w:pPr>
        <w:spacing w:after="0" w:line="36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Net Income Per Share Attributable to Common Stockholders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computations for basic and diluted net income per share attributable to common stockholders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center"/>
              <w:ind w:right="37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47"/>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0" w:type="dxa"/>
            <w:vAlign w:val="bottom"/>
            <w:gridSpan w:val="7"/>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2,280</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47"/>
        </w:trPr>
        <w:tc>
          <w:tcPr>
            <w:tcW w:w="640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 - basic</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Undistributed earnings reallocated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80"/>
        </w:trPr>
        <w:tc>
          <w:tcPr>
            <w:tcW w:w="640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 - diluted</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2,277</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24"/>
                <w:szCs w:val="24"/>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5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10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0" w:type="dxa"/>
            <w:vAlign w:val="bottom"/>
          </w:tcPr>
          <w:p>
            <w:pPr>
              <w:ind w:left="360"/>
              <w:spacing w:after="0"/>
              <w:rPr>
                <w:sz w:val="20"/>
                <w:szCs w:val="20"/>
                <w:color w:val="auto"/>
              </w:rPr>
            </w:pPr>
            <w:r>
              <w:rPr>
                <w:rFonts w:ascii="Arial" w:cs="Arial" w:eastAsia="Arial" w:hAnsi="Arial"/>
                <w:sz w:val="16"/>
                <w:szCs w:val="16"/>
                <w:color w:val="auto"/>
              </w:rPr>
              <w:t>common stockholders - basic</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11,891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5,053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4,706</w:t>
            </w: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0" w:type="dxa"/>
            <w:vAlign w:val="bottom"/>
          </w:tcPr>
          <w:p>
            <w:pPr>
              <w:ind w:left="600"/>
              <w:spacing w:after="0"/>
              <w:rPr>
                <w:sz w:val="20"/>
                <w:szCs w:val="20"/>
                <w:color w:val="auto"/>
              </w:rPr>
            </w:pPr>
            <w:r>
              <w:rPr>
                <w:rFonts w:ascii="Arial" w:cs="Arial" w:eastAsia="Arial" w:hAnsi="Arial"/>
                <w:sz w:val="16"/>
                <w:szCs w:val="16"/>
                <w:color w:val="auto"/>
              </w:rPr>
              <w:t>Convertible preferred stock</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13,270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17,590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17,562</w:t>
            </w: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60"/>
        </w:trPr>
        <w:tc>
          <w:tcPr>
            <w:tcW w:w="6400" w:type="dxa"/>
            <w:vAlign w:val="bottom"/>
          </w:tcPr>
          <w:p>
            <w:pPr>
              <w:ind w:left="600"/>
              <w:spacing w:after="0"/>
              <w:rPr>
                <w:sz w:val="20"/>
                <w:szCs w:val="20"/>
                <w:color w:val="auto"/>
              </w:rPr>
            </w:pPr>
            <w:r>
              <w:rPr>
                <w:rFonts w:ascii="Arial" w:cs="Arial" w:eastAsia="Arial" w:hAnsi="Arial"/>
                <w:sz w:val="16"/>
                <w:szCs w:val="16"/>
                <w:color w:val="auto"/>
              </w:rPr>
              <w:t>Warrants</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64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Contingently issuable shares related to an acquisition</w:t>
            </w:r>
          </w:p>
        </w:tc>
        <w:tc>
          <w:tcPr>
            <w:tcW w:w="10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8"/>
        </w:trPr>
        <w:tc>
          <w:tcPr>
            <w:tcW w:w="6400" w:type="dxa"/>
            <w:vAlign w:val="bottom"/>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98"/>
              </w:rPr>
              <w:t>28,352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24,194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23,562</w:t>
            </w:r>
          </w:p>
        </w:tc>
        <w:tc>
          <w:tcPr>
            <w:tcW w:w="0" w:type="dxa"/>
            <w:vAlign w:val="bottom"/>
          </w:tcPr>
          <w:p>
            <w:pPr>
              <w:spacing w:after="0"/>
              <w:rPr>
                <w:sz w:val="1"/>
                <w:szCs w:val="1"/>
                <w:color w:val="auto"/>
              </w:rPr>
            </w:pPr>
          </w:p>
        </w:tc>
      </w:tr>
      <w:tr>
        <w:trPr>
          <w:trHeight w:val="238"/>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stockholders - diluted</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attributable to common stockholders</w:t>
            </w: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8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1" w:right="2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19"/>
                <w:szCs w:val="19"/>
                <w:color w:val="auto"/>
              </w:rPr>
            </w:pPr>
          </w:p>
        </w:tc>
        <w:tc>
          <w:tcPr>
            <w:tcW w:w="1900" w:type="dxa"/>
            <w:vAlign w:val="bottom"/>
          </w:tcPr>
          <w:p>
            <w:pPr>
              <w:jc w:val="right"/>
              <w:ind w:right="839"/>
              <w:spacing w:after="0"/>
              <w:rPr>
                <w:sz w:val="20"/>
                <w:szCs w:val="20"/>
                <w:color w:val="auto"/>
              </w:rPr>
            </w:pPr>
            <w:r>
              <w:rPr>
                <w:rFonts w:ascii="Arial" w:cs="Arial" w:eastAsia="Arial" w:hAnsi="Arial"/>
                <w:sz w:val="16"/>
                <w:szCs w:val="16"/>
                <w:b w:val="1"/>
                <w:bCs w:val="1"/>
                <w:color w:val="auto"/>
              </w:rPr>
              <w:t>2011</w:t>
            </w: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2010</w:t>
            </w:r>
          </w:p>
        </w:tc>
      </w:tr>
      <w:tr>
        <w:trPr>
          <w:trHeight w:val="247"/>
        </w:trPr>
        <w:tc>
          <w:tcPr>
            <w:tcW w:w="64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(in thousands)</w:t>
            </w:r>
          </w:p>
        </w:tc>
        <w:tc>
          <w:tcPr>
            <w:tcW w:w="1380" w:type="dxa"/>
            <w:vAlign w:val="bottom"/>
            <w:tcBorders>
              <w:top w:val="single" w:sz="8" w:color="auto"/>
            </w:tcBorders>
          </w:tcPr>
          <w:p>
            <w:pPr>
              <w:spacing w:after="0"/>
              <w:rPr>
                <w:sz w:val="21"/>
                <w:szCs w:val="21"/>
                <w:color w:val="auto"/>
              </w:rPr>
            </w:pPr>
          </w:p>
        </w:tc>
      </w:tr>
      <w:tr>
        <w:trPr>
          <w:trHeight w:val="280"/>
        </w:trPr>
        <w:tc>
          <w:tcPr>
            <w:tcW w:w="7500" w:type="dxa"/>
            <w:vAlign w:val="bottom"/>
            <w:gridSpan w:val="2"/>
            <w:shd w:val="clear" w:color="auto" w:fill="CCEEFF"/>
          </w:tcPr>
          <w:p>
            <w:pPr>
              <w:jc w:val="right"/>
              <w:ind w:right="5820"/>
              <w:spacing w:after="0"/>
              <w:rPr>
                <w:sz w:val="20"/>
                <w:szCs w:val="20"/>
                <w:color w:val="auto"/>
              </w:rPr>
            </w:pPr>
            <w:r>
              <w:rPr>
                <w:rFonts w:ascii="Arial" w:cs="Arial" w:eastAsia="Arial" w:hAnsi="Arial"/>
                <w:sz w:val="16"/>
                <w:szCs w:val="16"/>
                <w:color w:val="auto"/>
              </w:rPr>
              <w:t>Common stock options</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772</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2,758</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1,948</w:t>
            </w:r>
          </w:p>
        </w:tc>
      </w:tr>
    </w:tbl>
    <w:p>
      <w:pPr>
        <w:spacing w:after="0" w:line="3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Quarterly Financial Information (Unaudited)</w:t>
      </w:r>
    </w:p>
    <w:p>
      <w:pPr>
        <w:spacing w:after="0" w:line="12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following table sets forth our unaudited consolidated statements of income data for each of the quarters in the two-year period ended December 31, 2012. The unaudited quarterly consolidated statements of income data set forth below have been prepared on the same basis as the audited consolidated financial statements included elsewhere in this Annual Report on Form 10-K and, in the opinion of management, reflect all necessary adjustments, which consist only of normal recurring adjustments, necessary for a fair presentation of such data. Our historical results are not necessarily indicative of the results for the full year or any other period. This data should be read together with our consolidated financial statements and the related notes included elsewhere in this Annual Report on Form 10-K.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19,375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24,657</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4,922</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7,985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8,797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9,911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2,249</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13,980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14,351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15,156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18,049</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provision for (benefit from)</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attributable to common</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11"/>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income (loss) per share attributable to</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stockholders: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00" w:hanging="130"/>
        <w:spacing w:after="0"/>
        <w:tabs>
          <w:tab w:leader="none" w:pos="30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Includes significant foreign currency exchange losses in the three months ended September 30, 2011 and December 31, 2011.</w:t>
      </w:r>
    </w:p>
    <w:p>
      <w:pPr>
        <w:ind w:left="420" w:right="120" w:hanging="250"/>
        <w:spacing w:after="0" w:line="218" w:lineRule="auto"/>
        <w:tabs>
          <w:tab w:leader="none" w:pos="327"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a benefit from income taxes in the three months ended June 30, 2012 primarily resulting from reductions in the liability for uncertain tax positions due to the lapse of the statute of limitations or closure of tax years due to a completed audit of our French subsidiary.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1" w:right="2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right="120" w:firstLine="405"/>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2012, our Chief Executive Officer and Chief Financial Officer concluded that, as of such date, our disclosure controls and procedures were effective at the reasonable assurance level.</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 As of December 31, 2013, Section 404 of the Sarbanes-Oxley Act will require our management to provide a report on the effectiveness of our internal control over financial reporting. Our independent registered public accounting firm will not be required to formally attest to the effectiveness of our internal control over financial reporting until the later of Annual Report on Form 10-K for the year ending December 31, 2013 or the first annual report required to be filed with the SEC following the date we are no longer an "emerging growth company" as defined in the JOBS Act. We are in the process of performing the system and process documentation, evaluation and testing required for management to make this assessment and for its independent auditors to provide its attestation report. We have not completed this process or its assessment, and this process will require significant amounts of management time and resources. In the course of evaluation and testing, management may identify deficiencies that will need to be addressed and remediated.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2012 that has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41" w:right="29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2013 Annual Meeting of Stockholders to be filed with the SEC within 120 days after the end of the fiscal year ended December 31, 2012.</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2013 Annual Meeting of Stockholders to be filed with the SEC within 120 days after the end of the fiscal year ended December 31, 2012.</w:t>
      </w:r>
    </w:p>
    <w:p>
      <w:pPr>
        <w:spacing w:after="0" w:line="200" w:lineRule="exact"/>
        <w:rPr>
          <w:sz w:val="20"/>
          <w:szCs w:val="20"/>
          <w:color w:val="auto"/>
        </w:rPr>
      </w:pPr>
    </w:p>
    <w:p>
      <w:pPr>
        <w:spacing w:after="0" w:line="352" w:lineRule="exact"/>
        <w:rPr>
          <w:sz w:val="20"/>
          <w:szCs w:val="20"/>
          <w:color w:val="auto"/>
        </w:rPr>
      </w:pPr>
    </w:p>
    <w:p>
      <w:pPr>
        <w:ind w:left="40" w:right="240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2013 Annual Meeting of Stockholders to be filed with the SEC within 120 days after the end of the fiscal year ended December 31, 2012. For the information required by this item with respect to</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2013 Annual Meeting of Stockholders to be filed with the SEC within 120 days after the end of the fiscal year ended December 31, 2012.</w:t>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2013 Annual Meeting of Stockholders to be filed with the SEC within 120 days after the end of the fiscal year ended December 31, 2012.</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141" w:right="31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Charged to Costs and</w:t>
            </w:r>
          </w:p>
        </w:tc>
        <w:tc>
          <w:tcPr>
            <w:tcW w:w="204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Deductions and Other</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9"/>
              </w:rPr>
              <w:t>of Year</w:t>
            </w:r>
          </w:p>
        </w:tc>
        <w:tc>
          <w:tcPr>
            <w:tcW w:w="320" w:type="dxa"/>
            <w:vAlign w:val="bottom"/>
          </w:tcPr>
          <w:p>
            <w:pPr>
              <w:spacing w:after="0"/>
              <w:rPr>
                <w:sz w:val="6"/>
                <w:szCs w:val="6"/>
                <w:color w:val="auto"/>
              </w:rPr>
            </w:pPr>
          </w:p>
        </w:tc>
        <w:tc>
          <w:tcPr>
            <w:tcW w:w="15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Expenses</w:t>
            </w:r>
          </w:p>
        </w:tc>
        <w:tc>
          <w:tcPr>
            <w:tcW w:w="2040" w:type="dxa"/>
            <w:vAlign w:val="bottom"/>
            <w:gridSpan w:val="3"/>
            <w:vMerge w:val="continue"/>
          </w:tcPr>
          <w:p>
            <w:pPr>
              <w:spacing w:after="0"/>
              <w:rPr>
                <w:sz w:val="6"/>
                <w:szCs w:val="6"/>
                <w:color w:val="auto"/>
              </w:rPr>
            </w:pPr>
          </w:p>
        </w:tc>
        <w:tc>
          <w:tcPr>
            <w:tcW w:w="1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0" w:type="dxa"/>
            <w:vAlign w:val="bottom"/>
          </w:tcPr>
          <w:p>
            <w:pPr>
              <w:spacing w:after="0"/>
              <w:rPr>
                <w:sz w:val="1"/>
                <w:szCs w:val="1"/>
                <w:color w:val="auto"/>
              </w:rPr>
            </w:pPr>
          </w:p>
        </w:tc>
      </w:tr>
      <w:tr>
        <w:trPr>
          <w:trHeight w:val="157"/>
        </w:trPr>
        <w:tc>
          <w:tcPr>
            <w:tcW w:w="3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right"/>
              <w:ind w:right="766"/>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40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Year ended December 31, 2011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51"/>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The exhibits listed on the Exhibit Index (following the Signatures section of this report) are included, or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1" w:right="2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Redwood City, State of California</w:t>
      </w:r>
      <w:r>
        <w:rPr>
          <w:rFonts w:ascii="Arial" w:cs="Arial" w:eastAsia="Arial" w:hAnsi="Arial"/>
          <w:sz w:val="18"/>
          <w:szCs w:val="18"/>
          <w:color w:val="auto"/>
        </w:rPr>
        <w:t xml:space="preserve"> </w:t>
      </w:r>
      <w:r>
        <w:rPr>
          <w:rFonts w:ascii="Arial" w:cs="Arial" w:eastAsia="Arial" w:hAnsi="Arial"/>
          <w:sz w:val="18"/>
          <w:szCs w:val="18"/>
          <w:color w:val="231F20"/>
        </w:rPr>
        <w:t>on March 5, 2013.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Chairman,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ind w:left="1740"/>
              <w:spacing w:after="0"/>
              <w:rPr>
                <w:sz w:val="20"/>
                <w:szCs w:val="20"/>
                <w:color w:val="auto"/>
              </w:rPr>
            </w:pPr>
            <w:r>
              <w:rPr>
                <w:rFonts w:ascii="Arial" w:cs="Arial" w:eastAsia="Arial" w:hAnsi="Arial"/>
                <w:sz w:val="18"/>
                <w:szCs w:val="18"/>
                <w:color w:val="auto"/>
              </w:rPr>
              <w:t>Signature</w:t>
            </w:r>
          </w:p>
        </w:tc>
        <w:tc>
          <w:tcPr>
            <w:tcW w:w="5120" w:type="dxa"/>
            <w:vAlign w:val="bottom"/>
            <w:gridSpan w:val="3"/>
          </w:tcPr>
          <w:p>
            <w:pPr>
              <w:ind w:left="2580"/>
              <w:spacing w:after="0"/>
              <w:rPr>
                <w:sz w:val="20"/>
                <w:szCs w:val="20"/>
                <w:color w:val="auto"/>
              </w:rPr>
            </w:pPr>
            <w:r>
              <w:rPr>
                <w:rFonts w:ascii="Arial" w:cs="Arial" w:eastAsia="Arial" w:hAnsi="Arial"/>
                <w:sz w:val="18"/>
                <w:szCs w:val="18"/>
                <w:color w:val="auto"/>
              </w:rPr>
              <w:t>Title</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rPr>
              <w:t>Date</w:t>
            </w:r>
          </w:p>
        </w:tc>
      </w:tr>
      <w:tr>
        <w:trPr>
          <w:trHeight w:val="20"/>
        </w:trPr>
        <w:tc>
          <w:tcPr>
            <w:tcW w:w="1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7"/>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Chairman, President and Chief Executive Officer</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4"/>
        </w:trPr>
        <w:tc>
          <w:tcPr>
            <w:tcW w:w="1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Philippe F. Courtot</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66"/>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and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4"/>
        </w:trPr>
        <w:tc>
          <w:tcPr>
            <w:tcW w:w="1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accounting officer)</w:t>
            </w:r>
          </w:p>
        </w:tc>
        <w:tc>
          <w:tcPr>
            <w:tcW w:w="7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Donald C. McCauley</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Sandra E. Bergeron</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Donald R. Dixon</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Jeffrey P. Hank</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General Peter Pace</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Yves B. Sisteron</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01"/>
        </w:trPr>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5, 2013</w:t>
            </w: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Howard A. Schmidt</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89"/>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ind w:left="138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141" w:right="25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40" w:type="dxa"/>
            <w:vAlign w:val="bottom"/>
            <w:gridSpan w:val="2"/>
          </w:tcPr>
          <w:p>
            <w:pPr>
              <w:ind w:left="2320"/>
              <w:spacing w:after="0"/>
              <w:rPr>
                <w:sz w:val="20"/>
                <w:szCs w:val="20"/>
                <w:color w:val="auto"/>
              </w:rPr>
            </w:pPr>
            <w:r>
              <w:rPr>
                <w:rFonts w:ascii="Arial" w:cs="Arial" w:eastAsia="Arial" w:hAnsi="Arial"/>
                <w:sz w:val="13"/>
                <w:szCs w:val="13"/>
                <w:color w:val="auto"/>
              </w:rPr>
              <w:t>Incorporated by Reference</w:t>
            </w: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7"/>
              </w:rPr>
              <w:t>Exhibit</w:t>
            </w:r>
          </w:p>
        </w:tc>
        <w:tc>
          <w:tcPr>
            <w:tcW w:w="3180" w:type="dxa"/>
            <w:vAlign w:val="bottom"/>
          </w:tcPr>
          <w:p>
            <w:pPr>
              <w:spacing w:after="0"/>
              <w:rPr>
                <w:sz w:val="16"/>
                <w:szCs w:val="16"/>
                <w:color w:val="auto"/>
              </w:rPr>
            </w:pPr>
          </w:p>
        </w:tc>
        <w:tc>
          <w:tcPr>
            <w:tcW w:w="3120" w:type="dxa"/>
            <w:vAlign w:val="bottom"/>
            <w:vMerge w:val="restart"/>
          </w:tcPr>
          <w:p>
            <w:pPr>
              <w:jc w:val="center"/>
              <w:ind w:left="2217"/>
              <w:spacing w:after="0"/>
              <w:rPr>
                <w:sz w:val="20"/>
                <w:szCs w:val="20"/>
                <w:color w:val="auto"/>
              </w:rPr>
            </w:pPr>
            <w:r>
              <w:rPr>
                <w:rFonts w:ascii="Arial" w:cs="Arial" w:eastAsia="Arial" w:hAnsi="Arial"/>
                <w:sz w:val="13"/>
                <w:szCs w:val="13"/>
                <w:color w:val="auto"/>
                <w:w w:val="99"/>
              </w:rPr>
              <w:t>Filed</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9"/>
              </w:rPr>
              <w:t>Number</w:t>
            </w:r>
          </w:p>
        </w:tc>
        <w:tc>
          <w:tcPr>
            <w:tcW w:w="3180" w:type="dxa"/>
            <w:vAlign w:val="bottom"/>
          </w:tcPr>
          <w:p>
            <w:pPr>
              <w:ind w:left="240"/>
              <w:spacing w:after="0"/>
              <w:rPr>
                <w:sz w:val="20"/>
                <w:szCs w:val="20"/>
                <w:color w:val="auto"/>
              </w:rPr>
            </w:pPr>
            <w:r>
              <w:rPr>
                <w:rFonts w:ascii="Arial" w:cs="Arial" w:eastAsia="Arial" w:hAnsi="Arial"/>
                <w:sz w:val="13"/>
                <w:szCs w:val="13"/>
                <w:color w:val="auto"/>
              </w:rPr>
              <w:t>Description</w:t>
            </w:r>
          </w:p>
        </w:tc>
        <w:tc>
          <w:tcPr>
            <w:tcW w:w="3120" w:type="dxa"/>
            <w:vAlign w:val="bottom"/>
          </w:tcPr>
          <w:p>
            <w:pPr>
              <w:jc w:val="center"/>
              <w:ind w:left="2197"/>
              <w:spacing w:after="0"/>
              <w:rPr>
                <w:sz w:val="20"/>
                <w:szCs w:val="20"/>
                <w:color w:val="auto"/>
              </w:rPr>
            </w:pPr>
            <w:r>
              <w:rPr>
                <w:rFonts w:ascii="Arial" w:cs="Arial" w:eastAsia="Arial" w:hAnsi="Arial"/>
                <w:sz w:val="13"/>
                <w:szCs w:val="13"/>
                <w:color w:val="auto"/>
                <w:w w:val="97"/>
              </w:rPr>
              <w:t>Herewith</w:t>
            </w:r>
          </w:p>
        </w:tc>
        <w:tc>
          <w:tcPr>
            <w:tcW w:w="820" w:type="dxa"/>
            <w:vAlign w:val="bottom"/>
          </w:tcPr>
          <w:p>
            <w:pPr>
              <w:ind w:left="180"/>
              <w:spacing w:after="0"/>
              <w:rPr>
                <w:sz w:val="20"/>
                <w:szCs w:val="20"/>
                <w:color w:val="auto"/>
              </w:rPr>
            </w:pPr>
            <w:r>
              <w:rPr>
                <w:rFonts w:ascii="Arial" w:cs="Arial" w:eastAsia="Arial" w:hAnsi="Arial"/>
                <w:sz w:val="13"/>
                <w:szCs w:val="13"/>
                <w:color w:val="auto"/>
              </w:rPr>
              <w:t>Form</w:t>
            </w:r>
          </w:p>
        </w:tc>
        <w:tc>
          <w:tcPr>
            <w:tcW w:w="780" w:type="dxa"/>
            <w:vAlign w:val="bottom"/>
          </w:tcPr>
          <w:p>
            <w:pPr>
              <w:ind w:left="140"/>
              <w:spacing w:after="0"/>
              <w:rPr>
                <w:sz w:val="20"/>
                <w:szCs w:val="20"/>
                <w:color w:val="auto"/>
              </w:rPr>
            </w:pPr>
            <w:r>
              <w:rPr>
                <w:rFonts w:ascii="Arial" w:cs="Arial" w:eastAsia="Arial" w:hAnsi="Arial"/>
                <w:sz w:val="13"/>
                <w:szCs w:val="13"/>
                <w:color w:val="auto"/>
              </w:rPr>
              <w:t>File No.</w:t>
            </w:r>
          </w:p>
        </w:tc>
        <w:tc>
          <w:tcPr>
            <w:tcW w:w="1620" w:type="dxa"/>
            <w:vAlign w:val="bottom"/>
          </w:tcPr>
          <w:p>
            <w:pPr>
              <w:ind w:left="220"/>
              <w:spacing w:after="0"/>
              <w:rPr>
                <w:sz w:val="20"/>
                <w:szCs w:val="20"/>
                <w:color w:val="auto"/>
              </w:rPr>
            </w:pPr>
            <w:r>
              <w:rPr>
                <w:rFonts w:ascii="Arial" w:cs="Arial" w:eastAsia="Arial" w:hAnsi="Arial"/>
                <w:sz w:val="13"/>
                <w:szCs w:val="13"/>
                <w:color w:val="auto"/>
              </w:rPr>
              <w:t>Exhibit No.   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41" w:right="659" w:bottom="1440" w:gutter="0" w:footer="0" w:header="0"/>
        </w:sectPr>
      </w:pPr>
    </w:p>
    <w:p>
      <w:pPr>
        <w:spacing w:after="0" w:line="200" w:lineRule="exact"/>
        <w:rPr>
          <w:sz w:val="20"/>
          <w:szCs w:val="20"/>
          <w:color w:val="auto"/>
        </w:rPr>
      </w:pP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Certificate of Incorporation of Qualys, Inc.</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Bylaws of Qualys, Inc.</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Form of common stock certificate.</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 and Restated Investor Rights Agreement, by and among Qualys, Inc. and the</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investors party thereto, dated July 12, 2005.</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10.1*</w:t>
            </w:r>
          </w:p>
        </w:tc>
        <w:tc>
          <w:tcPr>
            <w:tcW w:w="560" w:type="dxa"/>
            <w:vAlign w:val="bottom"/>
          </w:tcPr>
          <w:p>
            <w:pPr>
              <w:ind w:left="260"/>
              <w:spacing w:after="0"/>
              <w:rPr>
                <w:sz w:val="20"/>
                <w:szCs w:val="20"/>
                <w:color w:val="auto"/>
              </w:rPr>
            </w:pPr>
            <w:r>
              <w:rPr>
                <w:rFonts w:ascii="Arial" w:cs="Arial" w:eastAsia="Arial" w:hAnsi="Arial"/>
                <w:sz w:val="13"/>
                <w:szCs w:val="13"/>
                <w:color w:val="auto"/>
                <w:w w:val="96"/>
              </w:rPr>
              <w:t>2000</w:t>
            </w:r>
          </w:p>
        </w:tc>
        <w:tc>
          <w:tcPr>
            <w:tcW w:w="4900" w:type="dxa"/>
            <w:vAlign w:val="bottom"/>
          </w:tcPr>
          <w:p>
            <w:pPr>
              <w:ind w:left="20"/>
              <w:spacing w:after="0"/>
              <w:rPr>
                <w:sz w:val="20"/>
                <w:szCs w:val="20"/>
                <w:color w:val="auto"/>
              </w:rPr>
            </w:pPr>
            <w:r>
              <w:rPr>
                <w:rFonts w:ascii="Arial" w:cs="Arial" w:eastAsia="Arial" w:hAnsi="Arial"/>
                <w:sz w:val="13"/>
                <w:szCs w:val="13"/>
                <w:color w:val="auto"/>
                <w:w w:val="96"/>
              </w:rPr>
              <w:t>Equity Incentive Plan, as amended, and the form of stock option agreement thereunder.</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10.2*</w:t>
            </w:r>
          </w:p>
        </w:tc>
        <w:tc>
          <w:tcPr>
            <w:tcW w:w="560" w:type="dxa"/>
            <w:vAlign w:val="bottom"/>
          </w:tcPr>
          <w:p>
            <w:pPr>
              <w:ind w:left="260"/>
              <w:spacing w:after="0"/>
              <w:rPr>
                <w:sz w:val="20"/>
                <w:szCs w:val="20"/>
                <w:color w:val="auto"/>
              </w:rPr>
            </w:pPr>
            <w:r>
              <w:rPr>
                <w:rFonts w:ascii="Arial" w:cs="Arial" w:eastAsia="Arial" w:hAnsi="Arial"/>
                <w:sz w:val="13"/>
                <w:szCs w:val="13"/>
                <w:color w:val="auto"/>
                <w:w w:val="96"/>
              </w:rPr>
              <w:t>2012</w:t>
            </w:r>
          </w:p>
        </w:tc>
        <w:tc>
          <w:tcPr>
            <w:tcW w:w="4900" w:type="dxa"/>
            <w:vAlign w:val="bottom"/>
          </w:tcPr>
          <w:p>
            <w:pPr>
              <w:ind w:left="20"/>
              <w:spacing w:after="0"/>
              <w:rPr>
                <w:sz w:val="20"/>
                <w:szCs w:val="20"/>
                <w:color w:val="auto"/>
              </w:rPr>
            </w:pPr>
            <w:r>
              <w:rPr>
                <w:rFonts w:ascii="Arial" w:cs="Arial" w:eastAsia="Arial" w:hAnsi="Arial"/>
                <w:sz w:val="13"/>
                <w:szCs w:val="13"/>
                <w:color w:val="auto"/>
              </w:rPr>
              <w:t>Equity Incentive Plan and forms of agreements thereunder.</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10.3*</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Philippe F. Courtot, dated December 7, 2000.</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10.4*</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Amer S. Deeba, dated September 4, 2001.</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10.5*</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Sumedh S. Thakar, dated January 20, 2003.</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Donald C. McCauley, dated February 7, 2006, as</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10.6*</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amended.</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10.7*</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John N. Wilson, dated August 20, 2010.</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10.8*</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Peter Albert, dated April 14, 2011.</w:t>
            </w: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10.9*</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Offer Letter, between Qualys, Inc. and Bruce K. Posey, dated May 8, 2012.</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10.10*</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Form of director and executive officer indemnification agreement.</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w w:val="96"/>
              </w:rPr>
              <w:t>Lease Agreement, between Qualys, Inc. and Westport Office Park, LLC, dated July 11, 2006,</w:t>
            </w: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10.11</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as amended August 10, 2007, May 20, 2010 and December 5, 2011.</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10.12*</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2011 Corporate Bonus Plan.</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10.13*</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2012 Corporate Bonus Plan.</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w w:val="97"/>
              </w:rPr>
              <w:t>Master Services Agreement, between Qualys, Inc. and Savvis Communications Corporation,</w:t>
            </w: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10.14</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dated June 22, 2010.</w:t>
            </w:r>
          </w:p>
        </w:tc>
      </w:tr>
      <w:tr>
        <w:trPr>
          <w:trHeight w:val="496"/>
        </w:trPr>
        <w:tc>
          <w:tcPr>
            <w:tcW w:w="640" w:type="dxa"/>
            <w:vAlign w:val="bottom"/>
          </w:tcPr>
          <w:p>
            <w:pPr>
              <w:spacing w:after="0"/>
              <w:rPr>
                <w:sz w:val="24"/>
                <w:szCs w:val="24"/>
                <w:color w:val="auto"/>
              </w:rPr>
            </w:pP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Master Agreement, between Qualys, Inc. and Interoute Communications Limited, dated</w:t>
            </w: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10.15†</w:t>
            </w:r>
          </w:p>
        </w:tc>
        <w:tc>
          <w:tcPr>
            <w:tcW w:w="5460" w:type="dxa"/>
            <w:vAlign w:val="bottom"/>
            <w:gridSpan w:val="2"/>
          </w:tcPr>
          <w:p>
            <w:pPr>
              <w:ind w:left="260"/>
              <w:spacing w:after="0"/>
              <w:rPr>
                <w:sz w:val="20"/>
                <w:szCs w:val="20"/>
                <w:color w:val="auto"/>
              </w:rPr>
            </w:pPr>
            <w:r>
              <w:rPr>
                <w:rFonts w:ascii="Arial" w:cs="Arial" w:eastAsia="Arial" w:hAnsi="Arial"/>
                <w:sz w:val="13"/>
                <w:szCs w:val="13"/>
                <w:color w:val="auto"/>
              </w:rPr>
              <w:t>March 31, 2008.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10.2</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10.4</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10.5</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10.6</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10.7</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10.8</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10.9</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10.10</w:t>
            </w:r>
          </w:p>
        </w:tc>
        <w:tc>
          <w:tcPr>
            <w:tcW w:w="1300" w:type="dxa"/>
            <w:vAlign w:val="bottom"/>
          </w:tcPr>
          <w:p>
            <w:pPr>
              <w:ind w:left="160"/>
              <w:spacing w:after="0"/>
              <w:rPr>
                <w:sz w:val="20"/>
                <w:szCs w:val="20"/>
                <w:color w:val="auto"/>
              </w:rPr>
            </w:pPr>
            <w:r>
              <w:rPr>
                <w:rFonts w:ascii="Arial" w:cs="Arial" w:eastAsia="Arial" w:hAnsi="Arial"/>
                <w:sz w:val="13"/>
                <w:szCs w:val="13"/>
                <w:color w:val="auto"/>
              </w:rPr>
              <w:t>August 10,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594"/>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10.14</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648"/>
        </w:trPr>
        <w:tc>
          <w:tcPr>
            <w:tcW w:w="500" w:type="dxa"/>
            <w:vAlign w:val="bottom"/>
          </w:tcPr>
          <w:p>
            <w:pPr>
              <w:jc w:val="center"/>
              <w:ind w:right="11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bl>
    <w:p>
      <w:pPr>
        <w:spacing w:after="0" w:line="200" w:lineRule="exact"/>
        <w:rPr>
          <w:sz w:val="20"/>
          <w:szCs w:val="20"/>
          <w:color w:val="auto"/>
        </w:rPr>
      </w:pPr>
    </w:p>
    <w:p>
      <w:pPr>
        <w:sectPr>
          <w:pgSz w:w="11900" w:h="16838" w:orient="portrait"/>
          <w:cols w:equalWidth="0" w:num="2">
            <w:col w:w="6680" w:space="720"/>
            <w:col w:w="3600"/>
          </w:cols>
          <w:pgMar w:left="240" w:top="141" w:right="659" w:bottom="1440" w:gutter="0" w:footer="0" w:header="0"/>
          <w:type w:val="continuous"/>
        </w:sect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00"/>
          </w:cols>
          <w:pgMar w:left="240" w:top="141" w:right="65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8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5660" w:type="dxa"/>
            <w:vAlign w:val="bottom"/>
          </w:tcPr>
          <w:p>
            <w:pPr>
              <w:ind w:left="260"/>
              <w:spacing w:after="0"/>
              <w:rPr>
                <w:sz w:val="20"/>
                <w:szCs w:val="20"/>
                <w:color w:val="auto"/>
              </w:rPr>
            </w:pPr>
            <w:r>
              <w:rPr>
                <w:rFonts w:ascii="Arial" w:cs="Arial" w:eastAsia="Arial" w:hAnsi="Arial"/>
                <w:sz w:val="13"/>
                <w:szCs w:val="13"/>
                <w:color w:val="auto"/>
              </w:rPr>
              <w:t>Manufacturing Services Agreement, between Qualys, Inc. and Synnex Corporation, dated</w:t>
            </w: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10.16†</w:t>
            </w:r>
          </w:p>
        </w:tc>
        <w:tc>
          <w:tcPr>
            <w:tcW w:w="5660" w:type="dxa"/>
            <w:vAlign w:val="bottom"/>
          </w:tcPr>
          <w:p>
            <w:pPr>
              <w:ind w:left="260"/>
              <w:spacing w:after="0"/>
              <w:rPr>
                <w:sz w:val="20"/>
                <w:szCs w:val="20"/>
                <w:color w:val="auto"/>
              </w:rPr>
            </w:pPr>
            <w:r>
              <w:rPr>
                <w:rFonts w:ascii="Arial" w:cs="Arial" w:eastAsia="Arial" w:hAnsi="Arial"/>
                <w:sz w:val="13"/>
                <w:szCs w:val="13"/>
                <w:color w:val="auto"/>
              </w:rPr>
              <w:t>March 1, 2011.</w:t>
            </w:r>
          </w:p>
        </w:tc>
        <w:tc>
          <w:tcPr>
            <w:tcW w:w="1320" w:type="dxa"/>
            <w:vAlign w:val="bottom"/>
          </w:tcPr>
          <w:p>
            <w:pPr>
              <w:ind w:left="820"/>
              <w:spacing w:after="0"/>
              <w:rPr>
                <w:sz w:val="20"/>
                <w:szCs w:val="20"/>
                <w:color w:val="auto"/>
              </w:rPr>
            </w:pPr>
            <w:r>
              <w:rPr>
                <w:rFonts w:ascii="Arial" w:cs="Arial" w:eastAsia="Arial" w:hAnsi="Arial"/>
                <w:sz w:val="13"/>
                <w:szCs w:val="13"/>
                <w:color w:val="auto"/>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10.16</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21.1</w:t>
            </w:r>
          </w:p>
        </w:tc>
        <w:tc>
          <w:tcPr>
            <w:tcW w:w="5660" w:type="dxa"/>
            <w:vAlign w:val="bottom"/>
          </w:tcPr>
          <w:p>
            <w:pPr>
              <w:ind w:left="260"/>
              <w:spacing w:after="0"/>
              <w:rPr>
                <w:sz w:val="20"/>
                <w:szCs w:val="20"/>
                <w:color w:val="auto"/>
              </w:rPr>
            </w:pPr>
            <w:r>
              <w:rPr>
                <w:rFonts w:ascii="Arial" w:cs="Arial" w:eastAsia="Arial" w:hAnsi="Arial"/>
                <w:sz w:val="13"/>
                <w:szCs w:val="13"/>
                <w:color w:val="auto"/>
              </w:rPr>
              <w:t>List of subsidiaries of Qualys, Inc.</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23.1</w:t>
            </w:r>
          </w:p>
        </w:tc>
        <w:tc>
          <w:tcPr>
            <w:tcW w:w="5660" w:type="dxa"/>
            <w:vAlign w:val="bottom"/>
          </w:tcPr>
          <w:p>
            <w:pPr>
              <w:ind w:left="260"/>
              <w:spacing w:after="0"/>
              <w:rPr>
                <w:sz w:val="20"/>
                <w:szCs w:val="20"/>
                <w:color w:val="auto"/>
              </w:rPr>
            </w:pPr>
            <w:r>
              <w:rPr>
                <w:rFonts w:ascii="Arial" w:cs="Arial" w:eastAsia="Arial" w:hAnsi="Arial"/>
                <w:sz w:val="13"/>
                <w:szCs w:val="13"/>
                <w:color w:val="auto"/>
              </w:rPr>
              <w:t>Consent of Grant Thornton LLP, independent registered public accounting firm.</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6"/>
        </w:trPr>
        <w:tc>
          <w:tcPr>
            <w:tcW w:w="64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3"/>
                <w:szCs w:val="13"/>
                <w:color w:val="auto"/>
              </w:rPr>
              <w:t>Certification of Chief Executive Officer pursuant to Rule 13a-14(a) or Rule 15d-14(a)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640" w:type="dxa"/>
            <w:vAlign w:val="bottom"/>
          </w:tcPr>
          <w:p>
            <w:pPr>
              <w:spacing w:after="0"/>
              <w:rPr>
                <w:sz w:val="11"/>
                <w:szCs w:val="11"/>
                <w:color w:val="auto"/>
              </w:rPr>
            </w:pPr>
          </w:p>
        </w:tc>
        <w:tc>
          <w:tcPr>
            <w:tcW w:w="5660" w:type="dxa"/>
            <w:vAlign w:val="bottom"/>
          </w:tcPr>
          <w:p>
            <w:pPr>
              <w:ind w:left="26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31.1</w:t>
            </w:r>
          </w:p>
        </w:tc>
        <w:tc>
          <w:tcPr>
            <w:tcW w:w="5660" w:type="dxa"/>
            <w:vAlign w:val="bottom"/>
          </w:tcPr>
          <w:p>
            <w:pPr>
              <w:ind w:left="260"/>
              <w:spacing w:after="0"/>
              <w:rPr>
                <w:sz w:val="20"/>
                <w:szCs w:val="20"/>
                <w:color w:val="auto"/>
              </w:rPr>
            </w:pPr>
            <w:r>
              <w:rPr>
                <w:rFonts w:ascii="Arial" w:cs="Arial" w:eastAsia="Arial" w:hAnsi="Arial"/>
                <w:sz w:val="13"/>
                <w:szCs w:val="13"/>
                <w:color w:val="auto"/>
              </w:rPr>
              <w:t>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64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3"/>
                <w:szCs w:val="13"/>
                <w:color w:val="auto"/>
              </w:rPr>
              <w:t>Certification of Chief Financial Officer pursuant to Rule 13a-14(a) or Rule 15d-14(a)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640" w:type="dxa"/>
            <w:vAlign w:val="bottom"/>
          </w:tcPr>
          <w:p>
            <w:pPr>
              <w:spacing w:after="0"/>
              <w:rPr>
                <w:sz w:val="11"/>
                <w:szCs w:val="11"/>
                <w:color w:val="auto"/>
              </w:rPr>
            </w:pPr>
          </w:p>
        </w:tc>
        <w:tc>
          <w:tcPr>
            <w:tcW w:w="5660" w:type="dxa"/>
            <w:vAlign w:val="bottom"/>
          </w:tcPr>
          <w:p>
            <w:pPr>
              <w:ind w:left="26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31.2</w:t>
            </w:r>
          </w:p>
        </w:tc>
        <w:tc>
          <w:tcPr>
            <w:tcW w:w="5660" w:type="dxa"/>
            <w:vAlign w:val="bottom"/>
          </w:tcPr>
          <w:p>
            <w:pPr>
              <w:ind w:left="260"/>
              <w:spacing w:after="0"/>
              <w:rPr>
                <w:sz w:val="20"/>
                <w:szCs w:val="20"/>
                <w:color w:val="auto"/>
              </w:rPr>
            </w:pPr>
            <w:r>
              <w:rPr>
                <w:rFonts w:ascii="Arial" w:cs="Arial" w:eastAsia="Arial" w:hAnsi="Arial"/>
                <w:sz w:val="13"/>
                <w:szCs w:val="13"/>
                <w:color w:val="auto"/>
              </w:rPr>
              <w:t>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64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3"/>
                <w:szCs w:val="13"/>
                <w:color w:val="auto"/>
              </w:rPr>
              <w:t>Certification of Chief Executive Officer pursuant to Rule 13a014(b) or Rule 15d-14(b)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640" w:type="dxa"/>
            <w:vAlign w:val="bottom"/>
          </w:tcPr>
          <w:p>
            <w:pPr>
              <w:spacing w:after="0"/>
              <w:rPr>
                <w:sz w:val="11"/>
                <w:szCs w:val="11"/>
                <w:color w:val="auto"/>
              </w:rPr>
            </w:pPr>
          </w:p>
        </w:tc>
        <w:tc>
          <w:tcPr>
            <w:tcW w:w="5660" w:type="dxa"/>
            <w:vAlign w:val="bottom"/>
          </w:tcPr>
          <w:p>
            <w:pPr>
              <w:ind w:left="26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32.1</w:t>
            </w:r>
          </w:p>
        </w:tc>
        <w:tc>
          <w:tcPr>
            <w:tcW w:w="5660" w:type="dxa"/>
            <w:vAlign w:val="bottom"/>
          </w:tcPr>
          <w:p>
            <w:pPr>
              <w:ind w:left="260"/>
              <w:spacing w:after="0"/>
              <w:rPr>
                <w:sz w:val="20"/>
                <w:szCs w:val="20"/>
                <w:color w:val="auto"/>
              </w:rPr>
            </w:pPr>
            <w:r>
              <w:rPr>
                <w:rFonts w:ascii="Arial" w:cs="Arial" w:eastAsia="Arial" w:hAnsi="Arial"/>
                <w:sz w:val="13"/>
                <w:szCs w:val="13"/>
                <w:color w:val="auto"/>
              </w:rPr>
              <w:t>906 of The Sarbanes-Oxley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496"/>
        </w:trPr>
        <w:tc>
          <w:tcPr>
            <w:tcW w:w="64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3"/>
                <w:szCs w:val="13"/>
                <w:color w:val="auto"/>
              </w:rPr>
              <w:t>Certification of Chief Financial Officer pursuant to Rule 13a014(b) or Rule 15d-14(b) of the</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640" w:type="dxa"/>
            <w:vAlign w:val="bottom"/>
          </w:tcPr>
          <w:p>
            <w:pPr>
              <w:spacing w:after="0"/>
              <w:rPr>
                <w:sz w:val="11"/>
                <w:szCs w:val="11"/>
                <w:color w:val="auto"/>
              </w:rPr>
            </w:pPr>
          </w:p>
        </w:tc>
        <w:tc>
          <w:tcPr>
            <w:tcW w:w="5660" w:type="dxa"/>
            <w:vAlign w:val="bottom"/>
          </w:tcPr>
          <w:p>
            <w:pPr>
              <w:ind w:left="26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4"/>
              </w:rPr>
              <w:t>32.2</w:t>
            </w:r>
          </w:p>
        </w:tc>
        <w:tc>
          <w:tcPr>
            <w:tcW w:w="5660" w:type="dxa"/>
            <w:vAlign w:val="bottom"/>
          </w:tcPr>
          <w:p>
            <w:pPr>
              <w:ind w:left="260"/>
              <w:spacing w:after="0"/>
              <w:rPr>
                <w:sz w:val="20"/>
                <w:szCs w:val="20"/>
                <w:color w:val="auto"/>
              </w:rPr>
            </w:pPr>
            <w:r>
              <w:rPr>
                <w:rFonts w:ascii="Arial" w:cs="Arial" w:eastAsia="Arial" w:hAnsi="Arial"/>
                <w:sz w:val="13"/>
                <w:szCs w:val="13"/>
                <w:color w:val="auto"/>
              </w:rPr>
              <w:t>906 of The Sarbanes-Oxley Act of 2002.</w:t>
            </w:r>
          </w:p>
        </w:tc>
        <w:tc>
          <w:tcPr>
            <w:tcW w:w="132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bl>
    <w:p>
      <w:pPr>
        <w:spacing w:after="0" w:line="200" w:lineRule="exact"/>
        <w:rPr>
          <w:sz w:val="20"/>
          <w:szCs w:val="20"/>
          <w:color w:val="auto"/>
        </w:rPr>
      </w:pPr>
    </w:p>
    <w:p>
      <w:pPr>
        <w:spacing w:after="0" w:line="242" w:lineRule="exact"/>
        <w:rPr>
          <w:sz w:val="20"/>
          <w:szCs w:val="20"/>
          <w:color w:val="auto"/>
        </w:rPr>
      </w:pPr>
    </w:p>
    <w:p>
      <w:pPr>
        <w:ind w:left="1180" w:hanging="227"/>
        <w:spacing w:after="0"/>
        <w:tabs>
          <w:tab w:leader="none" w:pos="1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Portions of this exhibit have been omitted due to a determination by the Securities and</w:t>
      </w:r>
    </w:p>
    <w:p>
      <w:pPr>
        <w:ind w:left="1180" w:hanging="227"/>
        <w:spacing w:after="0"/>
        <w:tabs>
          <w:tab w:leader="none" w:pos="11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240" w:top="141" w:right="6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Qualys,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of Subsidiary</w:t>
            </w:r>
          </w:p>
        </w:tc>
        <w:tc>
          <w:tcPr>
            <w:tcW w:w="440" w:type="dxa"/>
            <w:vAlign w:val="bottom"/>
          </w:tcPr>
          <w:p>
            <w:pPr>
              <w:spacing w:after="0"/>
              <w:rPr>
                <w:sz w:val="19"/>
                <w:szCs w:val="19"/>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Jurisdiction of Incorporation</w:t>
            </w:r>
          </w:p>
        </w:tc>
      </w:tr>
      <w:tr>
        <w:trPr>
          <w:trHeight w:val="581"/>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International, Inc.</w:t>
            </w:r>
          </w:p>
        </w:tc>
        <w:tc>
          <w:tcPr>
            <w:tcW w:w="388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42"/>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Brazil Desenvolvimento de Produtos e Consultoria de Tecnologias de</w:t>
            </w:r>
          </w:p>
        </w:tc>
        <w:tc>
          <w:tcPr>
            <w:tcW w:w="3880" w:type="dxa"/>
            <w:vAlign w:val="bottom"/>
          </w:tcPr>
          <w:p>
            <w:pPr>
              <w:spacing w:after="0"/>
              <w:rPr>
                <w:sz w:val="21"/>
                <w:szCs w:val="21"/>
                <w:color w:val="auto"/>
              </w:rPr>
            </w:pPr>
          </w:p>
        </w:tc>
      </w:tr>
      <w:tr>
        <w:trPr>
          <w:trHeight w:val="217"/>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Seguranca LTDA.</w:t>
            </w:r>
          </w:p>
        </w:tc>
        <w:tc>
          <w:tcPr>
            <w:tcW w:w="38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Canada, Ltd.</w:t>
            </w:r>
          </w:p>
        </w:tc>
        <w:tc>
          <w:tcPr>
            <w:tcW w:w="38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Technologies, S.A.</w:t>
            </w:r>
          </w:p>
        </w:tc>
        <w:tc>
          <w:tcPr>
            <w:tcW w:w="38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GmbH</w:t>
            </w:r>
          </w:p>
        </w:tc>
        <w:tc>
          <w:tcPr>
            <w:tcW w:w="38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Hong Kong Limited</w:t>
            </w:r>
          </w:p>
        </w:tc>
        <w:tc>
          <w:tcPr>
            <w:tcW w:w="38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Security TechServices Private Ltd.</w:t>
            </w:r>
          </w:p>
        </w:tc>
        <w:tc>
          <w:tcPr>
            <w:tcW w:w="38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Japan K.K.</w:t>
            </w:r>
          </w:p>
        </w:tc>
        <w:tc>
          <w:tcPr>
            <w:tcW w:w="388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(Beijing) Information Technology Ltd. Corp.</w:t>
            </w:r>
          </w:p>
        </w:tc>
        <w:tc>
          <w:tcPr>
            <w:tcW w:w="38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Singapore Pte. Ltd.</w:t>
            </w:r>
          </w:p>
        </w:tc>
        <w:tc>
          <w:tcPr>
            <w:tcW w:w="388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FZE</w:t>
            </w:r>
          </w:p>
        </w:tc>
        <w:tc>
          <w:tcPr>
            <w:tcW w:w="388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Qualys Ltd.</w:t>
            </w:r>
          </w:p>
        </w:tc>
        <w:tc>
          <w:tcPr>
            <w:tcW w:w="388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73"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issued our report dated March 5, 2013, with respect to the consolidated financial statements and schedule included in the Annual Report of Qualys, Inc. on Form 10-K for the year ended December 31, 2012. We hereby consent to the incorporation by reference of said report in the Registration Statement of Qualys, Inc. on Form S-8 (File No. 333-184394).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5, 2013</w:t>
      </w:r>
    </w:p>
    <w:p>
      <w:pPr>
        <w:sectPr>
          <w:pgSz w:w="11900" w:h="16838" w:orient="portrait"/>
          <w:cols w:equalWidth="0" w:num="1">
            <w:col w:w="11420"/>
          </w:cols>
          <w:pgMar w:left="240" w:top="36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March 5,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March 5, 2013</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2012,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March 5,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2012,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2013</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decimal"/>
      <w:start w:val="2"/>
    </w:lvl>
  </w:abstractNum>
  <w:abstractNum w:abstractNumId="35">
    <w:nsid w:val="507236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2019-12-06T23:38:36Z</dcterms:created>
  <dcterms:modified xsi:type="dcterms:W3CDTF">2019-12-06T23:38:36Z</dcterms:modified>
</cp:coreProperties>
</file>