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231F20"/>
        </w:rPr>
        <w:t>FORM 10-Q</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For the Quarterly Period Ended September 30, 2019</w:t>
      </w:r>
    </w:p>
    <w:p>
      <w:pPr>
        <w:spacing w:after="0" w:line="176" w:lineRule="exact"/>
        <w:rPr>
          <w:sz w:val="24"/>
          <w:szCs w:val="24"/>
          <w:color w:val="auto"/>
        </w:rPr>
      </w:pPr>
    </w:p>
    <w:p>
      <w:pPr>
        <w:ind w:left="540" w:hanging="505"/>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80"/>
          </w:cols>
          <w:pgMar w:left="240" w:top="249" w:right="37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280"/>
          </w:cols>
          <w:pgMar w:left="240" w:top="249" w:right="3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jc w:val="center"/>
        <w:ind w:right="-139"/>
        <w:spacing w:after="0"/>
        <w:rPr>
          <w:sz w:val="20"/>
          <w:szCs w:val="20"/>
          <w:color w:val="auto"/>
        </w:rPr>
      </w:pPr>
      <w:r>
        <w:rPr>
          <w:rFonts w:ascii="Arial" w:cs="Arial" w:eastAsia="Arial" w:hAnsi="Arial"/>
          <w:sz w:val="40"/>
          <w:szCs w:val="40"/>
          <w:b w:val="1"/>
          <w:bCs w:val="1"/>
          <w:color w:val="231F20"/>
        </w:rPr>
        <w:t>QUALYS, INC.</w:t>
      </w:r>
    </w:p>
    <w:p>
      <w:pPr>
        <w:jc w:val="center"/>
        <w:ind w:right="-139"/>
        <w:spacing w:after="0" w:line="213" w:lineRule="auto"/>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280"/>
          </w:cols>
          <w:pgMar w:left="240" w:top="249" w:right="379" w:bottom="1440" w:gutter="0" w:footer="0" w:header="0"/>
          <w:type w:val="continuous"/>
        </w:sectPr>
      </w:pPr>
    </w:p>
    <w:p>
      <w:pPr>
        <w:spacing w:after="0" w:line="186" w:lineRule="exact"/>
        <w:rPr>
          <w:sz w:val="24"/>
          <w:szCs w:val="24"/>
          <w:color w:val="auto"/>
        </w:rPr>
      </w:pPr>
    </w:p>
    <w:p>
      <w:pPr>
        <w:ind w:left="21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77-0534145</w:t>
      </w:r>
    </w:p>
    <w:p>
      <w:pPr>
        <w:spacing w:after="0" w:line="109" w:lineRule="exact"/>
        <w:rPr>
          <w:sz w:val="24"/>
          <w:szCs w:val="24"/>
          <w:color w:val="auto"/>
        </w:rPr>
      </w:pPr>
    </w:p>
    <w:p>
      <w:pPr>
        <w:sectPr>
          <w:pgSz w:w="11900" w:h="16838" w:orient="portrait"/>
          <w:cols w:equalWidth="0" w:num="2">
            <w:col w:w="7860" w:space="720"/>
            <w:col w:w="2700"/>
          </w:cols>
          <w:pgMar w:left="240" w:top="249" w:right="379" w:bottom="1440" w:gutter="0" w:footer="0" w:header="0"/>
          <w:type w:val="continuous"/>
        </w:sectPr>
      </w:pPr>
    </w:p>
    <w:p>
      <w:pPr>
        <w:ind w:left="1480"/>
        <w:spacing w:after="0"/>
        <w:rPr>
          <w:sz w:val="20"/>
          <w:szCs w:val="20"/>
          <w:color w:val="auto"/>
        </w:rPr>
      </w:pPr>
      <w:r>
        <w:rPr>
          <w:rFonts w:ascii="Arial" w:cs="Arial" w:eastAsia="Arial" w:hAnsi="Arial"/>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w:t>
      </w:r>
    </w:p>
    <w:p>
      <w:pPr>
        <w:spacing w:after="0" w:line="109" w:lineRule="exact"/>
        <w:rPr>
          <w:sz w:val="24"/>
          <w:szCs w:val="24"/>
          <w:color w:val="auto"/>
        </w:rPr>
      </w:pPr>
    </w:p>
    <w:p>
      <w:pPr>
        <w:sectPr>
          <w:pgSz w:w="11900" w:h="16838" w:orient="portrait"/>
          <w:cols w:equalWidth="0" w:num="2">
            <w:col w:w="7700" w:space="720"/>
            <w:col w:w="2860"/>
          </w:cols>
          <w:pgMar w:left="240" w:top="249" w:right="379" w:bottom="1440" w:gutter="0" w:footer="0" w:header="0"/>
          <w:type w:val="continuous"/>
        </w:sectPr>
      </w:pPr>
    </w:p>
    <w:p>
      <w:pPr>
        <w:ind w:left="144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Identification Number)</w:t>
      </w:r>
    </w:p>
    <w:p>
      <w:pPr>
        <w:spacing w:after="0" w:line="190" w:lineRule="exact"/>
        <w:rPr>
          <w:sz w:val="24"/>
          <w:szCs w:val="24"/>
          <w:color w:val="auto"/>
        </w:rPr>
      </w:pPr>
    </w:p>
    <w:p>
      <w:pPr>
        <w:sectPr>
          <w:pgSz w:w="11900" w:h="16838" w:orient="portrait"/>
          <w:cols w:equalWidth="0" w:num="2">
            <w:col w:w="7480" w:space="720"/>
            <w:col w:w="3080"/>
          </w:cols>
          <w:pgMar w:left="240" w:top="249" w:right="379" w:bottom="1440" w:gutter="0" w:footer="0" w:header="0"/>
          <w:type w:val="continuous"/>
        </w:sectPr>
      </w:pPr>
    </w:p>
    <w:p>
      <w:pPr>
        <w:jc w:val="center"/>
        <w:ind w:right="-139"/>
        <w:spacing w:after="0"/>
        <w:rPr>
          <w:sz w:val="20"/>
          <w:szCs w:val="20"/>
          <w:color w:val="auto"/>
        </w:rPr>
      </w:pPr>
      <w:r>
        <w:rPr>
          <w:rFonts w:ascii="Arial" w:cs="Arial" w:eastAsia="Arial" w:hAnsi="Arial"/>
          <w:sz w:val="14"/>
          <w:szCs w:val="14"/>
          <w:b w:val="1"/>
          <w:bCs w:val="1"/>
          <w:color w:val="auto"/>
        </w:rPr>
        <w:t>919 E. Hillsdale Boulevard, 4th Floor, Foster City, California 94404</w:t>
      </w: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(650) 801-6100</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80"/>
          </w:cols>
          <w:pgMar w:left="240" w:top="249" w:right="379" w:bottom="1440" w:gutter="0" w:footer="0" w:header="0"/>
          <w:type w:val="continuous"/>
        </w:sectPr>
      </w:pPr>
    </w:p>
    <w:p>
      <w:pPr>
        <w:spacing w:after="0" w:line="203" w:lineRule="exact"/>
        <w:rPr>
          <w:sz w:val="24"/>
          <w:szCs w:val="24"/>
          <w:color w:val="auto"/>
        </w:rPr>
      </w:pPr>
    </w:p>
    <w:p>
      <w:pPr>
        <w:jc w:val="center"/>
        <w:ind w:right="540"/>
        <w:spacing w:after="0"/>
        <w:rPr>
          <w:sz w:val="20"/>
          <w:szCs w:val="20"/>
          <w:color w:val="auto"/>
        </w:rPr>
      </w:pPr>
      <w:r>
        <w:rPr>
          <w:rFonts w:ascii="Arial" w:cs="Arial" w:eastAsia="Arial" w:hAnsi="Arial"/>
          <w:sz w:val="14"/>
          <w:szCs w:val="14"/>
          <w:b w:val="1"/>
          <w:bCs w:val="1"/>
          <w:color w:val="auto"/>
        </w:rPr>
        <w:t>Title of each class</w:t>
      </w:r>
    </w:p>
    <w:p>
      <w:pPr>
        <w:spacing w:after="0" w:line="42" w:lineRule="exact"/>
        <w:rPr>
          <w:sz w:val="24"/>
          <w:szCs w:val="24"/>
          <w:color w:val="auto"/>
        </w:rPr>
      </w:pPr>
    </w:p>
    <w:p>
      <w:pPr>
        <w:jc w:val="center"/>
        <w:ind w:right="540"/>
        <w:spacing w:after="0"/>
        <w:rPr>
          <w:sz w:val="20"/>
          <w:szCs w:val="20"/>
          <w:color w:val="auto"/>
        </w:rPr>
      </w:pPr>
      <w:r>
        <w:rPr>
          <w:rFonts w:ascii="Arial" w:cs="Arial" w:eastAsia="Arial" w:hAnsi="Arial"/>
          <w:sz w:val="12"/>
          <w:szCs w:val="12"/>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280"/>
        <w:spacing w:after="0"/>
        <w:rPr>
          <w:sz w:val="20"/>
          <w:szCs w:val="20"/>
          <w:color w:val="auto"/>
        </w:rPr>
      </w:pPr>
      <w:r>
        <w:rPr>
          <w:rFonts w:ascii="Arial" w:cs="Arial" w:eastAsia="Arial" w:hAnsi="Arial"/>
          <w:sz w:val="12"/>
          <w:szCs w:val="12"/>
          <w:b w:val="1"/>
          <w:bCs w:val="1"/>
          <w:color w:val="auto"/>
        </w:rPr>
        <w:t>Trading Symbol(s)</w:t>
      </w:r>
    </w:p>
    <w:p>
      <w:pPr>
        <w:spacing w:after="0" w:line="65" w:lineRule="exact"/>
        <w:rPr>
          <w:sz w:val="24"/>
          <w:szCs w:val="24"/>
          <w:color w:val="auto"/>
        </w:rPr>
      </w:pPr>
    </w:p>
    <w:p>
      <w:pPr>
        <w:jc w:val="center"/>
        <w:ind w:right="1280"/>
        <w:spacing w:after="0"/>
        <w:rPr>
          <w:sz w:val="20"/>
          <w:szCs w:val="20"/>
          <w:color w:val="auto"/>
        </w:rPr>
      </w:pPr>
      <w:r>
        <w:rPr>
          <w:rFonts w:ascii="Arial" w:cs="Arial" w:eastAsia="Arial" w:hAnsi="Arial"/>
          <w:sz w:val="14"/>
          <w:szCs w:val="14"/>
          <w:b w:val="1"/>
          <w:bCs w:val="1"/>
          <w:color w:val="auto"/>
        </w:rPr>
        <w:t>QLYS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80"/>
        <w:spacing w:after="0"/>
        <w:rPr>
          <w:sz w:val="20"/>
          <w:szCs w:val="20"/>
          <w:color w:val="auto"/>
        </w:rPr>
      </w:pPr>
      <w:r>
        <w:rPr>
          <w:rFonts w:ascii="Arial" w:cs="Arial" w:eastAsia="Arial" w:hAnsi="Arial"/>
          <w:sz w:val="12"/>
          <w:szCs w:val="12"/>
          <w:b w:val="1"/>
          <w:bCs w:val="1"/>
          <w:color w:val="auto"/>
        </w:rPr>
        <w:t>Name of exchange on which registered</w:t>
      </w:r>
    </w:p>
    <w:p>
      <w:pPr>
        <w:spacing w:after="0" w:line="65" w:lineRule="exact"/>
        <w:rPr>
          <w:sz w:val="24"/>
          <w:szCs w:val="24"/>
          <w:color w:val="auto"/>
        </w:rPr>
      </w:pPr>
    </w:p>
    <w:p>
      <w:pPr>
        <w:jc w:val="center"/>
        <w:ind w:right="580"/>
        <w:spacing w:after="0"/>
        <w:rPr>
          <w:sz w:val="20"/>
          <w:szCs w:val="20"/>
          <w:color w:val="auto"/>
        </w:rPr>
      </w:pPr>
      <w:r>
        <w:rPr>
          <w:rFonts w:ascii="Arial" w:cs="Arial" w:eastAsia="Arial" w:hAnsi="Arial"/>
          <w:sz w:val="14"/>
          <w:szCs w:val="14"/>
          <w:b w:val="1"/>
          <w:bCs w:val="1"/>
          <w:color w:val="auto"/>
        </w:rPr>
        <w:t>NASDAQ Stock Market</w:t>
      </w:r>
    </w:p>
    <w:p>
      <w:pPr>
        <w:spacing w:after="0" w:line="200" w:lineRule="exact"/>
        <w:rPr>
          <w:sz w:val="24"/>
          <w:szCs w:val="24"/>
          <w:color w:val="auto"/>
        </w:rPr>
      </w:pPr>
    </w:p>
    <w:p>
      <w:pPr>
        <w:sectPr>
          <w:pgSz w:w="11900" w:h="16838" w:orient="portrait"/>
          <w:cols w:equalWidth="0" w:num="3">
            <w:col w:w="4480" w:space="720"/>
            <w:col w:w="2420" w:space="720"/>
            <w:col w:w="2940"/>
          </w:cols>
          <w:pgMar w:left="240" w:top="249" w:right="379" w:bottom="1440" w:gutter="0" w:footer="0" w:header="0"/>
          <w:type w:val="continuous"/>
        </w:sectPr>
      </w:pPr>
    </w:p>
    <w:p>
      <w:pPr>
        <w:spacing w:after="0" w:line="285"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8" w:lineRule="exact"/>
        <w:rPr>
          <w:sz w:val="24"/>
          <w:szCs w:val="24"/>
          <w:color w:val="auto"/>
        </w:rPr>
      </w:pPr>
    </w:p>
    <w:p>
      <w:pPr>
        <w:ind w:right="52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9" w:lineRule="exact"/>
        <w:rPr>
          <w:sz w:val="24"/>
          <w:szCs w:val="24"/>
          <w:color w:val="auto"/>
        </w:rPr>
      </w:pPr>
    </w:p>
    <w:p>
      <w:pPr>
        <w:ind w:right="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3140" w:type="dxa"/>
            <w:vAlign w:val="bottom"/>
          </w:tcPr>
          <w:p>
            <w:pPr>
              <w:spacing w:after="0"/>
              <w:rPr>
                <w:sz w:val="20"/>
                <w:szCs w:val="20"/>
                <w:color w:val="auto"/>
              </w:rPr>
            </w:pPr>
            <w:r>
              <w:rPr>
                <w:rFonts w:ascii="Arial" w:cs="Arial" w:eastAsia="Arial" w:hAnsi="Arial"/>
                <w:sz w:val="16"/>
                <w:szCs w:val="16"/>
                <w:color w:val="231F20"/>
              </w:rPr>
              <w:t>Large accelerated filer</w:t>
            </w:r>
          </w:p>
        </w:tc>
        <w:tc>
          <w:tcPr>
            <w:tcW w:w="206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380"/>
              <w:spacing w:after="0"/>
              <w:rPr>
                <w:sz w:val="20"/>
                <w:szCs w:val="20"/>
                <w:color w:val="auto"/>
              </w:rPr>
            </w:pPr>
            <w:r>
              <w:rPr>
                <w:rFonts w:ascii="Arial" w:cs="Arial" w:eastAsia="Arial" w:hAnsi="Arial"/>
                <w:sz w:val="16"/>
                <w:szCs w:val="16"/>
                <w:color w:val="231F20"/>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31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60" w:type="dxa"/>
            <w:vAlign w:val="bottom"/>
          </w:tcPr>
          <w:p>
            <w:pPr>
              <w:ind w:left="1540"/>
              <w:spacing w:after="0" w:line="161" w:lineRule="exact"/>
              <w:rPr>
                <w:sz w:val="20"/>
                <w:szCs w:val="20"/>
                <w:color w:val="auto"/>
              </w:rPr>
            </w:pPr>
            <w:r>
              <w:rPr>
                <w:rFonts w:ascii="MS PGothic" w:cs="MS PGothic" w:eastAsia="MS PGothic" w:hAnsi="MS PGothic"/>
                <w:sz w:val="16"/>
                <w:szCs w:val="16"/>
                <w:color w:val="auto"/>
              </w:rPr>
              <w:t>☐</w:t>
            </w:r>
          </w:p>
        </w:tc>
        <w:tc>
          <w:tcPr>
            <w:tcW w:w="4040" w:type="dxa"/>
            <w:vAlign w:val="bottom"/>
          </w:tcPr>
          <w:p>
            <w:pPr>
              <w:ind w:left="380"/>
              <w:spacing w:after="0"/>
              <w:rPr>
                <w:sz w:val="20"/>
                <w:szCs w:val="20"/>
                <w:color w:val="auto"/>
              </w:rPr>
            </w:pPr>
            <w:r>
              <w:rPr>
                <w:rFonts w:ascii="Arial" w:cs="Arial" w:eastAsia="Arial" w:hAnsi="Arial"/>
                <w:sz w:val="16"/>
                <w:szCs w:val="16"/>
                <w:color w:val="auto"/>
              </w:rPr>
              <w:t>Smaller reporting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3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40" w:type="dxa"/>
            <w:vAlign w:val="bottom"/>
          </w:tcPr>
          <w:p>
            <w:pPr>
              <w:ind w:left="3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44" w:lineRule="exact"/>
        <w:rPr>
          <w:sz w:val="24"/>
          <w:szCs w:val="24"/>
          <w:color w:val="auto"/>
        </w:rPr>
      </w:pPr>
    </w:p>
    <w:p>
      <w:pPr>
        <w:ind w:left="40" w:right="68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80"/>
          </w:cols>
          <w:pgMar w:left="240" w:top="249" w:right="37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ind w:right="839"/>
        <w:spacing w:after="0" w:line="3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October 28, 2019 was 38,762,280.</w:t>
      </w:r>
    </w:p>
    <w:p>
      <w:pPr>
        <w:sectPr>
          <w:pgSz w:w="11900" w:h="16838" w:orient="portrait"/>
          <w:cols w:equalWidth="0" w:num="1">
            <w:col w:w="10219"/>
          </w:cols>
          <w:pgMar w:left="240" w:top="141" w:right="1440"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540" w:type="dxa"/>
            <w:vAlign w:val="bottom"/>
            <w:gridSpan w:val="10"/>
          </w:tcPr>
          <w:p>
            <w:pPr>
              <w:ind w:left="100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19"/>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Financial Statements</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Balance Sheets as of </w:t>
              </w:r>
            </w:hyperlink>
            <w:r>
              <w:rPr>
                <w:rFonts w:ascii="Arial" w:cs="Arial" w:eastAsia="Arial" w:hAnsi="Arial"/>
                <w:sz w:val="16"/>
                <w:szCs w:val="16"/>
                <w:color w:val="0000FF"/>
              </w:rPr>
              <w:t>September</w:t>
            </w:r>
            <w:r>
              <w:rPr>
                <w:rFonts w:ascii="Arial" w:cs="Arial" w:eastAsia="Arial" w:hAnsi="Arial"/>
                <w:sz w:val="16"/>
                <w:szCs w:val="16"/>
                <w:color w:val="0000EE"/>
              </w:rPr>
              <w:t xml:space="preserve"> </w:t>
            </w:r>
            <w:r>
              <w:rPr>
                <w:rFonts w:ascii="Arial" w:cs="Arial" w:eastAsia="Arial" w:hAnsi="Arial"/>
                <w:sz w:val="16"/>
                <w:szCs w:val="16"/>
                <w:color w:val="0000FF"/>
              </w:rPr>
              <w:t>30, 2019 and December 31, 2018</w:t>
            </w:r>
          </w:p>
        </w:tc>
        <w:tc>
          <w:tcPr>
            <w:tcW w:w="80" w:type="dxa"/>
            <w:vAlign w:val="bottom"/>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 xml:space="preserve">Condensed Consolidated Statements of Operations for the </w:t>
              </w:r>
            </w:hyperlink>
            <w:r>
              <w:rPr>
                <w:rFonts w:ascii="Arial" w:cs="Arial" w:eastAsia="Arial" w:hAnsi="Arial"/>
                <w:sz w:val="16"/>
                <w:szCs w:val="16"/>
                <w:color w:val="0000FF"/>
              </w:rPr>
              <w:t>three</w:t>
            </w:r>
            <w:r>
              <w:rPr>
                <w:rFonts w:ascii="Arial" w:cs="Arial" w:eastAsia="Arial" w:hAnsi="Arial"/>
                <w:sz w:val="16"/>
                <w:szCs w:val="16"/>
                <w:color w:val="0000EE"/>
              </w:rPr>
              <w:t xml:space="preserve"> </w:t>
            </w:r>
            <w:r>
              <w:rPr>
                <w:rFonts w:ascii="Arial" w:cs="Arial" w:eastAsia="Arial" w:hAnsi="Arial"/>
                <w:sz w:val="16"/>
                <w:szCs w:val="16"/>
                <w:color w:val="0000FF"/>
              </w:rPr>
              <w:t>and nine months ended September 30, 2019 and 2018</w:t>
            </w:r>
          </w:p>
        </w:tc>
        <w:tc>
          <w:tcPr>
            <w:tcW w:w="80" w:type="dxa"/>
            <w:vAlign w:val="bottom"/>
          </w:tcPr>
          <w:p>
            <w:pPr>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FF"/>
            </w:tcBorders>
            <w:shd w:val="clear" w:color="auto" w:fill="0000EE"/>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Comprehensive Income for the three and nine months ended September 30, 2019 and 2018</w:t>
              </w:r>
            </w:hyperlink>
          </w:p>
        </w:tc>
        <w:tc>
          <w:tcPr>
            <w:tcW w:w="80" w:type="dxa"/>
            <w:vAlign w:val="bottom"/>
          </w:tcPr>
          <w:p>
            <w:pPr>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9500" w:type="dxa"/>
            <w:vAlign w:val="bottom"/>
            <w:tcBorders>
              <w:top w:val="single" w:sz="8" w:color="0000EE"/>
            </w:tcBorders>
            <w:gridSpan w:val="18"/>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 xml:space="preserve">Condensed Consolidated Statements of Cash Flows for the </w:t>
              </w:r>
            </w:hyperlink>
            <w:r>
              <w:rPr>
                <w:rFonts w:ascii="Arial" w:cs="Arial" w:eastAsia="Arial" w:hAnsi="Arial"/>
                <w:sz w:val="16"/>
                <w:szCs w:val="16"/>
                <w:color w:val="0000FF"/>
              </w:rPr>
              <w:t>nine</w:t>
            </w:r>
            <w:r>
              <w:rPr>
                <w:rFonts w:ascii="Arial" w:cs="Arial" w:eastAsia="Arial" w:hAnsi="Arial"/>
                <w:sz w:val="16"/>
                <w:szCs w:val="16"/>
                <w:color w:val="0000EE"/>
              </w:rPr>
              <w:t xml:space="preserve"> </w:t>
            </w:r>
            <w:r>
              <w:rPr>
                <w:rFonts w:ascii="Arial" w:cs="Arial" w:eastAsia="Arial" w:hAnsi="Arial"/>
                <w:sz w:val="16"/>
                <w:szCs w:val="16"/>
                <w:color w:val="0000FF"/>
              </w:rPr>
              <w:t>months ended September 30, 2019 and 2018</w:t>
            </w:r>
          </w:p>
        </w:tc>
        <w:tc>
          <w:tcPr>
            <w:tcW w:w="300" w:type="dxa"/>
            <w:vAlign w:val="bottom"/>
          </w:tcPr>
          <w:p>
            <w:pPr>
              <w:spacing w:after="0"/>
              <w:rPr>
                <w:sz w:val="21"/>
                <w:szCs w:val="21"/>
                <w:color w:val="auto"/>
              </w:rPr>
            </w:pPr>
          </w:p>
        </w:tc>
        <w:tc>
          <w:tcPr>
            <w:tcW w:w="80" w:type="dxa"/>
            <w:vAlign w:val="bottom"/>
            <w:tcBorders>
              <w:top w:val="single" w:sz="8" w:color="0000EE"/>
            </w:tcBorders>
          </w:tcPr>
          <w:p>
            <w:pPr>
              <w:spacing w:after="0"/>
              <w:rPr>
                <w:rFonts w:ascii="Arial" w:cs="Arial" w:eastAsia="Arial" w:hAnsi="Arial"/>
                <w:sz w:val="15"/>
                <w:szCs w:val="15"/>
                <w:color w:val="0000EE"/>
                <w:w w:val="71"/>
              </w:rPr>
            </w:pPr>
            <w:hyperlink w:anchor="page7">
              <w:r>
                <w:rPr>
                  <w:rFonts w:ascii="Arial" w:cs="Arial" w:eastAsia="Arial" w:hAnsi="Arial"/>
                  <w:sz w:val="15"/>
                  <w:szCs w:val="15"/>
                  <w:color w:val="0000EE"/>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Condensed Consolidated Statements of Equity for the three and nine months ended September 30, 2019 and 2018</w:t>
              </w:r>
            </w:hyperlink>
          </w:p>
        </w:tc>
        <w:tc>
          <w:tcPr>
            <w:tcW w:w="80" w:type="dxa"/>
            <w:vAlign w:val="bottom"/>
          </w:tcPr>
          <w:p>
            <w:pPr>
              <w:spacing w:after="0"/>
              <w:rPr>
                <w:rFonts w:ascii="Arial" w:cs="Arial" w:eastAsia="Arial" w:hAnsi="Arial"/>
                <w:sz w:val="15"/>
                <w:szCs w:val="15"/>
                <w:color w:val="0000EE"/>
                <w:w w:val="71"/>
              </w:rPr>
            </w:pPr>
            <w:hyperlink w:anchor="page8">
              <w:r>
                <w:rPr>
                  <w:rFonts w:ascii="Arial" w:cs="Arial" w:eastAsia="Arial" w:hAnsi="Arial"/>
                  <w:sz w:val="15"/>
                  <w:szCs w:val="15"/>
                  <w:color w:val="0000EE"/>
                  <w:w w:val="71"/>
                </w:rPr>
                <w:t>8</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8240" w:type="dxa"/>
            <w:vAlign w:val="bottom"/>
            <w:gridSpan w:val="16"/>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Condensed Consolidated Financial Statements</w:t>
              </w:r>
            </w:hyperlink>
          </w:p>
        </w:tc>
        <w:tc>
          <w:tcPr>
            <w:tcW w:w="1560" w:type="dxa"/>
            <w:vAlign w:val="bottom"/>
            <w:gridSpan w:val="3"/>
          </w:tcPr>
          <w:p>
            <w:pPr>
              <w:spacing w:after="0"/>
              <w:rPr>
                <w:sz w:val="21"/>
                <w:szCs w:val="21"/>
                <w:color w:val="auto"/>
              </w:rPr>
            </w:pPr>
          </w:p>
        </w:tc>
        <w:tc>
          <w:tcPr>
            <w:tcW w:w="380" w:type="dxa"/>
            <w:vAlign w:val="bottom"/>
            <w:gridSpan w:val="3"/>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10</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30</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EE"/>
              <w:bottom w:val="single" w:sz="8" w:color="0000FF"/>
            </w:tcBorders>
            <w:gridSpan w:val="12"/>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Quantitative and Qualitative Disclosures About Market Risk</w:t>
              </w:r>
            </w:hyperlink>
          </w:p>
        </w:tc>
        <w:tc>
          <w:tcPr>
            <w:tcW w:w="2000" w:type="dxa"/>
            <w:vAlign w:val="bottom"/>
            <w:tcBorders>
              <w:top w:val="single" w:sz="8" w:color="0000EE"/>
            </w:tcBorders>
          </w:tcPr>
          <w:p>
            <w:pPr>
              <w:spacing w:after="0"/>
              <w:rPr>
                <w:sz w:val="19"/>
                <w:szCs w:val="19"/>
                <w:color w:val="auto"/>
              </w:rPr>
            </w:pPr>
          </w:p>
        </w:tc>
        <w:tc>
          <w:tcPr>
            <w:tcW w:w="3440" w:type="dxa"/>
            <w:vAlign w:val="bottom"/>
            <w:gridSpan w:val="6"/>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44">
              <w:r>
                <w:rPr>
                  <w:rFonts w:ascii="Arial" w:cs="Arial" w:eastAsia="Arial" w:hAnsi="Arial"/>
                  <w:sz w:val="16"/>
                  <w:szCs w:val="16"/>
                  <w:color w:val="0000FF"/>
                  <w:w w:val="89"/>
                </w:rPr>
                <w:t>44</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19"/>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45</w:t>
              </w:r>
            </w:hyperlink>
          </w:p>
        </w:tc>
      </w:tr>
      <w:tr>
        <w:trPr>
          <w:trHeight w:val="258"/>
        </w:trPr>
        <w:tc>
          <w:tcPr>
            <w:tcW w:w="1040" w:type="dxa"/>
            <w:vAlign w:val="bottom"/>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360" w:type="dxa"/>
            <w:vAlign w:val="bottom"/>
            <w:gridSpan w:val="9"/>
          </w:tcPr>
          <w:p>
            <w:pPr>
              <w:ind w:left="4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46">
              <w:r>
                <w:rPr>
                  <w:rFonts w:ascii="Arial" w:cs="Arial" w:eastAsia="Arial" w:hAnsi="Arial"/>
                  <w:sz w:val="16"/>
                  <w:szCs w:val="16"/>
                  <w:color w:val="0000FF"/>
                  <w:w w:val="99"/>
                </w:rPr>
                <w:t>Legal Proceedings</w:t>
              </w:r>
            </w:hyperlink>
          </w:p>
        </w:tc>
        <w:tc>
          <w:tcPr>
            <w:tcW w:w="8460" w:type="dxa"/>
            <w:vAlign w:val="bottom"/>
            <w:gridSpan w:val="14"/>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6">
              <w:r>
                <w:rPr>
                  <w:rFonts w:ascii="Arial" w:cs="Arial" w:eastAsia="Arial" w:hAnsi="Arial"/>
                  <w:sz w:val="16"/>
                  <w:szCs w:val="16"/>
                  <w:color w:val="0000FF"/>
                  <w:w w:val="89"/>
                </w:rPr>
                <w:t>46</w:t>
              </w:r>
            </w:hyperlink>
          </w:p>
        </w:tc>
        <w:tc>
          <w:tcPr>
            <w:tcW w:w="200" w:type="dxa"/>
            <w:vAlign w:val="bottom"/>
          </w:tcPr>
          <w:p>
            <w:pPr>
              <w:spacing w:after="0"/>
              <w:rPr>
                <w:sz w:val="18"/>
                <w:szCs w:val="18"/>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46">
              <w:r>
                <w:rPr>
                  <w:rFonts w:ascii="Arial" w:cs="Arial" w:eastAsia="Arial" w:hAnsi="Arial"/>
                  <w:sz w:val="16"/>
                  <w:szCs w:val="16"/>
                  <w:color w:val="0000FF"/>
                  <w:w w:val="98"/>
                </w:rPr>
                <w:t>Risk Factors</w:t>
              </w:r>
            </w:hyperlink>
          </w:p>
        </w:tc>
        <w:tc>
          <w:tcPr>
            <w:tcW w:w="8900" w:type="dxa"/>
            <w:vAlign w:val="bottom"/>
            <w:gridSpan w:val="1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46">
              <w:r>
                <w:rPr>
                  <w:rFonts w:ascii="Arial" w:cs="Arial" w:eastAsia="Arial" w:hAnsi="Arial"/>
                  <w:sz w:val="16"/>
                  <w:szCs w:val="16"/>
                  <w:color w:val="0000FF"/>
                  <w:w w:val="89"/>
                </w:rPr>
                <w:t>46</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69</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2"/>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Defaults upon Senior Securities</w:t>
              </w:r>
            </w:hyperlink>
          </w:p>
        </w:tc>
        <w:tc>
          <w:tcPr>
            <w:tcW w:w="5440" w:type="dxa"/>
            <w:vAlign w:val="bottom"/>
            <w:gridSpan w:val="7"/>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69</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10"/>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69</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69">
              <w:r>
                <w:rPr>
                  <w:rFonts w:ascii="Arial" w:cs="Arial" w:eastAsia="Arial" w:hAnsi="Arial"/>
                  <w:sz w:val="16"/>
                  <w:szCs w:val="16"/>
                  <w:color w:val="0000FF"/>
                  <w:w w:val="99"/>
                </w:rPr>
                <w:t>Other Information</w:t>
              </w:r>
            </w:hyperlink>
          </w:p>
        </w:tc>
        <w:tc>
          <w:tcPr>
            <w:tcW w:w="8540" w:type="dxa"/>
            <w:vAlign w:val="bottom"/>
            <w:gridSpan w:val="15"/>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9">
              <w:r>
                <w:rPr>
                  <w:rFonts w:ascii="Arial" w:cs="Arial" w:eastAsia="Arial" w:hAnsi="Arial"/>
                  <w:sz w:val="16"/>
                  <w:szCs w:val="16"/>
                  <w:color w:val="0000FF"/>
                  <w:w w:val="89"/>
                </w:rPr>
                <w:t>69</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19"/>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70</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71</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141" w:right="39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6"/>
        </w:trPr>
        <w:tc>
          <w:tcPr>
            <w:tcW w:w="83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2018</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75,615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41,026</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Short-term marketable securities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222,421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248,140</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$558 and $683 as of September 30, 2019 and December 31, 2018, respectively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61,314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75,825</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20,459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13,974</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379,809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378,965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Long-term marketable securities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100,951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76,710</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58,705</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61,442</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Operating leases - right of use asset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27,043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assets,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18,302</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26,387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18,316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21,976</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7,447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7,225</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1,200</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14,151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11,775</w:t>
            </w:r>
          </w:p>
        </w:tc>
      </w:tr>
      <w:tr>
        <w:trPr>
          <w:trHeight w:val="283"/>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625,924</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585,680</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231F20"/>
              </w:rPr>
              <w:t>Liabilities and Stockholders’ Equity</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5,588</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25,595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26,695</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180,304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164,624</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Operating lease liabilities, current</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6,937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213,745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196,907</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20,156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20,423</w:t>
            </w: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liabilities, noncurrent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30,696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304</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10,361</w:t>
            </w: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264,901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227,691</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Commitments and contingencies (Note 8)</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194"/>
        </w:trPr>
        <w:tc>
          <w:tcPr>
            <w:tcW w:w="8340" w:type="dxa"/>
            <w:vAlign w:val="bottom"/>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September 30, 2019</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8340" w:type="dxa"/>
            <w:vAlign w:val="bottom"/>
          </w:tcPr>
          <w:p>
            <w:pPr>
              <w:ind w:left="280"/>
              <w:spacing w:after="0"/>
              <w:rPr>
                <w:sz w:val="20"/>
                <w:szCs w:val="20"/>
                <w:color w:val="auto"/>
              </w:rPr>
            </w:pPr>
            <w:r>
              <w:rPr>
                <w:rFonts w:ascii="Arial" w:cs="Arial" w:eastAsia="Arial" w:hAnsi="Arial"/>
                <w:sz w:val="14"/>
                <w:szCs w:val="14"/>
                <w:color w:val="auto"/>
              </w:rPr>
              <w:t>and December 31, 2018</w:t>
            </w:r>
          </w:p>
        </w:tc>
        <w:tc>
          <w:tcPr>
            <w:tcW w:w="180" w:type="dxa"/>
            <w:vAlign w:val="bottom"/>
          </w:tcPr>
          <w:p>
            <w:pPr>
              <w:spacing w:after="0"/>
              <w:rPr>
                <w:sz w:val="15"/>
                <w:szCs w:val="15"/>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 $0.001 par value; 1,000,000,000 shares authorized; 38,750,803 and 39,015,034 shares issued and</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at September 30, 2019 and December 31, 2018, respectively</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345,378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330,572</w:t>
            </w: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Retained earnings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13,335</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27,964</w:t>
            </w:r>
          </w:p>
        </w:tc>
      </w:tr>
      <w:tr>
        <w:trPr>
          <w:trHeight w:val="25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361,023</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357,989</w:t>
            </w:r>
          </w:p>
        </w:tc>
      </w:tr>
      <w:tr>
        <w:trPr>
          <w:trHeight w:val="243"/>
        </w:trPr>
        <w:tc>
          <w:tcPr>
            <w:tcW w:w="8340" w:type="dxa"/>
            <w:vAlign w:val="bottom"/>
          </w:tcPr>
          <w:p>
            <w:pPr>
              <w:ind w:left="500"/>
              <w:spacing w:after="0"/>
              <w:rPr>
                <w:sz w:val="20"/>
                <w:szCs w:val="20"/>
                <w:color w:val="auto"/>
              </w:rPr>
            </w:pPr>
            <w:r>
              <w:rPr>
                <w:rFonts w:ascii="Arial" w:cs="Arial" w:eastAsia="Arial" w:hAnsi="Arial"/>
                <w:sz w:val="14"/>
                <w:szCs w:val="14"/>
                <w:color w:val="231F20"/>
              </w:rPr>
              <w:t>Total liabilities and stockholders’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625,924</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585,680</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41" w:right="239" w:bottom="1440" w:gutter="0" w:footer="0" w:header="0"/>
          <w:type w:val="continuous"/>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82,671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71,658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236,943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204,689</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2"/>
                <w:szCs w:val="22"/>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17,108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16,511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52,354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231F20"/>
            </w:tcBorders>
          </w:tcPr>
          <w:p>
            <w:pPr>
              <w:spacing w:after="0"/>
              <w:rPr>
                <w:sz w:val="22"/>
                <w:szCs w:val="22"/>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48,660</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65,563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55,147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184,589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156,029</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16,899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50,431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38,182</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17,009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15,489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51,489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50,698</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9,106</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9,040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29,961</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29,731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43,014</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37,030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131,881</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118,611</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22,549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18,117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52,708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37,418</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2,142</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6,391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4,193</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231F20"/>
            </w:tcBorders>
            <w:shd w:val="clear" w:color="auto" w:fill="CCEEFF"/>
          </w:tcPr>
          <w:p>
            <w:pPr>
              <w:spacing w:after="0"/>
              <w:rPr>
                <w:sz w:val="23"/>
                <w:szCs w:val="23"/>
                <w:color w:val="auto"/>
              </w:rPr>
            </w:pPr>
          </w:p>
        </w:tc>
        <w:tc>
          <w:tcPr>
            <w:tcW w:w="10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net</w:t>
            </w:r>
          </w:p>
        </w:tc>
        <w:tc>
          <w:tcPr>
            <w:tcW w:w="320" w:type="dxa"/>
            <w:vAlign w:val="bottom"/>
            <w:tcBorders>
              <w:bottom w:val="single" w:sz="8" w:color="231F20"/>
            </w:tcBorders>
          </w:tcPr>
          <w:p>
            <w:pPr>
              <w:spacing w:after="0"/>
              <w:rPr>
                <w:sz w:val="21"/>
                <w:szCs w:val="21"/>
                <w:color w:val="auto"/>
              </w:rPr>
            </w:pPr>
          </w:p>
        </w:tc>
        <w:tc>
          <w:tcPr>
            <w:tcW w:w="106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1,786</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1,116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5,973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231F20"/>
            </w:tcBorders>
          </w:tcPr>
          <w:p>
            <w:pPr>
              <w:spacing w:after="0"/>
              <w:rPr>
                <w:sz w:val="21"/>
                <w:szCs w:val="21"/>
                <w:color w:val="auto"/>
              </w:rPr>
            </w:pPr>
          </w:p>
        </w:tc>
        <w:tc>
          <w:tcPr>
            <w:tcW w:w="86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3,245</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24,335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19,233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58,681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40,663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(benefit) for income taxes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231F20"/>
              </w:rPr>
              <w:t>5,161</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(4,236)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10,009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(2,241)</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19,174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23,469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48,672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42,904</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0.47</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51"/>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39,014</w:t>
            </w: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39,170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39,099</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38,907</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41,162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42,197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41,447</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42,113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7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7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24"/>
                <w:szCs w:val="24"/>
                <w:color w:val="auto"/>
              </w:rPr>
            </w:pPr>
          </w:p>
        </w:tc>
        <w:tc>
          <w:tcPr>
            <w:tcW w:w="170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r>
      <w:tr>
        <w:trPr>
          <w:trHeight w:val="256"/>
        </w:trPr>
        <w:tc>
          <w:tcPr>
            <w:tcW w:w="7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19,174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23,469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42,904</w:t>
            </w:r>
          </w:p>
        </w:tc>
      </w:tr>
      <w:tr>
        <w:trPr>
          <w:trHeight w:val="264"/>
        </w:trPr>
        <w:tc>
          <w:tcPr>
            <w:tcW w:w="7080" w:type="dxa"/>
            <w:vAlign w:val="bottom"/>
          </w:tcPr>
          <w:p>
            <w:pPr>
              <w:ind w:left="180"/>
              <w:spacing w:after="0"/>
              <w:rPr>
                <w:sz w:val="20"/>
                <w:szCs w:val="20"/>
                <w:color w:val="auto"/>
              </w:rPr>
            </w:pPr>
            <w:r>
              <w:rPr>
                <w:rFonts w:ascii="Arial" w:cs="Arial" w:eastAsia="Arial" w:hAnsi="Arial"/>
                <w:sz w:val="14"/>
                <w:szCs w:val="14"/>
                <w:color w:val="auto"/>
              </w:rPr>
              <w:t>Other comprehensive income (loss):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Available-for-sale marketable securities: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Change in net unrealized gain (loss) on marketable securities, net of tax</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(427)</w:t>
            </w:r>
          </w:p>
        </w:tc>
      </w:tr>
      <w:tr>
        <w:trPr>
          <w:trHeight w:val="270"/>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Reclassification adjustment for net realized gain (loss) included in net income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249</w:t>
            </w:r>
          </w:p>
        </w:tc>
      </w:tr>
      <w:tr>
        <w:trPr>
          <w:trHeight w:val="250"/>
        </w:trPr>
        <w:tc>
          <w:tcPr>
            <w:tcW w:w="7080" w:type="dxa"/>
            <w:vAlign w:val="bottom"/>
          </w:tcPr>
          <w:p>
            <w:pPr>
              <w:ind w:left="500"/>
              <w:spacing w:after="0"/>
              <w:rPr>
                <w:sz w:val="20"/>
                <w:szCs w:val="20"/>
                <w:color w:val="auto"/>
              </w:rPr>
            </w:pPr>
            <w:r>
              <w:rPr>
                <w:rFonts w:ascii="Arial" w:cs="Arial" w:eastAsia="Arial" w:hAnsi="Arial"/>
                <w:sz w:val="14"/>
                <w:szCs w:val="14"/>
                <w:color w:val="auto"/>
              </w:rPr>
              <w:t>Total change in unrealized gain (loss) on marketable securities, net of tax</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276"/>
        </w:trPr>
        <w:tc>
          <w:tcPr>
            <w:tcW w:w="7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flow hedges: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7080" w:type="dxa"/>
            <w:vAlign w:val="bottom"/>
          </w:tcPr>
          <w:p>
            <w:pPr>
              <w:ind w:left="380"/>
              <w:spacing w:after="0"/>
              <w:rPr>
                <w:sz w:val="20"/>
                <w:szCs w:val="20"/>
                <w:color w:val="auto"/>
              </w:rPr>
            </w:pPr>
            <w:r>
              <w:rPr>
                <w:rFonts w:ascii="Arial" w:cs="Arial" w:eastAsia="Arial" w:hAnsi="Arial"/>
                <w:sz w:val="14"/>
                <w:szCs w:val="14"/>
                <w:color w:val="auto"/>
              </w:rPr>
              <w:t>Change in net unrealized gain, net of tax</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1,423</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0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Reclassification adjustment for net realized gain (loss) included in net income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080" w:type="dxa"/>
            <w:vAlign w:val="bottom"/>
          </w:tcPr>
          <w:p>
            <w:pPr>
              <w:ind w:left="500"/>
              <w:spacing w:after="0"/>
              <w:rPr>
                <w:sz w:val="20"/>
                <w:szCs w:val="20"/>
                <w:color w:val="auto"/>
              </w:rPr>
            </w:pPr>
            <w:r>
              <w:rPr>
                <w:rFonts w:ascii="Arial" w:cs="Arial" w:eastAsia="Arial" w:hAnsi="Arial"/>
                <w:sz w:val="14"/>
                <w:szCs w:val="14"/>
                <w:color w:val="auto"/>
              </w:rPr>
              <w:t>Total change in unrealized gain (loss) on cash flow hedges, net of tax</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0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Other comprehensive income (loss), net of tax</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1,031</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2,857</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243"/>
        </w:trPr>
        <w:tc>
          <w:tcPr>
            <w:tcW w:w="708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20,205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23,538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51,529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42,726</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48,672</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42,904</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23,486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21,224</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Bad debt expense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25,163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22,672</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Amortization of premiums and (accretion) of discounts on marketable securities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(586)</w:t>
            </w:r>
          </w:p>
        </w:tc>
      </w:tr>
      <w:tr>
        <w:trPr>
          <w:trHeight w:val="276"/>
        </w:trPr>
        <w:tc>
          <w:tcPr>
            <w:tcW w:w="8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(4,024)</w:t>
            </w:r>
          </w:p>
        </w:tc>
      </w:tr>
      <w:tr>
        <w:trPr>
          <w:trHeight w:val="264"/>
        </w:trPr>
        <w:tc>
          <w:tcPr>
            <w:tcW w:w="880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14,355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5,800</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(6,485)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(5,733)</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w:t>
            </w:r>
          </w:p>
        </w:tc>
      </w:tr>
      <w:tr>
        <w:trPr>
          <w:trHeight w:val="264"/>
        </w:trPr>
        <w:tc>
          <w:tcPr>
            <w:tcW w:w="8800" w:type="dxa"/>
            <w:vAlign w:val="bottom"/>
          </w:tcPr>
          <w:p>
            <w:pPr>
              <w:ind w:left="720"/>
              <w:spacing w:after="0"/>
              <w:rPr>
                <w:sz w:val="20"/>
                <w:szCs w:val="20"/>
                <w:color w:val="auto"/>
              </w:rPr>
            </w:pPr>
            <w:r>
              <w:rPr>
                <w:rFonts w:ascii="Arial" w:cs="Arial" w:eastAsia="Arial" w:hAnsi="Arial"/>
                <w:sz w:val="14"/>
                <w:szCs w:val="14"/>
                <w:color w:val="auto"/>
              </w:rPr>
              <w:t>Accrued liabilities</w:t>
            </w:r>
          </w:p>
        </w:tc>
        <w:tc>
          <w:tcPr>
            <w:tcW w:w="3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1,275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5,803</w:t>
            </w:r>
          </w:p>
        </w:tc>
      </w:tr>
      <w:tr>
        <w:trPr>
          <w:trHeight w:val="276"/>
        </w:trPr>
        <w:tc>
          <w:tcPr>
            <w:tcW w:w="88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Deferred revenues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15,413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12,351</w:t>
            </w:r>
          </w:p>
        </w:tc>
      </w:tr>
      <w:tr>
        <w:trPr>
          <w:trHeight w:val="264"/>
        </w:trPr>
        <w:tc>
          <w:tcPr>
            <w:tcW w:w="88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(1,804)</w:t>
            </w:r>
          </w:p>
        </w:tc>
      </w:tr>
      <w:tr>
        <w:trPr>
          <w:trHeight w:val="216"/>
        </w:trPr>
        <w:tc>
          <w:tcPr>
            <w:tcW w:w="880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126,949</w:t>
            </w: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98,820</w:t>
            </w:r>
          </w:p>
        </w:tc>
      </w:tr>
      <w:tr>
        <w:trPr>
          <w:trHeight w:val="258"/>
        </w:trPr>
        <w:tc>
          <w:tcPr>
            <w:tcW w:w="88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marketable securities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(259,286)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(242,056)</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Sales and maturities of marketable securities</w:t>
            </w:r>
          </w:p>
        </w:tc>
        <w:tc>
          <w:tcPr>
            <w:tcW w:w="3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263,874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218,865</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(19,496)</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Business combinations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(1,850)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(3,359)</w:t>
            </w: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privately-held investment</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w:t>
            </w:r>
          </w:p>
        </w:tc>
      </w:tr>
      <w:tr>
        <w:trPr>
          <w:trHeight w:val="250"/>
        </w:trPr>
        <w:tc>
          <w:tcPr>
            <w:tcW w:w="88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(17,360)</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(48,546)</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(73,877)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(46,542)</w:t>
            </w:r>
          </w:p>
        </w:tc>
      </w:tr>
      <w:tr>
        <w:trPr>
          <w:trHeight w:val="276"/>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11,014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20,896</w:t>
            </w:r>
          </w:p>
        </w:tc>
      </w:tr>
      <w:tr>
        <w:trPr>
          <w:trHeight w:val="264"/>
        </w:trPr>
        <w:tc>
          <w:tcPr>
            <w:tcW w:w="8800" w:type="dxa"/>
            <w:vAlign w:val="bottom"/>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(10,864)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(12,010)</w:t>
            </w:r>
          </w:p>
        </w:tc>
      </w:tr>
      <w:tr>
        <w:trPr>
          <w:trHeight w:val="270"/>
        </w:trPr>
        <w:tc>
          <w:tcPr>
            <w:tcW w:w="88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Principal payments under finance lease obligations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(1,203)</w:t>
            </w:r>
          </w:p>
        </w:tc>
      </w:tr>
      <w:tr>
        <w:trPr>
          <w:trHeight w:val="250"/>
        </w:trPr>
        <w:tc>
          <w:tcPr>
            <w:tcW w:w="880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financing activities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(38,859)</w:t>
            </w:r>
          </w:p>
        </w:tc>
      </w:tr>
      <w:tr>
        <w:trPr>
          <w:trHeight w:val="25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50"/>
        </w:trPr>
        <w:tc>
          <w:tcPr>
            <w:tcW w:w="8800" w:type="dxa"/>
            <w:vAlign w:val="bottom"/>
          </w:tcPr>
          <w:p>
            <w:pPr>
              <w:ind w:left="40"/>
              <w:spacing w:after="0"/>
              <w:rPr>
                <w:sz w:val="20"/>
                <w:szCs w:val="20"/>
                <w:color w:val="auto"/>
              </w:rPr>
            </w:pPr>
            <w:r>
              <w:rPr>
                <w:rFonts w:ascii="Arial" w:cs="Arial" w:eastAsia="Arial" w:hAnsi="Arial"/>
                <w:sz w:val="14"/>
                <w:szCs w:val="14"/>
                <w:color w:val="auto"/>
              </w:rPr>
              <w:t>Net increase in cash, cash equivalents and restricted cash</w:t>
            </w:r>
          </w:p>
        </w:tc>
        <w:tc>
          <w:tcPr>
            <w:tcW w:w="3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34,589</w:t>
            </w:r>
          </w:p>
        </w:tc>
        <w:tc>
          <w:tcPr>
            <w:tcW w:w="1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11,373</w:t>
            </w:r>
          </w:p>
        </w:tc>
      </w:tr>
      <w:tr>
        <w:trPr>
          <w:trHeight w:val="270"/>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42,226</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87,791</w:t>
            </w:r>
          </w:p>
        </w:tc>
      </w:tr>
      <w:tr>
        <w:trPr>
          <w:trHeight w:val="243"/>
        </w:trPr>
        <w:tc>
          <w:tcPr>
            <w:tcW w:w="880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at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76,815</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99,164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3"/>
                <w:szCs w:val="13"/>
                <w:color w:val="auto"/>
              </w:rPr>
            </w:pPr>
          </w:p>
        </w:tc>
        <w:tc>
          <w:tcPr>
            <w:tcW w:w="2360" w:type="dxa"/>
            <w:vAlign w:val="bottom"/>
            <w:gridSpan w:val="5"/>
          </w:tcPr>
          <w:p>
            <w:pPr>
              <w:ind w:left="580"/>
              <w:spacing w:after="0"/>
              <w:rPr>
                <w:sz w:val="20"/>
                <w:szCs w:val="20"/>
                <w:color w:val="auto"/>
              </w:rPr>
            </w:pPr>
            <w:r>
              <w:rPr>
                <w:rFonts w:ascii="Arial" w:cs="Arial" w:eastAsia="Arial" w:hAnsi="Arial"/>
                <w:sz w:val="13"/>
                <w:szCs w:val="13"/>
                <w:b w:val="1"/>
                <w:bCs w:val="1"/>
                <w:color w:val="auto"/>
              </w:rPr>
              <w:t>Common Stock</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Additional</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Accumulated Other</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35"/>
        </w:trPr>
        <w:tc>
          <w:tcPr>
            <w:tcW w:w="46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3"/>
                <w:szCs w:val="3"/>
                <w:color w:val="auto"/>
              </w:rPr>
            </w:pPr>
          </w:p>
        </w:tc>
        <w:tc>
          <w:tcPr>
            <w:tcW w:w="1100" w:type="dxa"/>
            <w:vAlign w:val="bottom"/>
            <w:vMerge w:val="restart"/>
          </w:tcPr>
          <w:p>
            <w:pPr>
              <w:jc w:val="center"/>
              <w:ind w:right="49"/>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280" w:type="dxa"/>
            <w:vAlign w:val="bottom"/>
          </w:tcPr>
          <w:p>
            <w:pPr>
              <w:spacing w:after="0"/>
              <w:rPr>
                <w:sz w:val="3"/>
                <w:szCs w:val="3"/>
                <w:color w:val="auto"/>
              </w:rPr>
            </w:pPr>
          </w:p>
        </w:tc>
        <w:tc>
          <w:tcPr>
            <w:tcW w:w="980" w:type="dxa"/>
            <w:vAlign w:val="bottom"/>
            <w:gridSpan w:val="2"/>
            <w:vMerge w:val="restart"/>
          </w:tcPr>
          <w:p>
            <w:pPr>
              <w:ind w:left="180"/>
              <w:spacing w:after="0" w:line="135" w:lineRule="exact"/>
              <w:rPr>
                <w:sz w:val="20"/>
                <w:szCs w:val="20"/>
                <w:color w:val="auto"/>
              </w:rPr>
            </w:pPr>
            <w:r>
              <w:rPr>
                <w:rFonts w:ascii="Arial" w:cs="Arial" w:eastAsia="Arial" w:hAnsi="Arial"/>
                <w:sz w:val="13"/>
                <w:szCs w:val="13"/>
                <w:b w:val="1"/>
                <w:bCs w:val="1"/>
                <w:color w:val="auto"/>
              </w:rPr>
              <w:t>Retained</w:t>
            </w:r>
          </w:p>
        </w:tc>
        <w:tc>
          <w:tcPr>
            <w:tcW w:w="9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80"/>
        </w:trPr>
        <w:tc>
          <w:tcPr>
            <w:tcW w:w="4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4680" w:type="dxa"/>
            <w:vAlign w:val="bottom"/>
          </w:tcPr>
          <w:p>
            <w:pPr>
              <w:spacing w:after="0"/>
              <w:rPr>
                <w:sz w:val="15"/>
                <w:szCs w:val="15"/>
                <w:color w:val="auto"/>
              </w:rPr>
            </w:pPr>
          </w:p>
        </w:tc>
        <w:tc>
          <w:tcPr>
            <w:tcW w:w="118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100" w:type="dxa"/>
            <w:vAlign w:val="bottom"/>
          </w:tcPr>
          <w:p>
            <w:pPr>
              <w:jc w:val="center"/>
              <w:ind w:right="49"/>
              <w:spacing w:after="0"/>
              <w:rPr>
                <w:sz w:val="20"/>
                <w:szCs w:val="20"/>
                <w:color w:val="auto"/>
              </w:rPr>
            </w:pPr>
            <w:r>
              <w:rPr>
                <w:rFonts w:ascii="Arial" w:cs="Arial" w:eastAsia="Arial" w:hAnsi="Arial"/>
                <w:sz w:val="13"/>
                <w:szCs w:val="13"/>
                <w:b w:val="1"/>
                <w:bCs w:val="1"/>
                <w:color w:val="auto"/>
                <w:w w:val="97"/>
              </w:rPr>
              <w:t>Income (Loss)</w:t>
            </w:r>
          </w:p>
        </w:tc>
        <w:tc>
          <w:tcPr>
            <w:tcW w:w="280" w:type="dxa"/>
            <w:vAlign w:val="bottom"/>
          </w:tcPr>
          <w:p>
            <w:pPr>
              <w:spacing w:after="0"/>
              <w:rPr>
                <w:sz w:val="15"/>
                <w:szCs w:val="15"/>
                <w:color w:val="auto"/>
              </w:rPr>
            </w:pPr>
          </w:p>
        </w:tc>
        <w:tc>
          <w:tcPr>
            <w:tcW w:w="980" w:type="dxa"/>
            <w:vAlign w:val="bottom"/>
            <w:gridSpan w:val="2"/>
          </w:tcPr>
          <w:p>
            <w:pPr>
              <w:ind w:left="180"/>
              <w:spacing w:after="0"/>
              <w:rPr>
                <w:sz w:val="20"/>
                <w:szCs w:val="20"/>
                <w:color w:val="auto"/>
              </w:rPr>
            </w:pPr>
            <w:r>
              <w:rPr>
                <w:rFonts w:ascii="Arial" w:cs="Arial" w:eastAsia="Arial" w:hAnsi="Arial"/>
                <w:sz w:val="13"/>
                <w:szCs w:val="13"/>
                <w:b w:val="1"/>
                <w:bCs w:val="1"/>
                <w:color w:val="auto"/>
              </w:rPr>
              <w:t>Earnings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1"/>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Balances at December 31, 2018</w:t>
            </w: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39,015,034</w:t>
            </w:r>
          </w:p>
        </w:tc>
        <w:tc>
          <w:tcPr>
            <w:tcW w:w="28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39</w:t>
            </w:r>
          </w:p>
        </w:tc>
        <w:tc>
          <w:tcPr>
            <w:tcW w:w="300" w:type="dxa"/>
            <w:vAlign w:val="bottom"/>
          </w:tcPr>
          <w:p>
            <w:pPr>
              <w:spacing w:after="0"/>
              <w:rPr>
                <w:sz w:val="16"/>
                <w:szCs w:val="16"/>
                <w:color w:val="auto"/>
              </w:rPr>
            </w:pP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  330,572</w:t>
            </w:r>
          </w:p>
        </w:tc>
        <w:tc>
          <w:tcPr>
            <w:tcW w:w="12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(586)</w:t>
            </w:r>
          </w:p>
        </w:tc>
        <w:tc>
          <w:tcPr>
            <w:tcW w:w="280" w:type="dxa"/>
            <w:vAlign w:val="bottom"/>
          </w:tcPr>
          <w:p>
            <w:pPr>
              <w:spacing w:after="0"/>
              <w:rPr>
                <w:sz w:val="16"/>
                <w:szCs w:val="16"/>
                <w:color w:val="auto"/>
              </w:rPr>
            </w:pP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   27,964</w:t>
            </w:r>
          </w:p>
        </w:tc>
        <w:tc>
          <w:tcPr>
            <w:tcW w:w="100" w:type="dxa"/>
            <w:vAlign w:val="bottom"/>
          </w:tcPr>
          <w:p>
            <w:pPr>
              <w:spacing w:after="0"/>
              <w:rPr>
                <w:sz w:val="16"/>
                <w:szCs w:val="16"/>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  357,989</w:t>
            </w:r>
          </w:p>
        </w:tc>
        <w:tc>
          <w:tcPr>
            <w:tcW w:w="0" w:type="dxa"/>
            <w:vAlign w:val="bottom"/>
          </w:tcPr>
          <w:p>
            <w:pPr>
              <w:spacing w:after="0"/>
              <w:rPr>
                <w:sz w:val="1"/>
                <w:szCs w:val="1"/>
                <w:color w:val="auto"/>
              </w:rPr>
            </w:pPr>
          </w:p>
        </w:tc>
      </w:tr>
      <w:tr>
        <w:trPr>
          <w:trHeight w:val="60"/>
        </w:trPr>
        <w:tc>
          <w:tcPr>
            <w:tcW w:w="468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118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13,266</w:t>
            </w: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13,266</w:t>
            </w:r>
          </w:p>
        </w:tc>
        <w:tc>
          <w:tcPr>
            <w:tcW w:w="0" w:type="dxa"/>
            <w:vAlign w:val="bottom"/>
          </w:tcPr>
          <w:p>
            <w:pPr>
              <w:spacing w:after="0"/>
              <w:rPr>
                <w:sz w:val="1"/>
                <w:szCs w:val="1"/>
                <w:color w:val="auto"/>
              </w:rPr>
            </w:pPr>
          </w:p>
        </w:tc>
      </w:tr>
      <w:tr>
        <w:trPr>
          <w:trHeight w:val="66"/>
        </w:trPr>
        <w:tc>
          <w:tcPr>
            <w:tcW w:w="468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680" w:type="dxa"/>
            <w:vAlign w:val="bottom"/>
          </w:tcPr>
          <w:p>
            <w:pPr>
              <w:ind w:left="280"/>
              <w:spacing w:after="0"/>
              <w:rPr>
                <w:sz w:val="20"/>
                <w:szCs w:val="20"/>
                <w:color w:val="auto"/>
              </w:rPr>
            </w:pPr>
            <w:r>
              <w:rPr>
                <w:rFonts w:ascii="Arial" w:cs="Arial" w:eastAsia="Arial" w:hAnsi="Arial"/>
                <w:sz w:val="14"/>
                <w:szCs w:val="14"/>
                <w:color w:val="auto"/>
              </w:rPr>
              <w:t>Other comprehensive income, net of tax</w:t>
            </w: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896</w:t>
            </w:r>
          </w:p>
        </w:tc>
        <w:tc>
          <w:tcPr>
            <w:tcW w:w="28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60"/>
        </w:trPr>
        <w:tc>
          <w:tcPr>
            <w:tcW w:w="46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152,164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4,047</w:t>
            </w:r>
          </w:p>
        </w:tc>
        <w:tc>
          <w:tcPr>
            <w:tcW w:w="0" w:type="dxa"/>
            <w:vAlign w:val="bottom"/>
          </w:tcPr>
          <w:p>
            <w:pPr>
              <w:spacing w:after="0"/>
              <w:rPr>
                <w:sz w:val="1"/>
                <w:szCs w:val="1"/>
                <w:color w:val="auto"/>
              </w:rPr>
            </w:pPr>
          </w:p>
        </w:tc>
      </w:tr>
      <w:tr>
        <w:trPr>
          <w:trHeight w:val="66"/>
        </w:trPr>
        <w:tc>
          <w:tcPr>
            <w:tcW w:w="46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68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(94,090)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(1,129)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(6,742)</w:t>
            </w:r>
          </w:p>
        </w:tc>
        <w:tc>
          <w:tcPr>
            <w:tcW w:w="1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(7,871)</w:t>
            </w:r>
          </w:p>
        </w:tc>
        <w:tc>
          <w:tcPr>
            <w:tcW w:w="0" w:type="dxa"/>
            <w:vAlign w:val="bottom"/>
          </w:tcPr>
          <w:p>
            <w:pPr>
              <w:spacing w:after="0"/>
              <w:rPr>
                <w:sz w:val="1"/>
                <w:szCs w:val="1"/>
                <w:color w:val="auto"/>
              </w:rPr>
            </w:pPr>
          </w:p>
        </w:tc>
      </w:tr>
      <w:tr>
        <w:trPr>
          <w:trHeight w:val="60"/>
        </w:trPr>
        <w:tc>
          <w:tcPr>
            <w:tcW w:w="46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99,601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46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680" w:type="dxa"/>
            <w:vAlign w:val="bottom"/>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(38,877)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(3,367)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(3,367)</w:t>
            </w:r>
          </w:p>
        </w:tc>
        <w:tc>
          <w:tcPr>
            <w:tcW w:w="0" w:type="dxa"/>
            <w:vAlign w:val="bottom"/>
          </w:tcPr>
          <w:p>
            <w:pPr>
              <w:spacing w:after="0"/>
              <w:rPr>
                <w:sz w:val="1"/>
                <w:szCs w:val="1"/>
                <w:color w:val="auto"/>
              </w:rPr>
            </w:pPr>
          </w:p>
        </w:tc>
      </w:tr>
      <w:tr>
        <w:trPr>
          <w:trHeight w:val="60"/>
        </w:trPr>
        <w:tc>
          <w:tcPr>
            <w:tcW w:w="46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118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8,443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8,443</w:t>
            </w:r>
          </w:p>
        </w:tc>
        <w:tc>
          <w:tcPr>
            <w:tcW w:w="0" w:type="dxa"/>
            <w:vAlign w:val="bottom"/>
          </w:tcPr>
          <w:p>
            <w:pPr>
              <w:spacing w:after="0"/>
              <w:rPr>
                <w:sz w:val="1"/>
                <w:szCs w:val="1"/>
                <w:color w:val="auto"/>
              </w:rPr>
            </w:pPr>
          </w:p>
        </w:tc>
      </w:tr>
      <w:tr>
        <w:trPr>
          <w:trHeight w:val="66"/>
        </w:trPr>
        <w:tc>
          <w:tcPr>
            <w:tcW w:w="468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Balances at March 31, 2019</w:t>
            </w: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39,133,832</w:t>
            </w: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39</w:t>
            </w: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338,566</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310</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34,488</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373,403</w:t>
            </w:r>
          </w:p>
        </w:tc>
        <w:tc>
          <w:tcPr>
            <w:tcW w:w="0" w:type="dxa"/>
            <w:vAlign w:val="bottom"/>
          </w:tcPr>
          <w:p>
            <w:pPr>
              <w:spacing w:after="0"/>
              <w:rPr>
                <w:sz w:val="1"/>
                <w:szCs w:val="1"/>
                <w:color w:val="auto"/>
              </w:rPr>
            </w:pPr>
          </w:p>
        </w:tc>
      </w:tr>
      <w:tr>
        <w:trPr>
          <w:trHeight w:val="114"/>
        </w:trPr>
        <w:tc>
          <w:tcPr>
            <w:tcW w:w="4680" w:type="dxa"/>
            <w:vAlign w:val="bottom"/>
            <w:tcBorders>
              <w:bottom w:val="single" w:sz="8" w:color="CCEEFF"/>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118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16,232</w:t>
            </w: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16,232</w:t>
            </w:r>
          </w:p>
        </w:tc>
        <w:tc>
          <w:tcPr>
            <w:tcW w:w="0" w:type="dxa"/>
            <w:vAlign w:val="bottom"/>
          </w:tcPr>
          <w:p>
            <w:pPr>
              <w:spacing w:after="0"/>
              <w:rPr>
                <w:sz w:val="1"/>
                <w:szCs w:val="1"/>
                <w:color w:val="auto"/>
              </w:rPr>
            </w:pPr>
          </w:p>
        </w:tc>
      </w:tr>
      <w:tr>
        <w:trPr>
          <w:trHeight w:val="93"/>
        </w:trPr>
        <w:tc>
          <w:tcPr>
            <w:tcW w:w="468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680" w:type="dxa"/>
            <w:vAlign w:val="bottom"/>
          </w:tcPr>
          <w:p>
            <w:pPr>
              <w:ind w:left="280"/>
              <w:spacing w:after="0"/>
              <w:rPr>
                <w:sz w:val="20"/>
                <w:szCs w:val="20"/>
                <w:color w:val="auto"/>
              </w:rPr>
            </w:pPr>
            <w:r>
              <w:rPr>
                <w:rFonts w:ascii="Arial" w:cs="Arial" w:eastAsia="Arial" w:hAnsi="Arial"/>
                <w:sz w:val="14"/>
                <w:szCs w:val="14"/>
                <w:color w:val="auto"/>
              </w:rPr>
              <w:t>Other comprehensive income, net of tax</w:t>
            </w: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930</w:t>
            </w:r>
          </w:p>
        </w:tc>
        <w:tc>
          <w:tcPr>
            <w:tcW w:w="28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60"/>
        </w:trPr>
        <w:tc>
          <w:tcPr>
            <w:tcW w:w="46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192,687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4,944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4,944</w:t>
            </w:r>
          </w:p>
        </w:tc>
        <w:tc>
          <w:tcPr>
            <w:tcW w:w="0" w:type="dxa"/>
            <w:vAlign w:val="bottom"/>
          </w:tcPr>
          <w:p>
            <w:pPr>
              <w:spacing w:after="0"/>
              <w:rPr>
                <w:sz w:val="1"/>
                <w:szCs w:val="1"/>
                <w:color w:val="auto"/>
              </w:rPr>
            </w:pPr>
          </w:p>
        </w:tc>
      </w:tr>
      <w:tr>
        <w:trPr>
          <w:trHeight w:val="66"/>
        </w:trPr>
        <w:tc>
          <w:tcPr>
            <w:tcW w:w="46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68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(183,948)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(2,207)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(14,038)</w:t>
            </w:r>
          </w:p>
        </w:tc>
        <w:tc>
          <w:tcPr>
            <w:tcW w:w="1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(16,245)</w:t>
            </w:r>
          </w:p>
        </w:tc>
        <w:tc>
          <w:tcPr>
            <w:tcW w:w="0" w:type="dxa"/>
            <w:vAlign w:val="bottom"/>
          </w:tcPr>
          <w:p>
            <w:pPr>
              <w:spacing w:after="0"/>
              <w:rPr>
                <w:sz w:val="1"/>
                <w:szCs w:val="1"/>
                <w:color w:val="auto"/>
              </w:rPr>
            </w:pPr>
          </w:p>
        </w:tc>
      </w:tr>
      <w:tr>
        <w:trPr>
          <w:trHeight w:val="60"/>
        </w:trPr>
        <w:tc>
          <w:tcPr>
            <w:tcW w:w="46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126,754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46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680" w:type="dxa"/>
            <w:vAlign w:val="bottom"/>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(45,250)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(4,044)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(4,044)</w:t>
            </w:r>
          </w:p>
        </w:tc>
        <w:tc>
          <w:tcPr>
            <w:tcW w:w="0" w:type="dxa"/>
            <w:vAlign w:val="bottom"/>
          </w:tcPr>
          <w:p>
            <w:pPr>
              <w:spacing w:after="0"/>
              <w:rPr>
                <w:sz w:val="1"/>
                <w:szCs w:val="1"/>
                <w:color w:val="auto"/>
              </w:rPr>
            </w:pPr>
          </w:p>
        </w:tc>
      </w:tr>
      <w:tr>
        <w:trPr>
          <w:trHeight w:val="60"/>
        </w:trPr>
        <w:tc>
          <w:tcPr>
            <w:tcW w:w="46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118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8,378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8,378</w:t>
            </w:r>
          </w:p>
        </w:tc>
        <w:tc>
          <w:tcPr>
            <w:tcW w:w="0" w:type="dxa"/>
            <w:vAlign w:val="bottom"/>
          </w:tcPr>
          <w:p>
            <w:pPr>
              <w:spacing w:after="0"/>
              <w:rPr>
                <w:sz w:val="1"/>
                <w:szCs w:val="1"/>
                <w:color w:val="auto"/>
              </w:rPr>
            </w:pPr>
          </w:p>
        </w:tc>
      </w:tr>
      <w:tr>
        <w:trPr>
          <w:trHeight w:val="66"/>
        </w:trPr>
        <w:tc>
          <w:tcPr>
            <w:tcW w:w="468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Balances at June 30, 2019</w:t>
            </w: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39,224,075</w:t>
            </w: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39</w:t>
            </w: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345,637</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1,240</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36,682</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383,598</w:t>
            </w:r>
          </w:p>
        </w:tc>
        <w:tc>
          <w:tcPr>
            <w:tcW w:w="0" w:type="dxa"/>
            <w:vAlign w:val="bottom"/>
          </w:tcPr>
          <w:p>
            <w:pPr>
              <w:spacing w:after="0"/>
              <w:rPr>
                <w:sz w:val="1"/>
                <w:szCs w:val="1"/>
                <w:color w:val="auto"/>
              </w:rPr>
            </w:pPr>
          </w:p>
        </w:tc>
      </w:tr>
      <w:tr>
        <w:trPr>
          <w:trHeight w:val="120"/>
        </w:trPr>
        <w:tc>
          <w:tcPr>
            <w:tcW w:w="46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8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Net income</w:t>
            </w:r>
          </w:p>
        </w:tc>
        <w:tc>
          <w:tcPr>
            <w:tcW w:w="118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19,174</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19,174</w:t>
            </w:r>
          </w:p>
        </w:tc>
        <w:tc>
          <w:tcPr>
            <w:tcW w:w="0" w:type="dxa"/>
            <w:vAlign w:val="bottom"/>
          </w:tcPr>
          <w:p>
            <w:pPr>
              <w:spacing w:after="0"/>
              <w:rPr>
                <w:sz w:val="1"/>
                <w:szCs w:val="1"/>
                <w:color w:val="auto"/>
              </w:rPr>
            </w:pPr>
          </w:p>
        </w:tc>
      </w:tr>
      <w:tr>
        <w:trPr>
          <w:trHeight w:val="93"/>
        </w:trPr>
        <w:tc>
          <w:tcPr>
            <w:tcW w:w="4680" w:type="dxa"/>
            <w:vAlign w:val="bottom"/>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20" w:type="dxa"/>
            <w:vAlign w:val="bottom"/>
            <w:gridSpan w:val="2"/>
            <w:vMerge w:val="continue"/>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4680" w:type="dxa"/>
            <w:vAlign w:val="bottom"/>
          </w:tcPr>
          <w:p>
            <w:pPr>
              <w:ind w:left="280"/>
              <w:spacing w:after="0"/>
              <w:rPr>
                <w:sz w:val="20"/>
                <w:szCs w:val="20"/>
                <w:color w:val="auto"/>
              </w:rPr>
            </w:pPr>
            <w:r>
              <w:rPr>
                <w:rFonts w:ascii="Arial" w:cs="Arial" w:eastAsia="Arial" w:hAnsi="Arial"/>
                <w:sz w:val="14"/>
                <w:szCs w:val="14"/>
                <w:color w:val="auto"/>
              </w:rPr>
              <w:t>Other comprehensive income, net of tax</w:t>
            </w: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1,031</w:t>
            </w:r>
          </w:p>
        </w:tc>
        <w:tc>
          <w:tcPr>
            <w:tcW w:w="2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60"/>
        </w:trPr>
        <w:tc>
          <w:tcPr>
            <w:tcW w:w="46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68,059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66"/>
        </w:trPr>
        <w:tc>
          <w:tcPr>
            <w:tcW w:w="46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68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(603,417)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(7,240)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(42,521)</w:t>
            </w:r>
          </w:p>
        </w:tc>
        <w:tc>
          <w:tcPr>
            <w:tcW w:w="1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(49,761)</w:t>
            </w:r>
          </w:p>
        </w:tc>
        <w:tc>
          <w:tcPr>
            <w:tcW w:w="0" w:type="dxa"/>
            <w:vAlign w:val="bottom"/>
          </w:tcPr>
          <w:p>
            <w:pPr>
              <w:spacing w:after="0"/>
              <w:rPr>
                <w:sz w:val="1"/>
                <w:szCs w:val="1"/>
                <w:color w:val="auto"/>
              </w:rPr>
            </w:pPr>
          </w:p>
        </w:tc>
      </w:tr>
      <w:tr>
        <w:trPr>
          <w:trHeight w:val="60"/>
        </w:trPr>
        <w:tc>
          <w:tcPr>
            <w:tcW w:w="46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103,206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468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680" w:type="dxa"/>
            <w:vAlign w:val="bottom"/>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(41,120)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(3,453)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(3,453)</w:t>
            </w:r>
          </w:p>
        </w:tc>
        <w:tc>
          <w:tcPr>
            <w:tcW w:w="0" w:type="dxa"/>
            <w:vAlign w:val="bottom"/>
          </w:tcPr>
          <w:p>
            <w:pPr>
              <w:spacing w:after="0"/>
              <w:rPr>
                <w:sz w:val="1"/>
                <w:szCs w:val="1"/>
                <w:color w:val="auto"/>
              </w:rPr>
            </w:pPr>
          </w:p>
        </w:tc>
      </w:tr>
      <w:tr>
        <w:trPr>
          <w:trHeight w:val="60"/>
        </w:trPr>
        <w:tc>
          <w:tcPr>
            <w:tcW w:w="46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118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8,411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8,411</w:t>
            </w:r>
          </w:p>
        </w:tc>
        <w:tc>
          <w:tcPr>
            <w:tcW w:w="0" w:type="dxa"/>
            <w:vAlign w:val="bottom"/>
          </w:tcPr>
          <w:p>
            <w:pPr>
              <w:spacing w:after="0"/>
              <w:rPr>
                <w:sz w:val="1"/>
                <w:szCs w:val="1"/>
                <w:color w:val="auto"/>
              </w:rPr>
            </w:pPr>
          </w:p>
        </w:tc>
      </w:tr>
      <w:tr>
        <w:trPr>
          <w:trHeight w:val="66"/>
        </w:trPr>
        <w:tc>
          <w:tcPr>
            <w:tcW w:w="468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Balances at September 30, 2019</w:t>
            </w: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38,750,803</w:t>
            </w: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39</w:t>
            </w: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345,378</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2,271</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13,335</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361,023</w:t>
            </w:r>
          </w:p>
        </w:tc>
        <w:tc>
          <w:tcPr>
            <w:tcW w:w="0" w:type="dxa"/>
            <w:vAlign w:val="bottom"/>
          </w:tcPr>
          <w:p>
            <w:pPr>
              <w:spacing w:after="0"/>
              <w:rPr>
                <w:sz w:val="1"/>
                <w:szCs w:val="1"/>
                <w:color w:val="auto"/>
              </w:rPr>
            </w:pPr>
          </w:p>
        </w:tc>
      </w:tr>
      <w:tr>
        <w:trPr>
          <w:trHeight w:val="120"/>
        </w:trPr>
        <w:tc>
          <w:tcPr>
            <w:tcW w:w="468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1740" w:type="dxa"/>
            <w:vAlign w:val="bottom"/>
            <w:gridSpan w:val="3"/>
            <w:vMerge w:val="restart"/>
          </w:tcPr>
          <w:p>
            <w:pPr>
              <w:jc w:val="right"/>
              <w:ind w:right="328"/>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89"/>
              <w:spacing w:after="0"/>
              <w:rPr>
                <w:sz w:val="20"/>
                <w:szCs w:val="20"/>
                <w:color w:val="auto"/>
              </w:rPr>
            </w:pPr>
            <w:r>
              <w:rPr>
                <w:rFonts w:ascii="Arial" w:cs="Arial" w:eastAsia="Arial" w:hAnsi="Arial"/>
                <w:sz w:val="13"/>
                <w:szCs w:val="13"/>
                <w:b w:val="1"/>
                <w:bCs w:val="1"/>
                <w:color w:val="auto"/>
                <w:w w:val="95"/>
              </w:rPr>
              <w:t>Accumulated</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740" w:type="dxa"/>
            <w:vAlign w:val="bottom"/>
            <w:tcBorders>
              <w:bottom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169"/>
              <w:spacing w:after="0" w:line="144" w:lineRule="exact"/>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2"/>
                <w:szCs w:val="12"/>
                <w:color w:val="auto"/>
              </w:rPr>
            </w:pPr>
          </w:p>
        </w:tc>
        <w:tc>
          <w:tcPr>
            <w:tcW w:w="940" w:type="dxa"/>
            <w:vAlign w:val="bottom"/>
          </w:tcPr>
          <w:p>
            <w:pPr>
              <w:jc w:val="center"/>
              <w:ind w:right="89"/>
              <w:spacing w:after="0" w:line="144"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center"/>
              <w:ind w:right="149"/>
              <w:spacing w:after="0" w:line="144"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07"/>
        </w:trPr>
        <w:tc>
          <w:tcPr>
            <w:tcW w:w="5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jc w:val="right"/>
              <w:ind w:right="269"/>
              <w:spacing w:after="0" w:line="107" w:lineRule="exact"/>
              <w:rPr>
                <w:sz w:val="20"/>
                <w:szCs w:val="20"/>
                <w:color w:val="auto"/>
              </w:rPr>
            </w:pPr>
            <w:r>
              <w:rPr>
                <w:rFonts w:ascii="Arial" w:cs="Arial" w:eastAsia="Arial" w:hAnsi="Arial"/>
                <w:sz w:val="12"/>
                <w:szCs w:val="12"/>
                <w:b w:val="1"/>
                <w:bCs w:val="1"/>
                <w:color w:val="auto"/>
              </w:rPr>
              <w:t>Paid-In</w:t>
            </w:r>
          </w:p>
        </w:tc>
        <w:tc>
          <w:tcPr>
            <w:tcW w:w="11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Comprehensive</w:t>
            </w:r>
          </w:p>
        </w:tc>
        <w:tc>
          <w:tcPr>
            <w:tcW w:w="240" w:type="dxa"/>
            <w:vAlign w:val="bottom"/>
          </w:tcPr>
          <w:p>
            <w:pPr>
              <w:spacing w:after="0"/>
              <w:rPr>
                <w:sz w:val="9"/>
                <w:szCs w:val="9"/>
                <w:color w:val="auto"/>
              </w:rPr>
            </w:pPr>
          </w:p>
        </w:tc>
        <w:tc>
          <w:tcPr>
            <w:tcW w:w="880" w:type="dxa"/>
            <w:vAlign w:val="bottom"/>
          </w:tcPr>
          <w:p>
            <w:pPr>
              <w:jc w:val="right"/>
              <w:ind w:right="209"/>
              <w:spacing w:after="0" w:line="107" w:lineRule="exact"/>
              <w:rPr>
                <w:sz w:val="20"/>
                <w:szCs w:val="20"/>
                <w:color w:val="auto"/>
              </w:rPr>
            </w:pPr>
            <w:r>
              <w:rPr>
                <w:rFonts w:ascii="Arial" w:cs="Arial" w:eastAsia="Arial" w:hAnsi="Arial"/>
                <w:sz w:val="12"/>
                <w:szCs w:val="12"/>
                <w:b w:val="1"/>
                <w:bCs w:val="1"/>
                <w:color w:val="auto"/>
              </w:rPr>
              <w:t>Retained</w:t>
            </w:r>
          </w:p>
        </w:tc>
        <w:tc>
          <w:tcPr>
            <w:tcW w:w="1080" w:type="dxa"/>
            <w:vAlign w:val="bottom"/>
            <w:gridSpan w:val="2"/>
          </w:tcPr>
          <w:p>
            <w:pPr>
              <w:jc w:val="center"/>
              <w:ind w:left="15"/>
              <w:spacing w:after="0" w:line="107"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78"/>
        </w:trPr>
        <w:tc>
          <w:tcPr>
            <w:tcW w:w="5160" w:type="dxa"/>
            <w:vAlign w:val="bottom"/>
          </w:tcPr>
          <w:p>
            <w:pPr>
              <w:spacing w:after="0"/>
              <w:rPr>
                <w:sz w:val="15"/>
                <w:szCs w:val="15"/>
                <w:color w:val="auto"/>
              </w:rPr>
            </w:pPr>
          </w:p>
        </w:tc>
        <w:tc>
          <w:tcPr>
            <w:tcW w:w="116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5"/>
                <w:szCs w:val="15"/>
                <w:color w:val="auto"/>
              </w:rPr>
            </w:pPr>
          </w:p>
        </w:tc>
        <w:tc>
          <w:tcPr>
            <w:tcW w:w="920" w:type="dxa"/>
            <w:vAlign w:val="bottom"/>
          </w:tcPr>
          <w:p>
            <w:pPr>
              <w:jc w:val="right"/>
              <w:ind w:right="269"/>
              <w:spacing w:after="0"/>
              <w:rPr>
                <w:sz w:val="20"/>
                <w:szCs w:val="20"/>
                <w:color w:val="auto"/>
              </w:rPr>
            </w:pPr>
            <w:r>
              <w:rPr>
                <w:rFonts w:ascii="Arial" w:cs="Arial" w:eastAsia="Arial" w:hAnsi="Arial"/>
                <w:sz w:val="13"/>
                <w:szCs w:val="13"/>
                <w:b w:val="1"/>
                <w:bCs w:val="1"/>
                <w:color w:val="auto"/>
              </w:rPr>
              <w:t>Capital</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Income (Loss)</w:t>
            </w:r>
          </w:p>
        </w:tc>
        <w:tc>
          <w:tcPr>
            <w:tcW w:w="240" w:type="dxa"/>
            <w:vAlign w:val="bottom"/>
          </w:tcPr>
          <w:p>
            <w:pPr>
              <w:spacing w:after="0"/>
              <w:rPr>
                <w:sz w:val="15"/>
                <w:szCs w:val="15"/>
                <w:color w:val="auto"/>
              </w:rPr>
            </w:pPr>
          </w:p>
        </w:tc>
        <w:tc>
          <w:tcPr>
            <w:tcW w:w="880" w:type="dxa"/>
            <w:vAlign w:val="bottom"/>
          </w:tcPr>
          <w:p>
            <w:pPr>
              <w:jc w:val="right"/>
              <w:ind w:right="209"/>
              <w:spacing w:after="0"/>
              <w:rPr>
                <w:sz w:val="20"/>
                <w:szCs w:val="20"/>
                <w:color w:val="auto"/>
              </w:rPr>
            </w:pPr>
            <w:r>
              <w:rPr>
                <w:rFonts w:ascii="Arial" w:cs="Arial" w:eastAsia="Arial" w:hAnsi="Arial"/>
                <w:sz w:val="13"/>
                <w:szCs w:val="13"/>
                <w:b w:val="1"/>
                <w:bCs w:val="1"/>
                <w:color w:val="auto"/>
              </w:rPr>
              <w:t>Earnings</w:t>
            </w:r>
          </w:p>
        </w:tc>
        <w:tc>
          <w:tcPr>
            <w:tcW w:w="280" w:type="dxa"/>
            <w:vAlign w:val="bottom"/>
          </w:tcPr>
          <w:p>
            <w:pPr>
              <w:spacing w:after="0"/>
              <w:rPr>
                <w:sz w:val="15"/>
                <w:szCs w:val="15"/>
                <w:color w:val="auto"/>
              </w:rPr>
            </w:pPr>
          </w:p>
        </w:tc>
        <w:tc>
          <w:tcPr>
            <w:tcW w:w="800" w:type="dxa"/>
            <w:vAlign w:val="bottom"/>
          </w:tcPr>
          <w:p>
            <w:pPr>
              <w:jc w:val="center"/>
              <w:ind w:right="14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Balances at December 31, 2017</w:t>
            </w:r>
          </w:p>
        </w:tc>
        <w:tc>
          <w:tcPr>
            <w:tcW w:w="104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38,598,117</w:t>
            </w:r>
          </w:p>
        </w:tc>
        <w:tc>
          <w:tcPr>
            <w:tcW w:w="120" w:type="dxa"/>
            <w:vAlign w:val="bottom"/>
          </w:tcPr>
          <w:p>
            <w:pPr>
              <w:spacing w:after="0"/>
              <w:rPr>
                <w:sz w:val="16"/>
                <w:szCs w:val="16"/>
                <w:color w:val="auto"/>
              </w:rPr>
            </w:pPr>
          </w:p>
        </w:tc>
        <w:tc>
          <w:tcPr>
            <w:tcW w:w="5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   39</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ind w:right="89"/>
              <w:spacing w:after="0"/>
              <w:rPr>
                <w:sz w:val="20"/>
                <w:szCs w:val="20"/>
                <w:color w:val="auto"/>
              </w:rPr>
            </w:pPr>
            <w:r>
              <w:rPr>
                <w:rFonts w:ascii="Arial" w:cs="Arial" w:eastAsia="Arial" w:hAnsi="Arial"/>
                <w:sz w:val="14"/>
                <w:szCs w:val="14"/>
                <w:color w:val="auto"/>
              </w:rPr>
              <w:t>304,155</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(574)</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69"/>
              <w:spacing w:after="0"/>
              <w:rPr>
                <w:sz w:val="20"/>
                <w:szCs w:val="20"/>
                <w:color w:val="auto"/>
              </w:rPr>
            </w:pPr>
            <w:r>
              <w:rPr>
                <w:rFonts w:ascii="Arial" w:cs="Arial" w:eastAsia="Arial" w:hAnsi="Arial"/>
                <w:sz w:val="14"/>
                <w:szCs w:val="14"/>
                <w:color w:val="auto"/>
              </w:rPr>
              <w:t>39,924</w:t>
            </w:r>
          </w:p>
        </w:tc>
        <w:tc>
          <w:tcPr>
            <w:tcW w:w="2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343,544</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vMerge w:val="continue"/>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Adoption of revenue recognition standard</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2,711</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2,711</w:t>
            </w: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vMerge w:val="restart"/>
          </w:tcPr>
          <w:p>
            <w:pPr>
              <w:jc w:val="right"/>
              <w:ind w:right="69"/>
              <w:spacing w:after="0"/>
              <w:rPr>
                <w:sz w:val="20"/>
                <w:szCs w:val="20"/>
                <w:color w:val="auto"/>
              </w:rPr>
            </w:pPr>
            <w:r>
              <w:rPr>
                <w:rFonts w:ascii="Arial" w:cs="Arial" w:eastAsia="Arial" w:hAnsi="Arial"/>
                <w:sz w:val="14"/>
                <w:szCs w:val="14"/>
                <w:color w:val="auto"/>
              </w:rPr>
              <w:t>9,142</w:t>
            </w:r>
          </w:p>
        </w:tc>
        <w:tc>
          <w:tcPr>
            <w:tcW w:w="28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9,142</w:t>
            </w: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loss, net of tax</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(391)</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66"/>
        </w:trPr>
        <w:tc>
          <w:tcPr>
            <w:tcW w:w="516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1040" w:type="dxa"/>
            <w:vAlign w:val="bottom"/>
            <w:vMerge w:val="restart"/>
          </w:tcPr>
          <w:p>
            <w:pPr>
              <w:jc w:val="right"/>
              <w:ind w:right="49"/>
              <w:spacing w:after="0"/>
              <w:rPr>
                <w:sz w:val="20"/>
                <w:szCs w:val="20"/>
                <w:color w:val="auto"/>
              </w:rPr>
            </w:pPr>
            <w:r>
              <w:rPr>
                <w:rFonts w:ascii="Arial" w:cs="Arial" w:eastAsia="Arial" w:hAnsi="Arial"/>
                <w:sz w:val="14"/>
                <w:szCs w:val="14"/>
                <w:color w:val="auto"/>
              </w:rPr>
              <w:t>285,997</w:t>
            </w:r>
          </w:p>
        </w:tc>
        <w:tc>
          <w:tcPr>
            <w:tcW w:w="120" w:type="dxa"/>
            <w:vAlign w:val="bottom"/>
          </w:tcPr>
          <w:p>
            <w:pPr>
              <w:spacing w:after="0"/>
              <w:rPr>
                <w:sz w:val="17"/>
                <w:szCs w:val="17"/>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7,933</w:t>
            </w:r>
          </w:p>
        </w:tc>
        <w:tc>
          <w:tcPr>
            <w:tcW w:w="180" w:type="dxa"/>
            <w:vAlign w:val="bottom"/>
          </w:tcPr>
          <w:p>
            <w:pPr>
              <w:spacing w:after="0"/>
              <w:rPr>
                <w:sz w:val="17"/>
                <w:szCs w:val="17"/>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7,933</w:t>
            </w: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stock</w:t>
            </w: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(21,288)</w:t>
            </w:r>
          </w:p>
        </w:tc>
        <w:tc>
          <w:tcPr>
            <w:tcW w:w="12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(255)</w:t>
            </w: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(1,226)</w:t>
            </w:r>
          </w:p>
        </w:tc>
        <w:tc>
          <w:tcPr>
            <w:tcW w:w="2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66"/>
        </w:trPr>
        <w:tc>
          <w:tcPr>
            <w:tcW w:w="516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1040" w:type="dxa"/>
            <w:vAlign w:val="bottom"/>
            <w:vMerge w:val="restart"/>
          </w:tcPr>
          <w:p>
            <w:pPr>
              <w:jc w:val="right"/>
              <w:ind w:right="49"/>
              <w:spacing w:after="0"/>
              <w:rPr>
                <w:sz w:val="20"/>
                <w:szCs w:val="20"/>
                <w:color w:val="auto"/>
              </w:rPr>
            </w:pPr>
            <w:r>
              <w:rPr>
                <w:rFonts w:ascii="Arial" w:cs="Arial" w:eastAsia="Arial" w:hAnsi="Arial"/>
                <w:sz w:val="14"/>
                <w:szCs w:val="14"/>
                <w:color w:val="auto"/>
              </w:rPr>
              <w:t>158,561</w:t>
            </w:r>
          </w:p>
        </w:tc>
        <w:tc>
          <w:tcPr>
            <w:tcW w:w="120" w:type="dxa"/>
            <w:vAlign w:val="bottom"/>
          </w:tcPr>
          <w:p>
            <w:pPr>
              <w:spacing w:after="0"/>
              <w:rPr>
                <w:sz w:val="17"/>
                <w:szCs w:val="17"/>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(63,695)</w:t>
            </w:r>
          </w:p>
        </w:tc>
        <w:tc>
          <w:tcPr>
            <w:tcW w:w="12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(4,030)</w:t>
            </w: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(4,030)</w:t>
            </w:r>
          </w:p>
        </w:tc>
        <w:tc>
          <w:tcPr>
            <w:tcW w:w="0" w:type="dxa"/>
            <w:vAlign w:val="bottom"/>
          </w:tcPr>
          <w:p>
            <w:pPr>
              <w:spacing w:after="0"/>
              <w:rPr>
                <w:sz w:val="1"/>
                <w:szCs w:val="1"/>
                <w:color w:val="auto"/>
              </w:rPr>
            </w:pPr>
          </w:p>
        </w:tc>
      </w:tr>
      <w:tr>
        <w:trPr>
          <w:trHeight w:val="66"/>
        </w:trPr>
        <w:tc>
          <w:tcPr>
            <w:tcW w:w="516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8,891</w:t>
            </w:r>
          </w:p>
        </w:tc>
        <w:tc>
          <w:tcPr>
            <w:tcW w:w="180" w:type="dxa"/>
            <w:vAlign w:val="bottom"/>
          </w:tcPr>
          <w:p>
            <w:pPr>
              <w:spacing w:after="0"/>
              <w:rPr>
                <w:sz w:val="17"/>
                <w:szCs w:val="17"/>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8,891</w:t>
            </w: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March 31, 2018</w:t>
            </w:r>
          </w:p>
        </w:tc>
        <w:tc>
          <w:tcPr>
            <w:tcW w:w="104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38,957,692</w:t>
            </w: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316,694</w:t>
            </w: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(965)</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50,551</w:t>
            </w: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366,319</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80"/>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160" w:type="dxa"/>
            <w:vAlign w:val="bottom"/>
            <w:vMerge w:val="continue"/>
          </w:tcPr>
          <w:p>
            <w:pPr>
              <w:spacing w:after="0"/>
              <w:rPr>
                <w:sz w:val="14"/>
                <w:szCs w:val="14"/>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vMerge w:val="restart"/>
          </w:tcPr>
          <w:p>
            <w:pPr>
              <w:jc w:val="right"/>
              <w:ind w:right="69"/>
              <w:spacing w:after="0"/>
              <w:rPr>
                <w:sz w:val="20"/>
                <w:szCs w:val="20"/>
                <w:color w:val="auto"/>
              </w:rPr>
            </w:pPr>
            <w:r>
              <w:rPr>
                <w:rFonts w:ascii="Arial" w:cs="Arial" w:eastAsia="Arial" w:hAnsi="Arial"/>
                <w:sz w:val="14"/>
                <w:szCs w:val="14"/>
                <w:color w:val="auto"/>
              </w:rPr>
              <w:t>10,293</w:t>
            </w:r>
          </w:p>
        </w:tc>
        <w:tc>
          <w:tcPr>
            <w:tcW w:w="280" w:type="dxa"/>
            <w:vAlign w:val="bottom"/>
          </w:tcPr>
          <w:p>
            <w:pPr>
              <w:spacing w:after="0"/>
              <w:rPr>
                <w:sz w:val="14"/>
                <w:szCs w:val="14"/>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10,293</w:t>
            </w:r>
          </w:p>
        </w:tc>
        <w:tc>
          <w:tcPr>
            <w:tcW w:w="0" w:type="dxa"/>
            <w:vAlign w:val="bottom"/>
          </w:tcPr>
          <w:p>
            <w:pPr>
              <w:spacing w:after="0"/>
              <w:rPr>
                <w:sz w:val="1"/>
                <w:szCs w:val="1"/>
                <w:color w:val="auto"/>
              </w:rPr>
            </w:pPr>
          </w:p>
        </w:tc>
      </w:tr>
      <w:tr>
        <w:trPr>
          <w:trHeight w:val="87"/>
        </w:trPr>
        <w:tc>
          <w:tcPr>
            <w:tcW w:w="516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net of tax</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144</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66"/>
        </w:trPr>
        <w:tc>
          <w:tcPr>
            <w:tcW w:w="516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1040" w:type="dxa"/>
            <w:vAlign w:val="bottom"/>
            <w:vMerge w:val="restart"/>
          </w:tcPr>
          <w:p>
            <w:pPr>
              <w:jc w:val="right"/>
              <w:ind w:right="49"/>
              <w:spacing w:after="0"/>
              <w:rPr>
                <w:sz w:val="20"/>
                <w:szCs w:val="20"/>
                <w:color w:val="auto"/>
              </w:rPr>
            </w:pPr>
            <w:r>
              <w:rPr>
                <w:rFonts w:ascii="Arial" w:cs="Arial" w:eastAsia="Arial" w:hAnsi="Arial"/>
                <w:sz w:val="14"/>
                <w:szCs w:val="14"/>
                <w:color w:val="auto"/>
              </w:rPr>
              <w:t>144,851</w:t>
            </w:r>
          </w:p>
        </w:tc>
        <w:tc>
          <w:tcPr>
            <w:tcW w:w="120" w:type="dxa"/>
            <w:vAlign w:val="bottom"/>
          </w:tcPr>
          <w:p>
            <w:pPr>
              <w:spacing w:after="0"/>
              <w:rPr>
                <w:sz w:val="17"/>
                <w:szCs w:val="17"/>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4,239</w:t>
            </w:r>
          </w:p>
        </w:tc>
        <w:tc>
          <w:tcPr>
            <w:tcW w:w="180" w:type="dxa"/>
            <w:vAlign w:val="bottom"/>
          </w:tcPr>
          <w:p>
            <w:pPr>
              <w:spacing w:after="0"/>
              <w:rPr>
                <w:sz w:val="17"/>
                <w:szCs w:val="17"/>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4,239</w:t>
            </w: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stock</w:t>
            </w: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(235,539)</w:t>
            </w:r>
          </w:p>
        </w:tc>
        <w:tc>
          <w:tcPr>
            <w:tcW w:w="12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(2,826)</w:t>
            </w: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(15,049)</w:t>
            </w:r>
          </w:p>
        </w:tc>
        <w:tc>
          <w:tcPr>
            <w:tcW w:w="2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(17,875)</w:t>
            </w:r>
          </w:p>
        </w:tc>
        <w:tc>
          <w:tcPr>
            <w:tcW w:w="0" w:type="dxa"/>
            <w:vAlign w:val="bottom"/>
          </w:tcPr>
          <w:p>
            <w:pPr>
              <w:spacing w:after="0"/>
              <w:rPr>
                <w:sz w:val="1"/>
                <w:szCs w:val="1"/>
                <w:color w:val="auto"/>
              </w:rPr>
            </w:pPr>
          </w:p>
        </w:tc>
      </w:tr>
      <w:tr>
        <w:trPr>
          <w:trHeight w:val="66"/>
        </w:trPr>
        <w:tc>
          <w:tcPr>
            <w:tcW w:w="516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1040" w:type="dxa"/>
            <w:vAlign w:val="bottom"/>
            <w:vMerge w:val="restart"/>
          </w:tcPr>
          <w:p>
            <w:pPr>
              <w:jc w:val="right"/>
              <w:ind w:right="49"/>
              <w:spacing w:after="0"/>
              <w:rPr>
                <w:sz w:val="20"/>
                <w:szCs w:val="20"/>
                <w:color w:val="auto"/>
              </w:rPr>
            </w:pPr>
            <w:r>
              <w:rPr>
                <w:rFonts w:ascii="Arial" w:cs="Arial" w:eastAsia="Arial" w:hAnsi="Arial"/>
                <w:sz w:val="14"/>
                <w:szCs w:val="14"/>
                <w:color w:val="auto"/>
              </w:rPr>
              <w:t>184,008</w:t>
            </w:r>
          </w:p>
        </w:tc>
        <w:tc>
          <w:tcPr>
            <w:tcW w:w="120" w:type="dxa"/>
            <w:vAlign w:val="bottom"/>
          </w:tcPr>
          <w:p>
            <w:pPr>
              <w:spacing w:after="0"/>
              <w:rPr>
                <w:sz w:val="17"/>
                <w:szCs w:val="17"/>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(65,214)</w:t>
            </w:r>
          </w:p>
        </w:tc>
        <w:tc>
          <w:tcPr>
            <w:tcW w:w="12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(4,904)</w:t>
            </w: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(4,904)</w:t>
            </w:r>
          </w:p>
        </w:tc>
        <w:tc>
          <w:tcPr>
            <w:tcW w:w="0" w:type="dxa"/>
            <w:vAlign w:val="bottom"/>
          </w:tcPr>
          <w:p>
            <w:pPr>
              <w:spacing w:after="0"/>
              <w:rPr>
                <w:sz w:val="1"/>
                <w:szCs w:val="1"/>
                <w:color w:val="auto"/>
              </w:rPr>
            </w:pPr>
          </w:p>
        </w:tc>
      </w:tr>
      <w:tr>
        <w:trPr>
          <w:trHeight w:val="66"/>
        </w:trPr>
        <w:tc>
          <w:tcPr>
            <w:tcW w:w="516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7,023</w:t>
            </w:r>
          </w:p>
        </w:tc>
        <w:tc>
          <w:tcPr>
            <w:tcW w:w="180" w:type="dxa"/>
            <w:vAlign w:val="bottom"/>
          </w:tcPr>
          <w:p>
            <w:pPr>
              <w:spacing w:after="0"/>
              <w:rPr>
                <w:sz w:val="17"/>
                <w:szCs w:val="17"/>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7,023</w:t>
            </w: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June 30, 2018</w:t>
            </w:r>
          </w:p>
        </w:tc>
        <w:tc>
          <w:tcPr>
            <w:tcW w:w="104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38,985,798</w:t>
            </w: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320,226</w:t>
            </w: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(821)</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45,795</w:t>
            </w: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365,239</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280"/>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160" w:type="dxa"/>
            <w:vAlign w:val="bottom"/>
            <w:vMerge w:val="continue"/>
          </w:tcPr>
          <w:p>
            <w:pPr>
              <w:spacing w:after="0"/>
              <w:rPr>
                <w:sz w:val="14"/>
                <w:szCs w:val="14"/>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vMerge w:val="restart"/>
          </w:tcPr>
          <w:p>
            <w:pPr>
              <w:jc w:val="right"/>
              <w:ind w:right="69"/>
              <w:spacing w:after="0"/>
              <w:rPr>
                <w:sz w:val="20"/>
                <w:szCs w:val="20"/>
                <w:color w:val="auto"/>
              </w:rPr>
            </w:pPr>
            <w:r>
              <w:rPr>
                <w:rFonts w:ascii="Arial" w:cs="Arial" w:eastAsia="Arial" w:hAnsi="Arial"/>
                <w:sz w:val="14"/>
                <w:szCs w:val="14"/>
                <w:color w:val="auto"/>
              </w:rPr>
              <w:t>23,469</w:t>
            </w:r>
          </w:p>
        </w:tc>
        <w:tc>
          <w:tcPr>
            <w:tcW w:w="280" w:type="dxa"/>
            <w:vAlign w:val="bottom"/>
          </w:tcPr>
          <w:p>
            <w:pPr>
              <w:spacing w:after="0"/>
              <w:rPr>
                <w:sz w:val="14"/>
                <w:szCs w:val="14"/>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23,469</w:t>
            </w:r>
          </w:p>
        </w:tc>
        <w:tc>
          <w:tcPr>
            <w:tcW w:w="0" w:type="dxa"/>
            <w:vAlign w:val="bottom"/>
          </w:tcPr>
          <w:p>
            <w:pPr>
              <w:spacing w:after="0"/>
              <w:rPr>
                <w:sz w:val="1"/>
                <w:szCs w:val="1"/>
                <w:color w:val="auto"/>
              </w:rPr>
            </w:pPr>
          </w:p>
        </w:tc>
      </w:tr>
      <w:tr>
        <w:trPr>
          <w:trHeight w:val="87"/>
        </w:trPr>
        <w:tc>
          <w:tcPr>
            <w:tcW w:w="516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net of tax</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69</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66"/>
        </w:trPr>
        <w:tc>
          <w:tcPr>
            <w:tcW w:w="516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4"/>
                <w:szCs w:val="14"/>
                <w:color w:val="auto"/>
              </w:rPr>
              <w:t>Issuance of common stock upon exercise of stock options</w:t>
            </w:r>
          </w:p>
        </w:tc>
        <w:tc>
          <w:tcPr>
            <w:tcW w:w="1040" w:type="dxa"/>
            <w:vAlign w:val="bottom"/>
            <w:vMerge w:val="restart"/>
          </w:tcPr>
          <w:p>
            <w:pPr>
              <w:jc w:val="right"/>
              <w:ind w:right="49"/>
              <w:spacing w:after="0"/>
              <w:rPr>
                <w:sz w:val="20"/>
                <w:szCs w:val="20"/>
                <w:color w:val="auto"/>
              </w:rPr>
            </w:pPr>
            <w:r>
              <w:rPr>
                <w:rFonts w:ascii="Arial" w:cs="Arial" w:eastAsia="Arial" w:hAnsi="Arial"/>
                <w:sz w:val="14"/>
                <w:szCs w:val="14"/>
                <w:color w:val="auto"/>
              </w:rPr>
              <w:t>611,431</w:t>
            </w:r>
          </w:p>
        </w:tc>
        <w:tc>
          <w:tcPr>
            <w:tcW w:w="120" w:type="dxa"/>
            <w:vAlign w:val="bottom"/>
          </w:tcPr>
          <w:p>
            <w:pPr>
              <w:spacing w:after="0"/>
              <w:rPr>
                <w:sz w:val="17"/>
                <w:szCs w:val="17"/>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8,721</w:t>
            </w:r>
          </w:p>
        </w:tc>
        <w:tc>
          <w:tcPr>
            <w:tcW w:w="180" w:type="dxa"/>
            <w:vAlign w:val="bottom"/>
          </w:tcPr>
          <w:p>
            <w:pPr>
              <w:spacing w:after="0"/>
              <w:rPr>
                <w:sz w:val="17"/>
                <w:szCs w:val="17"/>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8,721</w:t>
            </w: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common stock</w:t>
            </w: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(310,815)</w:t>
            </w:r>
          </w:p>
        </w:tc>
        <w:tc>
          <w:tcPr>
            <w:tcW w:w="12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(3,729)</w:t>
            </w: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(23,456)</w:t>
            </w:r>
          </w:p>
        </w:tc>
        <w:tc>
          <w:tcPr>
            <w:tcW w:w="2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(27,185)</w:t>
            </w:r>
          </w:p>
        </w:tc>
        <w:tc>
          <w:tcPr>
            <w:tcW w:w="0" w:type="dxa"/>
            <w:vAlign w:val="bottom"/>
          </w:tcPr>
          <w:p>
            <w:pPr>
              <w:spacing w:after="0"/>
              <w:rPr>
                <w:sz w:val="1"/>
                <w:szCs w:val="1"/>
                <w:color w:val="auto"/>
              </w:rPr>
            </w:pPr>
          </w:p>
        </w:tc>
      </w:tr>
      <w:tr>
        <w:trPr>
          <w:trHeight w:val="66"/>
        </w:trPr>
        <w:tc>
          <w:tcPr>
            <w:tcW w:w="516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4"/>
                <w:szCs w:val="14"/>
                <w:color w:val="auto"/>
              </w:rPr>
              <w:t>Issuance of common stock upon vesting of restricted stock units</w:t>
            </w:r>
          </w:p>
        </w:tc>
        <w:tc>
          <w:tcPr>
            <w:tcW w:w="1040" w:type="dxa"/>
            <w:vAlign w:val="bottom"/>
            <w:vMerge w:val="restart"/>
          </w:tcPr>
          <w:p>
            <w:pPr>
              <w:jc w:val="right"/>
              <w:ind w:right="49"/>
              <w:spacing w:after="0"/>
              <w:rPr>
                <w:sz w:val="20"/>
                <w:szCs w:val="20"/>
                <w:color w:val="auto"/>
              </w:rPr>
            </w:pPr>
            <w:r>
              <w:rPr>
                <w:rFonts w:ascii="Arial" w:cs="Arial" w:eastAsia="Arial" w:hAnsi="Arial"/>
                <w:sz w:val="14"/>
                <w:szCs w:val="14"/>
                <w:color w:val="auto"/>
              </w:rPr>
              <w:t>90,956</w:t>
            </w:r>
          </w:p>
        </w:tc>
        <w:tc>
          <w:tcPr>
            <w:tcW w:w="120" w:type="dxa"/>
            <w:vAlign w:val="bottom"/>
          </w:tcPr>
          <w:p>
            <w:pPr>
              <w:spacing w:after="0"/>
              <w:rPr>
                <w:sz w:val="17"/>
                <w:szCs w:val="17"/>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Taxes related to net share settlement of equity awards</w:t>
            </w:r>
          </w:p>
        </w:tc>
        <w:tc>
          <w:tcPr>
            <w:tcW w:w="104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(35,881)</w:t>
            </w:r>
          </w:p>
        </w:tc>
        <w:tc>
          <w:tcPr>
            <w:tcW w:w="12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(3,075)</w:t>
            </w:r>
          </w:p>
        </w:tc>
        <w:tc>
          <w:tcPr>
            <w:tcW w:w="18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(3,075)</w:t>
            </w:r>
          </w:p>
        </w:tc>
        <w:tc>
          <w:tcPr>
            <w:tcW w:w="0" w:type="dxa"/>
            <w:vAlign w:val="bottom"/>
          </w:tcPr>
          <w:p>
            <w:pPr>
              <w:spacing w:after="0"/>
              <w:rPr>
                <w:sz w:val="1"/>
                <w:szCs w:val="1"/>
                <w:color w:val="auto"/>
              </w:rPr>
            </w:pPr>
          </w:p>
        </w:tc>
      </w:tr>
      <w:tr>
        <w:trPr>
          <w:trHeight w:val="66"/>
        </w:trPr>
        <w:tc>
          <w:tcPr>
            <w:tcW w:w="516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16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20" w:type="dxa"/>
            <w:vAlign w:val="bottom"/>
            <w:vMerge w:val="restart"/>
          </w:tcPr>
          <w:p>
            <w:pPr>
              <w:jc w:val="right"/>
              <w:ind w:right="89"/>
              <w:spacing w:after="0"/>
              <w:rPr>
                <w:sz w:val="20"/>
                <w:szCs w:val="20"/>
                <w:color w:val="auto"/>
              </w:rPr>
            </w:pPr>
            <w:r>
              <w:rPr>
                <w:rFonts w:ascii="Arial" w:cs="Arial" w:eastAsia="Arial" w:hAnsi="Arial"/>
                <w:sz w:val="14"/>
                <w:szCs w:val="14"/>
                <w:color w:val="auto"/>
              </w:rPr>
              <w:t>6,902</w:t>
            </w:r>
          </w:p>
        </w:tc>
        <w:tc>
          <w:tcPr>
            <w:tcW w:w="180" w:type="dxa"/>
            <w:vAlign w:val="bottom"/>
          </w:tcPr>
          <w:p>
            <w:pPr>
              <w:spacing w:after="0"/>
              <w:rPr>
                <w:sz w:val="17"/>
                <w:szCs w:val="17"/>
                <w:color w:val="auto"/>
              </w:rPr>
            </w:pPr>
          </w:p>
        </w:tc>
        <w:tc>
          <w:tcPr>
            <w:tcW w:w="94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vMerge w:val="restart"/>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800" w:type="dxa"/>
            <w:vAlign w:val="bottom"/>
            <w:vMerge w:val="restart"/>
          </w:tcPr>
          <w:p>
            <w:pPr>
              <w:jc w:val="right"/>
              <w:ind w:right="29"/>
              <w:spacing w:after="0"/>
              <w:rPr>
                <w:sz w:val="20"/>
                <w:szCs w:val="20"/>
                <w:color w:val="auto"/>
              </w:rPr>
            </w:pPr>
            <w:r>
              <w:rPr>
                <w:rFonts w:ascii="Arial" w:cs="Arial" w:eastAsia="Arial" w:hAnsi="Arial"/>
                <w:sz w:val="14"/>
                <w:szCs w:val="14"/>
                <w:color w:val="auto"/>
              </w:rPr>
              <w:t>6,902</w:t>
            </w:r>
          </w:p>
        </w:tc>
        <w:tc>
          <w:tcPr>
            <w:tcW w:w="0" w:type="dxa"/>
            <w:vAlign w:val="bottom"/>
          </w:tcPr>
          <w:p>
            <w:pPr>
              <w:spacing w:after="0"/>
              <w:rPr>
                <w:sz w:val="1"/>
                <w:szCs w:val="1"/>
                <w:color w:val="auto"/>
              </w:rPr>
            </w:pPr>
          </w:p>
        </w:tc>
      </w:tr>
      <w:tr>
        <w:trPr>
          <w:trHeight w:val="60"/>
        </w:trPr>
        <w:tc>
          <w:tcPr>
            <w:tcW w:w="5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Balances at September 30, 2018</w:t>
            </w:r>
          </w:p>
        </w:tc>
        <w:tc>
          <w:tcPr>
            <w:tcW w:w="104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39,341,489</w:t>
            </w:r>
          </w:p>
        </w:tc>
        <w:tc>
          <w:tcPr>
            <w:tcW w:w="1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2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329,045</w:t>
            </w: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(752)</w:t>
            </w: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45,808</w:t>
            </w: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374,140</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35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Qualys, Inc. (the “Company”, "we", "us", "our") was incorporated in the state of Delaware on December 30, 1999. The Company is headquartered in Foster City, California and has wholly-owned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4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2018</w:t>
      </w:r>
      <w:r>
        <w:rPr>
          <w:rFonts w:ascii="Arial" w:cs="Arial" w:eastAsia="Arial" w:hAnsi="Arial"/>
          <w:sz w:val="18"/>
          <w:szCs w:val="18"/>
          <w:color w:val="231F20"/>
        </w:rPr>
        <w:t>,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nine months ended September 30, 2019 are not necessarily indicative of the results of operations expected for the entire year ending December 31, 2019 or for any other future annual or interim periods. These condensed consolidated financial statements should be read in conjunction with the consolidated financial statements and related notes included in the Company’s Annual Report on Form 10-K for the year ended December 31, 2018, filed with the SEC on February 27, 2019. Certain corrections have been made to the prior year disclosures of revenue by sales channel (Note 4) and property and equipment, net by geographic area (Note 13) to conform to current year presentation. These corrections have no effect on net income, total assets or stockholders’ equity as previously reported.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3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capitalization of internally developed software, stock-based compensation and the provision for income taxes. Actual results could differ from those estimates and such differences may be material to the accompanying unaudited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Derivative financial instruments are utilized by the Company to reduce foreign currency exchange risks. The Company uses foreign currency forward contracts to mitigate the impact of foreign currency fluctuations of certain non-U.S. Dollar denominated asset positions, to date primarily cash and accounts receivable (non-designated forward contracts), as well as to manage foreign currency fluctuation risk related to forecasted transactions (designated cash flow hedges). Open contracts are recorded within prepaid expenses and other current assets or accrued liabilities in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condensed consolidated balance sheets. Gains and losses resulting from currency exchange rate movements on non-designated forward contracts are recognized in other income (expense), net. Any gains or losses from designated cash flow hedges are first accumulated in other comprehensive income ("AOCI") and then reclassified to revenue when the hedged item impacts the condensed consolidated statements of operations.</w:t>
      </w:r>
    </w:p>
    <w:p>
      <w:pPr>
        <w:spacing w:after="0" w:line="2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cash flow effects of the Company's derivative contracts for the nine months ended September 30, 2019 were included within net cash provided by operating activities on its condensed consolidated statements of cash flows. As of September 30, 2019, the Company had €19.9 million and £9.8 million of notional amounts outstanding on designated cash flow hedges. The Company had no designated cash flow hedges as of September 30,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recognizes the fair value of its employee stock options and restricted stock units over the requisite service period for those awards ultimately expected to vest. The fair value of each option is estimated on date of grant using the Black-Scholes-Merton option pricing model and the fair value of each restricted stock unit is based on the fair value of the Company's stock on the date of grant. Forfeitures are estimated on the date of grant and revised if actual or expected forfeiture activity differs materially from original estimates.</w:t>
      </w:r>
    </w:p>
    <w:p>
      <w:pPr>
        <w:spacing w:after="0" w:line="20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Company has issued performance-based awards and accounts for these awards as stock-based compensation with multiple performance conditions. For these performance-based awards, the Company records compensation expense for only the performance milestones that are probable of being achieved, with such expense recorded on a straight-line basis over the expected vesting period. The Company reassesses performance-based estimates each reporting period and, if the estimated service period changes, the Company recognizes all remaining compensation expense over the remaining service period and, if the probability of achievement changes to or from “probable,” the Company recognizes the cumulative effect. For the three and nine months ended September 30, 2019, the Company recorded approximately $0.2 million and $0.7 million of stock-based compensation cost for these awards,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Internally Developed Software Costs</w:t>
      </w:r>
    </w:p>
    <w:p>
      <w:pPr>
        <w:spacing w:after="0" w:line="24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The Company capitalizes certain costs incurred to develop new internal-use software. Capitalized costs include salaries, benefits, and stock-based compensation charges for employees that are directly involved in developing its cloud security platform during the application development stage. These capitalized costs are included in other noncurrent assets on the accompanying condensed consolidated balance sheets. Upon general release, such costs are amortized on a straight-line basis over an estimated useful life of three years. Amortization of internally developed software is recorded to cost of revenues. Capitalization of internally developed software cost was $ 0.1 million and $0.5 million for the three and nine months ended September 30, 2019, respectively. </w:t>
      </w:r>
      <w:r>
        <w:rPr>
          <w:rFonts w:ascii="Arial" w:cs="Arial" w:eastAsia="Arial" w:hAnsi="Arial"/>
          <w:sz w:val="18"/>
          <w:szCs w:val="18"/>
          <w:color w:val="231F20"/>
        </w:rPr>
        <w:t>Unamortized cost for</w:t>
      </w:r>
      <w:r>
        <w:rPr>
          <w:rFonts w:ascii="Arial" w:cs="Arial" w:eastAsia="Arial" w:hAnsi="Arial"/>
          <w:sz w:val="18"/>
          <w:szCs w:val="18"/>
          <w:color w:val="auto"/>
        </w:rPr>
        <w:t xml:space="preserve"> capitalized internally developed software was $1.6 million at September 30, 2019 and $ 1.2 million at December 31, 2018. Amortization expense for capitalized internally developed software was insignificant for the three and nine months ended September 30, 2019</w:t>
      </w:r>
      <w:r>
        <w:rPr>
          <w:rFonts w:ascii="Arial" w:cs="Arial" w:eastAsia="Arial" w:hAnsi="Arial"/>
          <w:sz w:val="18"/>
          <w:szCs w:val="18"/>
          <w:color w:val="231F20"/>
        </w:rPr>
        <w:t>.</w:t>
      </w:r>
      <w:r>
        <w:rPr>
          <w:rFonts w:ascii="Arial" w:cs="Arial" w:eastAsia="Arial" w:hAnsi="Arial"/>
          <w:sz w:val="18"/>
          <w:szCs w:val="18"/>
          <w:color w:val="auto"/>
        </w:rPr>
        <w:t xml:space="preserve"> Management evaluates the useful lives of these assets on an annual basis and tests for impairment whenever events or changes in circumstances occur that could impact the recoverability of these assets.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Cost Method Investments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In the second quarter of fiscal 2018, the Company invested </w:t>
      </w:r>
      <w:r>
        <w:rPr>
          <w:rFonts w:ascii="Arial" w:cs="Arial" w:eastAsia="Arial" w:hAnsi="Arial"/>
          <w:sz w:val="18"/>
          <w:szCs w:val="18"/>
          <w:color w:val="231F20"/>
        </w:rPr>
        <w:t>$2.5 million</w:t>
      </w:r>
      <w:r>
        <w:rPr>
          <w:rFonts w:ascii="Arial" w:cs="Arial" w:eastAsia="Arial" w:hAnsi="Arial"/>
          <w:sz w:val="18"/>
          <w:szCs w:val="18"/>
          <w:color w:val="auto"/>
        </w:rPr>
        <w:t xml:space="preserve"> in preferred stock of a privately-held company. The investment has been accounted for using the cost method and included in other noncurrent assets on the accompanying condensed consolidated balance sheets. The Company's cost method investment is assessed for impairment when events or changes in circumstances indicate that the carrying amount may not be recoverable. The Company has not recorded any dividends or other-than-temporary impairment charges related to its cost method investment. The fair value of the investment is not readily available, and there are no quoted market prices for the investment. During the three months ended June 30, 2019, the Company made an advance payment of $0.6 million to the investee for certain development work, which is recorded in other noncurrent assets on the condensed consolidated balance sheet. During the three months ended September 30, 2019, the Company made an additional investment of $0.6 million in a convertible security issued by this investee and recorded it in other current assets on the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247"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In February 2016, the Financial Accounting Standards Board ("FASB") issued Accounting Standards Update ("ASU") 2016-02, Leases (Topic 842), which requires lessees to recognize all leases, including operating leases, on the balance sheet as a lease asset and lease liability, unless the lease is a short-term lease. ASU 2016-02 also requires additional disclosures regarding leasing arrangements. ASU 2016 -02 is effective for the Company beginning in the first quarter of fiscal 2019 and early adoption is permitted. In July 2018, the FASB issued ASU 2018-11, Targeted Improvements - Leases (Topic 842). This update provides an optional transition method that allows entities to elect to apply the standard prospectively at its effective date, versus recasting the prior periods presented. If elected, an entity would recognize a cumulative-effect adjustment to the opening balance of retained earnings in the period of adoption. Pursuant to the leasing criteria, most of the Company's leased space and equipment leases will be required to be accounted for as right-of-use assets ("ROU") on the balance sheet with offsetting financing obligations. In the statement of operations, what was formerly rent expense for operating leases will be lease expense; and finance leases will be bifurcated into amortization of right-of-use assets and interest on lease liabilities. The Company adopted the ASU utilizing the current period adjustment method on January 1, 2019, and recognized an ROU asset of $30.8 million and a lease liability of $41.6 million on its condensed consolidated financial statements. As of January 1, 2019, $3.9 million of deferred rent and $6.9 million related to tenant improvement allowance was removed upon adoption. </w:t>
      </w:r>
      <w:r>
        <w:rPr>
          <w:rFonts w:ascii="Arial" w:cs="Arial" w:eastAsia="Arial" w:hAnsi="Arial"/>
          <w:sz w:val="18"/>
          <w:szCs w:val="18"/>
          <w:color w:val="000000"/>
        </w:rPr>
        <w:t>As part of this adoption, the Company elected the package of transitional practical</w:t>
      </w:r>
      <w:r>
        <w:rPr>
          <w:rFonts w:ascii="Arial" w:cs="Arial" w:eastAsia="Arial" w:hAnsi="Arial"/>
          <w:sz w:val="18"/>
          <w:szCs w:val="18"/>
          <w:color w:val="231F20"/>
        </w:rPr>
        <w:t xml:space="preserve"> </w:t>
      </w:r>
      <w:r>
        <w:rPr>
          <w:rFonts w:ascii="Arial" w:cs="Arial" w:eastAsia="Arial" w:hAnsi="Arial"/>
          <w:sz w:val="18"/>
          <w:szCs w:val="18"/>
          <w:color w:val="000000"/>
        </w:rPr>
        <w:t>expedients to not reassess (1) whether any contracts that existed prior to adoption have or contain leases, (2) the classification of existing leases or (3) initial direct costs for existing leases. The Company also elected to make the accounting policy election for short-term leases, permitting the Company to not apply the recognition requirements of this standard to short-term leases with terms of 12 months or less.</w:t>
      </w:r>
    </w:p>
    <w:p>
      <w:pPr>
        <w:spacing w:after="0" w:line="1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June 2018, the FASB issued ASU 2018-07, Compensation - Stock Compensation (Topic 718)</w:t>
      </w:r>
      <w:r>
        <w:rPr>
          <w:rFonts w:ascii="Arial" w:cs="Arial" w:eastAsia="Arial" w:hAnsi="Arial"/>
          <w:sz w:val="18"/>
          <w:szCs w:val="18"/>
          <w:color w:val="000000"/>
        </w:rPr>
        <w:t>: Improvements</w:t>
      </w:r>
      <w:r>
        <w:rPr>
          <w:rFonts w:ascii="Arial" w:cs="Arial" w:eastAsia="Arial" w:hAnsi="Arial"/>
          <w:sz w:val="18"/>
          <w:szCs w:val="18"/>
          <w:color w:val="231F20"/>
        </w:rPr>
        <w:t xml:space="preserve"> to Nonemployee Share-Based Payment Accounting. This ASU expands the scope of Topic 718 to include share-based payment transactions for acquiring goods and services from nonemployees. The Company adopted this guidance as of January 1, 2019. The adoption of this ASU did not have a material impact on the Company's condensed consolidated financial statements.</w:t>
      </w:r>
    </w:p>
    <w:p>
      <w:pPr>
        <w:spacing w:after="0" w:line="12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January 2017, the FASB issued ASU 2017-04, Simplifying the Test for Goodwill Impairment (Topic 350). This standard eliminates Step 2 from the goodwill impairment test, instead requiring an entity to recognize a goodwill impairment charge for the amount by which the goodwill carrying amount exceeds the reporting unit’s fair value. This ASU is effective for interim and annual goodwill impairment tests in fiscal years beginning after December 15, 2019 with early adoption permitted. This ASU must be applied on a prospective basis. The Company adopted this ASU during the first quarter of fiscal 2019 and the adoption did not have a material impact on the Company's condensed consolidated financial statements.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Recently Issued Accounting Pronouncements Not Yet Adopted</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August 2018, the FASB issued ASU 2018-15, Intangibles - Goodwill and Other - Internal-Use Software (Subtopic 350-40)</w:t>
      </w:r>
      <w:r>
        <w:rPr>
          <w:rFonts w:ascii="Arial" w:cs="Arial" w:eastAsia="Arial" w:hAnsi="Arial"/>
          <w:sz w:val="18"/>
          <w:szCs w:val="18"/>
          <w:color w:val="000000"/>
        </w:rPr>
        <w:t>: Customer's</w:t>
      </w:r>
      <w:r>
        <w:rPr>
          <w:rFonts w:ascii="Arial" w:cs="Arial" w:eastAsia="Arial" w:hAnsi="Arial"/>
          <w:sz w:val="18"/>
          <w:szCs w:val="18"/>
          <w:color w:val="231F20"/>
        </w:rPr>
        <w:t xml:space="preserve"> </w:t>
      </w:r>
      <w:r>
        <w:rPr>
          <w:rFonts w:ascii="Arial" w:cs="Arial" w:eastAsia="Arial" w:hAnsi="Arial"/>
          <w:sz w:val="18"/>
          <w:szCs w:val="18"/>
          <w:color w:val="000000"/>
        </w:rPr>
        <w:t>Accounting for Implementation Costs Incurred in a Cloud Computing Arrangement That Is a Service Contract</w:t>
      </w:r>
      <w:r>
        <w:rPr>
          <w:rFonts w:ascii="Arial" w:cs="Arial" w:eastAsia="Arial" w:hAnsi="Arial"/>
          <w:sz w:val="18"/>
          <w:szCs w:val="18"/>
          <w:color w:val="231F20"/>
        </w:rPr>
        <w:t>. This ASU aligns the</w:t>
      </w:r>
      <w:r>
        <w:rPr>
          <w:rFonts w:ascii="Arial" w:cs="Arial" w:eastAsia="Arial" w:hAnsi="Arial"/>
          <w:sz w:val="18"/>
          <w:szCs w:val="18"/>
          <w:color w:val="000000"/>
        </w:rPr>
        <w:t xml:space="preserve"> </w:t>
      </w:r>
      <w:r>
        <w:rPr>
          <w:rFonts w:ascii="Arial" w:cs="Arial" w:eastAsia="Arial" w:hAnsi="Arial"/>
          <w:sz w:val="18"/>
          <w:szCs w:val="18"/>
          <w:color w:val="231F20"/>
        </w:rPr>
        <w:t>requirements for capitalizing implementation costs incurred in a hosting arrangement that is a service contract with the requirements for capitalizing implementation costs related to internal-use softw</w:t>
      </w:r>
      <w:r>
        <w:rPr>
          <w:rFonts w:ascii="Arial" w:cs="Arial" w:eastAsia="Arial" w:hAnsi="Arial"/>
          <w:sz w:val="18"/>
          <w:szCs w:val="18"/>
          <w:color w:val="000000"/>
        </w:rPr>
        <w:t>are. ASU 2018-15 is effective for the Company beginning in the first quarter of</w:t>
      </w:r>
      <w:r>
        <w:rPr>
          <w:rFonts w:ascii="Arial" w:cs="Arial" w:eastAsia="Arial" w:hAnsi="Arial"/>
          <w:sz w:val="18"/>
          <w:szCs w:val="18"/>
          <w:color w:val="231F20"/>
        </w:rPr>
        <w:t xml:space="preserve"> </w:t>
      </w:r>
      <w:r>
        <w:rPr>
          <w:rFonts w:ascii="Arial" w:cs="Arial" w:eastAsia="Arial" w:hAnsi="Arial"/>
          <w:sz w:val="18"/>
          <w:szCs w:val="18"/>
          <w:color w:val="000000"/>
        </w:rPr>
        <w:t>fiscal 2020 and early adoption is permitted. The adoption of this ASU is not expected to have a material impact on the Company's consolidated financial statements.</w:t>
      </w:r>
    </w:p>
    <w:p>
      <w:pPr>
        <w:spacing w:after="0" w:line="128"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June 2016, the FASB issued ASU No. 2016-13, Financial Instruments–Credit Losses (Topic 326) as modified by subsequently issued ASU No. 2018-19, 2019-04 and 2019-05, which introduces a new accounting model, Current Expected Credit Losses ("CECL"). CECL requires earlier recognition of credit losses, while also providing additional transparency about credit risk. CECL utilizes a lifetime expected credit loss measurement objective for the recognition of credit losses at the time the financial asset is originated or acquired. The expected credit losses are adjusted each period for changes in expected lifetime credit losses. The ASUs are effective for the Company beginning in the first quarter of fiscal 2020. The adoption of the ASUs is not expected to have a material impact on the Company's consolidated financial statements.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2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marketable securities, derivative foreign currency forward contracts and commitments associated with prior business combinations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 The estimated fair value of</w:t>
      </w:r>
      <w:r>
        <w:rPr>
          <w:rFonts w:ascii="Arial" w:cs="Arial" w:eastAsia="Arial" w:hAnsi="Arial"/>
          <w:sz w:val="18"/>
          <w:szCs w:val="18"/>
          <w:color w:val="231F20"/>
        </w:rPr>
        <w:t xml:space="preserve"> </w:t>
      </w:r>
      <w:r>
        <w:rPr>
          <w:rFonts w:ascii="Arial" w:cs="Arial" w:eastAsia="Arial" w:hAnsi="Arial"/>
          <w:sz w:val="18"/>
          <w:szCs w:val="18"/>
          <w:color w:val="000000"/>
        </w:rPr>
        <w:t>commitments from prior acquisitions are determined based on management’s estimate of fair value using a Monte Carlo simulation model, which uses Level 3 inputs for fair value measurements. As of September 30, 2019, management estimated the fair value of such commitments to be zero. During the three months ended September 30, 2019, the Company made an investment of $0.6 million in a convertible security issued by its cost method investee. The estimated fair value of the investment was determined based on Level 3 inputs. As of September 30, 2019, management estimated that the fair value of the investment equaled its carrying value.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and marketable securities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6"/>
                <w:szCs w:val="16"/>
                <w:b w:val="1"/>
                <w:bCs w:val="1"/>
                <w:color w:val="auto"/>
              </w:rPr>
              <w:t>September 30, 2019</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1640" w:type="dxa"/>
            <w:vAlign w:val="bottom"/>
            <w:tcBorders>
              <w:bottom w:val="single" w:sz="8" w:color="auto"/>
            </w:tcBorders>
            <w:gridSpan w:val="4"/>
          </w:tcPr>
          <w:p>
            <w:pPr>
              <w:ind w:left="16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66,453</w:t>
            </w:r>
          </w:p>
        </w:tc>
        <w:tc>
          <w:tcPr>
            <w:tcW w:w="120" w:type="dxa"/>
            <w:vAlign w:val="bottom"/>
          </w:tcPr>
          <w:p>
            <w:pPr>
              <w:spacing w:after="0"/>
              <w:rPr>
                <w:sz w:val="22"/>
                <w:szCs w:val="22"/>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66,453</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8,913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8,913</w:t>
            </w:r>
          </w:p>
        </w:tc>
      </w:tr>
      <w:tr>
        <w:trPr>
          <w:trHeight w:val="257"/>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75,615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75,615</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 xml:space="preserve">Short-term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2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3,386</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30,038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30,099</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1,052</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2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187,654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187,884</w:t>
            </w:r>
          </w:p>
        </w:tc>
      </w:tr>
      <w:tr>
        <w:trPr>
          <w:trHeight w:val="257"/>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222,129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222,421</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 xml:space="preserve">Long-term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39,831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40,083</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27,874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28,256</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2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32,376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32,612</w:t>
            </w:r>
          </w:p>
        </w:tc>
      </w:tr>
      <w:tr>
        <w:trPr>
          <w:trHeight w:val="250"/>
        </w:trPr>
        <w:tc>
          <w:tcPr>
            <w:tcW w:w="5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100,081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100,951</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397,825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398,987</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5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Amortized Cost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Gains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9"/>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5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40,913</w:t>
            </w:r>
          </w:p>
        </w:tc>
        <w:tc>
          <w:tcPr>
            <w:tcW w:w="120" w:type="dxa"/>
            <w:vAlign w:val="bottom"/>
          </w:tcPr>
          <w:p>
            <w:pPr>
              <w:spacing w:after="0"/>
              <w:rPr>
                <w:sz w:val="22"/>
                <w:szCs w:val="22"/>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40,913</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50"/>
        </w:trPr>
        <w:tc>
          <w:tcPr>
            <w:tcW w:w="5260" w:type="dxa"/>
            <w:vAlign w:val="bottom"/>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41,026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41,026</w:t>
            </w:r>
          </w:p>
        </w:tc>
      </w:tr>
      <w:tr>
        <w:trPr>
          <w:trHeight w:val="27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Short-term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24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3,237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3,237</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30,906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30,822</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10,447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10,432</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2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203,734</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203,649</w:t>
            </w:r>
          </w:p>
        </w:tc>
      </w:tr>
      <w:tr>
        <w:trPr>
          <w:trHeight w:val="250"/>
        </w:trPr>
        <w:tc>
          <w:tcPr>
            <w:tcW w:w="5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248,324</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248,140</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Long-term </w:t>
            </w:r>
            <w:r>
              <w:rPr>
                <w:rFonts w:ascii="Arial" w:cs="Arial" w:eastAsia="Arial" w:hAnsi="Arial"/>
                <w:sz w:val="16"/>
                <w:szCs w:val="16"/>
                <w:color w:val="231F20"/>
              </w:rPr>
              <w:t>marketable securities</w:t>
            </w: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22,927</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18,751</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35,322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35,032</w:t>
            </w:r>
          </w:p>
        </w:tc>
      </w:tr>
      <w:tr>
        <w:trPr>
          <w:trHeight w:val="250"/>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77,071</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76,710</w:t>
            </w:r>
          </w:p>
        </w:tc>
      </w:tr>
      <w:tr>
        <w:trPr>
          <w:trHeight w:val="240"/>
        </w:trPr>
        <w:tc>
          <w:tcPr>
            <w:tcW w:w="5260" w:type="dxa"/>
            <w:vAlign w:val="bottom"/>
          </w:tcPr>
          <w:p>
            <w:pPr>
              <w:ind w:left="40"/>
              <w:spacing w:after="0"/>
              <w:rPr>
                <w:sz w:val="20"/>
                <w:szCs w:val="20"/>
                <w:color w:val="auto"/>
              </w:rPr>
            </w:pPr>
            <w:r>
              <w:rPr>
                <w:rFonts w:ascii="Arial" w:cs="Arial" w:eastAsia="Arial" w:hAnsi="Arial"/>
                <w:sz w:val="16"/>
                <w:szCs w:val="16"/>
                <w:color w:val="auto"/>
              </w:rPr>
              <w:t>Total</w:t>
            </w:r>
          </w:p>
        </w:tc>
        <w:tc>
          <w:tcPr>
            <w:tcW w:w="5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366,421</w:t>
            </w:r>
          </w:p>
        </w:tc>
        <w:tc>
          <w:tcPr>
            <w:tcW w:w="12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(567)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365,876</w:t>
            </w:r>
          </w:p>
        </w:tc>
      </w:tr>
      <w:tr>
        <w:trPr>
          <w:trHeight w:val="20"/>
        </w:trPr>
        <w:tc>
          <w:tcPr>
            <w:tcW w:w="5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41"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231F20"/>
        </w:rPr>
        <w:t>The following table shows the changes to AOCI related to available-for-sale marketable securities for the nine months ended September 30, 2019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6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Unrealized Gain (Loss), net</w:t>
            </w:r>
          </w:p>
        </w:tc>
      </w:tr>
      <w:tr>
        <w:trPr>
          <w:trHeight w:val="243"/>
        </w:trPr>
        <w:tc>
          <w:tcPr>
            <w:tcW w:w="9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 for available-for sale marketable securities balance at December 31, 2018</w:t>
            </w:r>
          </w:p>
        </w:tc>
        <w:tc>
          <w:tcPr>
            <w:tcW w:w="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r>
      <w:tr>
        <w:trPr>
          <w:trHeight w:val="233"/>
        </w:trPr>
        <w:tc>
          <w:tcPr>
            <w:tcW w:w="9260" w:type="dxa"/>
            <w:vAlign w:val="bottom"/>
          </w:tcPr>
          <w:p>
            <w:pPr>
              <w:ind w:left="280"/>
              <w:spacing w:after="0"/>
              <w:rPr>
                <w:sz w:val="20"/>
                <w:szCs w:val="20"/>
                <w:color w:val="auto"/>
              </w:rPr>
            </w:pPr>
            <w:r>
              <w:rPr>
                <w:rFonts w:ascii="Arial" w:cs="Arial" w:eastAsia="Arial" w:hAnsi="Arial"/>
                <w:sz w:val="16"/>
                <w:szCs w:val="16"/>
                <w:color w:val="auto"/>
              </w:rPr>
              <w:t>Change in net unrealized gain, net of tax</w:t>
            </w:r>
          </w:p>
        </w:tc>
        <w:tc>
          <w:tcPr>
            <w:tcW w:w="8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1,419</w:t>
            </w:r>
          </w:p>
        </w:tc>
      </w:tr>
      <w:tr>
        <w:trPr>
          <w:trHeight w:val="246"/>
        </w:trPr>
        <w:tc>
          <w:tcPr>
            <w:tcW w:w="9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for net realized gain included in net income</w:t>
            </w:r>
          </w:p>
        </w:tc>
        <w:tc>
          <w:tcPr>
            <w:tcW w:w="8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9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change in unrealized gain (loss), net of tax</w:t>
            </w:r>
          </w:p>
        </w:tc>
        <w:tc>
          <w:tcPr>
            <w:tcW w:w="8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1,444</w:t>
            </w: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AOCI for available-for sale marketable securities balance at September 30, 2019</w:t>
            </w: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899</w:t>
            </w:r>
          </w:p>
        </w:tc>
      </w:tr>
      <w:tr>
        <w:trPr>
          <w:trHeight w:val="20"/>
        </w:trPr>
        <w:tc>
          <w:tcPr>
            <w:tcW w:w="9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marketable securities measured on a recurring basis, excluding cash and money market funds: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September 30, 2019</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12,299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12,299</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216,140</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216,140</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62,711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62,711</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41,135</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41,135</w:t>
            </w:r>
          </w:p>
        </w:tc>
      </w:tr>
      <w:tr>
        <w:trPr>
          <w:trHeight w:val="24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332,285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332,285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December 31, 2018</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3,237</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222,400</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222,400</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65,854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65,854</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33,359</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33,359</w:t>
            </w:r>
          </w:p>
        </w:tc>
      </w:tr>
      <w:tr>
        <w:trPr>
          <w:trHeight w:val="24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324,850</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324,850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marketable securities classified as available-for-sale by contractual, or effective, maturity: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September 30, 2019</w:t>
            </w: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198"/>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Mature within</w:t>
            </w:r>
          </w:p>
        </w:tc>
        <w:tc>
          <w:tcPr>
            <w:tcW w:w="180" w:type="dxa"/>
            <w:vAlign w:val="bottom"/>
          </w:tcPr>
          <w:p>
            <w:pPr>
              <w:spacing w:after="0"/>
              <w:rPr>
                <w:sz w:val="17"/>
                <w:szCs w:val="17"/>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Mature after One Year</w:t>
            </w:r>
          </w:p>
        </w:tc>
        <w:tc>
          <w:tcPr>
            <w:tcW w:w="1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8"/>
        </w:trPr>
        <w:tc>
          <w:tcPr>
            <w:tcW w:w="2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9"/>
              </w:rPr>
              <w:t>One Year</w:t>
            </w: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through Two Years</w:t>
            </w:r>
          </w:p>
        </w:tc>
        <w:tc>
          <w:tcPr>
            <w:tcW w:w="1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Mature over Two Years</w:t>
            </w: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2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8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12,299</w:t>
            </w:r>
          </w:p>
        </w:tc>
      </w:tr>
      <w:tr>
        <w:trPr>
          <w:trHeight w:val="260"/>
        </w:trPr>
        <w:tc>
          <w:tcPr>
            <w:tcW w:w="264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32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187,883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13,527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14,730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216,140</w:t>
            </w:r>
          </w:p>
        </w:tc>
      </w:tr>
      <w:tr>
        <w:trPr>
          <w:trHeight w:val="28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30,100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62,711</w:t>
            </w: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14,824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25,259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41,135</w:t>
            </w:r>
          </w:p>
        </w:tc>
      </w:tr>
      <w:tr>
        <w:trPr>
          <w:trHeight w:val="24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231,334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49,681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51,270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332,285</w:t>
            </w:r>
          </w:p>
        </w:tc>
      </w:tr>
      <w:tr>
        <w:trPr>
          <w:trHeight w:val="20"/>
        </w:trPr>
        <w:tc>
          <w:tcPr>
            <w:tcW w:w="2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41"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36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231F20"/>
        </w:rPr>
        <w:t>Non-designated forward contracts</w:t>
      </w:r>
    </w:p>
    <w:p>
      <w:pPr>
        <w:spacing w:after="0" w:line="33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At September 30, 2019, the Company </w:t>
      </w:r>
      <w:r>
        <w:rPr>
          <w:rFonts w:ascii="Arial" w:cs="Arial" w:eastAsia="Arial" w:hAnsi="Arial"/>
          <w:sz w:val="18"/>
          <w:szCs w:val="18"/>
          <w:color w:val="222222"/>
        </w:rPr>
        <w:t>had four</w:t>
      </w:r>
      <w:r>
        <w:rPr>
          <w:rFonts w:ascii="Arial" w:cs="Arial" w:eastAsia="Arial" w:hAnsi="Arial"/>
          <w:sz w:val="18"/>
          <w:szCs w:val="18"/>
          <w:color w:val="auto"/>
        </w:rPr>
        <w:t xml:space="preserve"> outstanding forward contracts with notional amounts of € 9.0 million and £4.0 million. At December 31, 2018, the Company had two outstanding forward contracts with notional amounts of €16.0 million and £6.3 million.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Designated cash flow hedges</w:t>
      </w:r>
    </w:p>
    <w:p>
      <w:pPr>
        <w:spacing w:after="0" w:line="24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At September 30, 2019, the Company had 26 open designated cash flow hedge contracts with notional amounts of </w:t>
      </w:r>
      <w:r>
        <w:rPr>
          <w:rFonts w:ascii="Arial" w:cs="Arial" w:eastAsia="Arial" w:hAnsi="Arial"/>
          <w:sz w:val="18"/>
          <w:szCs w:val="18"/>
          <w:color w:val="231F20"/>
        </w:rPr>
        <w:t>€ 19.9 million</w:t>
      </w:r>
      <w:r>
        <w:rPr>
          <w:rFonts w:ascii="Arial" w:cs="Arial" w:eastAsia="Arial" w:hAnsi="Arial"/>
          <w:sz w:val="18"/>
          <w:szCs w:val="18"/>
          <w:color w:val="auto"/>
        </w:rPr>
        <w:t xml:space="preserve"> and </w:t>
      </w:r>
      <w:r>
        <w:rPr>
          <w:rFonts w:ascii="Arial" w:cs="Arial" w:eastAsia="Arial" w:hAnsi="Arial"/>
          <w:sz w:val="18"/>
          <w:szCs w:val="18"/>
          <w:color w:val="231F20"/>
        </w:rPr>
        <w:t>£9.8</w:t>
      </w:r>
      <w:r>
        <w:rPr>
          <w:rFonts w:ascii="Arial" w:cs="Arial" w:eastAsia="Arial" w:hAnsi="Arial"/>
          <w:sz w:val="18"/>
          <w:szCs w:val="18"/>
          <w:color w:val="auto"/>
        </w:rPr>
        <w:t xml:space="preserve"> </w:t>
      </w:r>
      <w:r>
        <w:rPr>
          <w:rFonts w:ascii="Arial" w:cs="Arial" w:eastAsia="Arial" w:hAnsi="Arial"/>
          <w:sz w:val="18"/>
          <w:szCs w:val="18"/>
          <w:color w:val="231F20"/>
        </w:rPr>
        <w:t>million</w:t>
      </w:r>
      <w:r>
        <w:rPr>
          <w:rFonts w:ascii="Arial" w:cs="Arial" w:eastAsia="Arial" w:hAnsi="Arial"/>
          <w:sz w:val="18"/>
          <w:szCs w:val="18"/>
          <w:color w:val="000000"/>
        </w:rPr>
        <w:t>. During the</w:t>
      </w:r>
      <w:r>
        <w:rPr>
          <w:rFonts w:ascii="Arial" w:cs="Arial" w:eastAsia="Arial" w:hAnsi="Arial"/>
          <w:sz w:val="18"/>
          <w:szCs w:val="18"/>
          <w:color w:val="231F20"/>
        </w:rPr>
        <w:t xml:space="preserve"> three and nine months ended September 30, 2019</w:t>
      </w:r>
      <w:r>
        <w:rPr>
          <w:rFonts w:ascii="Arial" w:cs="Arial" w:eastAsia="Arial" w:hAnsi="Arial"/>
          <w:sz w:val="18"/>
          <w:szCs w:val="18"/>
          <w:color w:val="000000"/>
        </w:rPr>
        <w:t>, the Company recorded unrealized FX gains related to these contracts in</w:t>
      </w:r>
      <w:r>
        <w:rPr>
          <w:rFonts w:ascii="Arial" w:cs="Arial" w:eastAsia="Arial" w:hAnsi="Arial"/>
          <w:sz w:val="18"/>
          <w:szCs w:val="18"/>
          <w:color w:val="231F20"/>
        </w:rPr>
        <w:t xml:space="preserve"> </w:t>
      </w:r>
      <w:r>
        <w:rPr>
          <w:rFonts w:ascii="Arial" w:cs="Arial" w:eastAsia="Arial" w:hAnsi="Arial"/>
          <w:sz w:val="18"/>
          <w:szCs w:val="18"/>
          <w:color w:val="000000"/>
        </w:rPr>
        <w:t>AOCI of $1.0 million and $1.4 million, respectively, net of tax. The Company did not have any unrealized FX gains or losses during the three and nine months ended September 30, 2018, respectively.</w:t>
      </w:r>
    </w:p>
    <w:p>
      <w:pPr>
        <w:spacing w:after="0" w:line="204"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auto"/>
        </w:rPr>
        <w:t xml:space="preserve">At December 31, 2018, the Company had </w:t>
      </w:r>
      <w:r>
        <w:rPr>
          <w:rFonts w:ascii="Arial" w:cs="Arial" w:eastAsia="Arial" w:hAnsi="Arial"/>
          <w:sz w:val="18"/>
          <w:szCs w:val="18"/>
          <w:color w:val="222222"/>
        </w:rPr>
        <w:t>two open</w:t>
      </w:r>
      <w:r>
        <w:rPr>
          <w:rFonts w:ascii="Arial" w:cs="Arial" w:eastAsia="Arial" w:hAnsi="Arial"/>
          <w:sz w:val="18"/>
          <w:szCs w:val="18"/>
          <w:color w:val="auto"/>
        </w:rPr>
        <w:t xml:space="preserve"> designated </w:t>
      </w:r>
      <w:r>
        <w:rPr>
          <w:rFonts w:ascii="Arial" w:cs="Arial" w:eastAsia="Arial" w:hAnsi="Arial"/>
          <w:sz w:val="18"/>
          <w:szCs w:val="18"/>
          <w:color w:val="222222"/>
        </w:rPr>
        <w:t>cash flow hedge contracts with notional amounts of €12.9 million and £4.1</w:t>
      </w:r>
      <w:r>
        <w:rPr>
          <w:rFonts w:ascii="Arial" w:cs="Arial" w:eastAsia="Arial" w:hAnsi="Arial"/>
          <w:sz w:val="18"/>
          <w:szCs w:val="18"/>
          <w:color w:val="auto"/>
        </w:rPr>
        <w:t xml:space="preserve"> </w:t>
      </w:r>
      <w:r>
        <w:rPr>
          <w:rFonts w:ascii="Arial" w:cs="Arial" w:eastAsia="Arial" w:hAnsi="Arial"/>
          <w:sz w:val="18"/>
          <w:szCs w:val="18"/>
          <w:color w:val="222222"/>
        </w:rPr>
        <w:t xml:space="preserve">million. </w:t>
      </w:r>
      <w:r>
        <w:rPr>
          <w:rFonts w:ascii="Arial" w:cs="Arial" w:eastAsia="Arial" w:hAnsi="Arial"/>
          <w:sz w:val="18"/>
          <w:szCs w:val="18"/>
          <w:color w:val="231F20"/>
        </w:rPr>
        <w:t>The unrealized foreign currency losses on these contracts were recorded in AOCI and were insignificant.</w:t>
      </w:r>
    </w:p>
    <w:p>
      <w:pPr>
        <w:spacing w:after="0" w:line="196"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231F20"/>
        </w:rPr>
        <w:t>The following summarizes the gains (losses) recognized in other income (expense), net on the condensed consolidated statement of operations, from forward contracts and other foreign currency transactions: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22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5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gain (loss) from non-designated forward contracts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foreign currency transactions gain (loss)</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foreign exchange gain (loss), net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0"/>
        </w:trPr>
        <w:tc>
          <w:tcPr>
            <w:tcW w:w="5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net, which includes assets under finance lease,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8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gridSpan w:val="4"/>
          </w:tcPr>
          <w:p>
            <w:pPr>
              <w:jc w:val="right"/>
              <w:ind w:right="93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108,639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93,530</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26,114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26,030</w:t>
            </w: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5,814</w:t>
            </w:r>
          </w:p>
        </w:tc>
      </w:tr>
      <w:tr>
        <w:trPr>
          <w:trHeight w:val="260"/>
        </w:trPr>
        <w:tc>
          <w:tcPr>
            <w:tcW w:w="8240" w:type="dxa"/>
            <w:vAlign w:val="bottom"/>
          </w:tcPr>
          <w:p>
            <w:pPr>
              <w:ind w:left="40"/>
              <w:spacing w:after="0"/>
              <w:rPr>
                <w:sz w:val="20"/>
                <w:szCs w:val="20"/>
                <w:color w:val="auto"/>
              </w:rPr>
            </w:pPr>
            <w:r>
              <w:rPr>
                <w:rFonts w:ascii="Arial" w:cs="Arial" w:eastAsia="Arial" w:hAnsi="Arial"/>
                <w:sz w:val="16"/>
                <w:szCs w:val="16"/>
                <w:color w:val="auto"/>
              </w:rPr>
              <w:t>Finance leases - right of use asset</w:t>
            </w: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3,503</w:t>
            </w:r>
          </w:p>
        </w:tc>
      </w:tr>
      <w:tr>
        <w:trPr>
          <w:trHeight w:val="280"/>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Scanner appliances</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15,356</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Leasehold improvements</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16,579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16,439</w:t>
            </w:r>
          </w:p>
        </w:tc>
      </w:tr>
      <w:tr>
        <w:trPr>
          <w:trHeight w:val="257"/>
        </w:trPr>
        <w:tc>
          <w:tcPr>
            <w:tcW w:w="8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property and equipment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176,365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160,672</w:t>
            </w:r>
          </w:p>
        </w:tc>
      </w:tr>
      <w:tr>
        <w:trPr>
          <w:trHeight w:val="264"/>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(117,660)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(99,230)</w:t>
            </w:r>
          </w:p>
        </w:tc>
      </w:tr>
      <w:tr>
        <w:trPr>
          <w:trHeight w:val="24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58,705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61,442</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Physical scanner appliances and other computer equipment had a net carrying value of $5.0 million and $7.9 million at </w:t>
      </w:r>
      <w:r>
        <w:rPr>
          <w:rFonts w:ascii="Arial" w:cs="Arial" w:eastAsia="Arial" w:hAnsi="Arial"/>
          <w:sz w:val="18"/>
          <w:szCs w:val="18"/>
          <w:color w:val="000000"/>
        </w:rPr>
        <w:t>September 30,</w:t>
      </w:r>
      <w:r>
        <w:rPr>
          <w:rFonts w:ascii="Arial" w:cs="Arial" w:eastAsia="Arial" w:hAnsi="Arial"/>
          <w:sz w:val="18"/>
          <w:szCs w:val="18"/>
          <w:color w:val="231F20"/>
        </w:rPr>
        <w:t xml:space="preserve"> </w:t>
      </w:r>
      <w:r>
        <w:rPr>
          <w:rFonts w:ascii="Arial" w:cs="Arial" w:eastAsia="Arial" w:hAnsi="Arial"/>
          <w:sz w:val="18"/>
          <w:szCs w:val="18"/>
          <w:color w:val="000000"/>
        </w:rPr>
        <w:t xml:space="preserve">2019 </w:t>
      </w:r>
      <w:r>
        <w:rPr>
          <w:rFonts w:ascii="Arial" w:cs="Arial" w:eastAsia="Arial" w:hAnsi="Arial"/>
          <w:sz w:val="18"/>
          <w:szCs w:val="18"/>
          <w:color w:val="231F20"/>
        </w:rPr>
        <w:t>and December 31, 2018, respectively, including assets that had not been placed in service of $0.6 million and $1.8 million, respectively.</w:t>
      </w:r>
      <w:r>
        <w:rPr>
          <w:rFonts w:ascii="Arial" w:cs="Arial" w:eastAsia="Arial" w:hAnsi="Arial"/>
          <w:sz w:val="18"/>
          <w:szCs w:val="18"/>
          <w:color w:val="000000"/>
        </w:rPr>
        <w:t xml:space="preserve"> </w:t>
      </w:r>
      <w:r>
        <w:rPr>
          <w:rFonts w:ascii="Arial" w:cs="Arial" w:eastAsia="Arial" w:hAnsi="Arial"/>
          <w:sz w:val="18"/>
          <w:szCs w:val="18"/>
          <w:color w:val="231F20"/>
        </w:rPr>
        <w:t xml:space="preserve">Depreciation and amortization expense relating to property and equipment, including capitalized leases, was $6.2 million and $6.1 million for the </w:t>
      </w:r>
      <w:r>
        <w:rPr>
          <w:rFonts w:ascii="Arial" w:cs="Arial" w:eastAsia="Arial" w:hAnsi="Arial"/>
          <w:sz w:val="18"/>
          <w:szCs w:val="18"/>
          <w:color w:val="000000"/>
        </w:rPr>
        <w:t>three months ended September 30,</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41"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2019 </w:t>
      </w:r>
      <w:r>
        <w:rPr>
          <w:rFonts w:ascii="Arial" w:cs="Arial" w:eastAsia="Arial" w:hAnsi="Arial"/>
          <w:sz w:val="18"/>
          <w:szCs w:val="18"/>
          <w:color w:val="231F20"/>
        </w:rPr>
        <w:t>and 2018, respectively, and $18.9 million for each of the nine months ended September 30, 2019 and 2018, respectively. Accumulated</w:t>
      </w:r>
      <w:r>
        <w:rPr>
          <w:rFonts w:ascii="Arial" w:cs="Arial" w:eastAsia="Arial" w:hAnsi="Arial"/>
          <w:sz w:val="18"/>
          <w:szCs w:val="18"/>
          <w:color w:val="auto"/>
        </w:rPr>
        <w:t xml:space="preserve"> </w:t>
      </w:r>
      <w:r>
        <w:rPr>
          <w:rFonts w:ascii="Arial" w:cs="Arial" w:eastAsia="Arial" w:hAnsi="Arial"/>
          <w:sz w:val="18"/>
          <w:szCs w:val="18"/>
          <w:color w:val="231F20"/>
        </w:rPr>
        <w:t xml:space="preserve">depreciation under finance leases was $1.9 million at </w:t>
      </w:r>
      <w:r>
        <w:rPr>
          <w:rFonts w:ascii="Arial" w:cs="Arial" w:eastAsia="Arial" w:hAnsi="Arial"/>
          <w:sz w:val="18"/>
          <w:szCs w:val="18"/>
          <w:color w:val="000000"/>
        </w:rPr>
        <w:t>September 30, 2019</w:t>
      </w:r>
      <w:r>
        <w:rPr>
          <w:rFonts w:ascii="Arial" w:cs="Arial" w:eastAsia="Arial" w:hAnsi="Arial"/>
          <w:sz w:val="18"/>
          <w:szCs w:val="18"/>
          <w:color w:val="231F20"/>
        </w:rPr>
        <w: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color w:val="231F20"/>
        </w:rPr>
        <w:t>Revenue from Contracts with Customers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Company's subscription contracts are typically satisfied ratably over the subscription term as its cloud-based offerings are delivered to customers electronically and over time. In addition, the Company recognizes revenues for certain limited scan arrangements on an as-used basis. The Company recognizes revenue related to professional services based on time and materials or completion of milestones stated in the contracts.</w:t>
      </w:r>
    </w:p>
    <w:p>
      <w:pPr>
        <w:spacing w:after="0" w:line="20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 xml:space="preserve">As the vast majority of the Company’s offerings are subscription based, the Company rarely needs to allocate the transaction price to separate performance obligations. In the rare case that allocation of the transaction price is needed, the Company recognizes revenue in proportion to the standalone selling prices ("SSP") of the underlying services at contract inception. If an SSP is not directly observable, the Company determines the SSP using information that may include market conditions and other observable inputs. The Company's transaction prices typically do not include variable consideration and are a fixed amount for a specific period of time, and the majority of contracts are twelve months with certain customers signing longer term deals. In general, the Company does not offer rights of return, performance bonuses, customer loyalty programs, payments via non-cash methods, refunds, volume rebates, incentive payments, penalties, price concessions or payments or discounts contingent on future events and the Company does not grant its customers any material rights. For contracts that include leased scanners and PCPs, we apply the lease and non-lease component practical expedient under ASC 842 to account for non-lease components and lease components as combined components under the revenue recognition guidance in </w:t>
      </w:r>
      <w:r>
        <w:rPr>
          <w:rFonts w:ascii="Arial" w:cs="Arial" w:eastAsia="Arial" w:hAnsi="Arial"/>
          <w:sz w:val="18"/>
          <w:szCs w:val="18"/>
          <w:color w:val="231F20"/>
        </w:rPr>
        <w:t>ASU 2014-09, "Revenue from</w:t>
      </w:r>
      <w:r>
        <w:rPr>
          <w:rFonts w:ascii="Arial" w:cs="Arial" w:eastAsia="Arial" w:hAnsi="Arial"/>
          <w:sz w:val="18"/>
          <w:szCs w:val="18"/>
          <w:color w:val="auto"/>
        </w:rPr>
        <w:t xml:space="preserve"> </w:t>
      </w:r>
      <w:r>
        <w:rPr>
          <w:rFonts w:ascii="Arial" w:cs="Arial" w:eastAsia="Arial" w:hAnsi="Arial"/>
          <w:sz w:val="18"/>
          <w:szCs w:val="18"/>
          <w:color w:val="231F20"/>
        </w:rPr>
        <w:t xml:space="preserve">Contracts with Customers" (Topic 606) </w:t>
      </w:r>
      <w:r>
        <w:rPr>
          <w:rFonts w:ascii="Arial" w:cs="Arial" w:eastAsia="Arial" w:hAnsi="Arial"/>
          <w:sz w:val="18"/>
          <w:szCs w:val="18"/>
          <w:color w:val="000000"/>
        </w:rPr>
        <w:t>as the subscriptions are the predominant components in the arrangements.</w:t>
      </w:r>
    </w:p>
    <w:p>
      <w:pPr>
        <w:spacing w:after="0" w:line="21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 xml:space="preserve">Costs of shipping and handling charges associated with physical scanner appliances and other computer equipment are included in cost </w:t>
      </w:r>
      <w:r>
        <w:rPr>
          <w:rFonts w:ascii="Arial" w:cs="Arial" w:eastAsia="Arial" w:hAnsi="Arial"/>
          <w:sz w:val="18"/>
          <w:szCs w:val="18"/>
          <w:color w:val="231F20"/>
        </w:rPr>
        <w:t>of revenues. Sales taxes and other taxes collected from customers to be remitted to government authorities are excluded from revenues.</w:t>
      </w:r>
    </w:p>
    <w:p>
      <w:pPr>
        <w:spacing w:after="0" w:line="19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condensed consolidated balance sheets.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Commission asset balances are as follows (in thousands):</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8"/>
        </w:trPr>
        <w:tc>
          <w:tcPr>
            <w:tcW w:w="7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9"/>
              </w:rPr>
              <w:t>December 31, 2018</w:t>
            </w:r>
          </w:p>
        </w:tc>
      </w:tr>
      <w:tr>
        <w:trPr>
          <w:trHeight w:val="257"/>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Commission asset, current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1,480</w:t>
            </w:r>
          </w:p>
        </w:tc>
      </w:tr>
      <w:tr>
        <w:trPr>
          <w:trHeight w:val="251"/>
        </w:trPr>
        <w:tc>
          <w:tcPr>
            <w:tcW w:w="7600" w:type="dxa"/>
            <w:vAlign w:val="bottom"/>
          </w:tcPr>
          <w:p>
            <w:pPr>
              <w:ind w:left="20"/>
              <w:spacing w:after="0"/>
              <w:rPr>
                <w:sz w:val="20"/>
                <w:szCs w:val="20"/>
                <w:color w:val="auto"/>
              </w:rPr>
            </w:pPr>
            <w:r>
              <w:rPr>
                <w:rFonts w:ascii="Arial" w:cs="Arial" w:eastAsia="Arial" w:hAnsi="Arial"/>
                <w:sz w:val="16"/>
                <w:szCs w:val="16"/>
                <w:color w:val="auto"/>
              </w:rPr>
              <w:t>Commission asset, noncurrent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6,090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4,692</w:t>
            </w:r>
          </w:p>
        </w:tc>
      </w:tr>
    </w:tbl>
    <w:p>
      <w:pPr>
        <w:spacing w:after="0" w:line="200" w:lineRule="exact"/>
        <w:rPr>
          <w:sz w:val="20"/>
          <w:szCs w:val="20"/>
          <w:color w:val="auto"/>
        </w:rPr>
      </w:pPr>
    </w:p>
    <w:p>
      <w:pPr>
        <w:spacing w:after="0" w:line="25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For the three months ended September 30, 2019 and 2018, the Company recognized $0.5 million and $0.3 million, respectively, of commission expense from amortization of its commission assets. For the nine months ended September 30, 2019 and 2018, the Company recognized $1.4 million and $0.8 million, respectively, of commission expense from amortization of its commission assets. During the same periods, there was no impairment loss related to capitalized costs.</w:t>
      </w:r>
    </w:p>
    <w:p>
      <w:pPr>
        <w:spacing w:after="0" w:line="12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offset by revenue recognized in the period. Revenue of $31.3 million and $28.4 million was recognized during the three months ended September 30, 2019 and 2018, respectively, which amounts were included in the deferred revenue balances as of December 31, 2018 and 2017, respectively. Revenue of $144.6 million and $126.6 million was recognized during the nine months ended September 30, 2019 and 2018, respectively, which amounts were included in the deferred revenue balances as of December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The Company's payment terms vary by the type and location of its customer and the products or services offered. For certain products or services and customer types, the Company requires payment before the products or services are delivered to the customer.</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expected revenue from all remaining performance obligations as of September 30, 2019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 Expected</w:t>
            </w:r>
          </w:p>
        </w:tc>
      </w:tr>
      <w:tr>
        <w:trPr>
          <w:trHeight w:val="228"/>
        </w:trPr>
        <w:tc>
          <w:tcPr>
            <w:tcW w:w="97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Revenue</w:t>
            </w: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 (remaining three months)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20,017</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55,826</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27,277</w:t>
            </w:r>
          </w:p>
        </w:tc>
      </w:tr>
      <w:tr>
        <w:trPr>
          <w:trHeight w:val="233"/>
        </w:trPr>
        <w:tc>
          <w:tcPr>
            <w:tcW w:w="9720" w:type="dxa"/>
            <w:vAlign w:val="bottom"/>
          </w:tcPr>
          <w:p>
            <w:pPr>
              <w:ind w:left="4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7,180</w:t>
            </w:r>
          </w:p>
        </w:tc>
      </w:tr>
      <w:tr>
        <w:trPr>
          <w:trHeight w:val="253"/>
        </w:trPr>
        <w:tc>
          <w:tcPr>
            <w:tcW w:w="9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1,439</w:t>
            </w:r>
          </w:p>
        </w:tc>
      </w:tr>
      <w:tr>
        <w:trPr>
          <w:trHeight w:val="23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2024 and thereafter</w:t>
            </w: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w:t>
            </w:r>
          </w:p>
        </w:tc>
      </w:tr>
      <w:tr>
        <w:trPr>
          <w:trHeight w:val="24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112,141</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Revenues allocated to remaining performance obligations represents contracted revenues that have not yet been recognized, which include deferred revenue and the amounts that have been or will be invoiced and recognized as revenues in future periods from open contracts. Remaining performance obligations represent the transaction price of noncancelable orders for which service has not been performed and excludes unexercised renewals. The Company applied the short-term contract exemption to exclude the remaining performance obligations that are part of a contract that has an original expected duration of one year or less.</w:t>
      </w:r>
    </w:p>
    <w:p>
      <w:pPr>
        <w:spacing w:after="0" w:line="206"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From time to time, the Company enters into contracts with customers that extend beyond one year, with certain of its customers electing to pay for more than one year of services upon contract execution. For any discounts associated with these multiple year contracts, the Company concluded that its contracts did not contain a financing component.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Revenues by sales channel are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ind w:left="180"/>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40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24"/>
                <w:szCs w:val="24"/>
                <w:color w:val="auto"/>
              </w:rPr>
            </w:pPr>
          </w:p>
        </w:tc>
        <w:tc>
          <w:tcPr>
            <w:tcW w:w="2120" w:type="dxa"/>
            <w:vAlign w:val="bottom"/>
            <w:gridSpan w:val="4"/>
          </w:tcPr>
          <w:p>
            <w:pPr>
              <w:ind w:left="400"/>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65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2018</w:t>
            </w:r>
          </w:p>
        </w:tc>
      </w:tr>
      <w:tr>
        <w:trPr>
          <w:trHeight w:val="247"/>
        </w:trPr>
        <w:tc>
          <w:tcPr>
            <w:tcW w:w="6520" w:type="dxa"/>
            <w:vAlign w:val="bottom"/>
          </w:tcPr>
          <w:p>
            <w:pPr>
              <w:ind w:left="40"/>
              <w:spacing w:after="0"/>
              <w:rPr>
                <w:sz w:val="20"/>
                <w:szCs w:val="20"/>
                <w:color w:val="auto"/>
              </w:rPr>
            </w:pPr>
            <w:r>
              <w:rPr>
                <w:rFonts w:ascii="Arial" w:cs="Arial" w:eastAsia="Arial" w:hAnsi="Arial"/>
                <w:sz w:val="16"/>
                <w:szCs w:val="16"/>
                <w:color w:val="auto"/>
              </w:rPr>
              <w:t>Direct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47,997</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41,950</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ind w:left="180"/>
              <w:spacing w:after="0"/>
              <w:rPr>
                <w:sz w:val="20"/>
                <w:szCs w:val="20"/>
                <w:color w:val="auto"/>
              </w:rPr>
            </w:pPr>
            <w:r>
              <w:rPr>
                <w:rFonts w:ascii="Arial" w:cs="Arial" w:eastAsia="Arial" w:hAnsi="Arial"/>
                <w:sz w:val="16"/>
                <w:szCs w:val="16"/>
                <w:color w:val="auto"/>
              </w:rPr>
              <w:t>136,708</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121,274</w:t>
            </w:r>
          </w:p>
        </w:tc>
      </w:tr>
      <w:tr>
        <w:trPr>
          <w:trHeight w:val="273"/>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Partner</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34,674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29,708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100,235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83,415</w:t>
            </w:r>
          </w:p>
        </w:tc>
      </w:tr>
      <w:tr>
        <w:trPr>
          <w:trHeight w:val="240"/>
        </w:trPr>
        <w:tc>
          <w:tcPr>
            <w:tcW w:w="652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82,671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71,658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236,943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204,689</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13, "Segment Information and Information about Geographic Area" for disaggregation of revenue by geographic area.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Business Combination</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On January 10, 2019, the Company acquired the assets of Adya, Inc. ("Adya"), an India-based company. The acquisition included a cloud application management platform, which enables security and compliance audits of SaaS applications.</w:t>
      </w:r>
    </w:p>
    <w:p>
      <w:pPr>
        <w:spacing w:after="0" w:line="1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Total purchase consideration was $1.0 million, including $0.2 million of deferred consideration due eighteen months from the closing date of the acquisition, subject to potential adjustment from possible indemnity claims. Pro forma financial information for this acquisition has not been presented because it is not material to the Company's condensed consolidated financial statements.</w:t>
      </w:r>
    </w:p>
    <w:p>
      <w:pPr>
        <w:spacing w:after="0" w:line="202"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The Company accounted for this transaction as a business combination and allocated $0.9 million of the purchase price to technology-based intangible assets and $0.1 million to goodwill. The acquired intangible assets relating to Adya's developed technology are being amortized over the estimated useful lives of approximately four years. Goodwill arising from the Adya acquisition is deductible for tax purposes over 15 years.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Intangible Assets, Net</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231F20"/>
        </w:rPr>
        <w:t>Intangible assets consist primarily of developed technology and patent licenses from business combinations. Acquired intangibles are amortized on a straight-line basis over the respective estimated useful lives of the assets.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 except for years):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center"/>
              <w:ind w:left="439"/>
              <w:spacing w:after="0"/>
              <w:rPr>
                <w:sz w:val="20"/>
                <w:szCs w:val="20"/>
                <w:color w:val="auto"/>
              </w:rPr>
            </w:pPr>
            <w:r>
              <w:rPr>
                <w:rFonts w:ascii="Arial" w:cs="Arial" w:eastAsia="Arial" w:hAnsi="Arial"/>
                <w:sz w:val="16"/>
                <w:szCs w:val="16"/>
                <w:b w:val="1"/>
                <w:bCs w:val="1"/>
                <w:color w:val="auto"/>
              </w:rPr>
              <w:t>September 30, 2019</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Life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30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5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3.0</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26,356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(8,570)</w:t>
            </w:r>
          </w:p>
        </w:tc>
        <w:tc>
          <w:tcPr>
            <w:tcW w:w="1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17,786</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4.9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27,743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(9,467)</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18,276</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120" w:type="dxa"/>
            <w:vAlign w:val="bottom"/>
            <w:tcBorders>
              <w:bottom w:val="single" w:sz="8" w:color="CCEEFF"/>
            </w:tcBorders>
            <w:vMerge w:val="continue"/>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18,316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6"/>
                <w:szCs w:val="16"/>
                <w:b w:val="1"/>
                <w:bCs w:val="1"/>
                <w:color w:val="auto"/>
              </w:rPr>
              <w:t>December 31, 2018</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Average Life</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 Life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30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Net Book Value</w:t>
            </w:r>
          </w:p>
        </w:tc>
        <w:tc>
          <w:tcPr>
            <w:tcW w:w="0" w:type="dxa"/>
            <w:vAlign w:val="bottom"/>
          </w:tcPr>
          <w:p>
            <w:pPr>
              <w:spacing w:after="0"/>
              <w:rPr>
                <w:sz w:val="1"/>
                <w:szCs w:val="1"/>
                <w:color w:val="auto"/>
              </w:rPr>
            </w:pPr>
          </w:p>
        </w:tc>
      </w:tr>
      <w:tr>
        <w:trPr>
          <w:trHeight w:val="25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3.8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25,456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12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21,371</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Licenses</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5.9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1,387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26,843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21,936</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line="20" w:lineRule="exact"/>
              <w:rPr>
                <w:sz w:val="1"/>
                <w:szCs w:val="1"/>
                <w:color w:val="auto"/>
              </w:rPr>
            </w:pPr>
          </w:p>
        </w:tc>
      </w:tr>
      <w:tr>
        <w:trPr>
          <w:trHeight w:val="247"/>
        </w:trPr>
        <w:tc>
          <w:tcPr>
            <w:tcW w:w="4120" w:type="dxa"/>
            <w:vAlign w:val="bottom"/>
            <w:tcBorders>
              <w:bottom w:val="single" w:sz="8" w:color="CCEEFF"/>
            </w:tcBorders>
            <w:vMerge w:val="continue"/>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21,976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231F20"/>
        </w:rPr>
        <w:t xml:space="preserve">Intangible asset amortization expense was $1.5 million and $0.9 million for the </w:t>
      </w:r>
      <w:r>
        <w:rPr>
          <w:rFonts w:ascii="Arial" w:cs="Arial" w:eastAsia="Arial" w:hAnsi="Arial"/>
          <w:sz w:val="18"/>
          <w:szCs w:val="18"/>
          <w:color w:val="000000"/>
        </w:rPr>
        <w:t>three months ended September 30, 2019</w:t>
      </w:r>
      <w:r>
        <w:rPr>
          <w:rFonts w:ascii="Arial" w:cs="Arial" w:eastAsia="Arial" w:hAnsi="Arial"/>
          <w:sz w:val="18"/>
          <w:szCs w:val="18"/>
          <w:color w:val="231F20"/>
        </w:rPr>
        <w:t xml:space="preserve"> and </w:t>
      </w:r>
      <w:r>
        <w:rPr>
          <w:rFonts w:ascii="Arial" w:cs="Arial" w:eastAsia="Arial" w:hAnsi="Arial"/>
          <w:sz w:val="18"/>
          <w:szCs w:val="18"/>
          <w:color w:val="000000"/>
        </w:rPr>
        <w:t>2018</w:t>
      </w:r>
      <w:r>
        <w:rPr>
          <w:rFonts w:ascii="Arial" w:cs="Arial" w:eastAsia="Arial" w:hAnsi="Arial"/>
          <w:sz w:val="18"/>
          <w:szCs w:val="18"/>
          <w:color w:val="231F20"/>
        </w:rPr>
        <w:t>, respectively, and $4.6 million and $2.4 million for the nine months ended September 30, 2019 and 2018, respectively.</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41"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68"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2019</w:t>
      </w:r>
      <w:r>
        <w:rPr>
          <w:rFonts w:ascii="Arial" w:cs="Arial" w:eastAsia="Arial" w:hAnsi="Arial"/>
          <w:sz w:val="18"/>
          <w:szCs w:val="18"/>
          <w:color w:val="231F20"/>
        </w:rPr>
        <w:t>, the Company expects amortization expense in future periods to be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Amortization</w:t>
            </w:r>
          </w:p>
        </w:tc>
      </w:tr>
      <w:tr>
        <w:trPr>
          <w:trHeight w:val="228"/>
        </w:trPr>
        <w:tc>
          <w:tcPr>
            <w:tcW w:w="100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Expense</w:t>
            </w:r>
          </w:p>
        </w:tc>
      </w:tr>
      <w:tr>
        <w:trPr>
          <w:trHeight w:val="233"/>
        </w:trPr>
        <w:tc>
          <w:tcPr>
            <w:tcW w:w="10060" w:type="dxa"/>
            <w:vAlign w:val="bottom"/>
          </w:tcPr>
          <w:p>
            <w:pPr>
              <w:ind w:left="40"/>
              <w:spacing w:after="0"/>
              <w:rPr>
                <w:sz w:val="20"/>
                <w:szCs w:val="20"/>
                <w:color w:val="auto"/>
              </w:rPr>
            </w:pPr>
            <w:r>
              <w:rPr>
                <w:rFonts w:ascii="Arial" w:cs="Arial" w:eastAsia="Arial" w:hAnsi="Arial"/>
                <w:sz w:val="16"/>
                <w:szCs w:val="16"/>
                <w:color w:val="auto"/>
              </w:rPr>
              <w:t>2019 (remaining three months)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1,521</w:t>
            </w:r>
          </w:p>
        </w:tc>
      </w:tr>
      <w:tr>
        <w:trPr>
          <w:trHeight w:val="25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6,081</w:t>
            </w:r>
          </w:p>
        </w:tc>
      </w:tr>
      <w:tr>
        <w:trPr>
          <w:trHeight w:val="233"/>
        </w:trPr>
        <w:tc>
          <w:tcPr>
            <w:tcW w:w="10060" w:type="dxa"/>
            <w:vAlign w:val="bottom"/>
          </w:tcPr>
          <w:p>
            <w:pPr>
              <w:ind w:left="40"/>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6,081</w:t>
            </w:r>
          </w:p>
        </w:tc>
      </w:tr>
      <w:tr>
        <w:trPr>
          <w:trHeight w:val="253"/>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4,427</w:t>
            </w:r>
          </w:p>
        </w:tc>
      </w:tr>
      <w:tr>
        <w:trPr>
          <w:trHeight w:val="233"/>
        </w:trPr>
        <w:tc>
          <w:tcPr>
            <w:tcW w:w="10060" w:type="dxa"/>
            <w:vAlign w:val="bottom"/>
          </w:tcPr>
          <w:p>
            <w:pPr>
              <w:ind w:left="40"/>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46"/>
        </w:trPr>
        <w:tc>
          <w:tcPr>
            <w:tcW w:w="10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 and thereafter</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r>
      <w:tr>
        <w:trPr>
          <w:trHeight w:val="240"/>
        </w:trPr>
        <w:tc>
          <w:tcPr>
            <w:tcW w:w="10060" w:type="dxa"/>
            <w:vAlign w:val="bottom"/>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18,276</w:t>
            </w: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Leases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On January 1, 2019, the Company adopted ASU No. 2016-02, “Leases (Topic 842),” which requires leases with durations greater than twelve months to be recognized on the balance sheet. We adopted the standard using the current period adjustment method with an effective date of January 1, 2019. Prior year financial statements were not restated under the new standard and, therefore, those amounts are not presented below. For both operating and finance leases, we recognize a right-of-use asset, which represents our right to use the underlying asset for the lease term, and a lease liability, which represents the present value of our obligation to make payments arising over the lease term. The present value of the lease payments is calculated using the incremental borrowing rate for operating and finance leases. The incremental borrowing rate is determined using a portfolio approach based on the rate of interest that the Company would have to pay to borrow an amount equal to the lease payments on a collateralized basis over a similar term.</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Where the Company is the lessee, we have elected to account for non-lease components associated with our leases (e.g., common area maintenance costs) and lease components separately for substantially all of our asset classes. In arrangements where we are the lessor, we apply the lease and non-lease component practical expedient and we account for lease components (e.g., customer premise equipment) and non-lease components (e.g., service revenue) as combined components and account for the combined components under the revenue recognition guidance in Topic 606 as the service revenues are the predominant components in the arrangements.</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We lease property and equipment under finance and operating leases. For leases with terms greater than 12 months, we record the related asset and obligation at the present value of lease payments over the term. Many of our leases include rental escalation clauses, renewal options and/or termination options that are factored into our determination of lease payments when appropriate.</w:t>
      </w:r>
    </w:p>
    <w:p>
      <w:pPr>
        <w:spacing w:after="0" w:line="20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When available, we use the rate implicit in the lease to discount lease payments to present value; however, most of our leases do not provide a readily determinable implicit rate. Therefore, we must estimate our incremental borrowing rate to discount the lease payments based on information available at lease commencement.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table below presents the lease-related assets and liabilities recorded on the balance sheet.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4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59"/>
              <w:spacing w:after="0"/>
              <w:rPr>
                <w:sz w:val="20"/>
                <w:szCs w:val="20"/>
                <w:color w:val="auto"/>
              </w:rPr>
            </w:pPr>
            <w:r>
              <w:rPr>
                <w:rFonts w:ascii="Arial" w:cs="Arial" w:eastAsia="Arial" w:hAnsi="Arial"/>
                <w:sz w:val="16"/>
                <w:szCs w:val="16"/>
                <w:b w:val="1"/>
                <w:bCs w:val="1"/>
                <w:color w:val="auto"/>
              </w:rPr>
              <w:t>September 30,</w:t>
            </w:r>
          </w:p>
        </w:tc>
      </w:tr>
      <w:tr>
        <w:trPr>
          <w:trHeight w:val="256"/>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6780" w:type="dxa"/>
            <w:vAlign w:val="bottom"/>
            <w:tcBorders>
              <w:bottom w:val="single" w:sz="8" w:color="auto"/>
            </w:tcBorders>
          </w:tcPr>
          <w:p>
            <w:pPr>
              <w:ind w:left="2620"/>
              <w:spacing w:after="0"/>
              <w:rPr>
                <w:sz w:val="20"/>
                <w:szCs w:val="20"/>
                <w:color w:val="auto"/>
              </w:rPr>
            </w:pPr>
            <w:r>
              <w:rPr>
                <w:rFonts w:ascii="Arial" w:cs="Arial" w:eastAsia="Arial" w:hAnsi="Arial"/>
                <w:sz w:val="16"/>
                <w:szCs w:val="16"/>
                <w:b w:val="1"/>
                <w:bCs w:val="1"/>
                <w:color w:val="auto"/>
              </w:rPr>
              <w:t>Classification on the Balance Sheet</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60"/>
        </w:trPr>
        <w:tc>
          <w:tcPr>
            <w:tcW w:w="30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6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3"/>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assets</w:t>
            </w:r>
          </w:p>
        </w:tc>
        <w:tc>
          <w:tcPr>
            <w:tcW w:w="67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Operating lease - right of use asset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27,043</w:t>
            </w:r>
          </w:p>
        </w:tc>
      </w:tr>
      <w:tr>
        <w:trPr>
          <w:trHeight w:val="237"/>
        </w:trPr>
        <w:tc>
          <w:tcPr>
            <w:tcW w:w="30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Finance lease assets</w:t>
            </w:r>
          </w:p>
        </w:tc>
        <w:tc>
          <w:tcPr>
            <w:tcW w:w="6780" w:type="dxa"/>
            <w:vAlign w:val="bottom"/>
            <w:tcBorders>
              <w:bottom w:val="single" w:sz="8" w:color="CCEEFF"/>
            </w:tcBorders>
          </w:tcPr>
          <w:p>
            <w:pPr>
              <w:ind w:left="1220"/>
              <w:spacing w:after="0"/>
              <w:rPr>
                <w:sz w:val="20"/>
                <w:szCs w:val="20"/>
                <w:color w:val="auto"/>
              </w:rPr>
            </w:pPr>
            <w:r>
              <w:rPr>
                <w:rFonts w:ascii="Arial" w:cs="Arial" w:eastAsia="Arial" w:hAnsi="Arial"/>
                <w:sz w:val="16"/>
                <w:szCs w:val="16"/>
                <w:color w:val="auto"/>
              </w:rPr>
              <w:t>Property and equipment, net</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1,591</w:t>
            </w:r>
          </w:p>
        </w:tc>
      </w:tr>
      <w:tr>
        <w:trPr>
          <w:trHeight w:val="240"/>
        </w:trPr>
        <w:tc>
          <w:tcPr>
            <w:tcW w:w="3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lease assets</w:t>
            </w:r>
          </w:p>
        </w:tc>
        <w:tc>
          <w:tcPr>
            <w:tcW w:w="67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28,634</w:t>
            </w:r>
          </w:p>
        </w:tc>
      </w:tr>
      <w:tr>
        <w:trPr>
          <w:trHeight w:val="20"/>
        </w:trPr>
        <w:tc>
          <w:tcPr>
            <w:tcW w:w="30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54"/>
        </w:trPr>
        <w:tc>
          <w:tcPr>
            <w:tcW w:w="304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67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0"/>
        </w:trPr>
        <w:tc>
          <w:tcPr>
            <w:tcW w:w="3040" w:type="dxa"/>
            <w:vAlign w:val="bottom"/>
          </w:tcPr>
          <w:p>
            <w:pPr>
              <w:ind w:left="40"/>
              <w:spacing w:after="0"/>
              <w:rPr>
                <w:sz w:val="20"/>
                <w:szCs w:val="20"/>
                <w:color w:val="auto"/>
              </w:rPr>
            </w:pPr>
            <w:r>
              <w:rPr>
                <w:rFonts w:ascii="Arial" w:cs="Arial" w:eastAsia="Arial" w:hAnsi="Arial"/>
                <w:sz w:val="16"/>
                <w:szCs w:val="16"/>
                <w:color w:val="auto"/>
              </w:rPr>
              <w:t>Current</w:t>
            </w:r>
          </w:p>
        </w:tc>
        <w:tc>
          <w:tcPr>
            <w:tcW w:w="6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53"/>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w:t>
            </w:r>
          </w:p>
        </w:tc>
        <w:tc>
          <w:tcPr>
            <w:tcW w:w="67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6,937</w:t>
            </w:r>
          </w:p>
        </w:tc>
      </w:tr>
      <w:tr>
        <w:trPr>
          <w:trHeight w:val="233"/>
        </w:trPr>
        <w:tc>
          <w:tcPr>
            <w:tcW w:w="3040" w:type="dxa"/>
            <w:vAlign w:val="bottom"/>
          </w:tcPr>
          <w:p>
            <w:pPr>
              <w:ind w:left="180"/>
              <w:spacing w:after="0"/>
              <w:rPr>
                <w:sz w:val="20"/>
                <w:szCs w:val="20"/>
                <w:color w:val="auto"/>
              </w:rPr>
            </w:pPr>
            <w:r>
              <w:rPr>
                <w:rFonts w:ascii="Arial" w:cs="Arial" w:eastAsia="Arial" w:hAnsi="Arial"/>
                <w:sz w:val="16"/>
                <w:szCs w:val="16"/>
                <w:color w:val="auto"/>
              </w:rPr>
              <w:t>Finance</w:t>
            </w:r>
          </w:p>
        </w:tc>
        <w:tc>
          <w:tcPr>
            <w:tcW w:w="6780" w:type="dxa"/>
            <w:vAlign w:val="bottom"/>
          </w:tcPr>
          <w:p>
            <w:pPr>
              <w:ind w:left="12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528</w:t>
            </w:r>
          </w:p>
        </w:tc>
      </w:tr>
      <w:tr>
        <w:trPr>
          <w:trHeight w:val="280"/>
        </w:trPr>
        <w:tc>
          <w:tcPr>
            <w:tcW w:w="3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6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33"/>
        </w:trPr>
        <w:tc>
          <w:tcPr>
            <w:tcW w:w="3040" w:type="dxa"/>
            <w:vAlign w:val="bottom"/>
          </w:tcPr>
          <w:p>
            <w:pPr>
              <w:ind w:left="180"/>
              <w:spacing w:after="0"/>
              <w:rPr>
                <w:sz w:val="20"/>
                <w:szCs w:val="20"/>
                <w:color w:val="auto"/>
              </w:rPr>
            </w:pPr>
            <w:r>
              <w:rPr>
                <w:rFonts w:ascii="Arial" w:cs="Arial" w:eastAsia="Arial" w:hAnsi="Arial"/>
                <w:sz w:val="16"/>
                <w:szCs w:val="16"/>
                <w:color w:val="auto"/>
              </w:rPr>
              <w:t>Operating</w:t>
            </w:r>
          </w:p>
        </w:tc>
        <w:tc>
          <w:tcPr>
            <w:tcW w:w="6780" w:type="dxa"/>
            <w:vAlign w:val="bottom"/>
          </w:tcPr>
          <w:p>
            <w:pPr>
              <w:ind w:left="1220"/>
              <w:spacing w:after="0"/>
              <w:rPr>
                <w:sz w:val="20"/>
                <w:szCs w:val="20"/>
                <w:color w:val="auto"/>
              </w:rPr>
            </w:pPr>
            <w:r>
              <w:rPr>
                <w:rFonts w:ascii="Arial" w:cs="Arial" w:eastAsia="Arial" w:hAnsi="Arial"/>
                <w:sz w:val="16"/>
                <w:szCs w:val="16"/>
                <w:color w:val="auto"/>
              </w:rPr>
              <w:t>Operating lease liabilities, noncurrent</w:t>
            </w: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30,696</w:t>
            </w:r>
          </w:p>
        </w:tc>
      </w:tr>
      <w:tr>
        <w:trPr>
          <w:trHeight w:val="246"/>
        </w:trPr>
        <w:tc>
          <w:tcPr>
            <w:tcW w:w="3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w:t>
            </w:r>
          </w:p>
        </w:tc>
        <w:tc>
          <w:tcPr>
            <w:tcW w:w="678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r>
      <w:tr>
        <w:trPr>
          <w:trHeight w:val="240"/>
        </w:trPr>
        <w:tc>
          <w:tcPr>
            <w:tcW w:w="3040" w:type="dxa"/>
            <w:vAlign w:val="bottom"/>
          </w:tcPr>
          <w:p>
            <w:pPr>
              <w:ind w:left="280"/>
              <w:spacing w:after="0"/>
              <w:rPr>
                <w:sz w:val="20"/>
                <w:szCs w:val="20"/>
                <w:color w:val="auto"/>
              </w:rPr>
            </w:pPr>
            <w:r>
              <w:rPr>
                <w:rFonts w:ascii="Arial" w:cs="Arial" w:eastAsia="Arial" w:hAnsi="Arial"/>
                <w:sz w:val="16"/>
                <w:szCs w:val="16"/>
                <w:color w:val="auto"/>
              </w:rPr>
              <w:t>Total lease liabilities</w:t>
            </w:r>
          </w:p>
        </w:tc>
        <w:tc>
          <w:tcPr>
            <w:tcW w:w="67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38,246</w:t>
            </w:r>
          </w:p>
        </w:tc>
      </w:tr>
      <w:tr>
        <w:trPr>
          <w:trHeight w:val="20"/>
        </w:trPr>
        <w:tc>
          <w:tcPr>
            <w:tcW w:w="30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2028. In January 2018, the Company entered into a $3.5 million financing arrangement for data center storage equipment, accounted for as a finance lease, with an implied interest rate of 5%.</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September 30, 2019</w:t>
      </w:r>
      <w:r>
        <w:rPr>
          <w:rFonts w:ascii="Arial" w:cs="Arial" w:eastAsia="Arial" w:hAnsi="Arial"/>
          <w:sz w:val="18"/>
          <w:szCs w:val="18"/>
          <w:color w:val="231F20"/>
        </w:rPr>
        <w:t xml:space="preserve">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6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8"/>
              </w:rPr>
              <w:t>Finance Leases</w:t>
            </w:r>
          </w:p>
        </w:tc>
      </w:tr>
      <w:tr>
        <w:trPr>
          <w:trHeight w:val="237"/>
        </w:trPr>
        <w:tc>
          <w:tcPr>
            <w:tcW w:w="8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60" w:type="dxa"/>
            <w:vAlign w:val="bottom"/>
            <w:gridSpan w:val="3"/>
          </w:tcPr>
          <w:p>
            <w:pPr>
              <w:jc w:val="right"/>
              <w:ind w:right="81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8460" w:type="dxa"/>
            <w:vAlign w:val="bottom"/>
          </w:tcPr>
          <w:p>
            <w:pPr>
              <w:ind w:left="40"/>
              <w:spacing w:after="0"/>
              <w:rPr>
                <w:sz w:val="20"/>
                <w:szCs w:val="20"/>
                <w:color w:val="auto"/>
              </w:rPr>
            </w:pPr>
            <w:r>
              <w:rPr>
                <w:rFonts w:ascii="Arial" w:cs="Arial" w:eastAsia="Arial" w:hAnsi="Arial"/>
                <w:sz w:val="16"/>
                <w:szCs w:val="16"/>
                <w:color w:val="auto"/>
              </w:rPr>
              <w:t>2019 (remaining three months)</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2,292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443</w:t>
            </w:r>
          </w:p>
        </w:tc>
      </w:tr>
      <w:tr>
        <w:trPr>
          <w:trHeight w:val="253"/>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8,037</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r>
      <w:tr>
        <w:trPr>
          <w:trHeight w:val="233"/>
        </w:trPr>
        <w:tc>
          <w:tcPr>
            <w:tcW w:w="8460" w:type="dxa"/>
            <w:vAlign w:val="bottom"/>
          </w:tcPr>
          <w:p>
            <w:pPr>
              <w:ind w:left="40"/>
              <w:spacing w:after="0"/>
              <w:rPr>
                <w:sz w:val="20"/>
                <w:szCs w:val="20"/>
                <w:color w:val="auto"/>
              </w:rPr>
            </w:pPr>
            <w:r>
              <w:rPr>
                <w:rFonts w:ascii="Arial" w:cs="Arial" w:eastAsia="Arial" w:hAnsi="Arial"/>
                <w:sz w:val="16"/>
                <w:szCs w:val="16"/>
                <w:color w:val="auto"/>
              </w:rPr>
              <w:t>2021</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6,530</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53"/>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4,657</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8460" w:type="dxa"/>
            <w:vAlign w:val="bottom"/>
          </w:tcPr>
          <w:p>
            <w:pPr>
              <w:ind w:left="40"/>
              <w:spacing w:after="0"/>
              <w:rPr>
                <w:sz w:val="20"/>
                <w:szCs w:val="20"/>
                <w:color w:val="auto"/>
              </w:rPr>
            </w:pPr>
            <w:r>
              <w:rPr>
                <w:rFonts w:ascii="Arial" w:cs="Arial" w:eastAsia="Arial" w:hAnsi="Arial"/>
                <w:sz w:val="16"/>
                <w:szCs w:val="16"/>
                <w:color w:val="auto"/>
              </w:rPr>
              <w:t>2023</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4,298</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46"/>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 and thereafter</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19,299</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3"/>
        </w:trPr>
        <w:tc>
          <w:tcPr>
            <w:tcW w:w="8460" w:type="dxa"/>
            <w:vAlign w:val="bottom"/>
          </w:tcPr>
          <w:p>
            <w:pPr>
              <w:ind w:left="40"/>
              <w:spacing w:after="0"/>
              <w:rPr>
                <w:sz w:val="20"/>
                <w:szCs w:val="20"/>
                <w:color w:val="auto"/>
              </w:rPr>
            </w:pPr>
            <w:r>
              <w:rPr>
                <w:rFonts w:ascii="Arial" w:cs="Arial" w:eastAsia="Arial" w:hAnsi="Arial"/>
                <w:sz w:val="16"/>
                <w:szCs w:val="16"/>
                <w:color w:val="auto"/>
              </w:rPr>
              <w:t>Total minimum lease payments</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45,113</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627</w:t>
            </w:r>
          </w:p>
        </w:tc>
      </w:tr>
      <w:tr>
        <w:trPr>
          <w:trHeight w:val="246"/>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amount representing interest</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(7,480)</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8460" w:type="dxa"/>
            <w:vAlign w:val="bottom"/>
          </w:tcPr>
          <w:p>
            <w:pPr>
              <w:ind w:left="40"/>
              <w:spacing w:after="0"/>
              <w:rPr>
                <w:sz w:val="20"/>
                <w:szCs w:val="20"/>
                <w:color w:val="auto"/>
              </w:rPr>
            </w:pPr>
            <w:r>
              <w:rPr>
                <w:rFonts w:ascii="Arial" w:cs="Arial" w:eastAsia="Arial" w:hAnsi="Arial"/>
                <w:sz w:val="16"/>
                <w:szCs w:val="16"/>
                <w:color w:val="auto"/>
              </w:rPr>
              <w:t>Present value of minimum payments</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37,633</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613</w:t>
            </w:r>
          </w:p>
        </w:tc>
      </w:tr>
      <w:tr>
        <w:trPr>
          <w:trHeight w:val="246"/>
        </w:trPr>
        <w:tc>
          <w:tcPr>
            <w:tcW w:w="8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(6,937)</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w:t>
            </w:r>
          </w:p>
        </w:tc>
      </w:tr>
      <w:tr>
        <w:trPr>
          <w:trHeight w:val="240"/>
        </w:trPr>
        <w:tc>
          <w:tcPr>
            <w:tcW w:w="8460" w:type="dxa"/>
            <w:vAlign w:val="bottom"/>
          </w:tcPr>
          <w:p>
            <w:pPr>
              <w:ind w:left="40"/>
              <w:spacing w:after="0"/>
              <w:rPr>
                <w:sz w:val="20"/>
                <w:szCs w:val="20"/>
                <w:color w:val="auto"/>
              </w:rPr>
            </w:pPr>
            <w:r>
              <w:rPr>
                <w:rFonts w:ascii="Arial" w:cs="Arial" w:eastAsia="Arial" w:hAnsi="Arial"/>
                <w:sz w:val="16"/>
                <w:szCs w:val="16"/>
                <w:color w:val="auto"/>
              </w:rPr>
              <w:t>Lease obligations, noncurrent</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30,696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w:t>
            </w:r>
          </w:p>
        </w:tc>
      </w:tr>
      <w:tr>
        <w:trPr>
          <w:trHeight w:val="20"/>
        </w:trPr>
        <w:tc>
          <w:tcPr>
            <w:tcW w:w="8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 xml:space="preserve">Lease expense was $1.8 million and $1.4 million for the </w:t>
      </w:r>
      <w:r>
        <w:rPr>
          <w:rFonts w:ascii="Arial" w:cs="Arial" w:eastAsia="Arial" w:hAnsi="Arial"/>
          <w:sz w:val="18"/>
          <w:szCs w:val="18"/>
          <w:color w:val="000000"/>
        </w:rPr>
        <w:t>three months ended September 30, 2019</w:t>
      </w:r>
      <w:r>
        <w:rPr>
          <w:rFonts w:ascii="Arial" w:cs="Arial" w:eastAsia="Arial" w:hAnsi="Arial"/>
          <w:sz w:val="18"/>
          <w:szCs w:val="18"/>
          <w:color w:val="231F20"/>
        </w:rPr>
        <w:t xml:space="preserve"> and </w:t>
      </w:r>
      <w:r>
        <w:rPr>
          <w:rFonts w:ascii="Arial" w:cs="Arial" w:eastAsia="Arial" w:hAnsi="Arial"/>
          <w:sz w:val="18"/>
          <w:szCs w:val="18"/>
          <w:color w:val="000000"/>
        </w:rPr>
        <w:t>2018</w:t>
      </w:r>
      <w:r>
        <w:rPr>
          <w:rFonts w:ascii="Arial" w:cs="Arial" w:eastAsia="Arial" w:hAnsi="Arial"/>
          <w:sz w:val="18"/>
          <w:szCs w:val="18"/>
          <w:color w:val="231F20"/>
        </w:rPr>
        <w:t xml:space="preserve">, respectively, and $5.3 million and $3.9 million for the nine months ended </w:t>
      </w:r>
      <w:r>
        <w:rPr>
          <w:rFonts w:ascii="Arial" w:cs="Arial" w:eastAsia="Arial" w:hAnsi="Arial"/>
          <w:sz w:val="18"/>
          <w:szCs w:val="18"/>
          <w:color w:val="000000"/>
        </w:rPr>
        <w:t>September 30, 2019</w:t>
      </w:r>
      <w:r>
        <w:rPr>
          <w:rFonts w:ascii="Arial" w:cs="Arial" w:eastAsia="Arial" w:hAnsi="Arial"/>
          <w:sz w:val="18"/>
          <w:szCs w:val="18"/>
          <w:color w:val="231F20"/>
        </w:rPr>
        <w:t xml:space="preserve"> and </w:t>
      </w:r>
      <w:r>
        <w:rPr>
          <w:rFonts w:ascii="Arial" w:cs="Arial" w:eastAsia="Arial" w:hAnsi="Arial"/>
          <w:sz w:val="18"/>
          <w:szCs w:val="18"/>
          <w:color w:val="000000"/>
        </w:rPr>
        <w:t>2018</w:t>
      </w:r>
      <w:r>
        <w:rPr>
          <w:rFonts w:ascii="Arial" w:cs="Arial" w:eastAsia="Arial" w:hAnsi="Arial"/>
          <w:sz w:val="18"/>
          <w:szCs w:val="18"/>
          <w:color w:val="231F20"/>
        </w:rPr>
        <w:t>, respectively.</w:t>
      </w:r>
    </w:p>
    <w:p>
      <w:pPr>
        <w:spacing w:after="0" w:line="15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weighted average remaining lease term and the weighted average discount rate of our leases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September 30, 2019</w:t>
            </w:r>
          </w:p>
        </w:tc>
      </w:tr>
      <w:tr>
        <w:trPr>
          <w:trHeight w:val="270"/>
        </w:trPr>
        <w:tc>
          <w:tcPr>
            <w:tcW w:w="92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remaining lease term (years)</w:t>
            </w:r>
          </w:p>
        </w:tc>
        <w:tc>
          <w:tcPr>
            <w:tcW w:w="2220" w:type="dxa"/>
            <w:vAlign w:val="bottom"/>
            <w:shd w:val="clear" w:color="auto" w:fill="CCEEFF"/>
          </w:tcPr>
          <w:p>
            <w:pPr>
              <w:spacing w:after="0"/>
              <w:rPr>
                <w:sz w:val="23"/>
                <w:szCs w:val="23"/>
                <w:color w:val="auto"/>
              </w:rPr>
            </w:pPr>
          </w:p>
        </w:tc>
      </w:tr>
      <w:tr>
        <w:trPr>
          <w:trHeight w:val="233"/>
        </w:trPr>
        <w:tc>
          <w:tcPr>
            <w:tcW w:w="9200" w:type="dxa"/>
            <w:vAlign w:val="bottom"/>
          </w:tcPr>
          <w:p>
            <w:pPr>
              <w:ind w:left="180"/>
              <w:spacing w:after="0"/>
              <w:rPr>
                <w:sz w:val="20"/>
                <w:szCs w:val="20"/>
                <w:color w:val="auto"/>
              </w:rPr>
            </w:pPr>
            <w:r>
              <w:rPr>
                <w:rFonts w:ascii="Arial" w:cs="Arial" w:eastAsia="Arial" w:hAnsi="Arial"/>
                <w:sz w:val="16"/>
                <w:szCs w:val="16"/>
                <w:color w:val="auto"/>
              </w:rPr>
              <w:t>Operating leases</w:t>
            </w:r>
          </w:p>
        </w:tc>
        <w:tc>
          <w:tcPr>
            <w:tcW w:w="2220" w:type="dxa"/>
            <w:vAlign w:val="bottom"/>
          </w:tcPr>
          <w:p>
            <w:pPr>
              <w:ind w:left="1820"/>
              <w:spacing w:after="0"/>
              <w:rPr>
                <w:sz w:val="20"/>
                <w:szCs w:val="20"/>
                <w:color w:val="auto"/>
              </w:rPr>
            </w:pPr>
            <w:r>
              <w:rPr>
                <w:rFonts w:ascii="Arial" w:cs="Arial" w:eastAsia="Arial" w:hAnsi="Arial"/>
                <w:sz w:val="16"/>
                <w:szCs w:val="16"/>
                <w:color w:val="auto"/>
              </w:rPr>
              <w:t>7.1</w:t>
            </w:r>
          </w:p>
        </w:tc>
      </w:tr>
      <w:tr>
        <w:trPr>
          <w:trHeight w:val="253"/>
        </w:trPr>
        <w:tc>
          <w:tcPr>
            <w:tcW w:w="9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22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0.8</w:t>
            </w:r>
          </w:p>
        </w:tc>
      </w:tr>
      <w:tr>
        <w:trPr>
          <w:trHeight w:val="260"/>
        </w:trPr>
        <w:tc>
          <w:tcPr>
            <w:tcW w:w="9200" w:type="dxa"/>
            <w:vAlign w:val="bottom"/>
          </w:tcPr>
          <w:p>
            <w:pPr>
              <w:ind w:left="40"/>
              <w:spacing w:after="0"/>
              <w:rPr>
                <w:sz w:val="20"/>
                <w:szCs w:val="20"/>
                <w:color w:val="auto"/>
              </w:rPr>
            </w:pPr>
            <w:r>
              <w:rPr>
                <w:rFonts w:ascii="Arial" w:cs="Arial" w:eastAsia="Arial" w:hAnsi="Arial"/>
                <w:sz w:val="16"/>
                <w:szCs w:val="16"/>
                <w:b w:val="1"/>
                <w:bCs w:val="1"/>
                <w:color w:val="auto"/>
              </w:rPr>
              <w:t>Weighted average discount rates</w:t>
            </w:r>
          </w:p>
        </w:tc>
        <w:tc>
          <w:tcPr>
            <w:tcW w:w="2220" w:type="dxa"/>
            <w:vAlign w:val="bottom"/>
          </w:tcPr>
          <w:p>
            <w:pPr>
              <w:spacing w:after="0"/>
              <w:rPr>
                <w:sz w:val="22"/>
                <w:szCs w:val="22"/>
                <w:color w:val="auto"/>
              </w:rPr>
            </w:pPr>
          </w:p>
        </w:tc>
      </w:tr>
      <w:tr>
        <w:trPr>
          <w:trHeight w:val="253"/>
        </w:trPr>
        <w:tc>
          <w:tcPr>
            <w:tcW w:w="92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leases</w:t>
            </w:r>
          </w:p>
        </w:tc>
        <w:tc>
          <w:tcPr>
            <w:tcW w:w="2220" w:type="dxa"/>
            <w:vAlign w:val="bottom"/>
            <w:shd w:val="clear" w:color="auto" w:fill="CCEEFF"/>
          </w:tcPr>
          <w:p>
            <w:pPr>
              <w:ind w:left="1820"/>
              <w:spacing w:after="0"/>
              <w:rPr>
                <w:sz w:val="20"/>
                <w:szCs w:val="20"/>
                <w:color w:val="auto"/>
              </w:rPr>
            </w:pPr>
            <w:r>
              <w:rPr>
                <w:rFonts w:ascii="Arial" w:cs="Arial" w:eastAsia="Arial" w:hAnsi="Arial"/>
                <w:sz w:val="16"/>
                <w:szCs w:val="16"/>
                <w:color w:val="auto"/>
              </w:rPr>
              <w:t>4.6%</w:t>
            </w:r>
          </w:p>
        </w:tc>
      </w:tr>
      <w:tr>
        <w:trPr>
          <w:trHeight w:val="224"/>
        </w:trPr>
        <w:tc>
          <w:tcPr>
            <w:tcW w:w="9200" w:type="dxa"/>
            <w:vAlign w:val="bottom"/>
          </w:tcPr>
          <w:p>
            <w:pPr>
              <w:ind w:left="180"/>
              <w:spacing w:after="0"/>
              <w:rPr>
                <w:sz w:val="20"/>
                <w:szCs w:val="20"/>
                <w:color w:val="auto"/>
              </w:rPr>
            </w:pPr>
            <w:r>
              <w:rPr>
                <w:rFonts w:ascii="Arial" w:cs="Arial" w:eastAsia="Arial" w:hAnsi="Arial"/>
                <w:sz w:val="16"/>
                <w:szCs w:val="16"/>
                <w:color w:val="auto"/>
              </w:rPr>
              <w:t>Finance leases</w:t>
            </w:r>
          </w:p>
        </w:tc>
        <w:tc>
          <w:tcPr>
            <w:tcW w:w="2220" w:type="dxa"/>
            <w:vAlign w:val="bottom"/>
          </w:tcPr>
          <w:p>
            <w:pPr>
              <w:ind w:left="1820"/>
              <w:spacing w:after="0"/>
              <w:rPr>
                <w:sz w:val="20"/>
                <w:szCs w:val="20"/>
                <w:color w:val="auto"/>
              </w:rPr>
            </w:pPr>
            <w:r>
              <w:rPr>
                <w:rFonts w:ascii="Arial" w:cs="Arial" w:eastAsia="Arial" w:hAnsi="Arial"/>
                <w:sz w:val="16"/>
                <w:szCs w:val="16"/>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Commitments and Contingencies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as potential damages caused by limited product defects. To date, the Company has not incurred and has not recorded any liability in connection with such indemnifications.</w:t>
      </w:r>
    </w:p>
    <w:p>
      <w:pPr>
        <w:spacing w:after="0" w:line="19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11.8 million shares of common stock as of September 30, 2019. Options may be granted with an exercise price that is at least equal to the fair market value of the Company's stock at the date of grant and are exercisable when vested. As of September 30, 2019, 5.5 million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The following table shows a summary of the stock-based compensation expense included in the condensed consolidated statements of operations for the three and nine months ended September 30, 2019 and 2018:</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22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5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1,888</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2,831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1,937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7,875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5,754</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1,459</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3,669</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3,516</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12,024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11,361</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8,383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6,758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22,672</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2019</w:t>
      </w:r>
      <w:r>
        <w:rPr>
          <w:rFonts w:ascii="Arial" w:cs="Arial" w:eastAsia="Arial" w:hAnsi="Arial"/>
          <w:sz w:val="18"/>
          <w:szCs w:val="18"/>
          <w:color w:val="231F20"/>
        </w:rPr>
        <w:t xml:space="preserve">, the Company had $12.6 million of total unrecognized stock-based compensation cost related to unvested options that it expects to recognize over a weighted-average period of 2.2 years, and $46.3 million </w:t>
      </w:r>
      <w:r>
        <w:rPr>
          <w:rFonts w:ascii="Arial" w:cs="Arial" w:eastAsia="Arial" w:hAnsi="Arial"/>
          <w:sz w:val="18"/>
          <w:szCs w:val="18"/>
          <w:color w:val="000000"/>
        </w:rPr>
        <w:t>of unrecognized stock-based compensation</w:t>
      </w:r>
      <w:r>
        <w:rPr>
          <w:rFonts w:ascii="Arial" w:cs="Arial" w:eastAsia="Arial" w:hAnsi="Arial"/>
          <w:sz w:val="18"/>
          <w:szCs w:val="18"/>
          <w:color w:val="231F20"/>
        </w:rPr>
        <w:t xml:space="preserve"> </w:t>
      </w:r>
      <w:r>
        <w:rPr>
          <w:rFonts w:ascii="Arial" w:cs="Arial" w:eastAsia="Arial" w:hAnsi="Arial"/>
          <w:sz w:val="18"/>
          <w:szCs w:val="18"/>
          <w:color w:val="000000"/>
        </w:rPr>
        <w:t xml:space="preserve">cost related to unvested RSUs that it expects to recognize over a weighted-average period of 2.3 years. </w:t>
      </w:r>
      <w:r>
        <w:rPr>
          <w:rFonts w:ascii="Arial" w:cs="Arial" w:eastAsia="Arial" w:hAnsi="Arial"/>
          <w:sz w:val="18"/>
          <w:szCs w:val="18"/>
          <w:color w:val="231F20"/>
        </w:rPr>
        <w:t>Compensation cost is recognized over</w:t>
      </w:r>
      <w:r>
        <w:rPr>
          <w:rFonts w:ascii="Arial" w:cs="Arial" w:eastAsia="Arial" w:hAnsi="Arial"/>
          <w:sz w:val="18"/>
          <w:szCs w:val="18"/>
          <w:color w:val="000000"/>
        </w:rPr>
        <w:t xml:space="preserve"> </w:t>
      </w:r>
      <w:r>
        <w:rPr>
          <w:rFonts w:ascii="Arial" w:cs="Arial" w:eastAsia="Arial" w:hAnsi="Arial"/>
          <w:sz w:val="18"/>
          <w:szCs w:val="18"/>
          <w:color w:val="231F20"/>
        </w:rPr>
        <w:t>the service period. Forfeitures are estimated at the time of grant and revised, if necessary, in subsequent periods if actual forfeitures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 Plan Activity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Aggregate</w:t>
            </w:r>
          </w:p>
        </w:tc>
      </w:tr>
      <w:tr>
        <w:trPr>
          <w:trHeight w:val="228"/>
        </w:trPr>
        <w:tc>
          <w:tcPr>
            <w:tcW w:w="5260" w:type="dxa"/>
            <w:vAlign w:val="bottom"/>
          </w:tcPr>
          <w:p>
            <w:pPr>
              <w:spacing w:after="0"/>
              <w:rPr>
                <w:sz w:val="19"/>
                <w:szCs w:val="19"/>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60" w:type="dxa"/>
            <w:vAlign w:val="bottom"/>
          </w:tcPr>
          <w:p>
            <w:pPr>
              <w:spacing w:after="0"/>
              <w:rPr>
                <w:sz w:val="19"/>
                <w:szCs w:val="19"/>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Intrinsic Value</w:t>
            </w:r>
          </w:p>
        </w:tc>
      </w:tr>
      <w:tr>
        <w:trPr>
          <w:trHeight w:val="260"/>
        </w:trPr>
        <w:tc>
          <w:tcPr>
            <w:tcW w:w="526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3,429,309</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31.79</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149,935</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260,175</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90.72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(412,910)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26.67</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(120,799)</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67.98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September 30, 2019</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3,155,775</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130,529</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Vested and expected to vest - September 30, 2019</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3,010,578</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33.96</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129,358</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September 30, 2019</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2,464,112</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27.60</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118,835</w:t>
            </w:r>
          </w:p>
        </w:tc>
      </w:tr>
    </w:tbl>
    <w:p>
      <w:pPr>
        <w:spacing w:after="0" w:line="39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RSU activity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8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83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Outstanding RSUs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Value Per Share</w:t>
            </w:r>
          </w:p>
        </w:tc>
      </w:tr>
      <w:tr>
        <w:trPr>
          <w:trHeight w:val="284"/>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1,226,883</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55.71</w:t>
            </w: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233,088</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83.41</w:t>
            </w: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(329,561)</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52.92</w:t>
            </w: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(128,132)</w:t>
            </w:r>
          </w:p>
        </w:tc>
        <w:tc>
          <w:tcPr>
            <w:tcW w:w="22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63.04</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September 30, 2019</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1,002,278</w:t>
            </w:r>
          </w:p>
        </w:tc>
        <w:tc>
          <w:tcPr>
            <w:tcW w:w="2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7"/>
        </w:trPr>
        <w:tc>
          <w:tcPr>
            <w:tcW w:w="8340" w:type="dxa"/>
            <w:vAlign w:val="bottom"/>
          </w:tcPr>
          <w:p>
            <w:pPr>
              <w:ind w:left="40"/>
              <w:spacing w:after="0"/>
              <w:rPr>
                <w:sz w:val="20"/>
                <w:szCs w:val="20"/>
                <w:color w:val="auto"/>
              </w:rPr>
            </w:pPr>
            <w:r>
              <w:rPr>
                <w:rFonts w:ascii="Arial" w:cs="Arial" w:eastAsia="Arial" w:hAnsi="Arial"/>
                <w:sz w:val="16"/>
                <w:szCs w:val="16"/>
                <w:color w:val="auto"/>
              </w:rPr>
              <w:t>Outstanding and expected to vest - September 30, 2019</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763,526</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60.77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4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50"/>
        </w:trPr>
        <w:tc>
          <w:tcPr>
            <w:tcW w:w="5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4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19,174</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23,469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48,672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42,904</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39,014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39,170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38,907</w:t>
            </w:r>
          </w:p>
        </w:tc>
      </w:tr>
      <w:tr>
        <w:trPr>
          <w:trHeight w:val="260"/>
        </w:trPr>
        <w:tc>
          <w:tcPr>
            <w:tcW w:w="5260" w:type="dxa"/>
            <w:vAlign w:val="bottom"/>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Common stock options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2,555</w:t>
            </w:r>
          </w:p>
        </w:tc>
      </w:tr>
      <w:tr>
        <w:trPr>
          <w:trHeight w:val="264"/>
        </w:trPr>
        <w:tc>
          <w:tcPr>
            <w:tcW w:w="526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Restricted stock units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365</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651</w:t>
            </w:r>
          </w:p>
        </w:tc>
      </w:tr>
      <w:tr>
        <w:trPr>
          <w:trHeight w:val="257"/>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41,162</w:t>
            </w: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42,197</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41,447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42,113</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Net income per share:</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63"/>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0.60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5260" w:type="dxa"/>
            <w:vAlign w:val="bottom"/>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0.47</w:t>
            </w:r>
          </w:p>
        </w:tc>
        <w:tc>
          <w:tcPr>
            <w:tcW w:w="12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68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rPr>
              <w:t>Three Months Ended</w:t>
            </w:r>
          </w:p>
        </w:tc>
        <w:tc>
          <w:tcPr>
            <w:tcW w:w="24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216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15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5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gridSpan w:val="3"/>
          </w:tcPr>
          <w:p>
            <w:pPr>
              <w:ind w:left="38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Restricted stock units</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r>
      <w:tr>
        <w:trPr>
          <w:trHeight w:val="237"/>
        </w:trPr>
        <w:tc>
          <w:tcPr>
            <w:tcW w:w="52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Share Repurchase Program</w:t>
      </w:r>
    </w:p>
    <w:p>
      <w:pPr>
        <w:spacing w:after="0" w:line="19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February 5, 2018, the Company's board of directors authorized a $ 100.0 million share repurchase program, which was announced on February 12, 2018. On October 30, 2018, the Company announced that the board of directors had authorized an increase of $100.0 million to the original share repurchase program authorization. On October 24, 2019, the Company's Board of Directors authorized an additional $100.0 million to the original share repurchase program authorization. Share repurchases may be effected from time to time through open market purchases or pursuant to a Rule 10b5-1 plan until October 30, 2020. Repurchased shares are retired and reclassified as authorized and unissued shares of common stock. On retirement of the repurchased shares, common stock is reduced by an amount equal to the number of shares being retired multiplied by the par value. The excess of the cost of treasury stock that is retired over its par value is first allocated as a reduction to additional paid-in capital based on the initial public offering price of the stock, with the remaining excess to retained earnings.</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31F20"/>
        </w:rPr>
        <w:t>nine months ended September 30, 2019</w:t>
      </w:r>
      <w:r>
        <w:rPr>
          <w:rFonts w:ascii="Arial" w:cs="Arial" w:eastAsia="Arial" w:hAnsi="Arial"/>
          <w:sz w:val="18"/>
          <w:szCs w:val="18"/>
          <w:color w:val="auto"/>
        </w:rPr>
        <w:t>, the Company repurchased 881,455 shares of its common stock for approximately $73.9 million. All share repurchases were made using cash resources. As of September 30, 2019, approximately $41.1 million remained available for share repurchases pursuant to the share repurchase program.</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12.Income Taxes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Company's provision for income taxes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and tax law developments. The Company's estimated effective tax rate for the year differs from the U.S. statutory rate of 21% primarily due to non-deductible stock-based compensation expense, state taxes, foreign income subject to different tax rates than the U.S., and the benefit of U.S. federal income tax credits.</w:t>
      </w:r>
    </w:p>
    <w:p>
      <w:pPr>
        <w:spacing w:after="0" w:line="30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The Company recorded an income tax provision of $5.2 million and income tax benefit of $4.2 million for the three months ended September 30, 2019 and 2018, respectively, resulting in an effective </w:t>
      </w:r>
      <w:r>
        <w:rPr>
          <w:rFonts w:ascii="Arial" w:cs="Arial" w:eastAsia="Arial" w:hAnsi="Arial"/>
          <w:sz w:val="18"/>
          <w:szCs w:val="18"/>
          <w:color w:val="231F20"/>
        </w:rPr>
        <w:t>tax rate of 21.2% and (22.1)%, respectively. The tax provision for the</w:t>
      </w:r>
      <w:r>
        <w:rPr>
          <w:rFonts w:ascii="Arial" w:cs="Arial" w:eastAsia="Arial" w:hAnsi="Arial"/>
          <w:sz w:val="18"/>
          <w:szCs w:val="18"/>
          <w:color w:val="auto"/>
        </w:rPr>
        <w:t xml:space="preserve"> three months ended September 30, 2019 </w:t>
      </w:r>
      <w:r>
        <w:rPr>
          <w:rFonts w:ascii="Arial" w:cs="Arial" w:eastAsia="Arial" w:hAnsi="Arial"/>
          <w:sz w:val="18"/>
          <w:szCs w:val="18"/>
          <w:color w:val="231F20"/>
        </w:rPr>
        <w:t>as compared to the tax</w:t>
      </w:r>
      <w:r>
        <w:rPr>
          <w:rFonts w:ascii="Arial" w:cs="Arial" w:eastAsia="Arial" w:hAnsi="Arial"/>
          <w:sz w:val="18"/>
          <w:szCs w:val="18"/>
          <w:color w:val="auto"/>
        </w:rPr>
        <w:t xml:space="preserve"> benefit </w:t>
      </w:r>
      <w:r>
        <w:rPr>
          <w:rFonts w:ascii="Arial" w:cs="Arial" w:eastAsia="Arial" w:hAnsi="Arial"/>
          <w:sz w:val="18"/>
          <w:szCs w:val="18"/>
          <w:color w:val="231F20"/>
        </w:rPr>
        <w:t>for the three months ended September 30, 2018</w:t>
      </w:r>
      <w:r>
        <w:rPr>
          <w:rFonts w:ascii="Arial" w:cs="Arial" w:eastAsia="Arial" w:hAnsi="Arial"/>
          <w:sz w:val="18"/>
          <w:szCs w:val="18"/>
          <w:color w:val="auto"/>
        </w:rPr>
        <w:t xml:space="preserve"> changed primarily due to an increase in pre-tax income and decrease in excess tax benefits from stock-based compensation in the current period.</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recorded an income tax provision of $10.0 million and income tax benefit of $2.2 million for the nine months ended September 30, 2019 and 2018, respectively, resulting in an effective tax rate of 17.1% and (5.5)%, respectively. The tax provision for the nine months ended September 30, 2019 as compared to the tax benefit for the nine months ended September 30, 2018 changed primarily due to an increase in pre-tax income and decrease in excess tax benefits from stock-based compensation in the current period.</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2019</w:t>
      </w:r>
      <w:r>
        <w:rPr>
          <w:rFonts w:ascii="Arial" w:cs="Arial" w:eastAsia="Arial" w:hAnsi="Arial"/>
          <w:sz w:val="18"/>
          <w:szCs w:val="18"/>
          <w:color w:val="231F20"/>
        </w:rPr>
        <w:t xml:space="preserve">, the Company had unrecognized tax benefits of </w:t>
      </w:r>
      <w:r>
        <w:rPr>
          <w:rFonts w:ascii="Arial" w:cs="Arial" w:eastAsia="Arial" w:hAnsi="Arial"/>
          <w:sz w:val="18"/>
          <w:szCs w:val="18"/>
          <w:color w:val="000000"/>
        </w:rPr>
        <w:t>$8.0 million</w:t>
      </w:r>
      <w:r>
        <w:rPr>
          <w:rFonts w:ascii="Arial" w:cs="Arial" w:eastAsia="Arial" w:hAnsi="Arial"/>
          <w:sz w:val="18"/>
          <w:szCs w:val="18"/>
          <w:color w:val="231F20"/>
        </w:rPr>
        <w:t xml:space="preserve">, of which </w:t>
      </w:r>
      <w:r>
        <w:rPr>
          <w:rFonts w:ascii="Arial" w:cs="Arial" w:eastAsia="Arial" w:hAnsi="Arial"/>
          <w:sz w:val="18"/>
          <w:szCs w:val="18"/>
          <w:color w:val="000000"/>
        </w:rPr>
        <w:t>$4.4 million</w:t>
      </w:r>
      <w:r>
        <w:rPr>
          <w:rFonts w:ascii="Arial" w:cs="Arial" w:eastAsia="Arial" w:hAnsi="Arial"/>
          <w:sz w:val="18"/>
          <w:szCs w:val="18"/>
          <w:color w:val="231F20"/>
        </w:rPr>
        <w:t xml:space="preserve">, if recognized, would favorably impact the Company's effective tax rate. As of December 31, 2018, the Company had unrecognized tax benefits of </w:t>
      </w:r>
      <w:r>
        <w:rPr>
          <w:rFonts w:ascii="Arial" w:cs="Arial" w:eastAsia="Arial" w:hAnsi="Arial"/>
          <w:sz w:val="18"/>
          <w:szCs w:val="18"/>
          <w:color w:val="000000"/>
        </w:rPr>
        <w:t>$6.4 million</w:t>
      </w:r>
      <w:r>
        <w:rPr>
          <w:rFonts w:ascii="Arial" w:cs="Arial" w:eastAsia="Arial" w:hAnsi="Arial"/>
          <w:sz w:val="18"/>
          <w:szCs w:val="18"/>
          <w:color w:val="231F20"/>
        </w:rPr>
        <w:t xml:space="preserve">, of which </w:t>
      </w:r>
      <w:r>
        <w:rPr>
          <w:rFonts w:ascii="Arial" w:cs="Arial" w:eastAsia="Arial" w:hAnsi="Arial"/>
          <w:sz w:val="18"/>
          <w:szCs w:val="18"/>
          <w:color w:val="000000"/>
        </w:rPr>
        <w:t>$3.5 million</w:t>
      </w:r>
      <w:r>
        <w:rPr>
          <w:rFonts w:ascii="Arial" w:cs="Arial" w:eastAsia="Arial" w:hAnsi="Arial"/>
          <w:sz w:val="18"/>
          <w:szCs w:val="18"/>
          <w:color w:val="231F20"/>
        </w:rPr>
        <w:t>, if recognized, would favorably impact the Company's effective tax rate. The Company does not anticipate a material change in its unrecognized tax benefits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 and Information about Geographic Area</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 </w:t>
      </w:r>
      <w:r>
        <w:rPr>
          <w:rFonts w:ascii="Arial" w:cs="Arial" w:eastAsia="Arial" w:hAnsi="Arial"/>
          <w:sz w:val="18"/>
          <w:szCs w:val="18"/>
          <w:color w:val="000000"/>
        </w:rPr>
        <w:t>determines its reportable operating segments in accordance with the provisions</w:t>
      </w:r>
      <w:r>
        <w:rPr>
          <w:rFonts w:ascii="Arial" w:cs="Arial" w:eastAsia="Arial" w:hAnsi="Arial"/>
          <w:sz w:val="18"/>
          <w:szCs w:val="18"/>
          <w:color w:val="231F20"/>
        </w:rPr>
        <w:t xml:space="preserve"> </w:t>
      </w:r>
      <w:r>
        <w:rPr>
          <w:rFonts w:ascii="Arial" w:cs="Arial" w:eastAsia="Arial" w:hAnsi="Arial"/>
          <w:sz w:val="18"/>
          <w:szCs w:val="18"/>
          <w:color w:val="000000"/>
        </w:rPr>
        <w:t xml:space="preserve">in the FASB guidance on segment reporting, which establishes standards for, and requires disclosure of, certain financial information related to reportable operating segments and geographic regions. </w:t>
      </w:r>
      <w:r>
        <w:rPr>
          <w:rFonts w:ascii="Arial" w:cs="Arial" w:eastAsia="Arial" w:hAnsi="Arial"/>
          <w:sz w:val="18"/>
          <w:szCs w:val="18"/>
          <w:color w:val="231F20"/>
        </w:rPr>
        <w:t>The Company’s chief operating decision maker is the Chairman, President and Chief</w:t>
      </w:r>
      <w:r>
        <w:rPr>
          <w:rFonts w:ascii="Arial" w:cs="Arial" w:eastAsia="Arial" w:hAnsi="Arial"/>
          <w:sz w:val="18"/>
          <w:szCs w:val="18"/>
          <w:color w:val="000000"/>
        </w:rPr>
        <w:t xml:space="preserve"> </w:t>
      </w:r>
      <w:r>
        <w:rPr>
          <w:rFonts w:ascii="Arial" w:cs="Arial" w:eastAsia="Arial" w:hAnsi="Arial"/>
          <w:sz w:val="18"/>
          <w:szCs w:val="18"/>
          <w:color w:val="231F20"/>
        </w:rPr>
        <w:t>Executive Officer, who makes operating decisions, assesses performance and allocates resources on a consolidated basis. All of the Company’s principal operations and decision-making functions are located in the United States.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Revenues by geographic area, based on the location of the customer, are as follows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212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40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24"/>
                <w:szCs w:val="24"/>
                <w:color w:val="auto"/>
              </w:rPr>
            </w:pPr>
          </w:p>
        </w:tc>
        <w:tc>
          <w:tcPr>
            <w:tcW w:w="21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65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r>
      <w:tr>
        <w:trPr>
          <w:trHeight w:val="247"/>
        </w:trPr>
        <w:tc>
          <w:tcPr>
            <w:tcW w:w="652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53,132</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47,336</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152,457</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137,449</w:t>
            </w:r>
          </w:p>
        </w:tc>
      </w:tr>
      <w:tr>
        <w:trPr>
          <w:trHeight w:val="273"/>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29,539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24,322</w:t>
            </w: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84,486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67,240</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82,671</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71,658</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236,943</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204,689</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247"/>
        </w:trPr>
        <w:tc>
          <w:tcPr>
            <w:tcW w:w="8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2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47,201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51,587</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9,855</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58,705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61,442</w:t>
            </w:r>
          </w:p>
        </w:tc>
      </w:tr>
      <w:tr>
        <w:trPr>
          <w:trHeight w:val="20"/>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2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2018, filed with the Securities and Exchange Commission, or SEC, on February 27, 2019.</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106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2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09"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7"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 xml:space="preserve">We </w:t>
      </w:r>
      <w:r>
        <w:rPr>
          <w:rFonts w:ascii="Arial" w:cs="Arial" w:eastAsia="Arial" w:hAnsi="Arial"/>
          <w:sz w:val="18"/>
          <w:szCs w:val="18"/>
          <w:color w:val="000000"/>
        </w:rPr>
        <w:t>are a pioneer and leading provider of a cloud-based platform delivering security and compliance solutions that enable organizations to</w:t>
      </w:r>
      <w:r>
        <w:rPr>
          <w:rFonts w:ascii="Arial" w:cs="Arial" w:eastAsia="Arial" w:hAnsi="Arial"/>
          <w:sz w:val="18"/>
          <w:szCs w:val="18"/>
          <w:color w:val="231F20"/>
        </w:rPr>
        <w:t xml:space="preserve"> </w:t>
      </w:r>
      <w:r>
        <w:rPr>
          <w:rFonts w:ascii="Arial" w:cs="Arial" w:eastAsia="Arial" w:hAnsi="Arial"/>
          <w:sz w:val="18"/>
          <w:szCs w:val="18"/>
          <w:color w:val="000000"/>
        </w:rPr>
        <w:t>identify security risks to their information technology (IT) infrastructures, help protect their IT systems and a</w:t>
      </w:r>
      <w:r>
        <w:rPr>
          <w:rFonts w:ascii="Arial" w:cs="Arial" w:eastAsia="Arial" w:hAnsi="Arial"/>
          <w:sz w:val="18"/>
          <w:szCs w:val="18"/>
          <w:color w:val="231F20"/>
        </w:rPr>
        <w:t>pplications from ever-evolving</w:t>
      </w:r>
      <w:r>
        <w:rPr>
          <w:rFonts w:ascii="Arial" w:cs="Arial" w:eastAsia="Arial" w:hAnsi="Arial"/>
          <w:sz w:val="18"/>
          <w:szCs w:val="18"/>
          <w:color w:val="000000"/>
        </w:rPr>
        <w:t xml:space="preserve"> </w:t>
      </w:r>
      <w:r>
        <w:rPr>
          <w:rFonts w:ascii="Arial" w:cs="Arial" w:eastAsia="Arial" w:hAnsi="Arial"/>
          <w:sz w:val="18"/>
          <w:szCs w:val="18"/>
          <w:color w:val="231F20"/>
        </w:rPr>
        <w:t>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security and compliance solutions delivered on our Qualys Cloud Platform enables our customers to identify and manage their IT assets, collect and analyze large amounts of IT security data, discover and prioritize vulnerabilities, recommend remediation actions and verify the implementati</w:t>
      </w:r>
      <w:r>
        <w:rPr>
          <w:rFonts w:ascii="Arial" w:cs="Arial" w:eastAsia="Arial" w:hAnsi="Arial"/>
          <w:sz w:val="18"/>
          <w:szCs w:val="18"/>
          <w:color w:val="000000"/>
        </w:rPr>
        <w:t>on of such actions. Organizations use our integrated suite of solutions delivered on our Qualys Cloud</w:t>
      </w:r>
      <w:r>
        <w:rPr>
          <w:rFonts w:ascii="Arial" w:cs="Arial" w:eastAsia="Arial" w:hAnsi="Arial"/>
          <w:sz w:val="18"/>
          <w:szCs w:val="18"/>
          <w:color w:val="231F20"/>
        </w:rPr>
        <w:t xml:space="preserve"> </w:t>
      </w:r>
      <w:r>
        <w:rPr>
          <w:rFonts w:ascii="Arial" w:cs="Arial" w:eastAsia="Arial" w:hAnsi="Arial"/>
          <w:sz w:val="18"/>
          <w:szCs w:val="18"/>
          <w:color w:val="000000"/>
        </w:rPr>
        <w:t>Platform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212"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231F20"/>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on-premise assets, endpoints and cloud environments. These solutions and their Cloud Apps address and include</w:t>
      </w:r>
      <w:r>
        <w:rPr>
          <w:rFonts w:ascii="Arial" w:cs="Arial" w:eastAsia="Arial" w:hAnsi="Arial"/>
          <w:sz w:val="18"/>
          <w:szCs w:val="18"/>
          <w:color w:val="000000"/>
        </w:rPr>
        <w:t>:</w:t>
      </w:r>
    </w:p>
    <w:p>
      <w:pPr>
        <w:spacing w:after="0" w:line="242" w:lineRule="exact"/>
        <w:rPr>
          <w:sz w:val="20"/>
          <w:szCs w:val="20"/>
          <w:color w:val="auto"/>
        </w:rPr>
      </w:pPr>
    </w:p>
    <w:p>
      <w:pPr>
        <w:ind w:left="1300" w:right="260" w:hanging="320"/>
        <w:spacing w:after="0" w:line="36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231F20"/>
        </w:rPr>
        <w:t xml:space="preserve">IT Security: </w:t>
      </w:r>
      <w:r>
        <w:rPr>
          <w:rFonts w:ascii="Arial" w:cs="Arial" w:eastAsia="Arial" w:hAnsi="Arial"/>
          <w:sz w:val="18"/>
          <w:szCs w:val="18"/>
          <w:color w:val="231F20"/>
        </w:rPr>
        <w:t>Vulnerability Management (VM), Threat Protection (TP), Continuous Monitoring (CM), Patch Management (PM),</w:t>
      </w:r>
      <w:r>
        <w:rPr>
          <w:rFonts w:ascii="Arial" w:cs="Arial" w:eastAsia="Arial" w:hAnsi="Arial"/>
          <w:sz w:val="18"/>
          <w:szCs w:val="18"/>
          <w:i w:val="1"/>
          <w:iCs w:val="1"/>
          <w:color w:val="231F20"/>
        </w:rPr>
        <w:t xml:space="preserve"> </w:t>
      </w:r>
      <w:r>
        <w:rPr>
          <w:rFonts w:ascii="Arial" w:cs="Arial" w:eastAsia="Arial" w:hAnsi="Arial"/>
          <w:sz w:val="18"/>
          <w:szCs w:val="18"/>
          <w:color w:val="231F20"/>
        </w:rPr>
        <w:t>Indication of Compromise (IOC);</w:t>
      </w:r>
    </w:p>
    <w:p>
      <w:pPr>
        <w:ind w:left="1300" w:right="80" w:hanging="320"/>
        <w:spacing w:after="0" w:line="36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231F20"/>
        </w:rPr>
        <w:t xml:space="preserve">Compliance Monitoring: </w:t>
      </w:r>
      <w:r>
        <w:rPr>
          <w:rFonts w:ascii="Arial" w:cs="Arial" w:eastAsia="Arial" w:hAnsi="Arial"/>
          <w:sz w:val="18"/>
          <w:szCs w:val="18"/>
          <w:color w:val="231F20"/>
        </w:rPr>
        <w:t>Policy Compliance (PC), PCI Compliance (PCI), File Integrity Monitoring (FIM), Security Configuration</w:t>
      </w:r>
      <w:r>
        <w:rPr>
          <w:rFonts w:ascii="Arial" w:cs="Arial" w:eastAsia="Arial" w:hAnsi="Arial"/>
          <w:sz w:val="18"/>
          <w:szCs w:val="18"/>
          <w:i w:val="1"/>
          <w:iCs w:val="1"/>
          <w:color w:val="231F20"/>
        </w:rPr>
        <w:t xml:space="preserve"> </w:t>
      </w:r>
      <w:r>
        <w:rPr>
          <w:rFonts w:ascii="Arial" w:cs="Arial" w:eastAsia="Arial" w:hAnsi="Arial"/>
          <w:sz w:val="18"/>
          <w:szCs w:val="18"/>
          <w:color w:val="231F20"/>
        </w:rPr>
        <w:t>Assessment (SCA), Security Assessment Questionnaire (SAQ), Out of-Band Configuration Assessment (OCA)*;</w:t>
      </w:r>
    </w:p>
    <w:p>
      <w:pPr>
        <w:ind w:left="1300" w:hanging="320"/>
        <w:spacing w:after="0"/>
        <w:tabs>
          <w:tab w:leader="none" w:pos="1300" w:val="left"/>
        </w:tabs>
        <w:numPr>
          <w:ilvl w:val="1"/>
          <w:numId w:val="4"/>
        </w:numPr>
        <w:rPr>
          <w:rFonts w:ascii="Arial" w:cs="Arial" w:eastAsia="Arial" w:hAnsi="Arial"/>
          <w:sz w:val="18"/>
          <w:szCs w:val="18"/>
          <w:i w:val="1"/>
          <w:iCs w:val="1"/>
          <w:color w:val="231F20"/>
        </w:rPr>
      </w:pPr>
      <w:r>
        <w:rPr>
          <w:rFonts w:ascii="Arial" w:cs="Arial" w:eastAsia="Arial" w:hAnsi="Arial"/>
          <w:sz w:val="18"/>
          <w:szCs w:val="18"/>
          <w:i w:val="1"/>
          <w:iCs w:val="1"/>
          <w:color w:val="231F20"/>
        </w:rPr>
        <w:t xml:space="preserve">Web Application Security: </w:t>
      </w:r>
      <w:r>
        <w:rPr>
          <w:rFonts w:ascii="Arial" w:cs="Arial" w:eastAsia="Arial" w:hAnsi="Arial"/>
          <w:sz w:val="18"/>
          <w:szCs w:val="18"/>
          <w:color w:val="231F20"/>
        </w:rPr>
        <w:t>Web Application Scanning (WAS), Web Application Firewall (WAF);</w:t>
      </w:r>
    </w:p>
    <w:p>
      <w:pPr>
        <w:spacing w:after="0" w:line="103" w:lineRule="exact"/>
        <w:rPr>
          <w:rFonts w:ascii="Arial" w:cs="Arial" w:eastAsia="Arial" w:hAnsi="Arial"/>
          <w:sz w:val="18"/>
          <w:szCs w:val="18"/>
          <w:i w:val="1"/>
          <w:iCs w:val="1"/>
          <w:color w:val="231F20"/>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231F20"/>
        </w:rPr>
        <w:t xml:space="preserve">Global IT Asset Management: </w:t>
      </w:r>
      <w:r>
        <w:rPr>
          <w:rFonts w:ascii="Arial" w:cs="Arial" w:eastAsia="Arial" w:hAnsi="Arial"/>
          <w:sz w:val="18"/>
          <w:szCs w:val="18"/>
          <w:color w:val="231F20"/>
        </w:rPr>
        <w:t>Asset Inventory (AI)**, CMDB Sync (SYN), Certificate Inventory (CRI); and,</w:t>
      </w:r>
    </w:p>
    <w:p>
      <w:pPr>
        <w:spacing w:after="0" w:line="10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231F20"/>
        </w:rPr>
        <w:t xml:space="preserve">Cloud/Container Security: </w:t>
      </w:r>
      <w:r>
        <w:rPr>
          <w:rFonts w:ascii="Arial" w:cs="Arial" w:eastAsia="Arial" w:hAnsi="Arial"/>
          <w:sz w:val="18"/>
          <w:szCs w:val="18"/>
          <w:color w:val="231F20"/>
        </w:rPr>
        <w:t>Cloud Inventory (CI)*, Cloud Security Assessment (CSA), Container Security (CS).</w:t>
      </w:r>
    </w:p>
    <w:p>
      <w:pPr>
        <w:spacing w:after="0" w:line="1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free service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**paid and free service</w:t>
      </w:r>
    </w:p>
    <w:p>
      <w:pPr>
        <w:spacing w:after="0" w:line="266" w:lineRule="exact"/>
        <w:rPr>
          <w:sz w:val="20"/>
          <w:szCs w:val="20"/>
          <w:color w:val="auto"/>
        </w:rPr>
      </w:pPr>
    </w:p>
    <w:p>
      <w:pPr>
        <w:ind w:right="20" w:firstLine="392"/>
        <w:spacing w:after="0" w:line="262" w:lineRule="auto"/>
        <w:rPr>
          <w:sz w:val="20"/>
          <w:szCs w:val="20"/>
          <w:color w:val="auto"/>
        </w:rPr>
      </w:pPr>
      <w:r>
        <w:rPr>
          <w:rFonts w:ascii="Arial" w:cs="Arial" w:eastAsia="Arial" w:hAnsi="Arial"/>
          <w:sz w:val="18"/>
          <w:szCs w:val="18"/>
          <w:color w:val="auto"/>
        </w:rPr>
        <w:t xml:space="preserve">Our VM solutions (including </w:t>
      </w:r>
      <w:r>
        <w:rPr>
          <w:rFonts w:ascii="Arial" w:cs="Arial" w:eastAsia="Arial" w:hAnsi="Arial"/>
          <w:sz w:val="18"/>
          <w:szCs w:val="18"/>
          <w:color w:val="231F20"/>
        </w:rPr>
        <w:t>VM, CM, TP, Cloud Agent for VM</w:t>
      </w:r>
      <w:r>
        <w:rPr>
          <w:rFonts w:ascii="Arial" w:cs="Arial" w:eastAsia="Arial" w:hAnsi="Arial"/>
          <w:sz w:val="18"/>
          <w:szCs w:val="18"/>
          <w:color w:val="auto"/>
        </w:rPr>
        <w:t xml:space="preserve">, allocated scanner revenue and Qualys Private Cloud Platform) have provided a substantial majority of our revenues to date, representing 73% of our revenues for the </w:t>
      </w:r>
      <w:r>
        <w:rPr>
          <w:rFonts w:ascii="Arial" w:cs="Arial" w:eastAsia="Arial" w:hAnsi="Arial"/>
          <w:sz w:val="18"/>
          <w:szCs w:val="18"/>
          <w:color w:val="231F20"/>
        </w:rPr>
        <w:t>nine months ended September 30, 2019</w:t>
      </w:r>
      <w:r>
        <w:rPr>
          <w:rFonts w:ascii="Arial" w:cs="Arial" w:eastAsia="Arial" w:hAnsi="Arial"/>
          <w:sz w:val="18"/>
          <w:szCs w:val="18"/>
          <w:color w:val="auto"/>
        </w:rPr>
        <w:t>.</w:t>
      </w:r>
    </w:p>
    <w:p>
      <w:pPr>
        <w:spacing w:after="0" w:line="196" w:lineRule="exact"/>
        <w:rPr>
          <w:sz w:val="20"/>
          <w:szCs w:val="20"/>
          <w:color w:val="auto"/>
        </w:rPr>
      </w:pPr>
    </w:p>
    <w:p>
      <w:pPr>
        <w:ind w:right="280" w:firstLine="405"/>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significant revenue growth from our existing customers as they renew and purchase additional subscriptions</w:t>
      </w:r>
      <w:r>
        <w:rPr>
          <w:rFonts w:ascii="Arial" w:cs="Arial" w:eastAsia="Arial" w:hAnsi="Arial"/>
          <w:sz w:val="18"/>
          <w:szCs w:val="18"/>
          <w:color w:val="000000"/>
        </w:rPr>
        <w:t>.</w:t>
      </w:r>
    </w:p>
    <w:p>
      <w:pPr>
        <w:spacing w:after="0" w:line="206"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 xml:space="preserve">We market and sell our solutions to enterprises, government entities and small and medium-sized businesses across a broad range of industries, including education, financial services, government, healthcare, insurance, manufacturing, media, retail, technology and utilities. In the </w:t>
      </w:r>
      <w:r>
        <w:rPr>
          <w:rFonts w:ascii="Arial" w:cs="Arial" w:eastAsia="Arial" w:hAnsi="Arial"/>
          <w:sz w:val="18"/>
          <w:szCs w:val="18"/>
          <w:color w:val="231F20"/>
        </w:rPr>
        <w:t>nine months ended September 30, 2019</w:t>
      </w:r>
      <w:r>
        <w:rPr>
          <w:rFonts w:ascii="Arial" w:cs="Arial" w:eastAsia="Arial" w:hAnsi="Arial"/>
          <w:sz w:val="18"/>
          <w:szCs w:val="18"/>
          <w:color w:val="auto"/>
        </w:rPr>
        <w:t xml:space="preserve"> and the corresponding period of 2018, approximately 64% and 67%,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through our channel partners, including managed service providers, value-added resellers and consulting firms in the United States and internationally.</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Key Metric</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 set forth below to help us evaluate growth trends, establish budgets, measure the effectiveness of our sales and marketing efforts and assess operational efficiencies.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47"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Adjusted EBITDA, a non-GAAP financial measure, should not be considered in isolation from, or as a substitute for, financial information prepared in accordance with U.S. GAAP. Qualys defines adjusted EBITDA as earnings before interest expense, taxes, depreciation, amortization, stock-based compensation, interest income and other income (expense), net, non-recurring expenses, and acquisition-related expenses that do not reflect ongoing costs of operating the business.</w:t>
      </w:r>
    </w:p>
    <w:p>
      <w:pPr>
        <w:spacing w:after="0" w:line="204"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reflect income tax payments that reduce cash available to us;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depreciation and amortization of property and equipment and, although these are non-cash charges, the assets being depreciated and amortized may have to be replaced in the future; and</w:t>
      </w: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96"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82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4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24"/>
                <w:szCs w:val="24"/>
                <w:color w:val="auto"/>
              </w:rPr>
            </w:pPr>
          </w:p>
        </w:tc>
        <w:tc>
          <w:tcPr>
            <w:tcW w:w="184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24"/>
                <w:szCs w:val="24"/>
                <w:color w:val="auto"/>
              </w:rPr>
            </w:pPr>
          </w:p>
        </w:tc>
      </w:tr>
      <w:tr>
        <w:trPr>
          <w:trHeight w:val="264"/>
        </w:trPr>
        <w:tc>
          <w:tcPr>
            <w:tcW w:w="48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22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r>
      <w:tr>
        <w:trPr>
          <w:trHeight w:val="247"/>
        </w:trPr>
        <w:tc>
          <w:tcPr>
            <w:tcW w:w="4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80" w:type="dxa"/>
            <w:vAlign w:val="bottom"/>
            <w:gridSpan w:val="5"/>
          </w:tcPr>
          <w:p>
            <w:pPr>
              <w:ind w:left="100"/>
              <w:spacing w:after="0"/>
              <w:rPr>
                <w:sz w:val="20"/>
                <w:szCs w:val="20"/>
                <w:color w:val="auto"/>
              </w:rPr>
            </w:pPr>
            <w:r>
              <w:rPr>
                <w:rFonts w:ascii="Arial" w:cs="Arial" w:eastAsia="Arial" w:hAnsi="Arial"/>
                <w:sz w:val="16"/>
                <w:szCs w:val="16"/>
                <w:b w:val="1"/>
                <w:bCs w:val="1"/>
                <w:color w:val="auto"/>
              </w:rPr>
              <w:t>(in thousands, except percentages)</w:t>
            </w:r>
          </w:p>
        </w:tc>
        <w:tc>
          <w:tcPr>
            <w:tcW w:w="5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39,210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31,887</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103,211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83,239</w:t>
            </w:r>
          </w:p>
        </w:tc>
      </w:tr>
      <w:tr>
        <w:trPr>
          <w:trHeight w:val="20"/>
        </w:trPr>
        <w:tc>
          <w:tcPr>
            <w:tcW w:w="4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0"/>
        </w:trPr>
        <w:tc>
          <w:tcPr>
            <w:tcW w:w="4860" w:type="dxa"/>
            <w:vAlign w:val="bottom"/>
          </w:tcPr>
          <w:p>
            <w:pPr>
              <w:ind w:left="20"/>
              <w:spacing w:after="0"/>
              <w:rPr>
                <w:sz w:val="20"/>
                <w:szCs w:val="20"/>
                <w:color w:val="auto"/>
              </w:rPr>
            </w:pPr>
            <w:r>
              <w:rPr>
                <w:rFonts w:ascii="Arial" w:cs="Arial" w:eastAsia="Arial" w:hAnsi="Arial"/>
                <w:sz w:val="16"/>
                <w:szCs w:val="16"/>
                <w:color w:val="auto"/>
              </w:rPr>
              <w:t>Percentage of revenues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unaudited table presents the reconciliation of net income to adjusted EBITDA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4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center"/>
              <w:ind w:right="2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79"/>
              <w:spacing w:after="0"/>
              <w:rPr>
                <w:sz w:val="20"/>
                <w:szCs w:val="20"/>
                <w:color w:val="auto"/>
              </w:rPr>
            </w:pPr>
            <w:r>
              <w:rPr>
                <w:rFonts w:ascii="Arial" w:cs="Arial" w:eastAsia="Arial" w:hAnsi="Arial"/>
                <w:sz w:val="16"/>
                <w:szCs w:val="16"/>
                <w:b w:val="1"/>
                <w:bCs w:val="1"/>
                <w:color w:val="auto"/>
                <w:w w:val="99"/>
              </w:rPr>
              <w:t>(in thousands)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4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19,174</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48,672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42,904</w:t>
            </w:r>
          </w:p>
        </w:tc>
      </w:tr>
      <w:tr>
        <w:trPr>
          <w:trHeight w:val="260"/>
        </w:trPr>
        <w:tc>
          <w:tcPr>
            <w:tcW w:w="5260" w:type="dxa"/>
            <w:vAlign w:val="bottom"/>
          </w:tcPr>
          <w:p>
            <w:pPr>
              <w:ind w:left="260"/>
              <w:spacing w:after="0"/>
              <w:rPr>
                <w:sz w:val="20"/>
                <w:szCs w:val="20"/>
                <w:color w:val="auto"/>
              </w:rPr>
            </w:pPr>
            <w:r>
              <w:rPr>
                <w:rFonts w:ascii="Arial" w:cs="Arial" w:eastAsia="Arial" w:hAnsi="Arial"/>
                <w:sz w:val="16"/>
                <w:szCs w:val="16"/>
                <w:color w:val="auto"/>
              </w:rPr>
              <w:t>Depreciation and amortization of property and equipment</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6,157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6,110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18,926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18,862</w:t>
            </w:r>
          </w:p>
        </w:tc>
      </w:tr>
      <w:tr>
        <w:trPr>
          <w:trHeight w:val="280"/>
        </w:trPr>
        <w:tc>
          <w:tcPr>
            <w:tcW w:w="5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1,520</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2,361</w:t>
            </w:r>
          </w:p>
        </w:tc>
      </w:tr>
      <w:tr>
        <w:trPr>
          <w:trHeight w:val="260"/>
        </w:trPr>
        <w:tc>
          <w:tcPr>
            <w:tcW w:w="526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112</w:t>
            </w:r>
          </w:p>
        </w:tc>
      </w:tr>
      <w:tr>
        <w:trPr>
          <w:trHeight w:val="273"/>
        </w:trPr>
        <w:tc>
          <w:tcPr>
            <w:tcW w:w="5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5,161</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(4,236)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10,009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w:t>
            </w:r>
          </w:p>
        </w:tc>
      </w:tr>
      <w:tr>
        <w:trPr>
          <w:trHeight w:val="247"/>
        </w:trPr>
        <w:tc>
          <w:tcPr>
            <w:tcW w:w="5260" w:type="dxa"/>
            <w:vAlign w:val="bottom"/>
          </w:tcPr>
          <w:p>
            <w:pPr>
              <w:ind w:left="20"/>
              <w:spacing w:after="0"/>
              <w:rPr>
                <w:sz w:val="20"/>
                <w:szCs w:val="20"/>
                <w:color w:val="auto"/>
              </w:rPr>
            </w:pPr>
            <w:r>
              <w:rPr>
                <w:rFonts w:ascii="Arial" w:cs="Arial" w:eastAsia="Arial" w:hAnsi="Arial"/>
                <w:sz w:val="16"/>
                <w:szCs w:val="16"/>
                <w:color w:val="auto"/>
              </w:rPr>
              <w:t>EBITDA</w:t>
            </w: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32,040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26,242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61,998</w:t>
            </w:r>
          </w:p>
        </w:tc>
      </w:tr>
      <w:tr>
        <w:trPr>
          <w:trHeight w:val="280"/>
        </w:trPr>
        <w:tc>
          <w:tcPr>
            <w:tcW w:w="5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8,383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25,163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22,672</w:t>
            </w:r>
          </w:p>
        </w:tc>
      </w:tr>
      <w:tr>
        <w:trPr>
          <w:trHeight w:val="260"/>
        </w:trPr>
        <w:tc>
          <w:tcPr>
            <w:tcW w:w="5260" w:type="dxa"/>
            <w:vAlign w:val="bottom"/>
          </w:tcPr>
          <w:p>
            <w:pPr>
              <w:ind w:left="260"/>
              <w:spacing w:after="0"/>
              <w:rPr>
                <w:sz w:val="20"/>
                <w:szCs w:val="20"/>
                <w:color w:val="auto"/>
              </w:rPr>
            </w:pPr>
            <w:r>
              <w:rPr>
                <w:rFonts w:ascii="Arial" w:cs="Arial" w:eastAsia="Arial" w:hAnsi="Arial"/>
                <w:sz w:val="16"/>
                <w:szCs w:val="16"/>
                <w:color w:val="auto"/>
              </w:rPr>
              <w:t>Interest income and Other income (expense), net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(1,814)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(3,357)</w:t>
            </w:r>
          </w:p>
        </w:tc>
      </w:tr>
      <w:tr>
        <w:trPr>
          <w:trHeight w:val="280"/>
        </w:trPr>
        <w:tc>
          <w:tcPr>
            <w:tcW w:w="52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 xml:space="preserve">Acquisition-related expense </w:t>
            </w:r>
            <w:r>
              <w:rPr>
                <w:rFonts w:ascii="Arial" w:cs="Arial" w:eastAsia="Arial" w:hAnsi="Arial"/>
                <w:sz w:val="21"/>
                <w:szCs w:val="21"/>
                <w:color w:val="auto"/>
                <w:vertAlign w:val="superscript"/>
              </w:rPr>
              <w:t>(1) (2) (3) (4)</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601</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1,854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1,926</w:t>
            </w:r>
          </w:p>
        </w:tc>
      </w:tr>
      <w:tr>
        <w:trPr>
          <w:trHeight w:val="234"/>
        </w:trPr>
        <w:tc>
          <w:tcPr>
            <w:tcW w:w="52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39,210</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31,887</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103,211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83,239</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September 30, 2019, includes $0.1 million and $0.5 million of compensation related to acquisitions in 2019 and 2018, respectively.</w:t>
      </w:r>
    </w:p>
    <w:p>
      <w:pPr>
        <w:spacing w:after="0" w:line="15" w:lineRule="exact"/>
        <w:rPr>
          <w:rFonts w:ascii="Arial" w:cs="Arial" w:eastAsia="Arial" w:hAnsi="Arial"/>
          <w:sz w:val="14"/>
          <w:szCs w:val="14"/>
          <w:i w:val="1"/>
          <w:iCs w:val="1"/>
          <w:color w:val="auto"/>
        </w:rPr>
      </w:pPr>
    </w:p>
    <w:p>
      <w:pPr>
        <w:ind w:right="780" w:firstLine="8"/>
        <w:spacing w:after="0" w:line="241" w:lineRule="auto"/>
        <w:tabs>
          <w:tab w:leader="none" w:pos="216"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For the nine months ended September 30, 2019, includes $0.6 million, $2.6 million and $0.1 million of compensation related to acquisitions in 2019, 2018 and 2017, respectively, offset by $1.4 million of reversals of previous obligations.</w:t>
      </w:r>
    </w:p>
    <w:p>
      <w:pPr>
        <w:ind w:left="220" w:hanging="212"/>
        <w:spacing w:after="0"/>
        <w:tabs>
          <w:tab w:leader="none" w:pos="2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September 30, 2018, includes $0.04 million of compensation related to acquisitions in 2017.</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For the nine months ended September 30, 2018, includes $1.9 million of compensation related to acquisitions in 2017.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Revenues</w:t>
      </w:r>
    </w:p>
    <w:p>
      <w:pPr>
        <w:spacing w:after="0" w:line="13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 xml:space="preserve">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w:t>
      </w:r>
      <w:r>
        <w:rPr>
          <w:rFonts w:ascii="Arial" w:cs="Arial" w:eastAsia="Arial" w:hAnsi="Arial"/>
          <w:sz w:val="18"/>
          <w:szCs w:val="18"/>
          <w:color w:val="000000"/>
        </w:rPr>
        <w:t>solutions. In some limited cases, we also provide certain computer equipment used to extend our Qualys cloud platform into our</w:t>
      </w:r>
      <w:r>
        <w:rPr>
          <w:rFonts w:ascii="Arial" w:cs="Arial" w:eastAsia="Arial" w:hAnsi="Arial"/>
          <w:sz w:val="18"/>
          <w:szCs w:val="18"/>
          <w:color w:val="231F20"/>
        </w:rPr>
        <w:t xml:space="preserve"> </w:t>
      </w:r>
      <w:r>
        <w:rPr>
          <w:rFonts w:ascii="Arial" w:cs="Arial" w:eastAsia="Arial" w:hAnsi="Arial"/>
          <w:sz w:val="18"/>
          <w:szCs w:val="18"/>
          <w:color w:val="000000"/>
        </w:rPr>
        <w:t>customers’ private cloud environment. Customers are required to return physical scanner appliances and computer equipment if they do not renew their subscript</w:t>
      </w:r>
      <w:r>
        <w:rPr>
          <w:rFonts w:ascii="Arial" w:cs="Arial" w:eastAsia="Arial" w:hAnsi="Arial"/>
          <w:sz w:val="18"/>
          <w:szCs w:val="18"/>
          <w:color w:val="231F20"/>
        </w:rPr>
        <w:t>ions.</w:t>
      </w:r>
    </w:p>
    <w:p>
      <w:pPr>
        <w:spacing w:after="0" w:line="21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amortization of internal-use software,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amortization of intangibles related to acquisitions, maintenance support, fees paid to contractors who supplement or support our operations center personnel and overhead allocations. We expect to continue to make capital investments to expand and support our data center operations, which will increase the cost of revenues in absolute dollars.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Research and Development</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acquisitions and overhead allocations.</w:t>
      </w:r>
    </w:p>
    <w:p>
      <w:pPr>
        <w:spacing w:after="0" w:line="20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capitalize some research and development costs related to new products' internal-use software development efforts. Capitalized costs include salaries, benefits, and stock-based compensation charges for employees that are directly involved in developing new products for our cloud security platform during the application development stage. Capitalized costs related to internally developed software under development are treated as construction in progress until the program, feature or functionality is ready for its intended use, at which time amortization commences. We expect to continue to devote substantial resources to research and development in an effort to continuously improve our existing solutions as well as develop new solutions and capabilities and expect that research and development expenses will increase in absolute dollars.</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247"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24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and human resources teams, as well as professional services, fees, software licenses and overhead allocation. We expect that general and administrative expenses will increase in absolute dollars, as we continue to add personnel and incur professional services to support our growth and compliance with legal requirements.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3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marketable securities; foreign exchange gains and losses, the majority of which result from fluctuations between the U.S. Dollar and the Euro, British Pound and Indian Rupee; losses on disposal of property and equipment; and impairment of long-lived assets.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4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higher than U.S. tax rates, and may be subject to U.S. income taxes.</w:t>
      </w:r>
    </w:p>
    <w:p>
      <w:pPr>
        <w:spacing w:after="0" w:line="20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provision for income taxes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 Our estimated effective rate for the year differs from the U.S. statutory rate of 21% primarily due to non-deductible stock-based compensation expense, state taxes, foreign income subject to different tax rates than the U.S., and the benefit of U.S. federal income tax credits.</w:t>
      </w:r>
    </w:p>
    <w:p>
      <w:pPr>
        <w:spacing w:after="0" w:line="20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06"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Revenues</w:t>
            </w:r>
          </w:p>
        </w:tc>
        <w:tc>
          <w:tcPr>
            <w:tcW w:w="340" w:type="dxa"/>
            <w:vAlign w:val="bottom"/>
          </w:tcPr>
          <w:p>
            <w:pPr>
              <w:jc w:val="right"/>
              <w:ind w:right="139"/>
              <w:spacing w:after="0"/>
              <w:rPr>
                <w:sz w:val="20"/>
                <w:szCs w:val="20"/>
                <w:color w:val="auto"/>
              </w:rPr>
            </w:pPr>
            <w:r>
              <w:rPr>
                <w:rFonts w:ascii="Arial" w:cs="Arial" w:eastAsia="Arial" w:hAnsi="Arial"/>
                <w:sz w:val="16"/>
                <w:szCs w:val="16"/>
                <w:color w:val="231F20"/>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231F20"/>
              </w:rPr>
              <w:t>82,671</w:t>
            </w:r>
          </w:p>
        </w:tc>
        <w:tc>
          <w:tcPr>
            <w:tcW w:w="120" w:type="dxa"/>
            <w:vAlign w:val="bottom"/>
          </w:tcPr>
          <w:p>
            <w:pPr>
              <w:spacing w:after="0"/>
              <w:rPr>
                <w:sz w:val="22"/>
                <w:szCs w:val="22"/>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231F20"/>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71,658</w:t>
            </w:r>
          </w:p>
        </w:tc>
        <w:tc>
          <w:tcPr>
            <w:tcW w:w="120" w:type="dxa"/>
            <w:vAlign w:val="bottom"/>
          </w:tcPr>
          <w:p>
            <w:pPr>
              <w:spacing w:after="0"/>
              <w:rPr>
                <w:sz w:val="22"/>
                <w:szCs w:val="22"/>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231F20"/>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236,943</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231F20"/>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231F20"/>
              </w:rPr>
              <w:t>204,689</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340" w:type="dxa"/>
            <w:vAlign w:val="bottom"/>
            <w:tcBorders>
              <w:bottom w:val="single" w:sz="8" w:color="231F20"/>
            </w:tcBorders>
            <w:shd w:val="clear" w:color="auto" w:fill="CCEEFF"/>
          </w:tcPr>
          <w:p>
            <w:pPr>
              <w:spacing w:after="0"/>
              <w:rPr>
                <w:sz w:val="24"/>
                <w:szCs w:val="24"/>
                <w:color w:val="auto"/>
              </w:rPr>
            </w:pPr>
          </w:p>
        </w:tc>
        <w:tc>
          <w:tcPr>
            <w:tcW w:w="1180" w:type="dxa"/>
            <w:vAlign w:val="bottom"/>
            <w:tcBorders>
              <w:bottom w:val="single" w:sz="8" w:color="231F20"/>
            </w:tcBorders>
            <w:shd w:val="clear" w:color="auto" w:fill="CCEEFF"/>
          </w:tcPr>
          <w:p>
            <w:pPr>
              <w:jc w:val="right"/>
              <w:ind w:right="39"/>
              <w:spacing w:after="0"/>
              <w:rPr>
                <w:sz w:val="20"/>
                <w:szCs w:val="20"/>
                <w:color w:val="auto"/>
              </w:rPr>
            </w:pPr>
            <w:r>
              <w:rPr>
                <w:rFonts w:ascii="Arial" w:cs="Arial" w:eastAsia="Arial" w:hAnsi="Arial"/>
                <w:sz w:val="16"/>
                <w:szCs w:val="16"/>
                <w:color w:val="231F20"/>
              </w:rPr>
              <w:t>17,108</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16,511</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231F20"/>
            </w:tcBorders>
            <w:shd w:val="clear" w:color="auto" w:fill="CCEEFF"/>
          </w:tcPr>
          <w:p>
            <w:pPr>
              <w:spacing w:after="0"/>
              <w:rPr>
                <w:sz w:val="24"/>
                <w:szCs w:val="24"/>
                <w:color w:val="auto"/>
              </w:rPr>
            </w:pPr>
          </w:p>
        </w:tc>
        <w:tc>
          <w:tcPr>
            <w:tcW w:w="90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52,354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231F20"/>
            </w:tcBorders>
            <w:shd w:val="clear" w:color="auto" w:fill="CCEEFF"/>
          </w:tcPr>
          <w:p>
            <w:pPr>
              <w:spacing w:after="0"/>
              <w:rPr>
                <w:sz w:val="24"/>
                <w:szCs w:val="24"/>
                <w:color w:val="auto"/>
              </w:rPr>
            </w:pPr>
          </w:p>
        </w:tc>
        <w:tc>
          <w:tcPr>
            <w:tcW w:w="11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48,660</w:t>
            </w:r>
          </w:p>
        </w:tc>
      </w:tr>
      <w:tr>
        <w:trPr>
          <w:trHeight w:val="240"/>
        </w:trPr>
        <w:tc>
          <w:tcPr>
            <w:tcW w:w="5260" w:type="dxa"/>
            <w:vAlign w:val="bottom"/>
          </w:tcPr>
          <w:p>
            <w:pPr>
              <w:ind w:left="28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65,563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55,147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184,589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156,029</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70"/>
        </w:trPr>
        <w:tc>
          <w:tcPr>
            <w:tcW w:w="5260" w:type="dxa"/>
            <w:vAlign w:val="bottom"/>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231F20"/>
              </w:rPr>
              <w:t>16,899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12,501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50,431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231F20"/>
              </w:rPr>
              <w:t>38,182</w:t>
            </w:r>
          </w:p>
        </w:tc>
      </w:tr>
      <w:tr>
        <w:trPr>
          <w:trHeight w:val="27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231F20"/>
              </w:rPr>
              <w:t>17,009</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15,489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51,489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50,698</w:t>
            </w:r>
          </w:p>
        </w:tc>
      </w:tr>
      <w:tr>
        <w:trPr>
          <w:trHeight w:val="27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340" w:type="dxa"/>
            <w:vAlign w:val="bottom"/>
            <w:tcBorders>
              <w:bottom w:val="single" w:sz="8" w:color="231F20"/>
            </w:tcBorders>
          </w:tcPr>
          <w:p>
            <w:pPr>
              <w:spacing w:after="0"/>
              <w:rPr>
                <w:sz w:val="23"/>
                <w:szCs w:val="23"/>
                <w:color w:val="auto"/>
              </w:rPr>
            </w:pPr>
          </w:p>
        </w:tc>
        <w:tc>
          <w:tcPr>
            <w:tcW w:w="1180" w:type="dxa"/>
            <w:vAlign w:val="bottom"/>
            <w:tcBorders>
              <w:bottom w:val="single" w:sz="8" w:color="231F20"/>
            </w:tcBorders>
          </w:tcPr>
          <w:p>
            <w:pPr>
              <w:jc w:val="right"/>
              <w:ind w:right="39"/>
              <w:spacing w:after="0"/>
              <w:rPr>
                <w:sz w:val="20"/>
                <w:szCs w:val="20"/>
                <w:color w:val="auto"/>
              </w:rPr>
            </w:pPr>
            <w:r>
              <w:rPr>
                <w:rFonts w:ascii="Arial" w:cs="Arial" w:eastAsia="Arial" w:hAnsi="Arial"/>
                <w:sz w:val="16"/>
                <w:szCs w:val="16"/>
                <w:color w:val="231F20"/>
              </w:rPr>
              <w:t>9,106</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9,040</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29,961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231F20"/>
            </w:tcBorders>
          </w:tcPr>
          <w:p>
            <w:pPr>
              <w:spacing w:after="0"/>
              <w:rPr>
                <w:sz w:val="23"/>
                <w:szCs w:val="23"/>
                <w:color w:val="auto"/>
              </w:rPr>
            </w:pPr>
          </w:p>
        </w:tc>
        <w:tc>
          <w:tcPr>
            <w:tcW w:w="11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29,731</w:t>
            </w:r>
          </w:p>
        </w:tc>
      </w:tr>
      <w:tr>
        <w:trPr>
          <w:trHeight w:val="244"/>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43,014</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37,030</w:t>
            </w: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131,881</w:t>
            </w:r>
          </w:p>
        </w:tc>
        <w:tc>
          <w:tcPr>
            <w:tcW w:w="1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118,611</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22,549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18,117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52,708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37,418</w:t>
            </w: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1,786</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31F20"/>
              </w:rPr>
              <w:t>1,116</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5,973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3,245</w:t>
            </w:r>
          </w:p>
        </w:tc>
      </w:tr>
      <w:tr>
        <w:trPr>
          <w:trHeight w:val="247"/>
        </w:trPr>
        <w:tc>
          <w:tcPr>
            <w:tcW w:w="52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24,335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19,233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58,681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40,663</w:t>
            </w: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231F20"/>
              </w:rPr>
              <w:t>5,161</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(4,236)</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31F20"/>
              </w:rPr>
              <w:t>10,009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(2,241)</w:t>
            </w:r>
          </w:p>
        </w:tc>
      </w:tr>
      <w:tr>
        <w:trPr>
          <w:trHeight w:val="240"/>
        </w:trPr>
        <w:tc>
          <w:tcPr>
            <w:tcW w:w="52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19,174</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23,469</w:t>
            </w:r>
          </w:p>
        </w:tc>
        <w:tc>
          <w:tcPr>
            <w:tcW w:w="120" w:type="dxa"/>
            <w:vAlign w:val="bottom"/>
          </w:tcPr>
          <w:p>
            <w:pPr>
              <w:spacing w:after="0"/>
              <w:rPr>
                <w:sz w:val="20"/>
                <w:szCs w:val="20"/>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48,672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42,904</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231F20"/>
          <w:vertAlign w:val="superscript"/>
        </w:rPr>
      </w:pPr>
      <w:r>
        <w:rPr>
          <w:rFonts w:ascii="Arial" w:cs="Arial" w:eastAsia="Arial" w:hAnsi="Arial"/>
          <w:sz w:val="14"/>
          <w:szCs w:val="14"/>
          <w:color w:val="231F20"/>
        </w:rPr>
        <w:t>Includes stock-based compensation as follows:</w:t>
      </w:r>
    </w:p>
    <w:p>
      <w:pPr>
        <w:spacing w:after="0" w:line="38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3020" w:type="dxa"/>
            <w:vAlign w:val="bottom"/>
            <w:gridSpan w:val="6"/>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32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49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49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47"/>
        </w:trPr>
        <w:tc>
          <w:tcPr>
            <w:tcW w:w="49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8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1,888</w:t>
            </w:r>
          </w:p>
        </w:tc>
      </w:tr>
      <w:tr>
        <w:trPr>
          <w:trHeight w:val="260"/>
        </w:trPr>
        <w:tc>
          <w:tcPr>
            <w:tcW w:w="49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00" w:type="dxa"/>
            <w:vAlign w:val="bottom"/>
          </w:tcPr>
          <w:p>
            <w:pPr>
              <w:spacing w:after="0"/>
              <w:rPr>
                <w:sz w:val="22"/>
                <w:szCs w:val="22"/>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2,831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1,937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7,875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5,754</w:t>
            </w:r>
          </w:p>
        </w:tc>
      </w:tr>
      <w:tr>
        <w:trPr>
          <w:trHeight w:val="28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9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1,459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3,669</w:t>
            </w:r>
          </w:p>
        </w:tc>
      </w:tr>
      <w:tr>
        <w:trPr>
          <w:trHeight w:val="264"/>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3,516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12,024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11,361</w:t>
            </w:r>
          </w:p>
        </w:tc>
      </w:tr>
      <w:tr>
        <w:trPr>
          <w:trHeight w:val="240"/>
        </w:trPr>
        <w:tc>
          <w:tcPr>
            <w:tcW w:w="4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stock-based compensation</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8,383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25,163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22,672</w:t>
            </w:r>
          </w:p>
        </w:tc>
      </w:tr>
      <w:tr>
        <w:trPr>
          <w:trHeight w:val="20"/>
        </w:trPr>
        <w:tc>
          <w:tcPr>
            <w:tcW w:w="4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2620" w:type="dxa"/>
            <w:vAlign w:val="bottom"/>
            <w:gridSpan w:val="4"/>
          </w:tcPr>
          <w:p>
            <w:pPr>
              <w:jc w:val="center"/>
              <w:ind w:left="49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0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339"/>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4"/>
                <w:szCs w:val="24"/>
                <w:color w:val="auto"/>
              </w:rPr>
            </w:pPr>
          </w:p>
        </w:tc>
      </w:tr>
      <w:tr>
        <w:trPr>
          <w:trHeight w:val="264"/>
        </w:trPr>
        <w:tc>
          <w:tcPr>
            <w:tcW w:w="50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w w:val="95"/>
              </w:rPr>
              <w:t>2018</w:t>
            </w:r>
          </w:p>
        </w:tc>
      </w:tr>
      <w:tr>
        <w:trPr>
          <w:trHeight w:val="25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w:t>
            </w:r>
          </w:p>
        </w:tc>
      </w:tr>
      <w:tr>
        <w:trPr>
          <w:trHeight w:val="257"/>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w:t>
            </w:r>
          </w:p>
        </w:tc>
      </w:tr>
      <w:tr>
        <w:trPr>
          <w:trHeight w:val="260"/>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60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w:t>
            </w:r>
          </w:p>
        </w:tc>
      </w:tr>
      <w:tr>
        <w:trPr>
          <w:trHeight w:val="260"/>
        </w:trPr>
        <w:tc>
          <w:tcPr>
            <w:tcW w:w="608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24</w:t>
            </w:r>
          </w:p>
        </w:tc>
      </w:tr>
      <w:tr>
        <w:trPr>
          <w:trHeight w:val="273"/>
        </w:trPr>
        <w:tc>
          <w:tcPr>
            <w:tcW w:w="5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r>
      <w:tr>
        <w:trPr>
          <w:trHeight w:val="250"/>
        </w:trPr>
        <w:tc>
          <w:tcPr>
            <w:tcW w:w="50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58</w:t>
            </w:r>
          </w:p>
        </w:tc>
      </w:tr>
      <w:tr>
        <w:trPr>
          <w:trHeight w:val="25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w:t>
            </w:r>
          </w:p>
        </w:tc>
      </w:tr>
      <w:tr>
        <w:trPr>
          <w:trHeight w:val="25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w:t>
            </w:r>
          </w:p>
        </w:tc>
      </w:tr>
      <w:tr>
        <w:trPr>
          <w:trHeight w:val="240"/>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Three and Nine </w:t>
      </w:r>
      <w:r>
        <w:rPr>
          <w:rFonts w:ascii="Arial" w:cs="Arial" w:eastAsia="Arial" w:hAnsi="Arial"/>
          <w:sz w:val="18"/>
          <w:szCs w:val="18"/>
          <w:b w:val="1"/>
          <w:bCs w:val="1"/>
          <w:color w:val="000000"/>
        </w:rPr>
        <w:t>Months Ended September 30, 2019</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2018</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40" w:type="dxa"/>
            <w:vAlign w:val="bottom"/>
            <w:gridSpan w:val="6"/>
          </w:tcPr>
          <w:p>
            <w:pPr>
              <w:jc w:val="right"/>
              <w:spacing w:after="0"/>
              <w:rPr>
                <w:sz w:val="20"/>
                <w:szCs w:val="20"/>
                <w:color w:val="auto"/>
              </w:rPr>
            </w:pPr>
            <w:r>
              <w:rPr>
                <w:rFonts w:ascii="Arial" w:cs="Arial" w:eastAsia="Arial" w:hAnsi="Arial"/>
                <w:sz w:val="16"/>
                <w:szCs w:val="16"/>
                <w:b w:val="1"/>
                <w:bCs w:val="1"/>
                <w:color w:val="auto"/>
              </w:rPr>
              <w:t>(in thousands, except percentages)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82,671</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11,013</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15%  $</w:t>
            </w:r>
          </w:p>
        </w:tc>
        <w:tc>
          <w:tcPr>
            <w:tcW w:w="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236,943</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204,689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32,254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bl>
    <w:p>
      <w:pPr>
        <w:spacing w:after="0" w:line="21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 xml:space="preserve">Revenues increased $11.0 million for the </w:t>
      </w:r>
      <w:r>
        <w:rPr>
          <w:rFonts w:ascii="Arial" w:cs="Arial" w:eastAsia="Arial" w:hAnsi="Arial"/>
          <w:sz w:val="18"/>
          <w:szCs w:val="18"/>
          <w:color w:val="000000"/>
        </w:rPr>
        <w:t>three months ended September 30, 2019</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September 30,</w:t>
      </w:r>
      <w:r>
        <w:rPr>
          <w:rFonts w:ascii="Arial" w:cs="Arial" w:eastAsia="Arial" w:hAnsi="Arial"/>
          <w:sz w:val="18"/>
          <w:szCs w:val="18"/>
          <w:color w:val="231F20"/>
        </w:rPr>
        <w:t xml:space="preserve"> </w:t>
      </w:r>
      <w:r>
        <w:rPr>
          <w:rFonts w:ascii="Arial" w:cs="Arial" w:eastAsia="Arial" w:hAnsi="Arial"/>
          <w:sz w:val="18"/>
          <w:szCs w:val="18"/>
          <w:color w:val="000000"/>
        </w:rPr>
        <w:t>2018</w:t>
      </w:r>
      <w:r>
        <w:rPr>
          <w:rFonts w:ascii="Arial" w:cs="Arial" w:eastAsia="Arial" w:hAnsi="Arial"/>
          <w:sz w:val="18"/>
          <w:szCs w:val="18"/>
          <w:color w:val="231F20"/>
        </w:rPr>
        <w:t>, due to an increase in the purchase of subscriptions from existing customers and new customer subscriptions entered into after</w:t>
      </w:r>
      <w:r>
        <w:rPr>
          <w:rFonts w:ascii="Arial" w:cs="Arial" w:eastAsia="Arial" w:hAnsi="Arial"/>
          <w:sz w:val="18"/>
          <w:szCs w:val="18"/>
          <w:color w:val="000000"/>
        </w:rPr>
        <w:t xml:space="preserve"> </w:t>
      </w:r>
      <w:r>
        <w:rPr>
          <w:rFonts w:ascii="Arial" w:cs="Arial" w:eastAsia="Arial" w:hAnsi="Arial"/>
          <w:sz w:val="18"/>
          <w:szCs w:val="18"/>
          <w:color w:val="231F20"/>
        </w:rPr>
        <w:t xml:space="preserve">September 30, 2018. Of the total increase of </w:t>
      </w:r>
      <w:r>
        <w:rPr>
          <w:rFonts w:ascii="Arial" w:cs="Arial" w:eastAsia="Arial" w:hAnsi="Arial"/>
          <w:sz w:val="18"/>
          <w:szCs w:val="18"/>
          <w:color w:val="000000"/>
        </w:rPr>
        <w:t>$11.0 million</w:t>
      </w:r>
      <w:r>
        <w:rPr>
          <w:rFonts w:ascii="Arial" w:cs="Arial" w:eastAsia="Arial" w:hAnsi="Arial"/>
          <w:sz w:val="18"/>
          <w:szCs w:val="18"/>
          <w:color w:val="231F20"/>
        </w:rPr>
        <w:t>, $5.8 million was from customers in the United States and the remaining $5.2 million was from customers in foreign countries.</w:t>
      </w:r>
    </w:p>
    <w:p>
      <w:pPr>
        <w:spacing w:after="0" w:line="20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Revenues increased $32.3 million for the nine months ended September 30, 2019 compared to the nine months ended September 30, 2018, due to an increase in the purchase of subscriptions from existing customers and new customer subscriptions entered into after September 30, 2018. Of the total increase of $32.3 million, $ 15.0 million was from customers in the United States and the remaining $17.2 million was from customers in foreign countries. </w:t>
      </w:r>
      <w:r>
        <w:rPr>
          <w:rFonts w:ascii="Arial" w:cs="Arial" w:eastAsia="Arial" w:hAnsi="Arial"/>
          <w:sz w:val="18"/>
          <w:szCs w:val="18"/>
          <w:color w:val="000000"/>
        </w:rPr>
        <w:t>We expect revenue growth from existing and new customers to continue. The growth in</w:t>
      </w:r>
      <w:r>
        <w:rPr>
          <w:rFonts w:ascii="Arial" w:cs="Arial" w:eastAsia="Arial" w:hAnsi="Arial"/>
          <w:sz w:val="18"/>
          <w:szCs w:val="18"/>
          <w:color w:val="231F20"/>
        </w:rPr>
        <w:t xml:space="preserve"> </w:t>
      </w:r>
      <w:r>
        <w:rPr>
          <w:rFonts w:ascii="Arial" w:cs="Arial" w:eastAsia="Arial" w:hAnsi="Arial"/>
          <w:sz w:val="18"/>
          <w:szCs w:val="18"/>
          <w:color w:val="000000"/>
        </w:rPr>
        <w:t>revenues reflects the continued demand for our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(in thousands, except percentages)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17,108</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16,511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597</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  $</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52,354</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48,660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3,694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bl>
    <w:p>
      <w:pPr>
        <w:spacing w:after="0" w:line="21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Cost of revenues increased $0.6 million for the </w:t>
      </w:r>
      <w:r>
        <w:rPr>
          <w:rFonts w:ascii="Arial" w:cs="Arial" w:eastAsia="Arial" w:hAnsi="Arial"/>
          <w:sz w:val="18"/>
          <w:szCs w:val="18"/>
          <w:color w:val="000000"/>
        </w:rPr>
        <w:t>three months ended September 30, 2019</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September 30, 2018</w:t>
      </w:r>
      <w:r>
        <w:rPr>
          <w:rFonts w:ascii="Arial" w:cs="Arial" w:eastAsia="Arial" w:hAnsi="Arial"/>
          <w:sz w:val="18"/>
          <w:szCs w:val="18"/>
          <w:color w:val="231F20"/>
        </w:rPr>
        <w:t>. The increase was primarily due to $0.7 million increase in amortization expenses related to acquired technology from our</w:t>
      </w:r>
      <w:r>
        <w:rPr>
          <w:rFonts w:ascii="Arial" w:cs="Arial" w:eastAsia="Arial" w:hAnsi="Arial"/>
          <w:sz w:val="18"/>
          <w:szCs w:val="18"/>
          <w:color w:val="000000"/>
        </w:rPr>
        <w:t xml:space="preserve"> </w:t>
      </w:r>
      <w:r>
        <w:rPr>
          <w:rFonts w:ascii="Arial" w:cs="Arial" w:eastAsia="Arial" w:hAnsi="Arial"/>
          <w:sz w:val="18"/>
          <w:szCs w:val="18"/>
          <w:color w:val="231F20"/>
        </w:rPr>
        <w:t>business acquisitions as well as increased third-party software license and equipment repair and maintenance expenses of $0.5 million resulting from our continued business growth. These increases were partially offset by a decrease in personnel expenses of $0.5 million driven by a higher proportion of employees in lower-cost locations.</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Cost of revenues increased $3.7 million for the nine months ended September 30, 2019 compared to the nine months ended September 30, 2018. The increase was primarily a result of an increase of $2.2 million in amortization expense related to acquired technology resulting from our business acquisitions; increased data center and supply costs of $1.3 million; and increased third-party software license and equipment repair and maintenance expenses of $1.6 million resulting from our continued business growth. These increases were partially offset by a decrease of $0.2 million in stock-based compensation and personnel expenses of $1.1 million driven by a higher proportion of employees in lower-cost locations.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(in thousands, except percentages)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16,899</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12,501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4,398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35%  $</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50,431</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38,182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12,249</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bl>
    <w:p>
      <w:pPr>
        <w:spacing w:after="0" w:line="26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Research and development expenses increased $4.4 million for the three months ended September 30, 2019 compared to the three months ended September 30, 2018, primarily due to an increase in personnel expenses of $2.2 million driven by additional employees hired to support the growth of our business; an increase in acquisition-related expense of $0.6 million; an increase in stock-based compensation expense of $0.9 million; and an increase in allocation of overhead costs to the research and development department of $0.7 million related to the headcount increases.</w:t>
      </w:r>
    </w:p>
    <w:p>
      <w:pPr>
        <w:spacing w:after="0" w:line="31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Research and development expenses increased $12.2 million for the nine months ended September 30, 2019 compared to the nine months ended September 30, 2018, primarily due to an increase in personnel expenses of $6.1 million driven by additional employees hired to support the growth of our business; an increase in acquisition-related expense of $3.2 million offset by reversals of previous acquisition-related obligations of $1.4 million; an increase in allocation of overhead costs to the research and development department of $2.1 million related to the headcount increases; and increased stock-based compensation of $2.2 million.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(in thousands, except percentages)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17,009</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1,520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10%  $</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51,489</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50,698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791</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bl>
    <w:p>
      <w:pPr>
        <w:spacing w:after="0" w:line="21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Sales and marketing expenses increased $1.5 million for the three months ended September 30, 2019 compared to the three months ended September 30, 2018, primarily due to an increase in personnel expenses of $ 1.1 million driven by additional employees hired to support the growth of our business as well as increased trade show related expenses of $0.4 million.</w:t>
      </w:r>
    </w:p>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Sales and marketing expenses increased $0.8 million for the nine months ended September 30, 2019 compared to the nine months ended September 30, 2018, primarily due to an increase in personnel expenses of $3.3 million driven by additional employees hired to support the growth of our business. This increase was offset by a decrease in acquisition-related expense of $1.8 million and a decrease of $0.7 million of allocated overhead costs due to a lower proportion of sales and marketing employees in the employee base.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(in thousands, except percentages)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9,106</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66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  $</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29,961</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29,731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230</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bl>
    <w:p>
      <w:pPr>
        <w:spacing w:after="0" w:line="215"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231F20"/>
        </w:rPr>
        <w:t>General and administrative expenses for the three and nine months ended September 30, 2019 remained consistent with the same period a year ago.</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Total Other Income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(in thousands, except percentages)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28"/>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4"/>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1,786</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1,116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670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60%  $</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5,973</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3,245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2,728</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r>
    </w:tbl>
    <w:p>
      <w:pPr>
        <w:spacing w:after="0" w:line="21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Total other income (expense), net increased by $0.7 million for the three months ended September 30, 2019 compared to the three months ended September 30, 2018, primarily due to an increase of $0.5 million related to higher interest income and accretion of discount from our marketable securities portfolio and a decrease in foreign exchange loss of $0.2 million.</w:t>
      </w:r>
    </w:p>
    <w:p>
      <w:pPr>
        <w:spacing w:after="0" w:line="20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Total other income (expense), net increased by $2.7 million for the nine months ended September 30, 2019 compared to the nine months ended September 30, 2018, primarily due to an increase of $2.2 million related to higher interest income and accretion of discount from our marketable securities portfolio and a decrease in foreign exchange loss of $0.5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4"/>
          </w:tcPr>
          <w:p>
            <w:pPr>
              <w:ind w:left="80"/>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Nine Months Ended</w:t>
            </w:r>
          </w:p>
        </w:tc>
        <w:tc>
          <w:tcPr>
            <w:tcW w:w="640" w:type="dxa"/>
            <w:vAlign w:val="bottom"/>
          </w:tcPr>
          <w:p>
            <w:pPr>
              <w:spacing w:after="0"/>
              <w:rPr>
                <w:sz w:val="18"/>
                <w:szCs w:val="18"/>
                <w:color w:val="auto"/>
              </w:rPr>
            </w:pPr>
          </w:p>
        </w:tc>
      </w:tr>
      <w:tr>
        <w:trPr>
          <w:trHeight w:val="283"/>
        </w:trPr>
        <w:tc>
          <w:tcPr>
            <w:tcW w:w="1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4"/>
          </w:tcPr>
          <w:p>
            <w:pPr>
              <w:ind w:left="42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4"/>
          </w:tcPr>
          <w:p>
            <w:pPr>
              <w:ind w:left="4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24"/>
                <w:szCs w:val="24"/>
                <w:color w:val="auto"/>
              </w:rPr>
            </w:pPr>
          </w:p>
        </w:tc>
      </w:tr>
      <w:tr>
        <w:trPr>
          <w:trHeight w:val="264"/>
        </w:trPr>
        <w:tc>
          <w:tcPr>
            <w:tcW w:w="19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w:t>
            </w:r>
          </w:p>
        </w:tc>
      </w:tr>
      <w:tr>
        <w:trPr>
          <w:trHeight w:val="247"/>
        </w:trPr>
        <w:tc>
          <w:tcPr>
            <w:tcW w:w="1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00" w:type="dxa"/>
            <w:vAlign w:val="bottom"/>
            <w:gridSpan w:val="6"/>
          </w:tcPr>
          <w:p>
            <w:pPr>
              <w:ind w:left="460"/>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28"/>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(benefit) for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4"/>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5,161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231F20"/>
              </w:rPr>
              <w:t>(4,236)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9,397</w:t>
            </w:r>
          </w:p>
        </w:tc>
        <w:tc>
          <w:tcPr>
            <w:tcW w:w="100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(222)%  $</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10,009</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12,250</w:t>
            </w:r>
          </w:p>
        </w:tc>
        <w:tc>
          <w:tcPr>
            <w:tcW w:w="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(547)%</w:t>
            </w:r>
          </w:p>
        </w:tc>
      </w:tr>
      <w:tr>
        <w:trPr>
          <w:trHeight w:val="251"/>
        </w:trPr>
        <w:tc>
          <w:tcPr>
            <w:tcW w:w="190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spacing w:after="0"/>
              <w:rPr>
                <w:sz w:val="21"/>
                <w:szCs w:val="21"/>
                <w:color w:val="auto"/>
              </w:rPr>
            </w:pPr>
          </w:p>
        </w:tc>
      </w:tr>
    </w:tbl>
    <w:p>
      <w:pPr>
        <w:spacing w:after="0" w:line="262"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231F20"/>
        </w:rPr>
        <w:t xml:space="preserve">We recorded </w:t>
      </w:r>
      <w:r>
        <w:rPr>
          <w:rFonts w:ascii="Arial" w:cs="Arial" w:eastAsia="Arial" w:hAnsi="Arial"/>
          <w:sz w:val="18"/>
          <w:szCs w:val="18"/>
          <w:color w:val="000000"/>
        </w:rPr>
        <w:t>an income tax provision of $5.2 million</w:t>
      </w:r>
      <w:r>
        <w:rPr>
          <w:rFonts w:ascii="Arial" w:cs="Arial" w:eastAsia="Arial" w:hAnsi="Arial"/>
          <w:sz w:val="18"/>
          <w:szCs w:val="18"/>
          <w:color w:val="231F20"/>
        </w:rPr>
        <w:t xml:space="preserve"> and </w:t>
      </w:r>
      <w:r>
        <w:rPr>
          <w:rFonts w:ascii="Arial" w:cs="Arial" w:eastAsia="Arial" w:hAnsi="Arial"/>
          <w:sz w:val="18"/>
          <w:szCs w:val="18"/>
          <w:color w:val="000000"/>
        </w:rPr>
        <w:t>income tax</w:t>
      </w:r>
      <w:r>
        <w:rPr>
          <w:rFonts w:ascii="Arial" w:cs="Arial" w:eastAsia="Arial" w:hAnsi="Arial"/>
          <w:sz w:val="18"/>
          <w:szCs w:val="18"/>
          <w:color w:val="231F20"/>
        </w:rPr>
        <w:t xml:space="preserve"> benefit of $4.2 million for the three months ended September 30, 2019 and </w:t>
      </w:r>
      <w:r>
        <w:rPr>
          <w:rFonts w:ascii="Arial" w:cs="Arial" w:eastAsia="Arial" w:hAnsi="Arial"/>
          <w:sz w:val="18"/>
          <w:szCs w:val="18"/>
          <w:color w:val="000000"/>
        </w:rPr>
        <w:t>2018</w:t>
      </w:r>
      <w:r>
        <w:rPr>
          <w:rFonts w:ascii="Arial" w:cs="Arial" w:eastAsia="Arial" w:hAnsi="Arial"/>
          <w:sz w:val="18"/>
          <w:szCs w:val="18"/>
          <w:color w:val="231F20"/>
        </w:rPr>
        <w:t>, respectively.</w:t>
      </w:r>
    </w:p>
    <w:p>
      <w:pPr>
        <w:spacing w:after="0" w:line="196"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231F20"/>
        </w:rPr>
        <w:t xml:space="preserve">We recorded an income tax provision of $10.0 million and </w:t>
      </w:r>
      <w:r>
        <w:rPr>
          <w:rFonts w:ascii="Arial" w:cs="Arial" w:eastAsia="Arial" w:hAnsi="Arial"/>
          <w:sz w:val="18"/>
          <w:szCs w:val="18"/>
          <w:color w:val="000000"/>
        </w:rPr>
        <w:t>income tax</w:t>
      </w:r>
      <w:r>
        <w:rPr>
          <w:rFonts w:ascii="Arial" w:cs="Arial" w:eastAsia="Arial" w:hAnsi="Arial"/>
          <w:sz w:val="18"/>
          <w:szCs w:val="18"/>
          <w:color w:val="231F20"/>
        </w:rPr>
        <w:t xml:space="preserve"> benefit of $2.2 million for the nine months ended September 30, 2019 and 2018, respectively.</w:t>
      </w:r>
    </w:p>
    <w:p>
      <w:pPr>
        <w:spacing w:after="0" w:line="19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T</w:t>
      </w:r>
      <w:r>
        <w:rPr>
          <w:rFonts w:ascii="Arial" w:cs="Arial" w:eastAsia="Arial" w:hAnsi="Arial"/>
          <w:sz w:val="18"/>
          <w:szCs w:val="18"/>
          <w:color w:val="000000"/>
        </w:rPr>
        <w:t>he increase in income tax provision for the three and nine months ended September 30, 2019 is primarily due to an i</w:t>
      </w:r>
      <w:r>
        <w:rPr>
          <w:rFonts w:ascii="Arial" w:cs="Arial" w:eastAsia="Arial" w:hAnsi="Arial"/>
          <w:sz w:val="18"/>
          <w:szCs w:val="18"/>
          <w:color w:val="231F20"/>
        </w:rPr>
        <w:t>ncrease in pre-tax income and decrease in excess tax benefits from stock-based compensation for the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September 30, 2019</w:t>
      </w:r>
      <w:r>
        <w:rPr>
          <w:rFonts w:ascii="Arial" w:cs="Arial" w:eastAsia="Arial" w:hAnsi="Arial"/>
          <w:sz w:val="18"/>
          <w:szCs w:val="18"/>
          <w:color w:val="231F20"/>
        </w:rPr>
        <w:t>, our principal source of liquidity was cash, cash equivalents, and marketable securities of $399.0 million, including $19.8 million held outside of the United States. We do not anticipate that we will need funds generated from foreign operations to fund our domestic operations. However, if we repatriate these funds, we could be subject to foreign withholding taxes.</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We experienced positive cash flows from operations during each of the nine months ended September 30, 2019 and 2018. We believe our existing cash, cash equivalents, marketable securities, and cash from operations will be sufficient to fund our operations for at least the next twelve months. Our future capital requirements will depend on many factors, including our rate of revenue growth, the expansion of our sales and marketing activities, the timing, type and extent of our spending on research and development efforts, international expansion and investment in data centers. We may also seek to invest in or acquire complementary businesses or technologies.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47"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jc w:val="center"/>
              <w:ind w:left="55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2"/>
          </w:tcPr>
          <w:p>
            <w:pPr>
              <w:jc w:val="center"/>
              <w:ind w:left="53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126,949</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98,820</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(17,360)</w:t>
            </w:r>
          </w:p>
        </w:tc>
        <w:tc>
          <w:tcPr>
            <w:tcW w:w="6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(48,546)</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financing activities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(38,859)</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For the nine months ended September 30, 2019, cash flows from operating activities of $126.9 million primarily resulted from our net income of approximately $48.7 million, as adjusted for non-cash items including stock-based compensation of $25.2 million and depreciation and amortization expense of $23.5 million; and cash flows from working capital of $23.4 million mainly attributable to the continued growth in our deferred revenues and timing of customer</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31F20"/>
        </w:rPr>
        <w:t>payments.</w:t>
      </w:r>
    </w:p>
    <w:p>
      <w:pPr>
        <w:spacing w:after="0" w:line="2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For the nine months ended September 30, 2018, cash flows from operating activities of $98.8 million primarily resulted from our net income of approximately $42.9 million, as adjusted for non-cash items including stock-based compensation of $22.7 million and depreciation and amortization expense of $21.2 million; and an increase in deferred revenues of $12.4 million attributable to our continued growth.</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nine months ended September 30, 2019</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$ 17.4 million was attributable to sales and maturities</w:t>
      </w:r>
      <w:r>
        <w:rPr>
          <w:rFonts w:ascii="Arial" w:cs="Arial" w:eastAsia="Arial" w:hAnsi="Arial"/>
          <w:sz w:val="18"/>
          <w:szCs w:val="18"/>
          <w:color w:val="231F20"/>
        </w:rPr>
        <w:t xml:space="preserve"> </w:t>
      </w:r>
      <w:r>
        <w:rPr>
          <w:rFonts w:ascii="Arial" w:cs="Arial" w:eastAsia="Arial" w:hAnsi="Arial"/>
          <w:sz w:val="18"/>
          <w:szCs w:val="18"/>
          <w:color w:val="000000"/>
        </w:rPr>
        <w:t xml:space="preserve">of marketable securities, net of purchases of </w:t>
      </w:r>
      <w:r>
        <w:rPr>
          <w:rFonts w:ascii="Arial" w:cs="Arial" w:eastAsia="Arial" w:hAnsi="Arial"/>
          <w:sz w:val="18"/>
          <w:szCs w:val="18"/>
          <w:color w:val="231F20"/>
        </w:rPr>
        <w:t>$4.6 million</w:t>
      </w:r>
      <w:r>
        <w:rPr>
          <w:rFonts w:ascii="Arial" w:cs="Arial" w:eastAsia="Arial" w:hAnsi="Arial"/>
          <w:sz w:val="18"/>
          <w:szCs w:val="18"/>
          <w:color w:val="000000"/>
        </w:rPr>
        <w:t xml:space="preserve"> offset by </w:t>
      </w:r>
      <w:r>
        <w:rPr>
          <w:rFonts w:ascii="Arial" w:cs="Arial" w:eastAsia="Arial" w:hAnsi="Arial"/>
          <w:sz w:val="18"/>
          <w:szCs w:val="18"/>
          <w:color w:val="231F20"/>
        </w:rPr>
        <w:t>$19.5 million</w:t>
      </w:r>
      <w:r>
        <w:rPr>
          <w:rFonts w:ascii="Arial" w:cs="Arial" w:eastAsia="Arial" w:hAnsi="Arial"/>
          <w:sz w:val="18"/>
          <w:szCs w:val="18"/>
          <w:color w:val="000000"/>
        </w:rPr>
        <w:t xml:space="preserve"> of cash used for capital expenditures, including computer hardware and software for our data centers to support our growth and development, and to purchase physical scanner appliances and computer hardware provided to certain customers as part of their subscriptions. Additionally, we paid $1.8 million in cash in connection with our acquisition of the assets of Adya and an acquisition related holdback payment as well as $0.6 million to acquire a convertible security issued by our cost method investee.</w:t>
      </w:r>
    </w:p>
    <w:p>
      <w:pPr>
        <w:spacing w:after="0" w:line="20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For the nine months ended September 30, 2018, cash used in investing activities of $48.5 million was attributable to purchases of marketable securities, net of sales and maturities of $23.2 million, and $19.5 million of cash used for capital expenditures, including computer hardware and software for our data centers to support our growth and development, and to purchase physical scanner appliances and computer hardware provided to certain customers as part of their subscriptions. Additionally, we paid $3.4 million of cash in connection with our acquisition of the assets of 1Mobility and $2.5 million for our purchase of an investment in a privately-held company.</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jc w:val="both"/>
        <w:ind w:right="20" w:firstLine="486"/>
        <w:spacing w:after="0" w:line="254"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nine months ended September 30, 2019</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$75.0 million</w:t>
      </w:r>
      <w:r>
        <w:rPr>
          <w:rFonts w:ascii="Arial" w:cs="Arial" w:eastAsia="Arial" w:hAnsi="Arial"/>
          <w:sz w:val="18"/>
          <w:szCs w:val="18"/>
          <w:color w:val="231F20"/>
        </w:rPr>
        <w:t xml:space="preserve"> was attributable to share repurchases of $73.9 million</w:t>
      </w:r>
      <w:r>
        <w:rPr>
          <w:rFonts w:ascii="Arial" w:cs="Arial" w:eastAsia="Arial" w:hAnsi="Arial"/>
          <w:sz w:val="18"/>
          <w:szCs w:val="18"/>
          <w:color w:val="000000"/>
        </w:rPr>
        <w:t>, the payment of employee payroll taxes related to the net share settlement of equity awards of</w:t>
      </w:r>
      <w:r>
        <w:rPr>
          <w:rFonts w:ascii="Arial" w:cs="Arial" w:eastAsia="Arial" w:hAnsi="Arial"/>
          <w:sz w:val="18"/>
          <w:szCs w:val="18"/>
          <w:color w:val="231F20"/>
        </w:rPr>
        <w:t xml:space="preserve"> $10.9 million, and principal payments under finance lease obligations of $1.3 million. These decreases were partially offset by the proceeds from the exercise of stock options of $11.0 million.</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For the nine months ended September 30, 2018, cash used in financing activities of $38.9 million was attributable to share repurchases of $46.5 million, the payment of employee payroll taxes related to the net share settlement of equity awards of $ 12.0 million, and principal payments under capital lease obligations of $1.2 million. These decreases were offset by the proceeds from the exercise of stock options of $20.9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office equipment and finance leases. The following table summarizes our contractual cash obligations, including future interest payments, at </w:t>
      </w:r>
      <w:r>
        <w:rPr>
          <w:rFonts w:ascii="Arial" w:cs="Arial" w:eastAsia="Arial" w:hAnsi="Arial"/>
          <w:sz w:val="18"/>
          <w:szCs w:val="18"/>
          <w:color w:val="000000"/>
        </w:rPr>
        <w:t>September 30,</w:t>
      </w:r>
      <w:r>
        <w:rPr>
          <w:rFonts w:ascii="Arial" w:cs="Arial" w:eastAsia="Arial" w:hAnsi="Arial"/>
          <w:sz w:val="18"/>
          <w:szCs w:val="18"/>
          <w:color w:val="231F20"/>
        </w:rPr>
        <w:t xml:space="preserve"> </w:t>
      </w:r>
      <w:r>
        <w:rPr>
          <w:rFonts w:ascii="Arial" w:cs="Arial" w:eastAsia="Arial" w:hAnsi="Arial"/>
          <w:sz w:val="18"/>
          <w:szCs w:val="18"/>
          <w:color w:val="000000"/>
        </w:rPr>
        <w:t xml:space="preserve">2019 </w:t>
      </w:r>
      <w:r>
        <w:rPr>
          <w:rFonts w:ascii="Arial" w:cs="Arial" w:eastAsia="Arial" w:hAnsi="Arial"/>
          <w:sz w:val="18"/>
          <w:szCs w:val="18"/>
          <w:color w:val="231F20"/>
        </w:rPr>
        <w:t>and the effect such obligations are expected to have on our liquidity and cash flows in future periods: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rPr>
              <w:t>Payment Due by Period</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2019 (remaining</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 and</w:t>
            </w:r>
          </w:p>
        </w:tc>
      </w:tr>
      <w:tr>
        <w:trPr>
          <w:trHeight w:val="180"/>
        </w:trPr>
        <w:tc>
          <w:tcPr>
            <w:tcW w:w="354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300" w:type="dxa"/>
            <w:vAlign w:val="bottom"/>
          </w:tcPr>
          <w:p>
            <w:pPr>
              <w:spacing w:after="0"/>
              <w:rPr>
                <w:sz w:val="15"/>
                <w:szCs w:val="15"/>
                <w:color w:val="auto"/>
              </w:rPr>
            </w:pPr>
          </w:p>
        </w:tc>
        <w:tc>
          <w:tcPr>
            <w:tcW w:w="1120" w:type="dxa"/>
            <w:vAlign w:val="bottom"/>
            <w:gridSpan w:val="2"/>
          </w:tcPr>
          <w:p>
            <w:pPr>
              <w:ind w:left="160"/>
              <w:spacing w:after="0" w:line="181" w:lineRule="exact"/>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5"/>
                <w:szCs w:val="15"/>
                <w:color w:val="auto"/>
              </w:rPr>
            </w:pPr>
          </w:p>
        </w:tc>
        <w:tc>
          <w:tcPr>
            <w:tcW w:w="1660" w:type="dxa"/>
            <w:vAlign w:val="bottom"/>
            <w:gridSpan w:val="2"/>
          </w:tcPr>
          <w:p>
            <w:pPr>
              <w:jc w:val="center"/>
              <w:ind w:right="300"/>
              <w:spacing w:after="0" w:line="181" w:lineRule="exact"/>
              <w:rPr>
                <w:sz w:val="20"/>
                <w:szCs w:val="20"/>
                <w:color w:val="auto"/>
              </w:rPr>
            </w:pPr>
            <w:r>
              <w:rPr>
                <w:rFonts w:ascii="Arial" w:cs="Arial" w:eastAsia="Arial" w:hAnsi="Arial"/>
                <w:sz w:val="16"/>
                <w:szCs w:val="16"/>
                <w:b w:val="1"/>
                <w:bCs w:val="1"/>
                <w:color w:val="auto"/>
              </w:rPr>
              <w:t>three months)</w:t>
            </w:r>
          </w:p>
        </w:tc>
        <w:tc>
          <w:tcPr>
            <w:tcW w:w="140" w:type="dxa"/>
            <w:vAlign w:val="bottom"/>
          </w:tcPr>
          <w:p>
            <w:pPr>
              <w:spacing w:after="0"/>
              <w:rPr>
                <w:sz w:val="15"/>
                <w:szCs w:val="15"/>
                <w:color w:val="auto"/>
              </w:rPr>
            </w:pPr>
          </w:p>
        </w:tc>
        <w:tc>
          <w:tcPr>
            <w:tcW w:w="132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2020-2021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right"/>
              <w:ind w:right="259"/>
              <w:spacing w:after="0" w:line="181" w:lineRule="exact"/>
              <w:rPr>
                <w:sz w:val="20"/>
                <w:szCs w:val="20"/>
                <w:color w:val="auto"/>
              </w:rPr>
            </w:pPr>
            <w:r>
              <w:rPr>
                <w:rFonts w:ascii="Arial" w:cs="Arial" w:eastAsia="Arial" w:hAnsi="Arial"/>
                <w:sz w:val="16"/>
                <w:szCs w:val="16"/>
                <w:b w:val="1"/>
                <w:bCs w:val="1"/>
                <w:color w:val="auto"/>
              </w:rPr>
              <w:t>2022-2023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27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0"/>
        </w:trPr>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0"/>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45,113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19,299</w:t>
            </w:r>
          </w:p>
        </w:tc>
      </w:tr>
      <w:tr>
        <w:trPr>
          <w:trHeight w:val="260"/>
        </w:trPr>
        <w:tc>
          <w:tcPr>
            <w:tcW w:w="3540" w:type="dxa"/>
            <w:vAlign w:val="bottom"/>
            <w:gridSpan w:val="3"/>
          </w:tcPr>
          <w:p>
            <w:pPr>
              <w:ind w:left="40"/>
              <w:spacing w:after="0"/>
              <w:rPr>
                <w:sz w:val="20"/>
                <w:szCs w:val="20"/>
                <w:color w:val="auto"/>
              </w:rPr>
            </w:pPr>
            <w:r>
              <w:rPr>
                <w:rFonts w:ascii="Arial" w:cs="Arial" w:eastAsia="Arial" w:hAnsi="Arial"/>
                <w:sz w:val="16"/>
                <w:szCs w:val="16"/>
                <w:color w:val="auto"/>
              </w:rPr>
              <w:t>Finance lease obligations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627</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35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Purchase order obligations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22,091</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14,444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7,434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40" w:type="dxa"/>
            <w:vAlign w:val="bottom"/>
          </w:tcPr>
          <w:p>
            <w:pPr>
              <w:spacing w:after="0"/>
              <w:rPr>
                <w:sz w:val="20"/>
                <w:szCs w:val="20"/>
                <w:color w:val="auto"/>
              </w:rPr>
            </w:pPr>
          </w:p>
        </w:tc>
        <w:tc>
          <w:tcPr>
            <w:tcW w:w="350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67,831</w:t>
            </w: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17,179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22,185</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9,168</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19,299</w:t>
            </w: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 xml:space="preserve">On October 14, 2016, we entered into a lease agreement (included in the table above) for our new headquarters office facility. The lease payments commenced on May 1, 2018 and the lease has a ten-year term through April 2028. The total commitment of $38.6 million is payable monthly with escalating rental payments throughout the lease term. In connection with this lease, we provided the landlord with a $1.2 million standby letter of credit </w:t>
      </w:r>
      <w:r>
        <w:rPr>
          <w:rFonts w:ascii="Arial" w:cs="Arial" w:eastAsia="Arial" w:hAnsi="Arial"/>
          <w:sz w:val="18"/>
          <w:szCs w:val="18"/>
          <w:color w:val="000000"/>
        </w:rPr>
        <w:t>to secure our obligations through the end of the lease term, which was classified as restricted cash in the accompanying</w:t>
      </w:r>
      <w:r>
        <w:rPr>
          <w:rFonts w:ascii="Arial" w:cs="Arial" w:eastAsia="Arial" w:hAnsi="Arial"/>
          <w:sz w:val="18"/>
          <w:szCs w:val="18"/>
          <w:color w:val="231F20"/>
        </w:rPr>
        <w:t xml:space="preserve"> </w:t>
      </w:r>
      <w:r>
        <w:rPr>
          <w:rFonts w:ascii="Arial" w:cs="Arial" w:eastAsia="Arial" w:hAnsi="Arial"/>
          <w:sz w:val="18"/>
          <w:szCs w:val="18"/>
          <w:color w:val="000000"/>
        </w:rPr>
        <w:t xml:space="preserve">condensed consolidated balance sheets. As of September 30, 2019, the remaining commitment on this lease was </w:t>
      </w:r>
      <w:r>
        <w:rPr>
          <w:rFonts w:ascii="Arial" w:cs="Arial" w:eastAsia="Arial" w:hAnsi="Arial"/>
          <w:sz w:val="18"/>
          <w:szCs w:val="18"/>
          <w:color w:val="231F20"/>
        </w:rPr>
        <w:t>$33.8 million</w:t>
      </w:r>
      <w:r>
        <w:rPr>
          <w:rFonts w:ascii="Arial" w:cs="Arial" w:eastAsia="Arial" w:hAnsi="Arial"/>
          <w:sz w:val="18"/>
          <w:szCs w:val="18"/>
          <w:color w:val="000000"/>
        </w:rPr>
        <w:t>.</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Operating lease obligations represent our obligations to make payments under the lease agreements for our facilities, data centers, and office equipment leases. During the three and nine months ended September 30, 2019, we made payments on our operating lease obligations of $2.3 million and $6.5 million, respectively.</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Finance lease obligations represent financing on data center storage equipment. During the three and nine months ended September 30, 2019, we made principal payments on our finance lease obligations of $0.4 million and $1.3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2018, filed with the SEC on February 27, 2019, the accounting policies related to revenue recognition, leases, derivative instruments,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Apart from the adoption of ASU No. 2016-02, “Leases (Topic 842)” as of January 1, 2019, as described in Part 1, Item 1, Note 7, "Leases" of this Quarterly Report on Form 10-Q, there have been no material changes to our critical accounting policies and estimates as compared to the critical accounting policies and estimates as described in our Annual Report on Form 10-K for the fiscal year ended December 31, 2018, filed with the SEC on February 27,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6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3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Canadian Dollar and Japanese Yen. Our expenses in international locations are generally denominated in the currencies of the countries in which our operations are located.</w:t>
      </w:r>
    </w:p>
    <w:p>
      <w:pPr>
        <w:spacing w:after="0" w:line="206"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 xml:space="preserve">The cash flow effects of our derivative contracts for the nine months ended September 30, 2019 were included within net cash provided by operating activities on our condensed consolidated statements of cash flows. As of September 30, 2019, the Company had €19.9 million and £9.8 million of notional amounts outstanding on designated cash flow hedges. </w:t>
      </w:r>
      <w:r>
        <w:rPr>
          <w:rFonts w:ascii="Arial" w:cs="Arial" w:eastAsia="Arial" w:hAnsi="Arial"/>
          <w:sz w:val="18"/>
          <w:szCs w:val="18"/>
          <w:color w:val="231F20"/>
        </w:rPr>
        <w:t>During the three and nine months ended September 30, 2019,</w:t>
      </w:r>
      <w:r>
        <w:rPr>
          <w:rFonts w:ascii="Arial" w:cs="Arial" w:eastAsia="Arial" w:hAnsi="Arial"/>
          <w:sz w:val="18"/>
          <w:szCs w:val="18"/>
          <w:color w:val="auto"/>
        </w:rPr>
        <w:t xml:space="preserve"> </w:t>
      </w:r>
      <w:r>
        <w:rPr>
          <w:rFonts w:ascii="Arial" w:cs="Arial" w:eastAsia="Arial" w:hAnsi="Arial"/>
          <w:sz w:val="18"/>
          <w:szCs w:val="18"/>
          <w:color w:val="231F20"/>
        </w:rPr>
        <w:t xml:space="preserve">the Company recorded unrealized foreign currency translation gains related to these contracts in AOCI of </w:t>
      </w:r>
      <w:r>
        <w:rPr>
          <w:rFonts w:ascii="Arial" w:cs="Arial" w:eastAsia="Arial" w:hAnsi="Arial"/>
          <w:sz w:val="18"/>
          <w:szCs w:val="18"/>
          <w:color w:val="000000"/>
        </w:rPr>
        <w:t>$1.0 million and $1.4 million</w:t>
      </w:r>
      <w:r>
        <w:rPr>
          <w:rFonts w:ascii="Arial" w:cs="Arial" w:eastAsia="Arial" w:hAnsi="Arial"/>
          <w:sz w:val="18"/>
          <w:szCs w:val="18"/>
          <w:color w:val="231F20"/>
        </w:rPr>
        <w:t xml:space="preserve">, respectively, net of tax. The Company did not have any unrealized FX gains or losses during the three and nine months ended September 30, 2018, respectively. </w:t>
      </w:r>
      <w:r>
        <w:rPr>
          <w:rFonts w:ascii="Arial" w:cs="Arial" w:eastAsia="Arial" w:hAnsi="Arial"/>
          <w:sz w:val="18"/>
          <w:szCs w:val="18"/>
          <w:color w:val="000000"/>
        </w:rPr>
        <w:t>The effect of an immediate 10% adverse change in foreign exchange rates would not be material to our financial condition,</w:t>
      </w:r>
      <w:r>
        <w:rPr>
          <w:rFonts w:ascii="Arial" w:cs="Arial" w:eastAsia="Arial" w:hAnsi="Arial"/>
          <w:sz w:val="18"/>
          <w:szCs w:val="18"/>
          <w:color w:val="231F20"/>
        </w:rPr>
        <w:t xml:space="preserve"> </w:t>
      </w:r>
      <w:r>
        <w:rPr>
          <w:rFonts w:ascii="Arial" w:cs="Arial" w:eastAsia="Arial" w:hAnsi="Arial"/>
          <w:sz w:val="18"/>
          <w:szCs w:val="18"/>
          <w:color w:val="000000"/>
        </w:rPr>
        <w:t>operating results or cash flows.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had $399.0 million in cash, cash equivalents and marketable securities at September 30, 2019. Cash and cash equivalents include cash held in banks, highly liquid money market funds, U.S. government agency securities, and commercial paper. Marketable securities consist of fixed-income U.S. government agency securities, corporate bonds, asset-backed securities and commercial paper. We determine the appropriate balance sheet classification of our marketable securities at the time of purchase and reevaluate such designation at each balance sheet date. We classify our marketable securities as either short-term or long-term based on each instrument's underlying contractual maturity date.</w:t>
      </w:r>
    </w:p>
    <w:p>
      <w:pPr>
        <w:spacing w:after="0" w:line="20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2019.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2019, our Chief Executive Officer and Chief Financial Officer concluded that, as of such date, our disclosure controls and procedures were effective at the reasonable assurance level.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1"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Subscriptions to our Vulnerability Management solutions generate most of our revenues, and if we are unable to continue to renew and grow subscriptions for these solutions, our operating results would suffer.</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We derived approximately 73% of our revenues from subscriptions to our VM solutions for the nine months ended September 30, 2019.</w:t>
      </w:r>
    </w:p>
    <w:p>
      <w:pPr>
        <w:spacing w:after="0" w:line="22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VM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229" w:lineRule="exact"/>
        <w:rPr>
          <w:sz w:val="20"/>
          <w:szCs w:val="20"/>
          <w:color w:val="auto"/>
        </w:rPr>
      </w:pPr>
    </w:p>
    <w:p>
      <w:pPr>
        <w:jc w:val="both"/>
        <w:ind w:firstLine="392"/>
        <w:spacing w:after="0" w:line="35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1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perceived seasonal buying patterns of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660" w:hanging="328"/>
        <w:spacing w:after="0" w:line="3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income tax benefits that we recognize resulting from excess tax benefits related to stock-based compensation;</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6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202"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For example, a Data Protection Act that substantially implements the European Union’s General Data Protection Regulation was implemented in the United Kingdom in May 2018, and "Brexit" could also lead to further legislative and regulatory changes. It is unclear, however, how United Kingdom data protection laws or regulations will develop in the medium to longer term, and how data transfers to and from the United Kingdom will be regulated.</w:t>
      </w:r>
    </w:p>
    <w:p>
      <w:pPr>
        <w:spacing w:after="0" w:line="2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exceed expectations for our operating results for these or any other reasons, the trading price of our common stock could fall and we could face costly lawsuits, including securities class action suits.</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continues to evolve, and it is uncertain whether our new solutions will gain market acceptance.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33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171"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jc w:val="both"/>
        <w:ind w:firstLine="392"/>
        <w:spacing w:after="0" w:line="250"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VM for our business and revenues to grow as we expect. Revenues from our other solutions such as Policy Compliance, PCI Compliance, Security Assessment Questionnaire, Web Application Scanning, and Web Application Firewall have been relatively modest compared to revenues from our VM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2"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auto"/>
        </w:rPr>
        <w:t>We and our service providers face threats from a variety of sources, including attacks on our networks and systems from numerous sources, including traditional “hackers,” sophisticated nation-state and nation-state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supported actors, other sources of malicious code (such as viruses and worms),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and those of our service providers, may also suffer security incidents as a result of non-technical issues, including intentional or inadvertent acts or omissions by our employees or service providers.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21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Additionally, concerns regarding the effects of the "Brexit" decision, uncertainties related to changes in public policies such as domestic and international regulations, taxes or international trade agreements as well as geopolitical turmoil and other disruptions to global and regional economies and markets in many parts of the world, have and may continue to put pressure on global economic conditions and overall spending on IT security. We have operations, as well as current and potential customers, throughout most of Europe. If economic conditions in Europe and other key markets for our platform continue to remain uncertain or deteriorate further, many customers may delay or reduce their IT spending.</w:t>
      </w:r>
    </w:p>
    <w:p>
      <w:pPr>
        <w:spacing w:after="0" w:line="20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delivered from seven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Canada,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9"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 center</w:t>
      </w:r>
      <w:r>
        <w:rPr>
          <w:rFonts w:ascii="Arial" w:cs="Arial" w:eastAsia="Arial" w:hAnsi="Arial"/>
          <w:sz w:val="18"/>
          <w:szCs w:val="18"/>
          <w:color w:val="auto"/>
        </w:rPr>
        <w:t xml:space="preserve"> </w:t>
      </w:r>
      <w:r>
        <w:rPr>
          <w:rFonts w:ascii="Arial" w:cs="Arial" w:eastAsia="Arial" w:hAnsi="Arial"/>
          <w:sz w:val="18"/>
          <w:szCs w:val="18"/>
          <w:color w:val="231F20"/>
        </w:rPr>
        <w:t>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204"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19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 xml:space="preserve">We compete with large and small public companies, such as Carbon Black, Inc., FireEye, Inc., International Business Machines Corporation, Micro Focus International plc, Rapid7, Inc., Symantec Corporation, </w:t>
      </w:r>
      <w:r>
        <w:rPr>
          <w:rFonts w:ascii="Arial" w:cs="Arial" w:eastAsia="Arial" w:hAnsi="Arial"/>
          <w:sz w:val="18"/>
          <w:szCs w:val="18"/>
          <w:color w:val="000000"/>
        </w:rPr>
        <w:t>CrowdStrike Inc.,</w:t>
      </w:r>
      <w:r>
        <w:rPr>
          <w:rFonts w:ascii="Arial" w:cs="Arial" w:eastAsia="Arial" w:hAnsi="Arial"/>
          <w:sz w:val="18"/>
          <w:szCs w:val="18"/>
          <w:color w:val="231F20"/>
        </w:rPr>
        <w:t xml:space="preserve"> and Tenable Holdings, Inc., as well as privately held security providers including Barracuda Networks Inc., BeyondTrust Software, Inc.</w:t>
      </w:r>
      <w:r>
        <w:rPr>
          <w:rFonts w:ascii="Arial" w:cs="Arial" w:eastAsia="Arial" w:hAnsi="Arial"/>
          <w:sz w:val="18"/>
          <w:szCs w:val="18"/>
          <w:color w:val="000000"/>
        </w:rPr>
        <w:t>, Tanium Inc., Tripwire, Inc. and Trustwave</w:t>
      </w:r>
      <w:r>
        <w:rPr>
          <w:rFonts w:ascii="Arial" w:cs="Arial" w:eastAsia="Arial" w:hAnsi="Arial"/>
          <w:sz w:val="18"/>
          <w:szCs w:val="18"/>
          <w:color w:val="231F20"/>
        </w:rPr>
        <w:t xml:space="preserve"> </w:t>
      </w:r>
      <w:r>
        <w:rPr>
          <w:rFonts w:ascii="Arial" w:cs="Arial" w:eastAsia="Arial" w:hAnsi="Arial"/>
          <w:sz w:val="18"/>
          <w:szCs w:val="18"/>
          <w:color w:val="000000"/>
        </w:rPr>
        <w:t xml:space="preserve">Holdings, Inc. </w:t>
      </w:r>
      <w:r>
        <w:rPr>
          <w:rFonts w:ascii="Arial" w:cs="Arial" w:eastAsia="Arial" w:hAnsi="Arial"/>
          <w:sz w:val="18"/>
          <w:szCs w:val="18"/>
          <w:color w:val="231F20"/>
        </w:rPr>
        <w:t>We also seek to replace IT security and compliance solutions that organizations have developed internally. As we continue to</w:t>
      </w:r>
      <w:r>
        <w:rPr>
          <w:rFonts w:ascii="Arial" w:cs="Arial" w:eastAsia="Arial" w:hAnsi="Arial"/>
          <w:sz w:val="18"/>
          <w:szCs w:val="18"/>
          <w:color w:val="000000"/>
        </w:rPr>
        <w:t xml:space="preserve"> </w:t>
      </w:r>
      <w:r>
        <w:rPr>
          <w:rFonts w:ascii="Arial" w:cs="Arial" w:eastAsia="Arial" w:hAnsi="Arial"/>
          <w:sz w:val="18"/>
          <w:szCs w:val="18"/>
          <w:color w:val="231F20"/>
        </w:rPr>
        <w:t>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7"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2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6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24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1"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and subscriptions worldwide in U.S. Dollars, Euros, British Pounds, Canadian Dollars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213"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206"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solutions could harm our reputation, decrease market acceptance of our solutions, or result in liability.</w:t>
      </w:r>
    </w:p>
    <w:p>
      <w:pPr>
        <w:spacing w:after="0" w:line="175"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after commercial release of these solutions. Since our customers use our solutions for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212"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213"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General Data Protection Regulation, or GDPR. This regulation, which took effect in May of 2018, causes EU data protection requirements to be more stringent and provides for greater penalties. The GDPR may be subject to new or changing interpretations by courts, and our interpretation of the law and efforts to comply with the rules and regulations of the law may be ruled invalid. Noncompliance with the GDPR can trigger fines of up to €20 million or 4% of global annual revenues, whichever is higher. Similarly, California recently enacted the California Consumer Privacy Act (“CCPA”), which will, among other things, require covered companies to provide new disclosures to California consumers and afford such consumers new rights to opt-out of certain sales of personal information, when it goes into effect on January 1, 2020. The CCPA creates a private right of action for statutory damages for certain breaches of information. The CCPA has been amended on multiple occasions and is the subject of proposed regulations of the California Attorney General that were released on October 10, 2019. Aspects of the CCPA and its interpretation remain unclear. In addition, other states have enacted or proposed legislation that regulates the collection, use, and sale of personal information, and such regimes might not be compatible with either the GDPR or the CCPA or may require us to undertake additional practices. We cannot yet predict the impact of the CCPA or impending legislation on our business or operations, but it may require us to modify our data processing practices and policies and to incur substantial costs and expenses in an effort to comply.</w:t>
      </w:r>
    </w:p>
    <w:p>
      <w:pPr>
        <w:spacing w:after="0" w:line="210"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The privacy, data protection, and information security laws and regulations we must comply with also are subject to change. For example, the United Kingdom enacted a Data Protection Act in May 2018 that substantially implements the GDPR, but the June 2016 vote by United Kingdom voters to approve an exit from the European Union, commonly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referred to as “Brexit,” could lead to further legislative and regulatory changes, and it remains unclear how United Kingdom data protection laws or regulations will develop in the medium to longer term and how data transfers to and from the United Kingdom will be regulated. Additionally, U.S. and EU authorities reached a political agreement in February 2016 regarding a means for legitimizing personal data transfers from the EEA to the U.S., the EU-U.S. Privacy Shield Framework, replacing a prior program that was invalidated. We have joined the EU-U.S. Privacy Shield Framework and a related program, the Swiss-U.S. Privacy Shield Framework. The EU-U.S. Privacy Shield Framework is subject to legal challenge, however, and it or the Swiss-U.S. Privacy Shield Framework may be modified or invalidated. We may be unsuccessful in maintaining legitimate means for our transfer and receipt of personal data from the EEA or Switzerland. We may experience reluctance or refusal by current or prospective European customers to use our products, and we may find it necessary or desirable to make further changes to our handling of personal data of European residents.</w:t>
      </w:r>
    </w:p>
    <w:p>
      <w:pPr>
        <w:spacing w:after="0" w:line="213"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12"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31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as of September 30, 2019, approximately 67% of our employees were located outside of the United States, and 58% of our employees were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1"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 xml:space="preserve">We have experienced significant growth over the last several years. From </w:t>
      </w:r>
      <w:r>
        <w:rPr>
          <w:rFonts w:ascii="Arial" w:cs="Arial" w:eastAsia="Arial" w:hAnsi="Arial"/>
          <w:sz w:val="18"/>
          <w:szCs w:val="18"/>
          <w:color w:val="000000"/>
        </w:rPr>
        <w:t>2016</w:t>
      </w:r>
      <w:r>
        <w:rPr>
          <w:rFonts w:ascii="Arial" w:cs="Arial" w:eastAsia="Arial" w:hAnsi="Arial"/>
          <w:sz w:val="18"/>
          <w:szCs w:val="18"/>
          <w:color w:val="231F20"/>
        </w:rPr>
        <w:t xml:space="preserve"> to </w:t>
      </w:r>
      <w:r>
        <w:rPr>
          <w:rFonts w:ascii="Arial" w:cs="Arial" w:eastAsia="Arial" w:hAnsi="Arial"/>
          <w:sz w:val="18"/>
          <w:szCs w:val="18"/>
          <w:color w:val="000000"/>
        </w:rPr>
        <w:t>2018</w:t>
      </w:r>
      <w:r>
        <w:rPr>
          <w:rFonts w:ascii="Arial" w:cs="Arial" w:eastAsia="Arial" w:hAnsi="Arial"/>
          <w:sz w:val="18"/>
          <w:szCs w:val="18"/>
          <w:color w:val="231F20"/>
        </w:rPr>
        <w:t xml:space="preserve">, our revenues grew from $197.9 million to $278.9 million. Our headcount increased from 510 employees at the beginning of </w:t>
      </w:r>
      <w:r>
        <w:rPr>
          <w:rFonts w:ascii="Arial" w:cs="Arial" w:eastAsia="Arial" w:hAnsi="Arial"/>
          <w:sz w:val="18"/>
          <w:szCs w:val="18"/>
          <w:color w:val="000000"/>
        </w:rPr>
        <w:t>2016</w:t>
      </w:r>
      <w:r>
        <w:rPr>
          <w:rFonts w:ascii="Arial" w:cs="Arial" w:eastAsia="Arial" w:hAnsi="Arial"/>
          <w:sz w:val="18"/>
          <w:szCs w:val="18"/>
          <w:color w:val="231F20"/>
        </w:rPr>
        <w:t xml:space="preserve"> to 1,277 employees as of September 30, 2019.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nine months ended September 30, 2019, we derived approximately </w:t>
      </w:r>
      <w:r>
        <w:rPr>
          <w:rFonts w:ascii="Arial" w:cs="Arial" w:eastAsia="Arial" w:hAnsi="Arial"/>
          <w:sz w:val="18"/>
          <w:szCs w:val="18"/>
          <w:color w:val="000000"/>
        </w:rPr>
        <w:t>42%</w:t>
      </w:r>
      <w:r>
        <w:rPr>
          <w:rFonts w:ascii="Arial" w:cs="Arial" w:eastAsia="Arial" w:hAnsi="Arial"/>
          <w:sz w:val="18"/>
          <w:szCs w:val="18"/>
          <w:color w:val="231F20"/>
        </w:rPr>
        <w:t xml:space="preserve">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1"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We rely on third-party software -as-a-service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7"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1"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the nine months ended September 30, 2019, we incurred approximately 20% of our expenses in foreign currencies, primarily Euros, British Pounds, and Indian Rupee, principally with respect to salaries and related personnel expenses associated with our European and Indian operations. Additionally, for the nine months ended September 30, 2019, approximately 21%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results of our operations may be adversely affected by foreign exchange fluctuations.</w:t>
      </w:r>
    </w:p>
    <w:p>
      <w:pPr>
        <w:spacing w:after="0" w:line="213"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We use derivative financial instruments to reduce our foreign currency exchange risks. We use foreign currency forward contracts to mitigate the impact of foreign currency fluctuations of certain non-U.S. Dollar denominated asset positions, to date primarily cash and accounts receivable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1"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222222"/>
        </w:rPr>
        <w:t>September 30, 2019</w:t>
      </w:r>
      <w:r>
        <w:rPr>
          <w:rFonts w:ascii="Arial" w:cs="Arial" w:eastAsia="Arial" w:hAnsi="Arial"/>
          <w:sz w:val="18"/>
          <w:szCs w:val="18"/>
          <w:color w:val="231F20"/>
        </w:rPr>
        <w:t>, we had seventeen issued patents and several pending U.S. patent applications, and we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6"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the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and Pune, India, locations in which we have a substantial presence and need for highly skilled personnel and we may not be able to compete for these employees.</w:t>
      </w:r>
    </w:p>
    <w:p>
      <w:pPr>
        <w:spacing w:after="0" w:line="20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8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1"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For example, we acquired 1Mobility on April 1, 2018, Layered Insight on October 16, 2018 and Adya on January 10, 2019.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 acquisitions may still be</w:t>
      </w:r>
      <w:r>
        <w:rPr>
          <w:rFonts w:ascii="Arial" w:cs="Arial" w:eastAsia="Arial" w:hAnsi="Arial"/>
          <w:sz w:val="18"/>
          <w:szCs w:val="18"/>
          <w:color w:val="231F20"/>
        </w:rPr>
        <w:t xml:space="preserve"> </w:t>
      </w:r>
      <w:r>
        <w:rPr>
          <w:rFonts w:ascii="Arial" w:cs="Arial" w:eastAsia="Arial" w:hAnsi="Arial"/>
          <w:sz w:val="18"/>
          <w:szCs w:val="18"/>
          <w:color w:val="000000"/>
        </w:rPr>
        <w:t xml:space="preserve">viewed negatively by customers, financial markets or investors. </w:t>
      </w:r>
      <w:r>
        <w:rPr>
          <w:rFonts w:ascii="Arial" w:cs="Arial" w:eastAsia="Arial" w:hAnsi="Arial"/>
          <w:sz w:val="18"/>
          <w:szCs w:val="18"/>
          <w:color w:val="231F20"/>
        </w:rPr>
        <w:t>The acquisition and integration process is complex, expensive and time-consuming, and may cause an interruption of, or loss of momentum in, product development and sales activities and operations of both companies</w:t>
      </w:r>
      <w:r>
        <w:rPr>
          <w:rFonts w:ascii="Arial" w:cs="Arial" w:eastAsia="Arial" w:hAnsi="Arial"/>
          <w:sz w:val="18"/>
          <w:szCs w:val="18"/>
          <w:color w:val="000000"/>
        </w:rPr>
        <w:t>, as well as divert the attention of management and we may incur substantial cost and expense. We may issue equity securities</w:t>
      </w:r>
      <w:r>
        <w:rPr>
          <w:rFonts w:ascii="Arial" w:cs="Arial" w:eastAsia="Arial" w:hAnsi="Arial"/>
          <w:sz w:val="18"/>
          <w:szCs w:val="18"/>
          <w:color w:val="231F20"/>
        </w:rPr>
        <w:t xml:space="preserve"> </w:t>
      </w:r>
      <w:r>
        <w:rPr>
          <w:rFonts w:ascii="Arial" w:cs="Arial" w:eastAsia="Arial" w:hAnsi="Arial"/>
          <w:sz w:val="18"/>
          <w:szCs w:val="18"/>
          <w:color w:val="000000"/>
        </w:rPr>
        <w:t xml:space="preserve">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 acquisition candidates, and</w:t>
      </w:r>
      <w:r>
        <w:rPr>
          <w:rFonts w:ascii="Arial" w:cs="Arial" w:eastAsia="Arial" w:hAnsi="Arial"/>
          <w:sz w:val="18"/>
          <w:szCs w:val="18"/>
          <w:color w:val="000000"/>
        </w:rPr>
        <w:t xml:space="preserve"> </w:t>
      </w:r>
      <w:r>
        <w:rPr>
          <w:rFonts w:ascii="Arial" w:cs="Arial" w:eastAsia="Arial" w:hAnsi="Arial"/>
          <w:sz w:val="18"/>
          <w:szCs w:val="18"/>
          <w:color w:val="231F20"/>
        </w:rPr>
        <w:t>acquisitions we complete may be unsuccessful. If we consummate a transaction, we may be unable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1"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31F20"/>
        </w:rPr>
        <w:t>to integrate and manage acquired products and businesses effectively or retain key personnel. If we are unable to effectively execute acquisitions, our business, financial condition and operating results could be adversely affected.</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or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231F20"/>
        </w:rPr>
        <w:t>We have historically expensed commissions associated with sales of our solutions immediately upon receipt of a subscription order from a customer and generally recognize the revenues associated with such sale over the term of the agreement. Accordingly, our historical operating income in any period may not be indicative of our financial health and future performance. With the adoption of Accounting Standards Codification (ASC) 606, Revenue from Contracts with Customers effective January 1, 2018, we commenced capitalizing our commissions but elected to use the practical expedient in ASC 606 and expense commissions related to contracts with a renewal contract term of one year or less. As a result of the adoption of ASC 606, our future operating results may vary from period to period as our commission expense will not be directly comparable to historical periods.</w:t>
      </w:r>
    </w:p>
    <w:p>
      <w:pPr>
        <w:spacing w:after="0" w:line="300"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Through December 2017, we expensed commissions paid to our sales personnel in the quarter in which the related order was received. In contrast, we have generally recognized the revenues associated with a sale of our solutions ratably over the term of the subscription, which is typically one year. Accordingly, our historical results may have fluctuated based on timing of commission expenses as compared to revenue recognized. With the adoption of ASC 606, our operating results will also fluctuate and not be comparable to historical periods, and will continue to fluctuate as we will generally capitalize commissions for new and upsell contracts except for renewal sales that are one year or less. In addition, amortization of expense from previously capitalized contracts is expected to increase over time as our opening capitalized commission asset balance upon adoption of ASC 606 only included open contracts as of December 31, 2017.</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1"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excess tax benefits from stock-based compensation, and the valuation of deferred tax assets and liabilities, including our ability to utilize our federal and state net operating losses, which were $62.4 million as of December 31, 2018. Increases in our effective tax rate could harm our operating results.</w:t>
      </w:r>
    </w:p>
    <w:p>
      <w:pPr>
        <w:spacing w:after="0" w:line="206"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Additionally,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9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jc w:val="both"/>
        <w:ind w:firstLine="392"/>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2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 xml:space="preserve">Our </w:t>
      </w:r>
      <w:r>
        <w:rPr>
          <w:rFonts w:ascii="Arial" w:cs="Arial" w:eastAsia="Arial" w:hAnsi="Arial"/>
          <w:sz w:val="18"/>
          <w:szCs w:val="18"/>
          <w:color w:val="000000"/>
        </w:rPr>
        <w:t>internal control over financial reporting is a process designed to provide reasonable assurance regarding the reliability of financial</w:t>
      </w:r>
      <w:r>
        <w:rPr>
          <w:rFonts w:ascii="Arial" w:cs="Arial" w:eastAsia="Arial" w:hAnsi="Arial"/>
          <w:sz w:val="18"/>
          <w:szCs w:val="18"/>
          <w:color w:val="231F20"/>
        </w:rPr>
        <w:t xml:space="preserve"> </w:t>
      </w:r>
      <w:r>
        <w:rPr>
          <w:rFonts w:ascii="Arial" w:cs="Arial" w:eastAsia="Arial" w:hAnsi="Arial"/>
          <w:sz w:val="18"/>
          <w:szCs w:val="18"/>
          <w:color w:val="000000"/>
        </w:rPr>
        <w:t xml:space="preserve">reporting and the preparation of financial statements in accordance with GAAP. Our </w:t>
      </w:r>
      <w:r>
        <w:rPr>
          <w:rFonts w:ascii="Arial" w:cs="Arial" w:eastAsia="Arial" w:hAnsi="Arial"/>
          <w:sz w:val="18"/>
          <w:szCs w:val="18"/>
          <w:color w:val="231F20"/>
        </w:rPr>
        <w:t>current controls and any new controls that we develop may</w:t>
      </w:r>
      <w:r>
        <w:rPr>
          <w:rFonts w:ascii="Arial" w:cs="Arial" w:eastAsia="Arial" w:hAnsi="Arial"/>
          <w:sz w:val="18"/>
          <w:szCs w:val="18"/>
          <w:color w:val="000000"/>
        </w:rPr>
        <w:t xml:space="preserve"> </w:t>
      </w:r>
      <w:r>
        <w:rPr>
          <w:rFonts w:ascii="Arial" w:cs="Arial" w:eastAsia="Arial" w:hAnsi="Arial"/>
          <w:sz w:val="18"/>
          <w:szCs w:val="18"/>
          <w:color w:val="231F20"/>
        </w:rPr>
        <w:t>become inadequate because of changes in conditions in our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41"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231F20"/>
        </w:rPr>
        <w:t>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2018,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4" w:lineRule="exact"/>
        <w:rPr>
          <w:sz w:val="20"/>
          <w:szCs w:val="20"/>
          <w:color w:val="auto"/>
        </w:rPr>
      </w:pPr>
    </w:p>
    <w:p>
      <w:pPr>
        <w:ind w:left="660" w:hanging="328"/>
        <w:spacing w:after="0" w:line="35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66"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247"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9"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1"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31F20"/>
        </w:rPr>
        <w:t>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202"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As of September 30, 2019, our executive officers, directors and holders of 10% or more of our outstanding common stock beneficially owned, in the aggregate, approximately 31%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September 30, 2019, we had approximately 38.8 million shares of our common stock outstanding.</w:t>
      </w:r>
    </w:p>
    <w:p>
      <w:pPr>
        <w:spacing w:after="0" w:line="20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231F20"/>
        </w:rPr>
        <w:t>In addition, as of September 30, 2019, there were approximately 1.0 million restricted stock units and options to purchase approximately 3.2 million shares of our common stock outstanding. If such options are exercised and restricted stock units are released, these additional shares will become available for sale. As of September 30, 2019, we had an aggregate of 5.5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We cannot guarantee that our stock repurchase program will be fully consummated or that it will enhance stockholder value, and any stock repurchases we make could affect the price of our common stock.</w:t>
      </w:r>
    </w:p>
    <w:p>
      <w:pPr>
        <w:spacing w:after="0" w:line="175" w:lineRule="exact"/>
        <w:rPr>
          <w:sz w:val="20"/>
          <w:szCs w:val="20"/>
          <w:color w:val="auto"/>
        </w:rPr>
      </w:pPr>
    </w:p>
    <w:p>
      <w:pPr>
        <w:jc w:val="both"/>
        <w:ind w:firstLine="392"/>
        <w:spacing w:after="0" w:line="252" w:lineRule="auto"/>
        <w:rPr>
          <w:sz w:val="20"/>
          <w:szCs w:val="20"/>
          <w:color w:val="auto"/>
        </w:rPr>
      </w:pPr>
      <w:r>
        <w:rPr>
          <w:rFonts w:ascii="Arial" w:cs="Arial" w:eastAsia="Arial" w:hAnsi="Arial"/>
          <w:sz w:val="18"/>
          <w:szCs w:val="18"/>
          <w:color w:val="231F20"/>
        </w:rPr>
        <w:t>In February 2018, we announced a $100.0 million stock repurchase program, which was increased by an additional $100.0 million in October of 2018 and an additional $ 100.0 million in October 2019. Although our board of directors authorized this stock repurchase program, we are not obligated to repurchase any specific dollar amount or to acquire any specific number of shares. The stock repurchase program could affect the price of our common stock, increase volatility and diminish our cash reserves. In addition, it may be suspended or terminated at any time, which may result in a decrease in the price of our common stock. In the nine months ended September 30, 2019, we repurchased 881,455 shares of our common stock for an aggregate purchase price of approximately $73.9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41"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31F20"/>
        </w:rPr>
        <w:t>or paying any cash dividends for the foreseeable future. Any return to stockholders will therefore be limited to the value of their stock.</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1"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47"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auto"/>
        </w:rPr>
        <w:t>On February 5, 2018, our board of directors authorized a $100.0 million share repurchase program, which was announced on February 12, 2018. On October 30, 2018, we announced that our board of directors had authorized an increase of $ 100.0 million to the original share repurchase program authorization. On October 24, 2019, the Company's Board of Directors authorized an additional $100.0 million to the original share repurchase program authorization. Share repurchases may be effected from time to time through open market purchases or pursuant to a Rule 10b5-1 plan until October 30, 2020. During the three months ended September 30, 2019, we repurchased 603,417 shares of common stock for approximately $49.8 million. All share repurchases were made using cash resources. As of September 30, 2019, approximately $41.1 million remained available for share repurchases pursuant to our share repurchase program.</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repurchases of common stock during three months ended September 30, 2019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2060" w:type="dxa"/>
            <w:vAlign w:val="bottom"/>
            <w:gridSpan w:val="2"/>
          </w:tcPr>
          <w:p>
            <w:pPr>
              <w:ind w:left="60"/>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6"/>
                <w:szCs w:val="16"/>
                <w:color w:val="auto"/>
              </w:rPr>
            </w:pP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6"/>
                <w:szCs w:val="16"/>
                <w:color w:val="auto"/>
              </w:rPr>
            </w:pP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Average Price</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 Plan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Pr>
          <w:p>
            <w:pPr>
              <w:jc w:val="right"/>
              <w:ind w:right="13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Plan or Program</w:t>
            </w:r>
          </w:p>
        </w:tc>
      </w:tr>
      <w:tr>
        <w:trPr>
          <w:trHeight w:val="25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July 1, 2019 - July 31, 2019</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90,841,793</w:t>
            </w:r>
          </w:p>
        </w:tc>
      </w:tr>
      <w:tr>
        <w:trPr>
          <w:trHeight w:val="260"/>
        </w:trPr>
        <w:tc>
          <w:tcPr>
            <w:tcW w:w="4360" w:type="dxa"/>
            <w:vAlign w:val="bottom"/>
          </w:tcPr>
          <w:p>
            <w:pPr>
              <w:ind w:left="40"/>
              <w:spacing w:after="0"/>
              <w:rPr>
                <w:sz w:val="20"/>
                <w:szCs w:val="20"/>
                <w:color w:val="auto"/>
              </w:rPr>
            </w:pPr>
            <w:r>
              <w:rPr>
                <w:rFonts w:ascii="Arial" w:cs="Arial" w:eastAsia="Arial" w:hAnsi="Arial"/>
                <w:sz w:val="16"/>
                <w:szCs w:val="16"/>
                <w:color w:val="auto"/>
              </w:rPr>
              <w:t>August 1, 2019 - August 31, 2019</w:t>
            </w:r>
          </w:p>
        </w:tc>
        <w:tc>
          <w:tcPr>
            <w:tcW w:w="1380" w:type="dxa"/>
            <w:vAlign w:val="bottom"/>
            <w:gridSpan w:val="2"/>
          </w:tcPr>
          <w:p>
            <w:pPr>
              <w:jc w:val="right"/>
              <w:ind w:right="39"/>
              <w:spacing w:after="0"/>
              <w:rPr>
                <w:sz w:val="20"/>
                <w:szCs w:val="20"/>
                <w:color w:val="auto"/>
              </w:rPr>
            </w:pPr>
            <w:r>
              <w:rPr>
                <w:rFonts w:ascii="Arial" w:cs="Arial" w:eastAsia="Arial" w:hAnsi="Arial"/>
                <w:sz w:val="16"/>
                <w:szCs w:val="16"/>
                <w:color w:val="auto"/>
              </w:rPr>
              <w:t>603,417</w:t>
            </w:r>
          </w:p>
        </w:tc>
        <w:tc>
          <w:tcPr>
            <w:tcW w:w="54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82.47</w:t>
            </w:r>
          </w:p>
        </w:tc>
        <w:tc>
          <w:tcPr>
            <w:tcW w:w="100" w:type="dxa"/>
            <w:vAlign w:val="bottom"/>
          </w:tcPr>
          <w:p>
            <w:pPr>
              <w:spacing w:after="0"/>
              <w:rPr>
                <w:sz w:val="22"/>
                <w:szCs w:val="22"/>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603,417</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41,079,878</w:t>
            </w:r>
          </w:p>
        </w:tc>
      </w:tr>
      <w:tr>
        <w:trPr>
          <w:trHeight w:val="273"/>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September 1, 2019 - September 30, 2019</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41,079,878</w:t>
            </w:r>
          </w:p>
        </w:tc>
      </w:tr>
      <w:tr>
        <w:trPr>
          <w:trHeight w:val="267"/>
        </w:trPr>
        <w:tc>
          <w:tcPr>
            <w:tcW w:w="4360" w:type="dxa"/>
            <w:vAlign w:val="bottom"/>
          </w:tcPr>
          <w:p>
            <w:pPr>
              <w:ind w:left="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603,417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603,417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231F20"/>
        </w:rPr>
        <w:t>Item 6. Exhibits</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Exhibit</w:t>
      </w:r>
    </w:p>
    <w:p>
      <w:pPr>
        <w:ind w:left="52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763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 INS</w:t>
      </w:r>
    </w:p>
    <w:p>
      <w:pPr>
        <w:spacing w:after="0" w:line="200" w:lineRule="exact"/>
        <w:rPr>
          <w:sz w:val="20"/>
          <w:szCs w:val="20"/>
          <w:color w:val="auto"/>
        </w:rPr>
      </w:pPr>
    </w:p>
    <w:p>
      <w:pPr>
        <w:spacing w:after="0" w:line="255" w:lineRule="exact"/>
        <w:rPr>
          <w:sz w:val="20"/>
          <w:szCs w:val="20"/>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SCH</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60890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246" w:lineRule="exact"/>
        <w:rPr>
          <w:sz w:val="20"/>
          <w:szCs w:val="20"/>
          <w:color w:val="auto"/>
        </w:rPr>
      </w:pPr>
    </w:p>
    <w:p>
      <w:pPr>
        <w:ind w:right="200"/>
        <w:spacing w:after="0" w:line="246" w:lineRule="auto"/>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Certification of Chief Executive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72">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ind w:right="260"/>
        <w:spacing w:after="0" w:line="246" w:lineRule="auto"/>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Certification of Chief Financial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73">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ind w:right="200"/>
        <w:spacing w:after="0" w:line="246" w:lineRule="auto"/>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Certification of Chief Executive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74">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78" w:lineRule="exact"/>
        <w:rPr>
          <w:sz w:val="20"/>
          <w:szCs w:val="20"/>
          <w:color w:val="auto"/>
        </w:rPr>
      </w:pPr>
    </w:p>
    <w:p>
      <w:pPr>
        <w:ind w:right="260"/>
        <w:spacing w:after="0" w:line="246" w:lineRule="auto"/>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Certification of Chief Financial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75">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37" w:lineRule="exact"/>
        <w:rPr>
          <w:sz w:val="20"/>
          <w:szCs w:val="20"/>
          <w:color w:val="auto"/>
        </w:rPr>
      </w:pPr>
    </w:p>
    <w:p>
      <w:pPr>
        <w:ind w:left="320" w:right="280" w:hanging="323"/>
        <w:spacing w:after="0" w:line="246" w:lineRule="auto"/>
        <w:rPr>
          <w:sz w:val="20"/>
          <w:szCs w:val="20"/>
          <w:color w:val="auto"/>
        </w:rPr>
      </w:pPr>
      <w:r>
        <w:rPr>
          <w:rFonts w:ascii="Arial" w:cs="Arial" w:eastAsia="Arial" w:hAnsi="Arial"/>
          <w:sz w:val="18"/>
          <w:szCs w:val="18"/>
          <w:color w:val="231F20"/>
        </w:rPr>
        <w:t>XBRL Instance Document - the instance document does not appear in the interactive data file because its XBRL tags are embedded within the inline XBRL document.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Schema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Calculation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Definition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Labels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Presentation Linkbase Document.</w:t>
      </w:r>
    </w:p>
    <w:p>
      <w:pPr>
        <w:spacing w:after="0" w:line="200" w:lineRule="exact"/>
        <w:rPr>
          <w:sz w:val="20"/>
          <w:szCs w:val="20"/>
          <w:color w:val="auto"/>
        </w:rPr>
      </w:pPr>
    </w:p>
    <w:p>
      <w:pPr>
        <w:sectPr>
          <w:pgSz w:w="11900" w:h="16838" w:orient="portrait"/>
          <w:cols w:equalWidth="0" w:num="2">
            <w:col w:w="1360" w:space="480"/>
            <w:col w:w="9580"/>
          </w:cols>
          <w:pgMar w:left="240" w:top="360" w:right="239" w:bottom="1440" w:gutter="0" w:footer="0" w:header="0"/>
        </w:sectPr>
      </w:pPr>
    </w:p>
    <w:p>
      <w:pPr>
        <w:spacing w:after="0" w:line="66" w:lineRule="exact"/>
        <w:rPr>
          <w:sz w:val="20"/>
          <w:szCs w:val="20"/>
          <w:color w:val="auto"/>
        </w:rPr>
      </w:pPr>
    </w:p>
    <w:p>
      <w:pPr>
        <w:jc w:val="both"/>
        <w:ind w:left="500" w:hanging="6"/>
        <w:spacing w:after="0" w:line="254" w:lineRule="auto"/>
        <w:tabs>
          <w:tab w:leader="none" w:pos="907"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60" w:right="239" w:bottom="1440" w:gutter="0" w:footer="0" w:header="0"/>
          <w:type w:val="continuous"/>
        </w:sectPr>
      </w:pPr>
    </w:p>
    <w:bookmarkStart w:id="70" w:name="page71"/>
    <w:bookmarkEnd w:id="7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Foster City, State of California on October 30, 2019.</w:t>
      </w:r>
    </w:p>
    <w:p>
      <w:pPr>
        <w:spacing w:after="0" w:line="33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Melissa B. Fisher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4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33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October 30, 2019</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33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October 30, 2019</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2019,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204" w:lineRule="exact"/>
        <w:rPr>
          <w:sz w:val="20"/>
          <w:szCs w:val="20"/>
          <w:color w:val="auto"/>
        </w:rPr>
      </w:pPr>
    </w:p>
    <w:p>
      <w:pPr>
        <w:ind w:left="780" w:hanging="272"/>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October 30, 2019</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74" w:name="page75"/>
    <w:bookmarkEnd w:id="74"/>
    <w:p>
      <w:pPr>
        <w:ind w:left="10420"/>
        <w:spacing w:after="0"/>
        <w:rPr>
          <w:sz w:val="20"/>
          <w:szCs w:val="20"/>
          <w:color w:val="auto"/>
        </w:rPr>
      </w:pPr>
      <w:r>
        <w:rPr>
          <w:rFonts w:ascii="Arial" w:cs="Arial" w:eastAsia="Arial" w:hAnsi="Arial"/>
          <w:sz w:val="17"/>
          <w:szCs w:val="17"/>
          <w:b w:val="1"/>
          <w:bCs w:val="1"/>
          <w:color w:val="auto"/>
        </w:rPr>
        <w:t>Exhibit 32.2</w:t>
      </w:r>
    </w:p>
    <w:p>
      <w:pPr>
        <w:spacing w:after="0" w:line="250"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2019,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75" w:lineRule="exact"/>
        <w:rPr>
          <w:sz w:val="20"/>
          <w:szCs w:val="20"/>
          <w:color w:val="auto"/>
        </w:rPr>
      </w:pPr>
    </w:p>
    <w:p>
      <w:pPr>
        <w:ind w:left="780" w:hanging="27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October 30, 2019</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01"/>
    </w:lvl>
  </w:abstractNum>
  <w:abstractNum w:abstractNumId="17">
    <w:nsid w:val="721DA317"/>
    <w:multiLevelType w:val="hybridMultilevel"/>
    <w:lvl w:ilvl="0">
      <w:lvlJc w:val="left"/>
      <w:lvlText w:val="%1"/>
      <w:numFmt w:val="decimal"/>
      <w:start w:val="101"/>
    </w:lvl>
  </w:abstractNum>
  <w:abstractNum w:abstractNumId="18">
    <w:nsid w:val="2443A858"/>
    <w:multiLevelType w:val="hybridMultilevel"/>
    <w:lvl w:ilvl="0">
      <w:lvlJc w:val="left"/>
      <w:lvlText w:val="%1"/>
      <w:numFmt w:val="decimal"/>
      <w:start w:val="101"/>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decimal"/>
      <w:start w:val="2"/>
    </w:lvl>
  </w:abstractNum>
  <w:abstractNum w:abstractNumId="25">
    <w:nsid w:val="B03E0C6"/>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2019-12-28T03:35:35Z</dcterms:created>
  <dcterms:modified xsi:type="dcterms:W3CDTF">2019-12-28T03:35:35Z</dcterms:modified>
</cp:coreProperties>
</file>