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96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June 30, 2015</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July 31, 2015 was 34,090,124.</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40" w:type="dxa"/>
            <w:vAlign w:val="bottom"/>
            <w:gridSpan w:val="9"/>
          </w:tcPr>
          <w:p>
            <w:pPr>
              <w:ind w:left="100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June 30, 2015 and December 31, 2014</w:t>
              </w:r>
            </w:hyperlink>
          </w:p>
        </w:tc>
        <w:tc>
          <w:tcPr>
            <w:tcW w:w="80" w:type="dxa"/>
            <w:vAlign w:val="bottom"/>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040" w:type="dxa"/>
            <w:vAlign w:val="bottom"/>
            <w:tcBorders>
              <w:bottom w:val="single" w:sz="8" w:color="0000EE"/>
            </w:tcBorders>
            <w:gridSpan w:val="16"/>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Statements of Operations for the three and six months ended June 30, 2015 and 2014</w:t>
              </w:r>
            </w:hyperlink>
          </w:p>
        </w:tc>
        <w:tc>
          <w:tcPr>
            <w:tcW w:w="1760" w:type="dxa"/>
            <w:vAlign w:val="bottom"/>
            <w:gridSpan w:val="2"/>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8960" w:type="dxa"/>
            <w:vAlign w:val="bottom"/>
            <w:tcBorders>
              <w:bottom w:val="single" w:sz="8" w:color="0000EE"/>
            </w:tcBorders>
            <w:gridSpan w:val="1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Comprehensive Income for the three and six months ended June 30, 2015 and 2014</w:t>
              </w:r>
            </w:hyperlink>
          </w:p>
        </w:tc>
        <w:tc>
          <w:tcPr>
            <w:tcW w:w="840" w:type="dxa"/>
            <w:vAlign w:val="bottom"/>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 for the six months ended June 30, 2015 and 2014</w:t>
              </w:r>
            </w:hyperlink>
          </w:p>
        </w:tc>
        <w:tc>
          <w:tcPr>
            <w:tcW w:w="80" w:type="dxa"/>
            <w:vAlign w:val="bottom"/>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7360" w:type="dxa"/>
            <w:vAlign w:val="bottom"/>
            <w:tcBorders>
              <w:top w:val="single" w:sz="8" w:color="0000EE"/>
            </w:tcBorders>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2440" w:type="dxa"/>
            <w:vAlign w:val="bottom"/>
            <w:gridSpan w:val="3"/>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23</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tcBorders>
              <w:top w:val="single" w:sz="8" w:color="0000FF"/>
              <w:bottom w:val="single" w:sz="8" w:color="0000FF"/>
            </w:tcBorders>
            <w:gridSpan w:val="11"/>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Quantitative and Qualitative Disclosures About Market Risk</w:t>
              </w:r>
            </w:hyperlink>
          </w:p>
        </w:tc>
        <w:tc>
          <w:tcPr>
            <w:tcW w:w="2120" w:type="dxa"/>
            <w:vAlign w:val="bottom"/>
            <w:tcBorders>
              <w:top w:val="single" w:sz="8" w:color="0000FF"/>
            </w:tcBorders>
            <w:gridSpan w:val="3"/>
          </w:tcPr>
          <w:p>
            <w:pPr>
              <w:spacing w:after="0"/>
              <w:rPr>
                <w:sz w:val="19"/>
                <w:szCs w:val="19"/>
                <w:color w:val="auto"/>
              </w:rPr>
            </w:pPr>
          </w:p>
        </w:tc>
        <w:tc>
          <w:tcPr>
            <w:tcW w:w="3440" w:type="dxa"/>
            <w:vAlign w:val="bottom"/>
            <w:gridSpan w:val="4"/>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8"/>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40</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gridSpan w:val="9"/>
          </w:tcPr>
          <w:p>
            <w:pPr>
              <w:ind w:left="122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1">
              <w:r>
                <w:rPr>
                  <w:rFonts w:ascii="Arial" w:cs="Arial" w:eastAsia="Arial" w:hAnsi="Arial"/>
                  <w:sz w:val="16"/>
                  <w:szCs w:val="16"/>
                  <w:color w:val="0000FF"/>
                  <w:w w:val="99"/>
                </w:rPr>
                <w:t>Legal Proceedings</w:t>
              </w:r>
            </w:hyperlink>
          </w:p>
        </w:tc>
        <w:tc>
          <w:tcPr>
            <w:tcW w:w="8460" w:type="dxa"/>
            <w:vAlign w:val="bottom"/>
            <w:gridSpan w:val="13"/>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1">
              <w:r>
                <w:rPr>
                  <w:rFonts w:ascii="Arial" w:cs="Arial" w:eastAsia="Arial" w:hAnsi="Arial"/>
                  <w:sz w:val="16"/>
                  <w:szCs w:val="16"/>
                  <w:color w:val="0000FF"/>
                  <w:w w:val="89"/>
                </w:rPr>
                <w:t>41</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41">
              <w:r>
                <w:rPr>
                  <w:rFonts w:ascii="Arial" w:cs="Arial" w:eastAsia="Arial" w:hAnsi="Arial"/>
                  <w:sz w:val="16"/>
                  <w:szCs w:val="16"/>
                  <w:color w:val="0000FF"/>
                  <w:w w:val="98"/>
                </w:rPr>
                <w:t>Risk Factors</w:t>
              </w:r>
            </w:hyperlink>
          </w:p>
        </w:tc>
        <w:tc>
          <w:tcPr>
            <w:tcW w:w="890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1">
              <w:r>
                <w:rPr>
                  <w:rFonts w:ascii="Arial" w:cs="Arial" w:eastAsia="Arial" w:hAnsi="Arial"/>
                  <w:sz w:val="16"/>
                  <w:szCs w:val="16"/>
                  <w:color w:val="0000FF"/>
                  <w:w w:val="89"/>
                </w:rPr>
                <w:t>41</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2"/>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9"/>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2">
              <w:r>
                <w:rPr>
                  <w:rFonts w:ascii="Arial" w:cs="Arial" w:eastAsia="Arial" w:hAnsi="Arial"/>
                  <w:sz w:val="16"/>
                  <w:szCs w:val="16"/>
                  <w:color w:val="0000FF"/>
                  <w:w w:val="99"/>
                </w:rPr>
                <w:t>Other Information</w:t>
              </w:r>
            </w:hyperlink>
          </w:p>
        </w:tc>
        <w:tc>
          <w:tcPr>
            <w:tcW w:w="8540" w:type="dxa"/>
            <w:vAlign w:val="bottom"/>
            <w:gridSpan w:val="14"/>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62</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8"/>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63</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17"/>
                <w:szCs w:val="17"/>
                <w:color w:val="auto"/>
              </w:rPr>
            </w:pPr>
          </w:p>
        </w:tc>
        <w:tc>
          <w:tcPr>
            <w:tcW w:w="11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83"/>
        </w:trPr>
        <w:tc>
          <w:tcPr>
            <w:tcW w:w="8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4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76,504</w:t>
            </w:r>
          </w:p>
        </w:tc>
        <w:tc>
          <w:tcPr>
            <w:tcW w:w="0" w:type="dxa"/>
            <w:vAlign w:val="bottom"/>
          </w:tcPr>
          <w:p>
            <w:pPr>
              <w:spacing w:after="0"/>
              <w:rPr>
                <w:sz w:val="1"/>
                <w:szCs w:val="1"/>
                <w:color w:val="auto"/>
              </w:rPr>
            </w:pPr>
          </w:p>
        </w:tc>
      </w:tr>
      <w:tr>
        <w:trPr>
          <w:trHeight w:val="264"/>
        </w:trPr>
        <w:tc>
          <w:tcPr>
            <w:tcW w:w="848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74,052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50,714</w:t>
            </w: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$500 and $590 at June 30, 2015 and December 31, 2014, respectively</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32,993</w:t>
            </w:r>
          </w:p>
        </w:tc>
        <w:tc>
          <w:tcPr>
            <w:tcW w:w="0" w:type="dxa"/>
            <w:vAlign w:val="bottom"/>
          </w:tcPr>
          <w:p>
            <w:pPr>
              <w:spacing w:after="0"/>
              <w:rPr>
                <w:sz w:val="1"/>
                <w:szCs w:val="1"/>
                <w:color w:val="auto"/>
              </w:rPr>
            </w:pPr>
          </w:p>
        </w:tc>
      </w:tr>
      <w:tr>
        <w:trPr>
          <w:trHeight w:val="264"/>
        </w:trPr>
        <w:tc>
          <w:tcPr>
            <w:tcW w:w="8480" w:type="dxa"/>
            <w:vAlign w:val="bottom"/>
          </w:tcPr>
          <w:p>
            <w:pPr>
              <w:ind w:left="280"/>
              <w:spacing w:after="0"/>
              <w:rPr>
                <w:sz w:val="20"/>
                <w:szCs w:val="20"/>
                <w:color w:val="auto"/>
              </w:rPr>
            </w:pPr>
            <w:r>
              <w:rPr>
                <w:rFonts w:ascii="Arial" w:cs="Arial" w:eastAsia="Arial" w:hAnsi="Arial"/>
                <w:sz w:val="14"/>
                <w:szCs w:val="14"/>
                <w:color w:val="auto"/>
              </w:rPr>
              <w:t>Deferred tax assets, current</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5,540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8,520</w:t>
            </w: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7,311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6,528</w:t>
            </w:r>
          </w:p>
        </w:tc>
        <w:tc>
          <w:tcPr>
            <w:tcW w:w="0" w:type="dxa"/>
            <w:vAlign w:val="bottom"/>
          </w:tcPr>
          <w:p>
            <w:pPr>
              <w:spacing w:after="0"/>
              <w:rPr>
                <w:sz w:val="1"/>
                <w:szCs w:val="1"/>
                <w:color w:val="auto"/>
              </w:rPr>
            </w:pPr>
          </w:p>
        </w:tc>
      </w:tr>
      <w:tr>
        <w:trPr>
          <w:trHeight w:val="250"/>
        </w:trPr>
        <w:tc>
          <w:tcPr>
            <w:tcW w:w="848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205,513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175,259</w:t>
            </w: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39,448</w:t>
            </w:r>
          </w:p>
        </w:tc>
        <w:tc>
          <w:tcPr>
            <w:tcW w:w="0" w:type="dxa"/>
            <w:vAlign w:val="bottom"/>
          </w:tcPr>
          <w:p>
            <w:pPr>
              <w:spacing w:after="0"/>
              <w:rPr>
                <w:sz w:val="1"/>
                <w:szCs w:val="1"/>
                <w:color w:val="auto"/>
              </w:rPr>
            </w:pPr>
          </w:p>
        </w:tc>
      </w:tr>
      <w:tr>
        <w:trPr>
          <w:trHeight w:val="264"/>
        </w:trPr>
        <w:tc>
          <w:tcPr>
            <w:tcW w:w="848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29,238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26,618</w:t>
            </w: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14,119</w:t>
            </w:r>
          </w:p>
        </w:tc>
        <w:tc>
          <w:tcPr>
            <w:tcW w:w="0" w:type="dxa"/>
            <w:vAlign w:val="bottom"/>
          </w:tcPr>
          <w:p>
            <w:pPr>
              <w:spacing w:after="0"/>
              <w:rPr>
                <w:sz w:val="1"/>
                <w:szCs w:val="1"/>
                <w:color w:val="auto"/>
              </w:rPr>
            </w:pPr>
          </w:p>
        </w:tc>
      </w:tr>
      <w:tr>
        <w:trPr>
          <w:trHeight w:val="264"/>
        </w:trPr>
        <w:tc>
          <w:tcPr>
            <w:tcW w:w="848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1,805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260,024</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8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5,661</w:t>
            </w: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10,353</w:t>
            </w: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87,411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81,147</w:t>
            </w:r>
          </w:p>
        </w:tc>
        <w:tc>
          <w:tcPr>
            <w:tcW w:w="0" w:type="dxa"/>
            <w:vAlign w:val="bottom"/>
          </w:tcPr>
          <w:p>
            <w:pPr>
              <w:spacing w:after="0"/>
              <w:rPr>
                <w:sz w:val="1"/>
                <w:szCs w:val="1"/>
                <w:color w:val="auto"/>
              </w:rPr>
            </w:pPr>
          </w:p>
        </w:tc>
      </w:tr>
      <w:tr>
        <w:trPr>
          <w:trHeight w:val="25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99,051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97,161</w:t>
            </w:r>
          </w:p>
        </w:tc>
        <w:tc>
          <w:tcPr>
            <w:tcW w:w="0" w:type="dxa"/>
            <w:vAlign w:val="bottom"/>
          </w:tcPr>
          <w:p>
            <w:pPr>
              <w:spacing w:after="0"/>
              <w:rPr>
                <w:sz w:val="1"/>
                <w:szCs w:val="1"/>
                <w:color w:val="auto"/>
              </w:rPr>
            </w:pPr>
          </w:p>
        </w:tc>
      </w:tr>
      <w:tr>
        <w:trPr>
          <w:trHeight w:val="264"/>
        </w:trPr>
        <w:tc>
          <w:tcPr>
            <w:tcW w:w="848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9,711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50"/>
        </w:trPr>
        <w:tc>
          <w:tcPr>
            <w:tcW w:w="848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109,877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108,197</w:t>
            </w: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8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June 30, 2015 and</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 2014</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48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34,079,161 and 33,594,285 shares issued and outstanding</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480" w:type="dxa"/>
            <w:vAlign w:val="bottom"/>
          </w:tcPr>
          <w:p>
            <w:pPr>
              <w:ind w:left="280"/>
              <w:spacing w:after="0"/>
              <w:rPr>
                <w:sz w:val="20"/>
                <w:szCs w:val="20"/>
                <w:color w:val="auto"/>
              </w:rPr>
            </w:pPr>
            <w:r>
              <w:rPr>
                <w:rFonts w:ascii="Arial" w:cs="Arial" w:eastAsia="Arial" w:hAnsi="Arial"/>
                <w:sz w:val="14"/>
                <w:szCs w:val="14"/>
                <w:color w:val="auto"/>
              </w:rPr>
              <w:t>at June 30, 2015 and December 31, 2014, respectively</w:t>
            </w:r>
          </w:p>
        </w:tc>
        <w:tc>
          <w:tcPr>
            <w:tcW w:w="1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209,139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195,133</w:t>
            </w:r>
          </w:p>
        </w:tc>
        <w:tc>
          <w:tcPr>
            <w:tcW w:w="0" w:type="dxa"/>
            <w:vAlign w:val="bottom"/>
          </w:tcPr>
          <w:p>
            <w:pPr>
              <w:spacing w:after="0"/>
              <w:rPr>
                <w:sz w:val="1"/>
                <w:szCs w:val="1"/>
                <w:color w:val="auto"/>
              </w:rPr>
            </w:pPr>
          </w:p>
        </w:tc>
      </w:tr>
      <w:tr>
        <w:trPr>
          <w:trHeight w:val="264"/>
        </w:trPr>
        <w:tc>
          <w:tcPr>
            <w:tcW w:w="8480" w:type="dxa"/>
            <w:vAlign w:val="bottom"/>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8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(37,032)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(43,350)</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172,168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151,827</w:t>
            </w: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41" w:right="3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39,877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32,302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77,370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62,658</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8,157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7,175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16,121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14,021</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31,720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61,249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48,637</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14,355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12,815</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12,776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11,845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24,219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24,337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6,427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5,081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12,443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26,408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23,337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51,017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47,108</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320" w:type="dxa"/>
            <w:vAlign w:val="bottom"/>
            <w:tcBorders>
              <w:top w:val="single" w:sz="8" w:color="231F20"/>
              <w:bottom w:val="single" w:sz="8" w:color="231F20"/>
            </w:tcBorders>
          </w:tcPr>
          <w:p>
            <w:pPr>
              <w:spacing w:after="0"/>
              <w:rPr>
                <w:sz w:val="21"/>
                <w:szCs w:val="21"/>
                <w:color w:val="auto"/>
              </w:rPr>
            </w:pPr>
          </w:p>
        </w:tc>
        <w:tc>
          <w:tcPr>
            <w:tcW w:w="1060" w:type="dxa"/>
            <w:vAlign w:val="bottom"/>
            <w:tcBorders>
              <w:top w:val="single" w:sz="8" w:color="231F20"/>
              <w:bottom w:val="single" w:sz="8" w:color="231F20"/>
            </w:tcBorders>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231F20"/>
              <w:bottom w:val="single" w:sz="8" w:color="231F20"/>
            </w:tcBorders>
          </w:tcPr>
          <w:p>
            <w:pPr>
              <w:spacing w:after="0"/>
              <w:rPr>
                <w:sz w:val="21"/>
                <w:szCs w:val="21"/>
                <w:color w:val="auto"/>
              </w:rPr>
            </w:pPr>
          </w:p>
        </w:tc>
        <w:tc>
          <w:tcPr>
            <w:tcW w:w="1000" w:type="dxa"/>
            <w:vAlign w:val="bottom"/>
            <w:tcBorders>
              <w:top w:val="single" w:sz="8" w:color="231F20"/>
              <w:bottom w:val="single" w:sz="8" w:color="231F20"/>
            </w:tcBorders>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231F20"/>
              <w:bottom w:val="single" w:sz="8" w:color="231F20"/>
            </w:tcBorders>
          </w:tcPr>
          <w:p>
            <w:pPr>
              <w:spacing w:after="0"/>
              <w:rPr>
                <w:sz w:val="21"/>
                <w:szCs w:val="21"/>
                <w:color w:val="auto"/>
              </w:rPr>
            </w:pPr>
          </w:p>
        </w:tc>
        <w:tc>
          <w:tcPr>
            <w:tcW w:w="960" w:type="dxa"/>
            <w:vAlign w:val="bottom"/>
            <w:tcBorders>
              <w:top w:val="single" w:sz="8" w:color="231F20"/>
              <w:bottom w:val="single" w:sz="8" w:color="231F20"/>
            </w:tcBorders>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34,003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33,889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32,668</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38,475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38,363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36,966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3,316</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w:t>
            </w: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Available-for-sale investments:</w:t>
            </w: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gain (loss) on investments, net of tax</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Less: reclassification adjustment for net realized gain included in net income</w:t>
            </w:r>
          </w:p>
        </w:tc>
        <w:tc>
          <w:tcPr>
            <w:tcW w:w="88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0"/>
        </w:trPr>
        <w:tc>
          <w:tcPr>
            <w:tcW w:w="5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change, net of tax</w:t>
            </w: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50"/>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(loss), net</w:t>
            </w:r>
          </w:p>
        </w:tc>
        <w:tc>
          <w:tcPr>
            <w:tcW w:w="88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32</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1,258</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6,318</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1,226</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6,586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5,782</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4,606</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325</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(1,892)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367</w:t>
            </w: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(4,619)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5,911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4,240</w:t>
            </w: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25,550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15,194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(61,442)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(76,907)</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64,960</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(10,407)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(6,524)</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(23,734)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5,547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3,053</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250"/>
        </w:trPr>
        <w:tc>
          <w:tcPr>
            <w:tcW w:w="834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5,738</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2,571</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7,554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76,504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42,369</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41,672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8"/>
        </w:trPr>
        <w:tc>
          <w:tcPr>
            <w:tcW w:w="8340" w:type="dxa"/>
            <w:vAlign w:val="bottom"/>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9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2014</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six month periods ended June 30, 2015 are not necessarily indicative of the results of operations expected for the entire year ending December 31, 2015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2014</w:t>
      </w:r>
      <w:r>
        <w:rPr>
          <w:rFonts w:ascii="Arial" w:cs="Arial" w:eastAsia="Arial" w:hAnsi="Arial"/>
          <w:sz w:val="18"/>
          <w:szCs w:val="18"/>
          <w:color w:val="231F20"/>
        </w:rPr>
        <w:t xml:space="preserve"> filed with the SEC on March 6, 2015.</w:t>
      </w:r>
    </w:p>
    <w:p>
      <w:pPr>
        <w:spacing w:after="0" w:line="211" w:lineRule="exact"/>
        <w:rPr>
          <w:sz w:val="20"/>
          <w:szCs w:val="20"/>
          <w:color w:val="auto"/>
        </w:rPr>
      </w:pPr>
    </w:p>
    <w:p>
      <w:pPr>
        <w:ind w:right="720" w:firstLine="486"/>
        <w:spacing w:after="0" w:line="291" w:lineRule="auto"/>
        <w:rPr>
          <w:sz w:val="20"/>
          <w:szCs w:val="20"/>
          <w:color w:val="auto"/>
        </w:rPr>
      </w:pPr>
      <w:r>
        <w:rPr>
          <w:rFonts w:ascii="Arial" w:cs="Arial" w:eastAsia="Arial" w:hAnsi="Arial"/>
          <w:sz w:val="17"/>
          <w:szCs w:val="17"/>
          <w:color w:val="231F20"/>
        </w:rPr>
        <w:t>Certain prior year amounts related to income taxes have been reclassified to conform to the current year presentation. These reclassifications did not change previously reported total assets, liabilities, stockholders' equity, income from operations or net income.</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93"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majority-owned subsidiaries. All significant intercompany transactions and balances have been eliminated upon consolidation.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Correction of Immaterial Error</w:t>
      </w:r>
    </w:p>
    <w:p>
      <w:pPr>
        <w:spacing w:after="0" w:line="139"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During the fourth quarter of 2014, the Company identified an immaterial error in the financial statements of its foreign subsidiaries reporting in the applicable local foreign currencies as their functional currencies, resulting in translation adjustments included as a component of accumulated other comprehensive income (loss) in stockholders' equity. It was determined that the functional currency for the Company's local subsidiaries should be the U.S. dollar. Accordingly, remeasurement gains and losses on monetary assets and liabilities denominated in foreign currencies should be recorded to foreign exchange gains and losses in other income (expense) in the condensed consolidated statements of operations in accordance with GAAP.</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6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The Company reviewed the accounting error utilizing SEC Staff Accounting Bulletin No. 99, “Materiality” and SEC Staff Accounting Bulletin No. 108, “Effects of Prior Year Misstatements on Current Year Financial Statements.” Management evaluated the materiality of this error from a qualitative and quantitative perspective and determined the impact of the errors did not have a material impact on any individual prior period presentation or affect the trend of financial results. However, because the adjustment to correct the cumulative error on the consolidated balance sheets and statements of stockholders' equity would have had a material effect to the Company's consolidated statements of operations for the year ended December 31, 2014, the Company revised its previously reported financial statements for the 2012 and 2013 annual periods in </w:t>
      </w:r>
      <w:r>
        <w:rPr>
          <w:rFonts w:ascii="Arial" w:cs="Arial" w:eastAsia="Arial" w:hAnsi="Arial"/>
          <w:sz w:val="18"/>
          <w:szCs w:val="18"/>
          <w:color w:val="231F20"/>
        </w:rPr>
        <w:t>the Company’s Annual Report on Form 10-K for the year ended</w:t>
      </w:r>
      <w:r>
        <w:rPr>
          <w:rFonts w:ascii="Arial" w:cs="Arial" w:eastAsia="Arial" w:hAnsi="Arial"/>
          <w:sz w:val="18"/>
          <w:szCs w:val="18"/>
          <w:color w:val="auto"/>
        </w:rPr>
        <w:t xml:space="preserve"> December 31, 2014 </w:t>
      </w:r>
      <w:r>
        <w:rPr>
          <w:rFonts w:ascii="Arial" w:cs="Arial" w:eastAsia="Arial" w:hAnsi="Arial"/>
          <w:sz w:val="18"/>
          <w:szCs w:val="18"/>
          <w:color w:val="231F20"/>
        </w:rPr>
        <w:t>filed with the SEC on March 6,</w:t>
      </w:r>
      <w:r>
        <w:rPr>
          <w:rFonts w:ascii="Arial" w:cs="Arial" w:eastAsia="Arial" w:hAnsi="Arial"/>
          <w:sz w:val="18"/>
          <w:szCs w:val="18"/>
          <w:color w:val="auto"/>
        </w:rPr>
        <w:t xml:space="preserve"> </w:t>
      </w:r>
      <w:r>
        <w:rPr>
          <w:rFonts w:ascii="Arial" w:cs="Arial" w:eastAsia="Arial" w:hAnsi="Arial"/>
          <w:sz w:val="18"/>
          <w:szCs w:val="18"/>
          <w:color w:val="231F20"/>
        </w:rPr>
        <w:t xml:space="preserve">2015, </w:t>
      </w:r>
      <w:r>
        <w:rPr>
          <w:rFonts w:ascii="Arial" w:cs="Arial" w:eastAsia="Arial" w:hAnsi="Arial"/>
          <w:sz w:val="18"/>
          <w:szCs w:val="18"/>
          <w:color w:val="000000"/>
        </w:rPr>
        <w:t>to reflect the impact of the immaterial errors that had been corrected</w:t>
      </w:r>
      <w:r>
        <w:rPr>
          <w:rFonts w:ascii="Arial" w:cs="Arial" w:eastAsia="Arial" w:hAnsi="Arial"/>
          <w:sz w:val="18"/>
          <w:szCs w:val="18"/>
          <w:color w:val="231F20"/>
        </w:rPr>
        <w:t>.</w:t>
      </w:r>
    </w:p>
    <w:p>
      <w:pPr>
        <w:spacing w:after="0" w:line="98"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The following table summarizes the correction of previously reported amounts for the three and six month periods ended June 30, 2014 presented in the accompanying condensed consolidated financial statements (in thousands, except per share data):</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June 30, 2014</w:t>
            </w:r>
          </w:p>
        </w:tc>
      </w:tr>
      <w:tr>
        <w:trPr>
          <w:trHeight w:val="263"/>
        </w:trPr>
        <w:tc>
          <w:tcPr>
            <w:tcW w:w="6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as adjusted</w:t>
            </w:r>
          </w:p>
        </w:tc>
        <w:tc>
          <w:tcPr>
            <w:tcW w:w="10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as adjusted</w:t>
            </w: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color w:val="auto"/>
              </w:rPr>
              <w:t>Total other income, net</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w:t>
            </w:r>
          </w:p>
        </w:tc>
      </w:tr>
      <w:tr>
        <w:trPr>
          <w:trHeight w:val="276"/>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1,226</w:t>
            </w: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color w:val="auto"/>
              </w:rPr>
              <w:t>Net income per share: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r>
      <w:tr>
        <w:trPr>
          <w:trHeight w:val="264"/>
        </w:trPr>
        <w:tc>
          <w:tcPr>
            <w:tcW w:w="6920" w:type="dxa"/>
            <w:vAlign w:val="bottom"/>
          </w:tcPr>
          <w:p>
            <w:pPr>
              <w:ind w:left="1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0.03</w:t>
            </w:r>
          </w:p>
        </w:tc>
      </w:tr>
      <w:tr>
        <w:trPr>
          <w:trHeight w:val="330"/>
        </w:trPr>
        <w:tc>
          <w:tcPr>
            <w:tcW w:w="6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Condensed Consolidated Statements of Comprehensive Income: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foreign currency translation loss, net of tax</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8"/>
        </w:trPr>
        <w:tc>
          <w:tcPr>
            <w:tcW w:w="69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8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June 30, 2014</w:t>
            </w:r>
          </w:p>
        </w:tc>
      </w:tr>
      <w:tr>
        <w:trPr>
          <w:trHeight w:val="263"/>
        </w:trPr>
        <w:tc>
          <w:tcPr>
            <w:tcW w:w="8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as adjusted</w:t>
            </w:r>
          </w:p>
        </w:tc>
      </w:tr>
      <w:tr>
        <w:trPr>
          <w:trHeight w:val="264"/>
        </w:trPr>
        <w:tc>
          <w:tcPr>
            <w:tcW w:w="8300" w:type="dxa"/>
            <w:vAlign w:val="bottom"/>
          </w:tcPr>
          <w:p>
            <w:pPr>
              <w:ind w:left="40"/>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76"/>
        </w:trPr>
        <w:tc>
          <w:tcPr>
            <w:tcW w:w="8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15,194</w:t>
            </w:r>
          </w:p>
        </w:tc>
      </w:tr>
      <w:tr>
        <w:trPr>
          <w:trHeight w:val="264"/>
        </w:trPr>
        <w:tc>
          <w:tcPr>
            <w:tcW w:w="830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(18,471)</w:t>
            </w:r>
          </w:p>
        </w:tc>
      </w:tr>
      <w:tr>
        <w:trPr>
          <w:trHeight w:val="276"/>
        </w:trPr>
        <w:tc>
          <w:tcPr>
            <w:tcW w:w="8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58"/>
        </w:trPr>
        <w:tc>
          <w:tcPr>
            <w:tcW w:w="830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(697)</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9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w:t>
      </w:r>
    </w:p>
    <w:p>
      <w:pPr>
        <w:sectPr>
          <w:pgSz w:w="11900" w:h="16838" w:orient="portrait"/>
          <w:cols w:equalWidth="0" w:num="1">
            <w:col w:w="11400"/>
          </w:cols>
          <w:pgMar w:left="240" w:top="141"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41" w:right="25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231F20"/>
        </w:rPr>
        <w:t>assets, stock-based compensation and the provision for income taxes. Actual results could differ from those estimates and such differences may be material to the accompanying condensed consolidated financial statements.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31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The Company maintains an allowance for potential credit losses based upon the expected collectability of accounts receivable. The Company writes off its receivables once collection efforts are unsuccessful. As of </w:t>
      </w:r>
      <w:r>
        <w:rPr>
          <w:rFonts w:ascii="Arial" w:cs="Arial" w:eastAsia="Arial" w:hAnsi="Arial"/>
          <w:sz w:val="18"/>
          <w:szCs w:val="18"/>
          <w:color w:val="000000"/>
        </w:rPr>
        <w:t>June 30, 2015</w:t>
      </w:r>
      <w:r>
        <w:rPr>
          <w:rFonts w:ascii="Arial" w:cs="Arial" w:eastAsia="Arial" w:hAnsi="Arial"/>
          <w:sz w:val="18"/>
          <w:szCs w:val="18"/>
          <w:color w:val="231F20"/>
        </w:rPr>
        <w:t xml:space="preserve"> and </w:t>
      </w:r>
      <w:r>
        <w:rPr>
          <w:rFonts w:ascii="Arial" w:cs="Arial" w:eastAsia="Arial" w:hAnsi="Arial"/>
          <w:sz w:val="18"/>
          <w:szCs w:val="18"/>
          <w:color w:val="000000"/>
        </w:rPr>
        <w:t>December 31, 2014</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31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31F20"/>
        </w:rPr>
        <w:t>The Company capitalizes qualifying software costs developed or obtained for internal use. These costs generally include internal costs, such as payroll and benefits of those employees directly associated with the development of the software, and other consulting expenses. Total capitalized development costs are $0.4 million and $0.3 million at June 30, 2015 and December 31, 2014, respectively.</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1"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In May 2014, the Financial Accounting Standards Board (“FASB”) issued an Accounting Standard Update (“ASU”) amending revenue recognition guidance and requiring more detailed disclosures to enable users of financial statements to understand the nature, amount, timing, and uncertainty of revenue and cash flows arising from contracts with customers. On April 1, 2015, the FASB tentatively decided to defer the effective date of ASU 2014-09. If the proposed changes are finalized, ASU 2014-09 will be effective for fiscal years, and interim periods within those years, beginning after December 15, 2017, but entities will be permitted to early adopt the standard as of the original effective date. The new revenue standard may be applied retrospectively to each prior period presented or retrospectively with the cumulative effect recognized on date of adoption. The Company is currently evaluating the impact this ASU will have on its consolidated financial statements.</w:t>
      </w:r>
    </w:p>
    <w:p>
      <w:pPr>
        <w:spacing w:after="0" w:line="20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In January 2015, the FASB issued an ASU eliminating from U.S. GAAP the concept of extraordinary items, which required that an entity separately classify, present, and disclose extraordinary events and transactions. The guidance is effective for fiscal years, and interim periods within those fiscal years, beginning after December 15, 2015. A reporting entity may apply the amendments prospectively or retrospectively to all prior periods presented in the financial statements. Early adoption is permitted provided that the guidance is applied from the beginning of the fiscal year of adoption. The Company does not expect the adoption of this ASU to be material to their consolidated financial statements.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In April 2015, the FASB issued an ASU amending existing guidance which clarifies that software licenses contained in a cloud computing arrangement should be capitalized if the customer has the right to take possession of the software and the ability to run the software outside of the cloud computing arrangement. If a cloud computing arrangement does not include a software license, the customer should account for the arrangement as a service contract under existing guidelines. This guidance is effective for </w:t>
      </w:r>
      <w:r>
        <w:rPr>
          <w:rFonts w:ascii="Arial" w:cs="Arial" w:eastAsia="Arial" w:hAnsi="Arial"/>
          <w:sz w:val="18"/>
          <w:szCs w:val="18"/>
          <w:color w:val="000000"/>
        </w:rPr>
        <w:t>fiscal years, and interim periods within those fiscal</w:t>
      </w:r>
      <w:r>
        <w:rPr>
          <w:rFonts w:ascii="Arial" w:cs="Arial" w:eastAsia="Arial" w:hAnsi="Arial"/>
          <w:sz w:val="18"/>
          <w:szCs w:val="18"/>
          <w:color w:val="231F20"/>
        </w:rPr>
        <w:t xml:space="preserve"> </w:t>
      </w:r>
      <w:r>
        <w:rPr>
          <w:rFonts w:ascii="Arial" w:cs="Arial" w:eastAsia="Arial" w:hAnsi="Arial"/>
          <w:sz w:val="18"/>
          <w:szCs w:val="18"/>
          <w:color w:val="000000"/>
        </w:rPr>
        <w:t xml:space="preserve">years, </w:t>
      </w:r>
      <w:r>
        <w:rPr>
          <w:rFonts w:ascii="Arial" w:cs="Arial" w:eastAsia="Arial" w:hAnsi="Arial"/>
          <w:sz w:val="18"/>
          <w:szCs w:val="18"/>
          <w:color w:val="231F20"/>
        </w:rPr>
        <w:t>beginning after December 15, 2015.</w:t>
      </w:r>
      <w:r>
        <w:rPr>
          <w:rFonts w:ascii="Arial" w:cs="Arial" w:eastAsia="Arial" w:hAnsi="Arial"/>
          <w:sz w:val="18"/>
          <w:szCs w:val="18"/>
          <w:color w:val="000000"/>
        </w:rPr>
        <w:t xml:space="preserve"> A reporting entity may apply the amendments prospectively to all arrangements entered into or materially modified after the effective date or retrospectively. </w:t>
      </w:r>
      <w:r>
        <w:rPr>
          <w:rFonts w:ascii="Arial" w:cs="Arial" w:eastAsia="Arial" w:hAnsi="Arial"/>
          <w:sz w:val="18"/>
          <w:szCs w:val="18"/>
          <w:color w:val="231F20"/>
        </w:rPr>
        <w:t>Early adoption is permitted. The Company is currently evaluating the impact this</w:t>
      </w:r>
      <w:r>
        <w:rPr>
          <w:rFonts w:ascii="Arial" w:cs="Arial" w:eastAsia="Arial" w:hAnsi="Arial"/>
          <w:sz w:val="18"/>
          <w:szCs w:val="18"/>
          <w:color w:val="000000"/>
        </w:rPr>
        <w:t xml:space="preserve"> </w:t>
      </w:r>
      <w:r>
        <w:rPr>
          <w:rFonts w:ascii="Arial" w:cs="Arial" w:eastAsia="Arial" w:hAnsi="Arial"/>
          <w:sz w:val="18"/>
          <w:szCs w:val="18"/>
          <w:color w:val="231F20"/>
        </w:rPr>
        <w:t>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1"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highly liquid money market funds, which are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41" w:right="2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June 30, 2015</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41,300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41,300</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21,061</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21,697</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84,055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84,058</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15,936</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12,688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12,683</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64"/>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45,342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45,362</w:t>
            </w:r>
          </w:p>
        </w:tc>
      </w:tr>
      <w:tr>
        <w:trPr>
          <w:trHeight w:val="257"/>
        </w:trPr>
        <w:tc>
          <w:tcPr>
            <w:tcW w:w="47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74,030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74,052</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11,940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11,945</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7,090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7,086</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29,031</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187,114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187,141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December 31, 2014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36,024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36,024</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39,180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76,504</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4,999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33,277</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50,716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50,714</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16,094</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20,243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20,255</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39,436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39,448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166,656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166,666</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41"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 2015</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37,633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37,633</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57,307</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57,307</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19,769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19,769</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10,071</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10,071</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124,780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124,780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 2014</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53,832</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53,832</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15,537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16,094</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16,094</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91,462</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June 30, 2015</w:t>
            </w: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gridSpan w:val="3"/>
          </w:tcPr>
          <w:p>
            <w:pPr>
              <w:jc w:val="center"/>
              <w:ind w:left="1019"/>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37,633</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45,362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11,945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57,307</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19,769</w:t>
            </w: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10,071</w:t>
            </w:r>
          </w:p>
        </w:tc>
      </w:tr>
      <w:tr>
        <w:trPr>
          <w:trHeight w:val="24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95,750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124,780</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4"/>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6"/>
                <w:szCs w:val="16"/>
                <w:b w:val="1"/>
                <w:bCs w:val="1"/>
                <w:color w:val="auto"/>
              </w:rPr>
              <w:t>December 31, 2014</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8"/>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gridSpan w:val="3"/>
          </w:tcPr>
          <w:p>
            <w:pPr>
              <w:jc w:val="center"/>
              <w:ind w:left="1019"/>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33,577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20,255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53,832</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r>
      <w:tr>
        <w:trPr>
          <w:trHeight w:val="264"/>
        </w:trPr>
        <w:tc>
          <w:tcPr>
            <w:tcW w:w="402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7,327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16,094</w:t>
            </w:r>
          </w:p>
        </w:tc>
      </w:tr>
      <w:tr>
        <w:trPr>
          <w:trHeight w:val="24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52,014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41"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22222"/>
        </w:rPr>
        <w:t>At June 30, 2015, the Company had two outstanding forward contrac</w:t>
      </w:r>
      <w:r>
        <w:rPr>
          <w:rFonts w:ascii="Arial" w:cs="Arial" w:eastAsia="Arial" w:hAnsi="Arial"/>
          <w:sz w:val="18"/>
          <w:szCs w:val="18"/>
          <w:color w:val="000000"/>
        </w:rPr>
        <w:t>ts with notional amounts of 4.5 million Euros and 2.4 million British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Pounds, which expired on July 31, 2015. </w:t>
      </w:r>
      <w:r>
        <w:rPr>
          <w:rFonts w:ascii="Arial" w:cs="Arial" w:eastAsia="Arial" w:hAnsi="Arial"/>
          <w:sz w:val="18"/>
          <w:szCs w:val="18"/>
          <w:color w:val="222222"/>
        </w:rPr>
        <w:t>At December 31, 2014, the Company had two outstanding forward contracts with notional amounts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6.0 million Euros and 2.1 million British Pounds, which expired on </w:t>
      </w:r>
      <w:r>
        <w:rPr>
          <w:rFonts w:ascii="Arial" w:cs="Arial" w:eastAsia="Arial" w:hAnsi="Arial"/>
          <w:sz w:val="18"/>
          <w:szCs w:val="18"/>
          <w:color w:val="000000"/>
        </w:rPr>
        <w:t>January 31, 2015</w:t>
      </w:r>
      <w:r>
        <w:rPr>
          <w:rFonts w:ascii="Arial" w:cs="Arial" w:eastAsia="Arial" w:hAnsi="Arial"/>
          <w:sz w:val="18"/>
          <w:szCs w:val="18"/>
          <w:color w:val="222222"/>
        </w:rPr>
        <w:t xml:space="preserve">. These </w:t>
      </w:r>
      <w:r>
        <w:rPr>
          <w:rFonts w:ascii="Arial" w:cs="Arial" w:eastAsia="Arial" w:hAnsi="Arial"/>
          <w:sz w:val="18"/>
          <w:szCs w:val="18"/>
          <w:color w:val="231F20"/>
        </w:rPr>
        <w:t>forward contracts were entered into at the end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June 30, 2015</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2014</w:t>
      </w:r>
      <w:r>
        <w:rPr>
          <w:rFonts w:ascii="Arial" w:cs="Arial" w:eastAsia="Arial" w:hAnsi="Arial"/>
          <w:sz w:val="18"/>
          <w:szCs w:val="18"/>
          <w:color w:val="222222"/>
        </w:rPr>
        <w:t>.</w:t>
      </w:r>
      <w:r>
        <w:rPr>
          <w:rFonts w:ascii="Arial" w:cs="Arial" w:eastAsia="Arial" w:hAnsi="Arial"/>
          <w:sz w:val="18"/>
          <w:szCs w:val="18"/>
          <w:color w:val="231F20"/>
        </w:rPr>
        <w:t xml:space="preserve"> The Company recorded a loss of $0.4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million from these forward contracts, which was offset by other foreign currency transaction gains of $0.4 million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June 30, 2015. The Company recorded a net gain of $0.4 million, which was more than offset by other foreign currency transaction losses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$0.5 million during the six months ended June 30, 2015. For the three months ended June 30, 2014, the Company recorded an immaterial gain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from these contracts, which were more than offset by other foreign currency losses of $0.1 million. For the six months ended June 30,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the Company recorded a loss of $0.2 million from these forward contracts, which were partially offset by a small gain in other foreign currency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transactions. These derivatives did not meet the criteria to be designated as hedges. These instruments were valued using Level 2 inputs.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47"/>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42,243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35,576</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11,812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10,899</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20,538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19,861</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2,622</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80,136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71,889</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(50,898)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(45,271)</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29,238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26,618</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$ 7.4 million and </w:t>
      </w:r>
      <w:r>
        <w:rPr>
          <w:rFonts w:ascii="Arial" w:cs="Arial" w:eastAsia="Arial" w:hAnsi="Arial"/>
          <w:sz w:val="18"/>
          <w:szCs w:val="18"/>
          <w:color w:val="000000"/>
        </w:rPr>
        <w:t>$ 6.0</w:t>
      </w:r>
      <w:r>
        <w:rPr>
          <w:rFonts w:ascii="Arial" w:cs="Arial" w:eastAsia="Arial" w:hAnsi="Arial"/>
          <w:sz w:val="18"/>
          <w:szCs w:val="18"/>
          <w:color w:val="231F20"/>
        </w:rPr>
        <w:t xml:space="preserve"> million at </w:t>
      </w:r>
      <w:r>
        <w:rPr>
          <w:rFonts w:ascii="Arial" w:cs="Arial" w:eastAsia="Arial" w:hAnsi="Arial"/>
          <w:sz w:val="18"/>
          <w:szCs w:val="18"/>
          <w:color w:val="000000"/>
        </w:rPr>
        <w:t>June 30, 2015</w:t>
      </w:r>
      <w:r>
        <w:rPr>
          <w:rFonts w:ascii="Arial" w:cs="Arial" w:eastAsia="Arial" w:hAnsi="Arial"/>
          <w:sz w:val="18"/>
          <w:szCs w:val="18"/>
          <w:color w:val="231F20"/>
        </w:rPr>
        <w:t xml:space="preserve"> and December 31, 2014, respectively, including assets that have not been placed in service of $0.7 million and </w:t>
      </w:r>
      <w:r>
        <w:rPr>
          <w:rFonts w:ascii="Arial" w:cs="Arial" w:eastAsia="Arial" w:hAnsi="Arial"/>
          <w:sz w:val="18"/>
          <w:szCs w:val="18"/>
          <w:color w:val="000000"/>
        </w:rPr>
        <w:t>$1.4</w:t>
      </w:r>
      <w:r>
        <w:rPr>
          <w:rFonts w:ascii="Arial" w:cs="Arial" w:eastAsia="Arial" w:hAnsi="Arial"/>
          <w:sz w:val="18"/>
          <w:szCs w:val="18"/>
          <w:color w:val="231F20"/>
        </w:rPr>
        <w:t xml:space="preserve"> million, respectively. Other fixed assets not placed in service at </w:t>
      </w:r>
      <w:r>
        <w:rPr>
          <w:rFonts w:ascii="Arial" w:cs="Arial" w:eastAsia="Arial" w:hAnsi="Arial"/>
          <w:sz w:val="18"/>
          <w:szCs w:val="18"/>
          <w:color w:val="000000"/>
        </w:rPr>
        <w:t>June 30, 2015</w:t>
      </w:r>
      <w:r>
        <w:rPr>
          <w:rFonts w:ascii="Arial" w:cs="Arial" w:eastAsia="Arial" w:hAnsi="Arial"/>
          <w:sz w:val="18"/>
          <w:szCs w:val="18"/>
          <w:color w:val="231F20"/>
        </w:rPr>
        <w:t xml:space="preserve"> and December 31, 2014, included in computer equipment and leasehold improvements, are approximately $ 2.2 million and </w:t>
      </w:r>
      <w:r>
        <w:rPr>
          <w:rFonts w:ascii="Arial" w:cs="Arial" w:eastAsia="Arial" w:hAnsi="Arial"/>
          <w:sz w:val="18"/>
          <w:szCs w:val="18"/>
          <w:color w:val="000000"/>
        </w:rPr>
        <w:t>$2.8</w:t>
      </w:r>
      <w:r>
        <w:rPr>
          <w:rFonts w:ascii="Arial" w:cs="Arial" w:eastAsia="Arial" w:hAnsi="Arial"/>
          <w:sz w:val="18"/>
          <w:szCs w:val="18"/>
          <w:color w:val="231F20"/>
        </w:rPr>
        <w:t xml:space="preserve"> million, respectively. Depreciation and amortization expense relating to property and equipment was $3.3 million and $ 2.9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and 2014, respectively </w:t>
      </w:r>
      <w:r>
        <w:rPr>
          <w:rFonts w:ascii="Arial" w:cs="Arial" w:eastAsia="Arial" w:hAnsi="Arial"/>
          <w:sz w:val="18"/>
          <w:szCs w:val="18"/>
          <w:color w:val="000000"/>
        </w:rPr>
        <w:t>and $6.4 million and $5.6 million for the six months ended June 30, 2015 and 2014,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880" w:firstLine="486"/>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2014</w:t>
            </w: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520" w:type="dxa"/>
            <w:vAlign w:val="bottom"/>
          </w:tcPr>
          <w:p>
            <w:pPr>
              <w:jc w:val="center"/>
              <w:ind w:right="8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966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8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1,510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1,706</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52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and $0.2 million for the six months ended June 30, 2015 and 2014.</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2015</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2015</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2020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1,510</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June 30, 2015</w:t>
      </w:r>
      <w:r>
        <w:rPr>
          <w:rFonts w:ascii="Arial" w:cs="Arial" w:eastAsia="Arial" w:hAnsi="Arial"/>
          <w:sz w:val="18"/>
          <w:szCs w:val="18"/>
          <w:color w:val="231F20"/>
        </w:rPr>
        <w:t xml:space="preserve"> and December 31,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noncancellable operating leases for varying periods through 2019.</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June 30, 2015</w:t>
      </w:r>
      <w:r>
        <w:rPr>
          <w:rFonts w:ascii="Arial" w:cs="Arial" w:eastAsia="Arial" w:hAnsi="Arial"/>
          <w:sz w:val="18"/>
          <w:szCs w:val="18"/>
          <w:color w:val="231F2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Operating Leases</w:t>
            </w:r>
          </w:p>
        </w:tc>
      </w:tr>
      <w:tr>
        <w:trPr>
          <w:trHeight w:val="247"/>
        </w:trPr>
        <w:tc>
          <w:tcPr>
            <w:tcW w:w="9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2,097</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3,156</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1,864</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456</w:t>
            </w:r>
          </w:p>
        </w:tc>
      </w:tr>
      <w:tr>
        <w:trPr>
          <w:trHeight w:val="246"/>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40"/>
        </w:trPr>
        <w:tc>
          <w:tcPr>
            <w:tcW w:w="972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7,783</w:t>
            </w: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 xml:space="preserve">Rent expense was $1.7 million and $1.5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respectively, and $3.3 million and $3.0 million for the six months ended June 30, 2015 and 2014,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 xml:space="preserve">June 30, 2015 </w:t>
      </w:r>
      <w:r>
        <w:rPr>
          <w:rFonts w:ascii="Arial" w:cs="Arial" w:eastAsia="Arial" w:hAnsi="Arial"/>
          <w:sz w:val="18"/>
          <w:szCs w:val="18"/>
          <w:color w:val="231F20"/>
        </w:rPr>
        <w:t>and</w:t>
      </w:r>
      <w:r>
        <w:rPr>
          <w:rFonts w:ascii="Arial" w:cs="Arial" w:eastAsia="Arial" w:hAnsi="Arial"/>
          <w:sz w:val="18"/>
          <w:szCs w:val="18"/>
          <w:color w:val="000000"/>
        </w:rPr>
        <w:t xml:space="preserve"> December 31, 2014</w:t>
      </w:r>
      <w:r>
        <w:rPr>
          <w:rFonts w:ascii="Arial" w:cs="Arial" w:eastAsia="Arial" w:hAnsi="Arial"/>
          <w:sz w:val="18"/>
          <w:szCs w:val="18"/>
          <w:color w:val="231F20"/>
        </w:rPr>
        <w:t>, the Company has accrued $0.6 million and $0.5 million of deferred rent, respectively, related to these</w:t>
      </w:r>
      <w:r>
        <w:rPr>
          <w:rFonts w:ascii="Arial" w:cs="Arial" w:eastAsia="Arial" w:hAnsi="Arial"/>
          <w:sz w:val="18"/>
          <w:szCs w:val="18"/>
          <w:color w:val="000000"/>
        </w:rPr>
        <w:t xml:space="preserve"> </w:t>
      </w:r>
      <w:r>
        <w:rPr>
          <w:rFonts w:ascii="Arial" w:cs="Arial" w:eastAsia="Arial" w:hAnsi="Arial"/>
          <w:sz w:val="18"/>
          <w:szCs w:val="18"/>
          <w:color w:val="231F20"/>
        </w:rPr>
        <w:t>agreements, which is reflected in accrued liabilities and other noncurrent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20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$0.6 million </w:t>
      </w:r>
      <w:r>
        <w:rPr>
          <w:rFonts w:ascii="Arial" w:cs="Arial" w:eastAsia="Arial" w:hAnsi="Arial"/>
          <w:sz w:val="18"/>
          <w:szCs w:val="18"/>
          <w:color w:val="000000"/>
        </w:rPr>
        <w:t>and</w:t>
      </w:r>
      <w:r>
        <w:rPr>
          <w:rFonts w:ascii="Arial" w:cs="Arial" w:eastAsia="Arial" w:hAnsi="Arial"/>
          <w:sz w:val="18"/>
          <w:szCs w:val="18"/>
          <w:color w:val="231F20"/>
        </w:rPr>
        <w:t xml:space="preserve"> </w:t>
      </w:r>
      <w:r>
        <w:rPr>
          <w:rFonts w:ascii="Arial" w:cs="Arial" w:eastAsia="Arial" w:hAnsi="Arial"/>
          <w:sz w:val="18"/>
          <w:szCs w:val="18"/>
          <w:color w:val="000000"/>
        </w:rPr>
        <w:t>$0.5 million</w:t>
      </w:r>
      <w:r>
        <w:rPr>
          <w:rFonts w:ascii="Arial" w:cs="Arial" w:eastAsia="Arial" w:hAnsi="Arial"/>
          <w:sz w:val="18"/>
          <w:szCs w:val="18"/>
          <w:color w:val="231F20"/>
        </w:rPr>
        <w:t xml:space="preserve"> at </w:t>
      </w:r>
      <w:r>
        <w:rPr>
          <w:rFonts w:ascii="Arial" w:cs="Arial" w:eastAsia="Arial" w:hAnsi="Arial"/>
          <w:sz w:val="18"/>
          <w:szCs w:val="18"/>
          <w:color w:val="000000"/>
        </w:rPr>
        <w:t>June 30, 2015</w:t>
      </w:r>
      <w:r>
        <w:rPr>
          <w:rFonts w:ascii="Arial" w:cs="Arial" w:eastAsia="Arial" w:hAnsi="Arial"/>
          <w:sz w:val="18"/>
          <w:szCs w:val="18"/>
          <w:color w:val="231F20"/>
        </w:rPr>
        <w:t xml:space="preserve"> and </w:t>
      </w:r>
      <w:r>
        <w:rPr>
          <w:rFonts w:ascii="Arial" w:cs="Arial" w:eastAsia="Arial" w:hAnsi="Arial"/>
          <w:sz w:val="18"/>
          <w:szCs w:val="18"/>
          <w:color w:val="000000"/>
        </w:rPr>
        <w:t>December 31, 2014</w:t>
      </w:r>
      <w:r>
        <w:rPr>
          <w:rFonts w:ascii="Arial" w:cs="Arial" w:eastAsia="Arial" w:hAnsi="Arial"/>
          <w:sz w:val="18"/>
          <w:szCs w:val="18"/>
          <w:color w:val="231F20"/>
        </w:rPr>
        <w:t xml:space="preserve">, respectively,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June 30, 2015</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June 30, 2015</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41" w:right="27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6,348,478 shares of common stock. Options may be granted with an exercise price that is at least equal to the fair market value of the Company's stock at the date of grant and are exercisable when vested. As of June 30, 2015, 2,232,459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Employee stock-based compensation is included in the condensed consolidated statements of operations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0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6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24"/>
                <w:szCs w:val="24"/>
                <w:color w:val="auto"/>
              </w:rPr>
            </w:pPr>
          </w:p>
        </w:tc>
      </w:tr>
      <w:tr>
        <w:trPr>
          <w:trHeight w:val="264"/>
        </w:trPr>
        <w:tc>
          <w:tcPr>
            <w:tcW w:w="6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47"/>
        </w:trPr>
        <w:tc>
          <w:tcPr>
            <w:tcW w:w="6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20" w:type="dxa"/>
            <w:vAlign w:val="bottom"/>
            <w:gridSpan w:val="5"/>
          </w:tcPr>
          <w:p>
            <w:pPr>
              <w:ind w:left="30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945</w:t>
            </w:r>
          </w:p>
        </w:tc>
      </w:tr>
      <w:tr>
        <w:trPr>
          <w:trHeight w:val="28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1,765</w:t>
            </w:r>
          </w:p>
        </w:tc>
      </w:tr>
      <w:tr>
        <w:trPr>
          <w:trHeight w:val="24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employee stock-based compensation</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7,691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4,295</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2015</w:t>
      </w:r>
      <w:r>
        <w:rPr>
          <w:rFonts w:ascii="Arial" w:cs="Arial" w:eastAsia="Arial" w:hAnsi="Arial"/>
          <w:sz w:val="18"/>
          <w:szCs w:val="18"/>
          <w:color w:val="231F20"/>
        </w:rPr>
        <w:t xml:space="preserve">, the Company had </w:t>
      </w:r>
      <w:r>
        <w:rPr>
          <w:rFonts w:ascii="Arial" w:cs="Arial" w:eastAsia="Arial" w:hAnsi="Arial"/>
          <w:sz w:val="18"/>
          <w:szCs w:val="18"/>
          <w:color w:val="000000"/>
        </w:rPr>
        <w:t>$25.3 million</w:t>
      </w:r>
      <w:r>
        <w:rPr>
          <w:rFonts w:ascii="Arial" w:cs="Arial" w:eastAsia="Arial" w:hAnsi="Arial"/>
          <w:sz w:val="18"/>
          <w:szCs w:val="18"/>
          <w:color w:val="231F20"/>
        </w:rPr>
        <w:t xml:space="preserve"> of total unrecognized employee compensation cost related to unvested awards that it expects to recognize over a weighted-average period of </w:t>
      </w:r>
      <w:r>
        <w:rPr>
          <w:rFonts w:ascii="Arial" w:cs="Arial" w:eastAsia="Arial" w:hAnsi="Arial"/>
          <w:sz w:val="18"/>
          <w:szCs w:val="18"/>
          <w:color w:val="000000"/>
        </w:rPr>
        <w:t>2.1</w:t>
      </w:r>
      <w:r>
        <w:rPr>
          <w:rFonts w:ascii="Arial" w:cs="Arial" w:eastAsia="Arial" w:hAnsi="Arial"/>
          <w:sz w:val="18"/>
          <w:szCs w:val="18"/>
          <w:color w:val="231F20"/>
        </w:rPr>
        <w:t xml:space="preserve"> years.</w:t>
      </w:r>
    </w:p>
    <w:p>
      <w:pPr>
        <w:spacing w:after="0" w:line="23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36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4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9"/>
              </w:rPr>
              <w:t>June 30,</w:t>
            </w:r>
          </w:p>
        </w:tc>
        <w:tc>
          <w:tcPr>
            <w:tcW w:w="1320" w:type="dxa"/>
            <w:vAlign w:val="bottom"/>
          </w:tcPr>
          <w:p>
            <w:pPr>
              <w:spacing w:after="0"/>
              <w:rPr>
                <w:sz w:val="24"/>
                <w:szCs w:val="24"/>
                <w:color w:val="auto"/>
              </w:rPr>
            </w:pPr>
          </w:p>
        </w:tc>
        <w:tc>
          <w:tcPr>
            <w:tcW w:w="1980" w:type="dxa"/>
            <w:vAlign w:val="bottom"/>
            <w:gridSpan w:val="3"/>
          </w:tcPr>
          <w:p>
            <w:pPr>
              <w:jc w:val="center"/>
              <w:ind w:right="1239"/>
              <w:spacing w:after="0"/>
              <w:rPr>
                <w:sz w:val="20"/>
                <w:szCs w:val="20"/>
                <w:color w:val="auto"/>
              </w:rPr>
            </w:pPr>
            <w:r>
              <w:rPr>
                <w:rFonts w:ascii="Arial" w:cs="Arial" w:eastAsia="Arial" w:hAnsi="Arial"/>
                <w:sz w:val="16"/>
                <w:szCs w:val="16"/>
                <w:b w:val="1"/>
                <w:bCs w:val="1"/>
                <w:color w:val="auto"/>
              </w:rPr>
              <w:t>June 30,</w:t>
            </w:r>
          </w:p>
        </w:tc>
      </w:tr>
      <w:tr>
        <w:trPr>
          <w:trHeight w:val="264"/>
        </w:trPr>
        <w:tc>
          <w:tcPr>
            <w:tcW w:w="446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2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42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rPr>
              <w:t>4.9 to 5.9</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5.3 to 5.9</w:t>
            </w:r>
          </w:p>
        </w:tc>
        <w:tc>
          <w:tcPr>
            <w:tcW w:w="132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4.9 to 5.9</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 to 5.9</w:t>
            </w:r>
          </w:p>
        </w:tc>
      </w:tr>
      <w:tr>
        <w:trPr>
          <w:trHeight w:val="260"/>
        </w:trPr>
        <w:tc>
          <w:tcPr>
            <w:tcW w:w="44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420" w:type="dxa"/>
            <w:vAlign w:val="bottom"/>
          </w:tcPr>
          <w:p>
            <w:pPr>
              <w:jc w:val="center"/>
              <w:ind w:left="219"/>
              <w:spacing w:after="0"/>
              <w:rPr>
                <w:sz w:val="20"/>
                <w:szCs w:val="20"/>
                <w:color w:val="auto"/>
              </w:rPr>
            </w:pPr>
            <w:r>
              <w:rPr>
                <w:rFonts w:ascii="Arial" w:cs="Arial" w:eastAsia="Arial" w:hAnsi="Arial"/>
                <w:sz w:val="16"/>
                <w:szCs w:val="16"/>
                <w:color w:val="auto"/>
                <w:w w:val="99"/>
              </w:rPr>
              <w:t>46%</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49% to 50%</w:t>
            </w:r>
          </w:p>
        </w:tc>
        <w:tc>
          <w:tcPr>
            <w:tcW w:w="1320" w:type="dxa"/>
            <w:vAlign w:val="bottom"/>
          </w:tcPr>
          <w:p>
            <w:pPr>
              <w:jc w:val="center"/>
              <w:ind w:left="199"/>
              <w:spacing w:after="0"/>
              <w:rPr>
                <w:sz w:val="20"/>
                <w:szCs w:val="20"/>
                <w:color w:val="auto"/>
              </w:rPr>
            </w:pPr>
            <w:r>
              <w:rPr>
                <w:rFonts w:ascii="Arial" w:cs="Arial" w:eastAsia="Arial" w:hAnsi="Arial"/>
                <w:sz w:val="16"/>
                <w:szCs w:val="16"/>
                <w:color w:val="auto"/>
              </w:rPr>
              <w:t>46% to 48%</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49% to 52%</w:t>
            </w:r>
          </w:p>
        </w:tc>
      </w:tr>
      <w:tr>
        <w:trPr>
          <w:trHeight w:val="280"/>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42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9"/>
              </w:rPr>
              <w:t>1.5% to 1.65%</w:t>
            </w: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1.65% to 1.67%</w:t>
            </w:r>
          </w:p>
        </w:tc>
        <w:tc>
          <w:tcPr>
            <w:tcW w:w="132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9"/>
              </w:rPr>
              <w:t>1.3% to 1.65%</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1.52% to 1.67%</w:t>
            </w:r>
          </w:p>
        </w:tc>
      </w:tr>
      <w:tr>
        <w:trPr>
          <w:trHeight w:val="251"/>
        </w:trPr>
        <w:tc>
          <w:tcPr>
            <w:tcW w:w="44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420" w:type="dxa"/>
            <w:vAlign w:val="bottom"/>
          </w:tcPr>
          <w:p>
            <w:pPr>
              <w:jc w:val="center"/>
              <w:ind w:left="2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41"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declared any dividends and does not expect to in the future.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expense was $0.5 million and $0.1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respectively and $0.6 million and $0.3 million, for the six months ended June 30, 2015 and 2014, respectively. Non-employee stock-based compensation is recognized over the vesting periods of the options. The value of options granted to non-employees is remeasured as they vest over a performance period.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2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7,605,407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188,743</w:t>
            </w:r>
          </w:p>
        </w:tc>
      </w:tr>
      <w:tr>
        <w:trPr>
          <w:trHeight w:val="260"/>
        </w:trPr>
        <w:tc>
          <w:tcPr>
            <w:tcW w:w="5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584,700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44.70</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(348,274)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27.31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2015</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7,356,957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189,858</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Vested and expected to vest - June 30, 2015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6,916,031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13.85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184,876</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June 30, 2015</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4,813,369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157,244</w:t>
            </w: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The terms and conditions of </w:t>
      </w:r>
      <w:r>
        <w:rPr>
          <w:rFonts w:ascii="Arial" w:cs="Arial" w:eastAsia="Arial" w:hAnsi="Arial"/>
          <w:sz w:val="18"/>
          <w:szCs w:val="18"/>
          <w:color w:val="231F20"/>
        </w:rPr>
        <w:t>RSAs</w:t>
      </w:r>
      <w:r>
        <w:rPr>
          <w:rFonts w:ascii="Arial" w:cs="Arial" w:eastAsia="Arial" w:hAnsi="Arial"/>
          <w:sz w:val="18"/>
          <w:szCs w:val="18"/>
          <w:color w:val="auto"/>
        </w:rPr>
        <w:t xml:space="preserve">, including vesting criteria and timing are set by the board of directors. The cost of </w:t>
      </w:r>
      <w:r>
        <w:rPr>
          <w:rFonts w:ascii="Arial" w:cs="Arial" w:eastAsia="Arial" w:hAnsi="Arial"/>
          <w:sz w:val="18"/>
          <w:szCs w:val="18"/>
          <w:color w:val="231F20"/>
        </w:rPr>
        <w:t>RSAs</w:t>
      </w:r>
      <w:r>
        <w:rPr>
          <w:rFonts w:ascii="Arial" w:cs="Arial" w:eastAsia="Arial" w:hAnsi="Arial"/>
          <w:sz w:val="18"/>
          <w:szCs w:val="18"/>
          <w:color w:val="auto"/>
        </w:rPr>
        <w:t xml:space="preserve"> is determined using the fair value of the Company’s common stock on the date of the grant. Compensation cost is recognized on a straight-line basis over the requisite service period of each grant adjusted for estimated forfeitures. Recipients of </w:t>
      </w:r>
      <w:r>
        <w:rPr>
          <w:rFonts w:ascii="Arial" w:cs="Arial" w:eastAsia="Arial" w:hAnsi="Arial"/>
          <w:sz w:val="18"/>
          <w:szCs w:val="18"/>
          <w:color w:val="231F20"/>
        </w:rPr>
        <w:t>RSAs</w:t>
      </w:r>
      <w:r>
        <w:rPr>
          <w:rFonts w:ascii="Arial" w:cs="Arial" w:eastAsia="Arial" w:hAnsi="Arial"/>
          <w:sz w:val="18"/>
          <w:szCs w:val="18"/>
          <w:color w:val="auto"/>
        </w:rPr>
        <w:t xml:space="preserve"> generally have voting and dividend rights without regard to vesting. The Company has the right to repurchase shares that do not vest.</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During the three and six months ended June 30, 2014, the Company granted 1,401 shares of restricted stock, which vested immediately and had no further restrictions or service period, and resulted in compensation expense of $27,000. The Company did not issue restricted stock during the three and six months ended June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234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1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65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5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r>
      <w:tr>
        <w:trPr>
          <w:trHeight w:val="247"/>
        </w:trPr>
        <w:tc>
          <w:tcPr>
            <w:tcW w:w="6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5"/>
          </w:tcPr>
          <w:p>
            <w:pPr>
              <w:ind w:left="30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 (loss)</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7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40"/>
        </w:trPr>
        <w:tc>
          <w:tcPr>
            <w:tcW w:w="6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 recorded a tax provision of $4.0 million and $0.4 million for the six months ended June 30, 2015 and 2014, respectively. The increase in the tax provision recorded for the six month period ended June 30, 2015 is primarily due to the taxes on its U.S. federal income, as well as certain states and foreign jurisdictions, and changes to unrecognized tax benefits related to uncertain tax positions. Prior to the fourth quarter of 2014, the Company maintained a valuation allowance on its U.S. federal and state deferred tax assets, and its taxes were primarily related to taxes in its foreign jurisdictions and certain states in the U.S, as well as changes to unrecognized tax benefits related to uncertain tax positions. The Company's effective income tax rate was approximately 38.6% in the six months ended June 30, 2015.</w:t>
      </w:r>
    </w:p>
    <w:p>
      <w:pPr>
        <w:spacing w:after="0" w:line="20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 xml:space="preserve">As of June 30, 2015, the Company had unrecognized tax benefits of </w:t>
      </w:r>
      <w:r>
        <w:rPr>
          <w:rFonts w:ascii="Arial" w:cs="Arial" w:eastAsia="Arial" w:hAnsi="Arial"/>
          <w:sz w:val="18"/>
          <w:szCs w:val="18"/>
          <w:color w:val="000000"/>
        </w:rPr>
        <w:t>$3.5 million</w:t>
      </w:r>
      <w:r>
        <w:rPr>
          <w:rFonts w:ascii="Arial" w:cs="Arial" w:eastAsia="Arial" w:hAnsi="Arial"/>
          <w:sz w:val="18"/>
          <w:szCs w:val="18"/>
          <w:color w:val="231F20"/>
        </w:rPr>
        <w:t xml:space="preserve">, of which </w:t>
      </w:r>
      <w:r>
        <w:rPr>
          <w:rFonts w:ascii="Arial" w:cs="Arial" w:eastAsia="Arial" w:hAnsi="Arial"/>
          <w:sz w:val="18"/>
          <w:szCs w:val="18"/>
          <w:color w:val="000000"/>
        </w:rPr>
        <w:t>$2.2 million</w:t>
      </w:r>
      <w:r>
        <w:rPr>
          <w:rFonts w:ascii="Arial" w:cs="Arial" w:eastAsia="Arial" w:hAnsi="Arial"/>
          <w:sz w:val="18"/>
          <w:szCs w:val="18"/>
          <w:color w:val="231F20"/>
        </w:rPr>
        <w:t>, if recognized, would favorably impact the Company's effective tax rate. As of December 31, 2014, the Company had unrecognized tax benefits of $3.3 million, of which $2.1 million, if recognized, would favorably impact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576"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6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47"/>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gridSpan w:val="5"/>
          </w:tcPr>
          <w:p>
            <w:pPr>
              <w:ind w:left="40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54,470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43,910</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11,747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9,682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22,900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18,748</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39,877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32,302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77,370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62,658</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247"/>
        </w:trPr>
        <w:tc>
          <w:tcPr>
            <w:tcW w:w="8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23,650</w:t>
            </w:r>
          </w:p>
        </w:tc>
      </w:tr>
      <w:tr>
        <w:trPr>
          <w:trHeight w:val="264"/>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2,968</w:t>
            </w:r>
          </w:p>
        </w:tc>
      </w:tr>
      <w:tr>
        <w:trPr>
          <w:trHeight w:val="24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26,618</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0"/>
        </w:trPr>
        <w:tc>
          <w:tcPr>
            <w:tcW w:w="56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3,316</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1,226</w:t>
            </w: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0"/>
        </w:trPr>
        <w:tc>
          <w:tcPr>
            <w:tcW w:w="5620" w:type="dxa"/>
            <w:vAlign w:val="bottom"/>
          </w:tcPr>
          <w:p>
            <w:pPr>
              <w:ind w:left="50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34,003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32,818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33,889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32,668</w:t>
            </w:r>
          </w:p>
        </w:tc>
      </w:tr>
      <w:tr>
        <w:trPr>
          <w:trHeight w:val="280"/>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Common stock options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4,298</w:t>
            </w: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38,475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36,839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38,363</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36,966</w:t>
            </w: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0.03</w:t>
            </w:r>
          </w:p>
        </w:tc>
      </w:tr>
      <w:tr>
        <w:trPr>
          <w:trHeight w:val="20"/>
        </w:trPr>
        <w:tc>
          <w:tcPr>
            <w:tcW w:w="5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48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rPr>
              <w:t>Three Months Ended</w:t>
            </w:r>
          </w:p>
        </w:tc>
        <w:tc>
          <w:tcPr>
            <w:tcW w:w="232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June 30,</w:t>
            </w: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65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2015</w:t>
            </w:r>
          </w:p>
        </w:tc>
        <w:tc>
          <w:tcPr>
            <w:tcW w:w="960" w:type="dxa"/>
            <w:vAlign w:val="bottom"/>
          </w:tcPr>
          <w:p>
            <w:pPr>
              <w:spacing w:after="0"/>
              <w:rPr>
                <w:sz w:val="22"/>
                <w:szCs w:val="22"/>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60" w:type="dxa"/>
            <w:vAlign w:val="bottom"/>
          </w:tcPr>
          <w:p>
            <w:pPr>
              <w:jc w:val="right"/>
              <w:ind w:right="919"/>
              <w:spacing w:after="0"/>
              <w:rPr>
                <w:sz w:val="20"/>
                <w:szCs w:val="20"/>
                <w:color w:val="auto"/>
              </w:rPr>
            </w:pPr>
            <w:r>
              <w:rPr>
                <w:rFonts w:ascii="Arial" w:cs="Arial" w:eastAsia="Arial" w:hAnsi="Arial"/>
                <w:sz w:val="16"/>
                <w:szCs w:val="16"/>
                <w:b w:val="1"/>
                <w:bCs w:val="1"/>
                <w:color w:val="auto"/>
                <w:w w:val="95"/>
              </w:rPr>
              <w:t>2015</w:t>
            </w: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47"/>
        </w:trPr>
        <w:tc>
          <w:tcPr>
            <w:tcW w:w="56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w w:val="99"/>
              </w:rPr>
              <w:t>(in thousands)</w:t>
            </w:r>
          </w:p>
        </w:tc>
        <w:tc>
          <w:tcPr>
            <w:tcW w:w="1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80"/>
        </w:trPr>
        <w:tc>
          <w:tcPr>
            <w:tcW w:w="6540" w:type="dxa"/>
            <w:vAlign w:val="bottom"/>
            <w:gridSpan w:val="2"/>
            <w:shd w:val="clear" w:color="auto" w:fill="CCEEFF"/>
          </w:tcPr>
          <w:p>
            <w:pPr>
              <w:jc w:val="right"/>
              <w:ind w:right="4779"/>
              <w:spacing w:after="0"/>
              <w:rPr>
                <w:sz w:val="20"/>
                <w:szCs w:val="20"/>
                <w:color w:val="auto"/>
              </w:rPr>
            </w:pPr>
            <w:r>
              <w:rPr>
                <w:rFonts w:ascii="Arial" w:cs="Arial" w:eastAsia="Arial" w:hAnsi="Arial"/>
                <w:sz w:val="16"/>
                <w:szCs w:val="16"/>
                <w:color w:val="auto"/>
              </w:rPr>
              <w:t>Common stock options</w:t>
            </w:r>
          </w:p>
        </w:tc>
        <w:tc>
          <w:tcPr>
            <w:tcW w:w="9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424</w:t>
            </w:r>
          </w:p>
        </w:tc>
        <w:tc>
          <w:tcPr>
            <w:tcW w:w="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1,780</w:t>
            </w: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305</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2014, filed with the Securities and Exchange Commission, or SEC, on March 6, 2015.</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57"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68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and our deferred tax assets; and</w:t>
      </w:r>
    </w:p>
    <w:p>
      <w:pPr>
        <w:spacing w:after="0" w:line="9" w:lineRule="exact"/>
        <w:rPr>
          <w:rFonts w:ascii="Arial" w:cs="Arial" w:eastAsia="Arial" w:hAnsi="Arial"/>
          <w:sz w:val="18"/>
          <w:szCs w:val="18"/>
          <w:i w:val="1"/>
          <w:iCs w:val="1"/>
          <w:color w:val="231F20"/>
        </w:rPr>
      </w:pP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09"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0"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7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(VM), in 2000. Our core VM solution has provided a substantial majority of our revenues to date, representing 79% and 82% of total revenues for the six months ended June 30, 2015 and 2014,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and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Continuous Monitoring for internet-facing systems, which allows customers to continuously monitor their mission-critical assets and to be alerted to security vulnerabilities or misconfigurations that may make them more susceptible to a cyber-attack. In 2015, we introduced our Cloud Agent Platform, which provides customers </w:t>
      </w:r>
      <w:r>
        <w:rPr>
          <w:rFonts w:ascii="Arial" w:cs="Arial" w:eastAsia="Arial" w:hAnsi="Arial"/>
          <w:sz w:val="18"/>
          <w:szCs w:val="18"/>
          <w:color w:val="000000"/>
        </w:rPr>
        <w:t>with the ability to secure IT assets on a continuous basis regardless of where they reside, inside the enterprise, in</w:t>
      </w:r>
      <w:r>
        <w:rPr>
          <w:rFonts w:ascii="Arial" w:cs="Arial" w:eastAsia="Arial" w:hAnsi="Arial"/>
          <w:sz w:val="18"/>
          <w:szCs w:val="18"/>
          <w:color w:val="231F20"/>
        </w:rPr>
        <w:t xml:space="preserve"> </w:t>
      </w:r>
      <w:r>
        <w:rPr>
          <w:rFonts w:ascii="Arial" w:cs="Arial" w:eastAsia="Arial" w:hAnsi="Arial"/>
          <w:sz w:val="18"/>
          <w:szCs w:val="18"/>
          <w:color w:val="000000"/>
        </w:rPr>
        <w:t>the cloud or mobile endpoints.</w:t>
      </w:r>
    </w:p>
    <w:p>
      <w:pPr>
        <w:spacing w:after="0" w:line="211"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165" w:lineRule="exact"/>
        <w:rPr>
          <w:sz w:val="20"/>
          <w:szCs w:val="20"/>
          <w:color w:val="auto"/>
        </w:rPr>
      </w:pPr>
    </w:p>
    <w:p>
      <w:pPr>
        <w:jc w:val="both"/>
        <w:ind w:right="10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In the six month periods ended June 30, 2015 and </w:t>
      </w:r>
      <w:r>
        <w:rPr>
          <w:rFonts w:ascii="Arial" w:cs="Arial" w:eastAsia="Arial" w:hAnsi="Arial"/>
          <w:sz w:val="18"/>
          <w:szCs w:val="18"/>
          <w:color w:val="000000"/>
        </w:rPr>
        <w:t>2014</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8" w:lineRule="exact"/>
        <w:rPr>
          <w:sz w:val="20"/>
          <w:szCs w:val="20"/>
          <w:color w:val="auto"/>
        </w:rPr>
      </w:pPr>
    </w:p>
    <w:p>
      <w:pPr>
        <w:ind w:right="380" w:firstLine="405"/>
        <w:spacing w:after="0" w:line="262" w:lineRule="auto"/>
        <w:rPr>
          <w:sz w:val="20"/>
          <w:szCs w:val="20"/>
          <w:color w:val="auto"/>
        </w:rPr>
      </w:pPr>
      <w:r>
        <w:rPr>
          <w:rFonts w:ascii="Arial" w:cs="Arial" w:eastAsia="Arial" w:hAnsi="Arial"/>
          <w:sz w:val="18"/>
          <w:szCs w:val="18"/>
          <w:color w:val="231F20"/>
        </w:rPr>
        <w:t xml:space="preserve">Our revenues increased to $77.4 million in the six months ended June 30, 2015 from </w:t>
      </w:r>
      <w:r>
        <w:rPr>
          <w:rFonts w:ascii="Arial" w:cs="Arial" w:eastAsia="Arial" w:hAnsi="Arial"/>
          <w:sz w:val="18"/>
          <w:szCs w:val="18"/>
          <w:color w:val="000000"/>
        </w:rPr>
        <w:t>$62.7 million</w:t>
      </w:r>
      <w:r>
        <w:rPr>
          <w:rFonts w:ascii="Arial" w:cs="Arial" w:eastAsia="Arial" w:hAnsi="Arial"/>
          <w:sz w:val="18"/>
          <w:szCs w:val="18"/>
          <w:color w:val="231F20"/>
        </w:rPr>
        <w:t xml:space="preserve"> for the comparable period in 2014, representing an increase of $14.7 million or 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41" w:right="2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08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18"/>
                <w:szCs w:val="18"/>
                <w:color w:val="auto"/>
              </w:rPr>
            </w:pPr>
          </w:p>
        </w:tc>
      </w:tr>
      <w:tr>
        <w:trPr>
          <w:trHeight w:val="28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60" w:type="dxa"/>
            <w:vAlign w:val="bottom"/>
            <w:gridSpan w:val="9"/>
          </w:tcPr>
          <w:p>
            <w:pPr>
              <w:ind w:left="60"/>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13,098</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7,247</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    25,075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11,917</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9"/>
                <w:szCs w:val="19"/>
                <w:color w:val="auto"/>
              </w:rPr>
            </w:pPr>
          </w:p>
        </w:tc>
      </w:tr>
      <w:tr>
        <w:trPr>
          <w:trHeight w:val="81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June 30,</w:t>
            </w: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21"/>
                <w:szCs w:val="21"/>
                <w:color w:val="auto"/>
              </w:rPr>
            </w:pPr>
          </w:p>
        </w:tc>
      </w:tr>
      <w:tr>
        <w:trPr>
          <w:trHeight w:val="280"/>
        </w:trPr>
        <w:tc>
          <w:tcPr>
            <w:tcW w:w="2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Free cash flow</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$15,044</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$8,675</w:t>
            </w:r>
          </w:p>
        </w:tc>
        <w:tc>
          <w:tcPr>
            <w:tcW w:w="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2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41" w:right="27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and six months ended June 30, 2015 and 2014:</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2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5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r>
      <w:tr>
        <w:trPr>
          <w:trHeight w:val="247"/>
        </w:trPr>
        <w:tc>
          <w:tcPr>
            <w:tcW w:w="5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8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1,226</w:t>
            </w:r>
          </w:p>
        </w:tc>
      </w:tr>
      <w:tr>
        <w:trPr>
          <w:trHeight w:val="270"/>
        </w:trPr>
        <w:tc>
          <w:tcPr>
            <w:tcW w:w="5700" w:type="dxa"/>
            <w:vAlign w:val="bottom"/>
          </w:tcPr>
          <w:p>
            <w:pPr>
              <w:ind w:left="20"/>
              <w:spacing w:after="0"/>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r>
      <w:tr>
        <w:trPr>
          <w:trHeight w:val="260"/>
        </w:trPr>
        <w:tc>
          <w:tcPr>
            <w:tcW w:w="5700" w:type="dxa"/>
            <w:vAlign w:val="bottom"/>
          </w:tcPr>
          <w:p>
            <w:pPr>
              <w:ind w:left="20"/>
              <w:spacing w:after="0"/>
              <w:rPr>
                <w:sz w:val="20"/>
                <w:szCs w:val="20"/>
                <w:color w:val="auto"/>
              </w:rPr>
            </w:pPr>
            <w:r>
              <w:rPr>
                <w:rFonts w:ascii="Arial" w:cs="Arial" w:eastAsia="Arial" w:hAnsi="Arial"/>
                <w:sz w:val="16"/>
                <w:szCs w:val="16"/>
                <w:color w:val="auto"/>
              </w:rPr>
              <w:t>Depreciation and amortization of property and equipment</w:t>
            </w:r>
          </w:p>
        </w:tc>
        <w:tc>
          <w:tcPr>
            <w:tcW w:w="2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5,586</w:t>
            </w:r>
          </w:p>
        </w:tc>
      </w:tr>
      <w:tr>
        <w:trPr>
          <w:trHeight w:val="28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64"/>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Stock-based compensation</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4,382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8,257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4,606</w:t>
            </w:r>
          </w:p>
        </w:tc>
      </w:tr>
      <w:tr>
        <w:trPr>
          <w:trHeight w:val="24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11,917</w:t>
            </w: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300" w:firstLine="8"/>
        <w:spacing w:after="0" w:line="229" w:lineRule="auto"/>
        <w:tabs>
          <w:tab w:leader="none" w:pos="216"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Other income (expense) and net income for the three and six months ended June 30, 2014 have been adjusted for an immaterial error as further described in Note 1 to our condensed consolidated financial statements included elsewhere in this Quarterly Report on Form 10-Q.</w:t>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4"/>
          </w:tcPr>
          <w:p>
            <w:pPr>
              <w:jc w:val="right"/>
              <w:ind w:right="626"/>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8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24"/>
                <w:szCs w:val="24"/>
                <w:color w:val="auto"/>
              </w:rPr>
            </w:pPr>
          </w:p>
        </w:tc>
      </w:tr>
      <w:tr>
        <w:trPr>
          <w:trHeight w:val="264"/>
        </w:trPr>
        <w:tc>
          <w:tcPr>
            <w:tcW w:w="8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6"/>
              <w:spacing w:after="0"/>
              <w:rPr>
                <w:sz w:val="20"/>
                <w:szCs w:val="20"/>
                <w:color w:val="auto"/>
              </w:rPr>
            </w:pPr>
            <w:r>
              <w:rPr>
                <w:rFonts w:ascii="Arial" w:cs="Arial" w:eastAsia="Arial" w:hAnsi="Arial"/>
                <w:sz w:val="16"/>
                <w:szCs w:val="16"/>
                <w:b w:val="1"/>
                <w:bCs w:val="1"/>
                <w:color w:val="auto"/>
              </w:rPr>
              <w:t>2014</w:t>
            </w:r>
          </w:p>
        </w:tc>
      </w:tr>
      <w:tr>
        <w:trPr>
          <w:trHeight w:val="247"/>
        </w:trPr>
        <w:tc>
          <w:tcPr>
            <w:tcW w:w="8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21"/>
                <w:szCs w:val="21"/>
                <w:color w:val="auto"/>
              </w:rPr>
            </w:pPr>
          </w:p>
        </w:tc>
      </w:tr>
      <w:tr>
        <w:trPr>
          <w:trHeight w:val="280"/>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25,550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15,194</w:t>
            </w:r>
          </w:p>
        </w:tc>
      </w:tr>
      <w:tr>
        <w:trPr>
          <w:trHeight w:val="264"/>
        </w:trPr>
        <w:tc>
          <w:tcPr>
            <w:tcW w:w="854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8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4"/>
                <w:szCs w:val="14"/>
                <w:color w:val="auto"/>
              </w:rPr>
              <w:t>(10,407)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(6,524)</w:t>
            </w:r>
          </w:p>
        </w:tc>
      </w:tr>
      <w:tr>
        <w:trPr>
          <w:trHeight w:val="264"/>
        </w:trPr>
        <w:tc>
          <w:tcPr>
            <w:tcW w:w="85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Capitalized software development costs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r>
      <w:tr>
        <w:trPr>
          <w:trHeight w:val="24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4"/>
                <w:szCs w:val="14"/>
                <w:color w:val="auto"/>
              </w:rPr>
              <w:t>15,044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8,670</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38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right="200"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a substantial majority of our revenues through the sale of subscriptions to our QualysGuard Vulnerability Management solution, and a majority of our customers have also purchased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QualysGuard Cloud Platform into our customers’ private cloud environment. Customers are required to return physical scanner appliances and computer equipment if they do not renew their subscriptions.</w:t>
      </w:r>
    </w:p>
    <w:p>
      <w:pPr>
        <w:spacing w:after="0" w:line="18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9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certain other corporate governance-related expenses, and overhead allocations. We expect that general and administrative expenses will increase in absolute dollars, as we continue to add personnel and incur professional services to support our growth and compliance with legal requirements.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93"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Japanese Yen; losses on disposal of property and equipment; and interest expense associated with our capital leases.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9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41" w:right="3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231F20"/>
        </w:rPr>
        <w:t>liabilities of a change in tax rates is recognized in income in the period when the statutory rate change is enacted into law.</w:t>
      </w:r>
    </w:p>
    <w:p>
      <w:pPr>
        <w:spacing w:after="0" w:line="117"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9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provision for income taxes in the six months ended June 30, 2015 consists of income taxes for federal and certain states in the United States, as well as income taxes for profits generated in foreign jurisdictions by wholly owned subsidiaries. Our provision for income taxes in the six months ended June 30, 2014 consists primarily of income taxes resulting from profits generated in foreign jurisdictions by wholly-owned subsidiaries, along with state income taxes payable in the United States, as we had maintained a valuation allowance on our U.S. federal and state net deferred tax assets in the first six months of 2014. The provision for income taxes also includes changes to unrecognized tax benefits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1"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7"/>
          </w:tcPr>
          <w:p>
            <w:pPr>
              <w:jc w:val="right"/>
              <w:ind w:right="6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7"/>
          </w:tcPr>
          <w:p>
            <w:pPr>
              <w:jc w:val="right"/>
              <w:ind w:right="442"/>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gridSpan w:val="6"/>
          </w:tcPr>
          <w:p>
            <w:pPr>
              <w:jc w:val="right"/>
              <w:ind w:right="522"/>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22"/>
                <w:szCs w:val="22"/>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231F20"/>
              </w:rPr>
              <w:t>39,877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231F20"/>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231F20"/>
              </w:rPr>
              <w:t>32,302</w:t>
            </w:r>
          </w:p>
        </w:tc>
        <w:tc>
          <w:tcPr>
            <w:tcW w:w="10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231F20"/>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231F20"/>
              </w:rPr>
              <w:t>77,370</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231F20"/>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231F20"/>
              </w:rPr>
              <w:t>62,658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140" w:type="dxa"/>
            <w:vAlign w:val="bottom"/>
            <w:tcBorders>
              <w:bottom w:val="single" w:sz="8" w:color="231F20"/>
            </w:tcBorders>
            <w:shd w:val="clear" w:color="auto" w:fill="CCEEFF"/>
          </w:tcPr>
          <w:p>
            <w:pPr>
              <w:spacing w:after="0"/>
              <w:rPr>
                <w:sz w:val="24"/>
                <w:szCs w:val="24"/>
                <w:color w:val="auto"/>
              </w:rPr>
            </w:pPr>
          </w:p>
        </w:tc>
        <w:tc>
          <w:tcPr>
            <w:tcW w:w="240" w:type="dxa"/>
            <w:vAlign w:val="bottom"/>
            <w:tcBorders>
              <w:bottom w:val="single" w:sz="8" w:color="231F20"/>
            </w:tcBorders>
            <w:shd w:val="clear" w:color="auto" w:fill="CCEEFF"/>
          </w:tcPr>
          <w:p>
            <w:pPr>
              <w:spacing w:after="0"/>
              <w:rPr>
                <w:sz w:val="24"/>
                <w:szCs w:val="24"/>
                <w:color w:val="auto"/>
              </w:rPr>
            </w:pPr>
          </w:p>
        </w:tc>
        <w:tc>
          <w:tcPr>
            <w:tcW w:w="1040" w:type="dxa"/>
            <w:vAlign w:val="bottom"/>
            <w:tcBorders>
              <w:bottom w:val="single" w:sz="8" w:color="231F20"/>
            </w:tcBorders>
            <w:shd w:val="clear" w:color="auto" w:fill="CCEEFF"/>
          </w:tcPr>
          <w:p>
            <w:pPr>
              <w:jc w:val="right"/>
              <w:ind w:right="62"/>
              <w:spacing w:after="0"/>
              <w:rPr>
                <w:sz w:val="20"/>
                <w:szCs w:val="20"/>
                <w:color w:val="auto"/>
              </w:rPr>
            </w:pPr>
            <w:r>
              <w:rPr>
                <w:rFonts w:ascii="Arial" w:cs="Arial" w:eastAsia="Arial" w:hAnsi="Arial"/>
                <w:sz w:val="16"/>
                <w:szCs w:val="16"/>
                <w:color w:val="231F20"/>
              </w:rPr>
              <w:t>8,157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231F20"/>
            </w:tcBorders>
            <w:shd w:val="clear" w:color="auto" w:fill="CCEEFF"/>
          </w:tcPr>
          <w:p>
            <w:pPr>
              <w:spacing w:after="0"/>
              <w:rPr>
                <w:sz w:val="24"/>
                <w:szCs w:val="24"/>
                <w:color w:val="auto"/>
              </w:rPr>
            </w:pPr>
          </w:p>
        </w:tc>
        <w:tc>
          <w:tcPr>
            <w:tcW w:w="300" w:type="dxa"/>
            <w:vAlign w:val="bottom"/>
            <w:tcBorders>
              <w:bottom w:val="single" w:sz="8" w:color="231F20"/>
            </w:tcBorders>
            <w:shd w:val="clear" w:color="auto" w:fill="CCEEFF"/>
          </w:tcPr>
          <w:p>
            <w:pPr>
              <w:spacing w:after="0"/>
              <w:rPr>
                <w:sz w:val="24"/>
                <w:szCs w:val="24"/>
                <w:color w:val="auto"/>
              </w:rPr>
            </w:pPr>
          </w:p>
        </w:tc>
        <w:tc>
          <w:tcPr>
            <w:tcW w:w="82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7,175</w:t>
            </w:r>
          </w:p>
        </w:tc>
        <w:tc>
          <w:tcPr>
            <w:tcW w:w="100" w:type="dxa"/>
            <w:vAlign w:val="bottom"/>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7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16,121</w:t>
            </w:r>
          </w:p>
        </w:tc>
        <w:tc>
          <w:tcPr>
            <w:tcW w:w="100" w:type="dxa"/>
            <w:vAlign w:val="bottom"/>
            <w:tcBorders>
              <w:bottom w:val="single" w:sz="8" w:color="231F20"/>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8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14,021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16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31,720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25,127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61,249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48,637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6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231F20"/>
              </w:rPr>
              <w:t>7,205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231F20"/>
              </w:rPr>
              <w:t>6,411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231F20"/>
              </w:rPr>
              <w:t>14,355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231F20"/>
              </w:rPr>
              <w:t>12,815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231F20"/>
              </w:rPr>
              <w:t>12,776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231F20"/>
              </w:rPr>
              <w:t>11,845</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24,219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24,337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140" w:type="dxa"/>
            <w:vAlign w:val="bottom"/>
            <w:tcBorders>
              <w:bottom w:val="single" w:sz="8" w:color="231F20"/>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1040" w:type="dxa"/>
            <w:vAlign w:val="bottom"/>
            <w:tcBorders>
              <w:bottom w:val="single" w:sz="8" w:color="231F20"/>
            </w:tcBorders>
          </w:tcPr>
          <w:p>
            <w:pPr>
              <w:jc w:val="right"/>
              <w:ind w:right="62"/>
              <w:spacing w:after="0"/>
              <w:rPr>
                <w:sz w:val="20"/>
                <w:szCs w:val="20"/>
                <w:color w:val="auto"/>
              </w:rPr>
            </w:pPr>
            <w:r>
              <w:rPr>
                <w:rFonts w:ascii="Arial" w:cs="Arial" w:eastAsia="Arial" w:hAnsi="Arial"/>
                <w:sz w:val="16"/>
                <w:szCs w:val="16"/>
                <w:color w:val="231F20"/>
              </w:rPr>
              <w:t>6,427</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231F20"/>
              </w:rPr>
              <w:t>5,081</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12,443</w:t>
            </w:r>
          </w:p>
        </w:tc>
        <w:tc>
          <w:tcPr>
            <w:tcW w:w="100" w:type="dxa"/>
            <w:vAlign w:val="bottom"/>
            <w:tcBorders>
              <w:bottom w:val="single" w:sz="8" w:color="231F20"/>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9,956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1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26,408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23,337</w:t>
            </w: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51,017</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47,108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5,312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1,529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income, net </w:t>
            </w:r>
            <w:r>
              <w:rPr>
                <w:rFonts w:ascii="Arial" w:cs="Arial" w:eastAsia="Arial" w:hAnsi="Arial"/>
                <w:sz w:val="14"/>
                <w:szCs w:val="14"/>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128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 xml:space="preserve">Income before income taxes </w:t>
            </w:r>
            <w:r>
              <w:rPr>
                <w:rFonts w:ascii="Arial" w:cs="Arial" w:eastAsia="Arial" w:hAnsi="Arial"/>
                <w:sz w:val="14"/>
                <w:szCs w:val="14"/>
                <w:color w:val="auto"/>
                <w:vertAlign w:val="superscript"/>
              </w:rPr>
              <w:t>(2)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5,440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1,582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231F20"/>
            </w:tcBorders>
            <w:shd w:val="clear" w:color="auto" w:fill="CCEEFF"/>
          </w:tcPr>
          <w:p>
            <w:pPr>
              <w:spacing w:after="0"/>
              <w:rPr>
                <w:sz w:val="23"/>
                <w:szCs w:val="23"/>
                <w:color w:val="auto"/>
              </w:rPr>
            </w:pPr>
          </w:p>
        </w:tc>
        <w:tc>
          <w:tcPr>
            <w:tcW w:w="24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ind w:right="62"/>
              <w:spacing w:after="0"/>
              <w:rPr>
                <w:sz w:val="20"/>
                <w:szCs w:val="20"/>
                <w:color w:val="auto"/>
              </w:rPr>
            </w:pPr>
            <w:r>
              <w:rPr>
                <w:rFonts w:ascii="Arial" w:cs="Arial" w:eastAsia="Arial" w:hAnsi="Arial"/>
                <w:sz w:val="16"/>
                <w:szCs w:val="16"/>
                <w:color w:val="231F20"/>
              </w:rPr>
              <w:t>2,124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231F20"/>
            </w:tcBorders>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82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174</w:t>
            </w:r>
          </w:p>
        </w:tc>
        <w:tc>
          <w:tcPr>
            <w:tcW w:w="100" w:type="dxa"/>
            <w:vAlign w:val="bottom"/>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7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3,965</w:t>
            </w:r>
          </w:p>
        </w:tc>
        <w:tc>
          <w:tcPr>
            <w:tcW w:w="100" w:type="dxa"/>
            <w:vAlign w:val="bottom"/>
            <w:tcBorders>
              <w:bottom w:val="single" w:sz="8" w:color="231F20"/>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8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356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14"/>
                <w:szCs w:val="14"/>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3,316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1,657</w:t>
            </w:r>
          </w:p>
        </w:tc>
        <w:tc>
          <w:tcPr>
            <w:tcW w:w="10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6,318</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1,226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380" w:type="dxa"/>
            <w:vAlign w:val="bottom"/>
            <w:vMerge w:val="continue"/>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160" w:type="dxa"/>
            <w:vAlign w:val="bottom"/>
            <w:gridSpan w:val="2"/>
          </w:tcPr>
          <w:p>
            <w:pPr>
              <w:spacing w:after="0"/>
              <w:rPr>
                <w:sz w:val="20"/>
                <w:szCs w:val="20"/>
                <w:color w:val="auto"/>
              </w:rPr>
            </w:pPr>
            <w:r>
              <w:rPr>
                <w:rFonts w:ascii="Arial" w:cs="Arial" w:eastAsia="Arial" w:hAnsi="Arial"/>
                <w:sz w:val="14"/>
                <w:szCs w:val="14"/>
                <w:color w:val="231F20"/>
              </w:rPr>
              <w:t>(1) Includes stock-based compensation as follows: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1"/>
        </w:trPr>
        <w:tc>
          <w:tcPr>
            <w:tcW w:w="1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7"/>
          </w:tcPr>
          <w:p>
            <w:pPr>
              <w:jc w:val="right"/>
              <w:ind w:right="422"/>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gridSpan w:val="6"/>
          </w:tcPr>
          <w:p>
            <w:pPr>
              <w:jc w:val="right"/>
              <w:ind w:right="52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380" w:type="dxa"/>
            <w:vAlign w:val="bottom"/>
          </w:tcPr>
          <w:p>
            <w:pPr>
              <w:spacing w:after="0"/>
              <w:rPr>
                <w:sz w:val="24"/>
                <w:szCs w:val="24"/>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344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307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Arial" w:cs="Arial" w:eastAsia="Arial" w:hAnsi="Arial"/>
                <w:sz w:val="14"/>
                <w:szCs w:val="14"/>
                <w:color w:val="auto"/>
              </w:rPr>
              <w:t>1,138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4"/>
                <w:szCs w:val="14"/>
                <w:color w:val="auto"/>
              </w:rPr>
              <w:t>2,290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2"/>
              <w:spacing w:after="0"/>
              <w:rPr>
                <w:sz w:val="20"/>
                <w:szCs w:val="20"/>
                <w:color w:val="auto"/>
              </w:rPr>
            </w:pPr>
            <w:r>
              <w:rPr>
                <w:rFonts w:ascii="Arial" w:cs="Arial" w:eastAsia="Arial" w:hAnsi="Arial"/>
                <w:sz w:val="14"/>
                <w:szCs w:val="14"/>
                <w:color w:val="auto"/>
              </w:rPr>
              <w:t>952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380" w:type="dxa"/>
            <w:vAlign w:val="bottom"/>
          </w:tcPr>
          <w:p>
            <w:pPr>
              <w:spacing w:after="0"/>
              <w:rPr>
                <w:sz w:val="24"/>
                <w:szCs w:val="24"/>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980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1,791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1,291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1,920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1,087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3,504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2,056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stock-based compensation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4,382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2,480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8,257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4"/>
                <w:szCs w:val="14"/>
                <w:color w:val="auto"/>
              </w:rPr>
              <w:t>4,606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500" w:firstLine="8"/>
        <w:spacing w:after="0" w:line="229" w:lineRule="auto"/>
        <w:tabs>
          <w:tab w:leader="none" w:pos="216"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Other income, net, income before income taxes, and net income for the three and six months ended June 30, 2014 have been adjusted for an immaterial error as further described in Note 1 to our condensed consolidated financial statements included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54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r>
      <w:tr>
        <w:trPr>
          <w:trHeight w:val="257"/>
        </w:trPr>
        <w:tc>
          <w:tcPr>
            <w:tcW w:w="6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6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r>
      <w:tr>
        <w:trPr>
          <w:trHeight w:val="260"/>
        </w:trPr>
        <w:tc>
          <w:tcPr>
            <w:tcW w:w="640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39</w:t>
            </w:r>
          </w:p>
        </w:tc>
      </w:tr>
      <w:tr>
        <w:trPr>
          <w:trHeight w:val="273"/>
        </w:trPr>
        <w:tc>
          <w:tcPr>
            <w:tcW w:w="5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r>
      <w:tr>
        <w:trPr>
          <w:trHeight w:val="250"/>
        </w:trPr>
        <w:tc>
          <w:tcPr>
            <w:tcW w:w="54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r>
      <w:tr>
        <w:trPr>
          <w:trHeight w:val="257"/>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r>
      <w:tr>
        <w:trPr>
          <w:trHeight w:val="24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June 30, 2015</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2014</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39,877</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7,575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15"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231F20"/>
        </w:rPr>
        <w:t xml:space="preserve">Revenues increased $7.6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primarily due to new customer subscriptions entered into after June 30, 2014 and from an increase in the purchase of subscriptions from existing customers. Of the total increase of </w:t>
      </w:r>
      <w:r>
        <w:rPr>
          <w:rFonts w:ascii="Arial" w:cs="Arial" w:eastAsia="Arial" w:hAnsi="Arial"/>
          <w:sz w:val="18"/>
          <w:szCs w:val="18"/>
          <w:color w:val="000000"/>
        </w:rPr>
        <w:t>$7.6 million</w:t>
      </w:r>
      <w:r>
        <w:rPr>
          <w:rFonts w:ascii="Arial" w:cs="Arial" w:eastAsia="Arial" w:hAnsi="Arial"/>
          <w:sz w:val="18"/>
          <w:szCs w:val="18"/>
          <w:color w:val="231F20"/>
        </w:rPr>
        <w:t>, $5.5 million was from customers in the United States and the remaining $2.1 million was from customers in foreign countries. The growth in revenues reflects the continued demand for our existing and newer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8,157</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982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right="180" w:firstLine="486"/>
        <w:spacing w:after="0" w:line="250" w:lineRule="auto"/>
        <w:rPr>
          <w:sz w:val="20"/>
          <w:szCs w:val="20"/>
          <w:color w:val="auto"/>
        </w:rPr>
      </w:pPr>
      <w:r>
        <w:rPr>
          <w:rFonts w:ascii="Arial" w:cs="Arial" w:eastAsia="Arial" w:hAnsi="Arial"/>
          <w:sz w:val="18"/>
          <w:szCs w:val="18"/>
          <w:color w:val="231F20"/>
        </w:rPr>
        <w:t xml:space="preserve">Cost of revenues increased $1.0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2014</w:t>
      </w:r>
      <w:r>
        <w:rPr>
          <w:rFonts w:ascii="Arial" w:cs="Arial" w:eastAsia="Arial" w:hAnsi="Arial"/>
          <w:sz w:val="18"/>
          <w:szCs w:val="18"/>
          <w:color w:val="231F20"/>
        </w:rPr>
        <w:t xml:space="preserve"> primarily due to a $0.4 million increase in depreciation expenses related to</w:t>
      </w:r>
    </w:p>
    <w:p>
      <w:pPr>
        <w:spacing w:after="0" w:line="1" w:lineRule="exact"/>
        <w:rPr>
          <w:sz w:val="20"/>
          <w:szCs w:val="20"/>
          <w:color w:val="auto"/>
        </w:rPr>
      </w:pPr>
    </w:p>
    <w:p>
      <w:pPr>
        <w:ind w:right="2460"/>
        <w:spacing w:after="0" w:line="262" w:lineRule="auto"/>
        <w:rPr>
          <w:sz w:val="20"/>
          <w:szCs w:val="20"/>
          <w:color w:val="auto"/>
        </w:rPr>
      </w:pPr>
      <w:r>
        <w:rPr>
          <w:rFonts w:ascii="Arial" w:cs="Arial" w:eastAsia="Arial" w:hAnsi="Arial"/>
          <w:sz w:val="18"/>
          <w:szCs w:val="18"/>
          <w:color w:val="231F20"/>
        </w:rPr>
        <w:t>additional computer hardware and software; increased third-party software license maintenance expense of $0.4 million; and increased stock based compensation of $0.2 million.</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7,205</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6,411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794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89" w:lineRule="exact"/>
        <w:rPr>
          <w:sz w:val="20"/>
          <w:szCs w:val="20"/>
          <w:color w:val="auto"/>
        </w:rPr>
      </w:pPr>
    </w:p>
    <w:p>
      <w:pPr>
        <w:ind w:right="320" w:firstLine="486"/>
        <w:spacing w:after="0" w:line="250" w:lineRule="auto"/>
        <w:rPr>
          <w:sz w:val="20"/>
          <w:szCs w:val="20"/>
          <w:color w:val="auto"/>
        </w:rPr>
      </w:pPr>
      <w:r>
        <w:rPr>
          <w:rFonts w:ascii="Arial" w:cs="Arial" w:eastAsia="Arial" w:hAnsi="Arial"/>
          <w:sz w:val="18"/>
          <w:szCs w:val="18"/>
          <w:color w:val="231F20"/>
        </w:rPr>
        <w:t xml:space="preserve">Research and development expenses increased $0.8 million in the three months ended June 30, 2015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 xml:space="preserve">ended June 30, 2014 </w:t>
      </w:r>
      <w:r>
        <w:rPr>
          <w:rFonts w:ascii="Arial" w:cs="Arial" w:eastAsia="Arial" w:hAnsi="Arial"/>
          <w:sz w:val="18"/>
          <w:szCs w:val="18"/>
          <w:color w:val="231F20"/>
        </w:rPr>
        <w:t>primarily due to an increase in personnel expenses of $0.7</w:t>
      </w:r>
    </w:p>
    <w:p>
      <w:pPr>
        <w:spacing w:after="0" w:line="1" w:lineRule="exact"/>
        <w:rPr>
          <w:sz w:val="20"/>
          <w:szCs w:val="20"/>
          <w:color w:val="auto"/>
        </w:rPr>
      </w:pPr>
    </w:p>
    <w:p>
      <w:pPr>
        <w:ind w:right="2420"/>
        <w:spacing w:after="0" w:line="256" w:lineRule="auto"/>
        <w:rPr>
          <w:sz w:val="20"/>
          <w:szCs w:val="20"/>
          <w:color w:val="auto"/>
        </w:rPr>
      </w:pPr>
      <w:r>
        <w:rPr>
          <w:rFonts w:ascii="Arial" w:cs="Arial" w:eastAsia="Arial" w:hAnsi="Arial"/>
          <w:sz w:val="18"/>
          <w:szCs w:val="18"/>
          <w:color w:val="231F20"/>
        </w:rPr>
        <w:t>million, principally due to higher stock-based compensation. We continue to significantly invest in and expand our research and development teams to continue enhancing our platform and develop new solutions and capabilities.</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12,776</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931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60" w:firstLine="486"/>
        <w:spacing w:after="0" w:line="250" w:lineRule="auto"/>
        <w:rPr>
          <w:sz w:val="20"/>
          <w:szCs w:val="20"/>
          <w:color w:val="auto"/>
        </w:rPr>
      </w:pPr>
      <w:r>
        <w:rPr>
          <w:rFonts w:ascii="Arial" w:cs="Arial" w:eastAsia="Arial" w:hAnsi="Arial"/>
          <w:sz w:val="18"/>
          <w:szCs w:val="18"/>
          <w:color w:val="231F20"/>
        </w:rPr>
        <w:t xml:space="preserve">Sales and marketing expenses increased $0.9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2014</w:t>
      </w:r>
      <w:r>
        <w:rPr>
          <w:rFonts w:ascii="Arial" w:cs="Arial" w:eastAsia="Arial" w:hAnsi="Arial"/>
          <w:sz w:val="18"/>
          <w:szCs w:val="18"/>
          <w:color w:val="231F20"/>
        </w:rPr>
        <w:t>, primarily due to an increase in marketing expenses of $1.1 million, due</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231F20"/>
        </w:rPr>
        <w:t>to increased trade shows and program activities, primarily as a result of the timing difference of a major security trade show, which occurred in the second quarter of 2015, compared to the first quarter in the prior year.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6,427</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1,346</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300" w:firstLine="486"/>
        <w:spacing w:after="0" w:line="250" w:lineRule="auto"/>
        <w:rPr>
          <w:sz w:val="20"/>
          <w:szCs w:val="20"/>
          <w:color w:val="auto"/>
        </w:rPr>
      </w:pPr>
      <w:r>
        <w:rPr>
          <w:rFonts w:ascii="Arial" w:cs="Arial" w:eastAsia="Arial" w:hAnsi="Arial"/>
          <w:sz w:val="18"/>
          <w:szCs w:val="18"/>
          <w:color w:val="231F20"/>
        </w:rPr>
        <w:t xml:space="preserve">General and administrative expenses increased $1.3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 xml:space="preserve">ended June 30, 2014 </w:t>
      </w:r>
      <w:r>
        <w:rPr>
          <w:rFonts w:ascii="Arial" w:cs="Arial" w:eastAsia="Arial" w:hAnsi="Arial"/>
          <w:sz w:val="18"/>
          <w:szCs w:val="18"/>
          <w:color w:val="231F20"/>
        </w:rPr>
        <w:t>primarily driven by increased personnel expenses of $0.8</w:t>
      </w:r>
    </w:p>
    <w:p>
      <w:pPr>
        <w:spacing w:after="0" w:line="1" w:lineRule="exact"/>
        <w:rPr>
          <w:sz w:val="20"/>
          <w:szCs w:val="20"/>
          <w:color w:val="auto"/>
        </w:rPr>
      </w:pPr>
    </w:p>
    <w:p>
      <w:pPr>
        <w:ind w:right="2660"/>
        <w:spacing w:after="0" w:line="262" w:lineRule="auto"/>
        <w:rPr>
          <w:sz w:val="20"/>
          <w:szCs w:val="20"/>
          <w:color w:val="auto"/>
        </w:rPr>
      </w:pPr>
      <w:r>
        <w:rPr>
          <w:rFonts w:ascii="Arial" w:cs="Arial" w:eastAsia="Arial" w:hAnsi="Arial"/>
          <w:sz w:val="18"/>
          <w:szCs w:val="18"/>
          <w:color w:val="231F20"/>
        </w:rPr>
        <w:t>million, principally due to higher employee stock-based compensation; increased professional services of $0.2 million; and increased bad debt expense and other fees of $0.2 million.</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6"/>
                <w:szCs w:val="16"/>
                <w:b w:val="1"/>
                <w:bCs w:val="1"/>
                <w:color w:val="auto"/>
                <w:w w:val="99"/>
              </w:rPr>
              <w:t>June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128</w:t>
            </w:r>
          </w:p>
        </w:tc>
        <w:tc>
          <w:tcPr>
            <w:tcW w:w="102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87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50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231F20"/>
        </w:rPr>
        <w:t>Other income (expense), net was relatively constant in the three months ended June 30, 2015 and 2014. Other income, net, is primarily comprised of investment and interest income and foreign exchange gains (losses) in both periods.</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2,124</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1,950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6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Provision for income taxes increased $2.0 million for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w:t>
      </w:r>
      <w:r>
        <w:rPr>
          <w:rFonts w:ascii="Arial" w:cs="Arial" w:eastAsia="Arial" w:hAnsi="Arial"/>
          <w:sz w:val="18"/>
          <w:szCs w:val="18"/>
          <w:color w:val="231F20"/>
        </w:rPr>
        <w:t xml:space="preserve"> </w:t>
      </w:r>
      <w:r>
        <w:rPr>
          <w:rFonts w:ascii="Arial" w:cs="Arial" w:eastAsia="Arial" w:hAnsi="Arial"/>
          <w:sz w:val="18"/>
          <w:szCs w:val="18"/>
          <w:color w:val="000000"/>
        </w:rPr>
        <w:t>30, 2014</w:t>
      </w:r>
      <w:r>
        <w:rPr>
          <w:rFonts w:ascii="Arial" w:cs="Arial" w:eastAsia="Arial" w:hAnsi="Arial"/>
          <w:sz w:val="18"/>
          <w:szCs w:val="18"/>
          <w:color w:val="231F20"/>
        </w:rPr>
        <w:t>, primarily due to the provision for U.S. federal taxes in the second quarter of 2015. We had maintained a valuation allowance against</w:t>
      </w:r>
      <w:r>
        <w:rPr>
          <w:rFonts w:ascii="Arial" w:cs="Arial" w:eastAsia="Arial" w:hAnsi="Arial"/>
          <w:sz w:val="18"/>
          <w:szCs w:val="18"/>
          <w:color w:val="000000"/>
        </w:rPr>
        <w:t xml:space="preserve"> </w:t>
      </w:r>
      <w:r>
        <w:rPr>
          <w:rFonts w:ascii="Arial" w:cs="Arial" w:eastAsia="Arial" w:hAnsi="Arial"/>
          <w:sz w:val="18"/>
          <w:szCs w:val="18"/>
          <w:color w:val="231F20"/>
        </w:rPr>
        <w:t>our U.S. federal and state deferred tax assets prior to the fourth quarter of 2014, and accordingly, our income tax provision for the three months ended June 30, 2014 was primarily made up of taxes on income in foreign jurisdictions and certain states in the United States.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Six Months Ended June 30, </w:t>
      </w:r>
      <w:r>
        <w:rPr>
          <w:rFonts w:ascii="Arial" w:cs="Arial" w:eastAsia="Arial" w:hAnsi="Arial"/>
          <w:sz w:val="18"/>
          <w:szCs w:val="18"/>
          <w:b w:val="1"/>
          <w:bCs w:val="1"/>
          <w:color w:val="000000"/>
        </w:rPr>
        <w:t>2015</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2014</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77,370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62,658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14,712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15"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231F20"/>
        </w:rPr>
        <w:t>Revenues increased $14.7 million for the six months ended June 30, 2015 compared to the six months ended June 30, 2014, primarily due to new customer subscriptions entered into after June 30, 2014 and from an increase in the purchase of subscriptions from existing customers. Of the total increase of $ 14.7 million, $10.6 million was from customers in the United States and the remaining $4.1 million was from customers in foreign countries. The growth in revenues reflects the continued demand for our existing and newer solutions.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16,121</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14,021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2,100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231F20"/>
        </w:rPr>
        <w:t>Cost of revenues increased $2.1 million for the six months ended June 30, 2015 compared to the six months ended June 30, 2014 primarily due to an $0.8 million increase in depreciation expenses related to additional computer hardware and software; increased third-party software license maintenance expense of $0.7 million; increased stock based compensation of $0.4 million; as well as increased data center costs of $0.1 million to support the continued growth of our business.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14,355</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1,540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39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231F20"/>
        </w:rPr>
        <w:t>Research and development expenses increased $1.5 million in the six months ended June 30, 2015 compared to the six months ended June 30, 2014, primarily due to an increase in personnel expenses of $1.4 million, principally due to new employees and higher stock-based compensation. We continue to significantly invest in and expand our research and development teams to continue enhancing our platform and develop new solutions and capabilities.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24,219</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24,337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(118)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51"/>
        </w:trPr>
        <w:tc>
          <w:tcPr>
            <w:tcW w:w="54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ind w:right="440" w:firstLine="486"/>
        <w:spacing w:after="0" w:line="256" w:lineRule="auto"/>
        <w:rPr>
          <w:sz w:val="20"/>
          <w:szCs w:val="20"/>
          <w:color w:val="auto"/>
        </w:rPr>
      </w:pPr>
      <w:r>
        <w:rPr>
          <w:rFonts w:ascii="Arial" w:cs="Arial" w:eastAsia="Arial" w:hAnsi="Arial"/>
          <w:sz w:val="18"/>
          <w:szCs w:val="18"/>
          <w:color w:val="231F20"/>
        </w:rPr>
        <w:t>Sales and marketing expenses were relatively constant during the six months ended June 30, 2015 and 2014. We had decreases in personnel expenses due to fewer marketing employees in the first six months of 2015 compared to 2014, which were partially offset by increased marketing and public relation activities.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12,443</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2,487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40" w:firstLine="486"/>
        <w:spacing w:after="0" w:line="250" w:lineRule="auto"/>
        <w:rPr>
          <w:sz w:val="20"/>
          <w:szCs w:val="20"/>
          <w:color w:val="auto"/>
        </w:rPr>
      </w:pPr>
      <w:r>
        <w:rPr>
          <w:rFonts w:ascii="Arial" w:cs="Arial" w:eastAsia="Arial" w:hAnsi="Arial"/>
          <w:sz w:val="18"/>
          <w:szCs w:val="18"/>
          <w:color w:val="231F20"/>
        </w:rPr>
        <w:t>General and administrative expenses increased $2.5 million for the six months ended June 30, 2015 compared to the six months ended June 30, 2014, primarily driven by increased personnel expenses of $1.4</w:t>
      </w:r>
    </w:p>
    <w:p>
      <w:pPr>
        <w:spacing w:after="0" w:line="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231F20"/>
        </w:rPr>
        <w:t>million, principally due to new employees and higher employee stock-based compensation; increased professional services of $0.4 million; and increased bad debt expense and other fees of $0.4 million.</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248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Six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w:t>
            </w:r>
          </w:p>
        </w:tc>
        <w:tc>
          <w:tcPr>
            <w:tcW w:w="102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52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Other income (expense), net was relatively constant for the six months ended June 30, 2015 and 2014. Other income, net, is primarily comprised of investment and interest income, partially offset by foreign exchange losses in both periods.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2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3,965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3,609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6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Provision for income taxes increased $3.6 million for the six months ended June 30, 2015 compared to the six months ended June 30, 2014, primarily due to the provision for U.S. federal taxes in the first six months of 2015. We had maintained a valuation allowance against our U.S. federal and state deferred tax assets prior to the fourth quarter of 2014, accordingly, our income tax provision for the first six months June 30, 2014 was primarily made up of taxes on income in foreign jurisdictions and certain states in the United States.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June 30, 2015</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$187.1</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$3.4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previously paid foreign income taxes.</w:t>
      </w:r>
    </w:p>
    <w:p>
      <w:pPr>
        <w:spacing w:after="0" w:line="20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We have experienced positive cash flows from operations during the six months ended June 30, 2015 and 2014.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Six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15,194</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(23,734)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(18,471)</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2,571</w:t>
            </w: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4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2015</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$25.6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$6.3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$5.9 million</w:t>
      </w:r>
      <w:r>
        <w:rPr>
          <w:rFonts w:ascii="Arial" w:cs="Arial" w:eastAsia="Arial" w:hAnsi="Arial"/>
          <w:sz w:val="18"/>
          <w:szCs w:val="18"/>
          <w:color w:val="231F20"/>
        </w:rPr>
        <w:t>, attributable to our continued growth, and by non-cash items including depreciation and amortization expense 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 xml:space="preserve">$6.6 million </w:t>
      </w:r>
      <w:r>
        <w:rPr>
          <w:rFonts w:ascii="Arial" w:cs="Arial" w:eastAsia="Arial" w:hAnsi="Arial"/>
          <w:sz w:val="18"/>
          <w:szCs w:val="18"/>
          <w:color w:val="231F20"/>
        </w:rPr>
        <w:t>and stock-based compensation of</w:t>
      </w:r>
      <w:r>
        <w:rPr>
          <w:rFonts w:ascii="Arial" w:cs="Arial" w:eastAsia="Arial" w:hAnsi="Arial"/>
          <w:sz w:val="18"/>
          <w:szCs w:val="18"/>
          <w:color w:val="auto"/>
        </w:rPr>
        <w:t xml:space="preserve"> $8.3 million</w:t>
      </w:r>
      <w:r>
        <w:rPr>
          <w:rFonts w:ascii="Arial" w:cs="Arial" w:eastAsia="Arial" w:hAnsi="Arial"/>
          <w:sz w:val="18"/>
          <w:szCs w:val="18"/>
          <w:color w:val="231F20"/>
        </w:rPr>
        <w:t>. These increases are partially offset by a decrease in accounts payable of $4.6</w:t>
      </w:r>
      <w:r>
        <w:rPr>
          <w:rFonts w:ascii="Arial" w:cs="Arial" w:eastAsia="Arial" w:hAnsi="Arial"/>
          <w:sz w:val="18"/>
          <w:szCs w:val="18"/>
          <w:color w:val="auto"/>
        </w:rPr>
        <w:t xml:space="preserve"> </w:t>
      </w:r>
      <w:r>
        <w:rPr>
          <w:rFonts w:ascii="Arial" w:cs="Arial" w:eastAsia="Arial" w:hAnsi="Arial"/>
          <w:sz w:val="18"/>
          <w:szCs w:val="18"/>
          <w:color w:val="231F20"/>
        </w:rPr>
        <w:t>million due to timing of payments and an increase in accounts receivable of $1.9 million.</w:t>
      </w:r>
    </w:p>
    <w:p>
      <w:pPr>
        <w:spacing w:after="0" w:line="19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2014</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$15.2 million</w:t>
      </w:r>
      <w:r>
        <w:rPr>
          <w:rFonts w:ascii="Arial" w:cs="Arial" w:eastAsia="Arial" w:hAnsi="Arial"/>
          <w:sz w:val="18"/>
          <w:szCs w:val="18"/>
          <w:color w:val="231F20"/>
        </w:rPr>
        <w:t xml:space="preserve"> resulted from our net income of </w:t>
      </w:r>
      <w:r>
        <w:rPr>
          <w:rFonts w:ascii="Arial" w:cs="Arial" w:eastAsia="Arial" w:hAnsi="Arial"/>
          <w:sz w:val="18"/>
          <w:szCs w:val="18"/>
          <w:color w:val="000000"/>
        </w:rPr>
        <w:t>$1.2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$4.2 million</w:t>
      </w:r>
      <w:r>
        <w:rPr>
          <w:rFonts w:ascii="Arial" w:cs="Arial" w:eastAsia="Arial" w:hAnsi="Arial"/>
          <w:sz w:val="18"/>
          <w:szCs w:val="18"/>
          <w:color w:val="231F20"/>
        </w:rPr>
        <w:t xml:space="preserve">, attributable to our continued growth. These working capital increases were further increased by non-cash items including depreciation and amortization expense of </w:t>
      </w:r>
      <w:r>
        <w:rPr>
          <w:rFonts w:ascii="Arial" w:cs="Arial" w:eastAsia="Arial" w:hAnsi="Arial"/>
          <w:sz w:val="18"/>
          <w:szCs w:val="18"/>
          <w:color w:val="000000"/>
        </w:rPr>
        <w:t>$5.8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$4.6 million</w:t>
      </w:r>
      <w:r>
        <w:rPr>
          <w:rFonts w:ascii="Arial" w:cs="Arial" w:eastAsia="Arial" w:hAnsi="Arial"/>
          <w:sz w:val="18"/>
          <w:szCs w:val="18"/>
          <w:color w:val="231F20"/>
        </w:rPr>
        <w:t>. These increases are partially offset by an increase in prepaid expenses and other assets of $0.8 million due to prepayment of</w:t>
      </w:r>
      <w:r>
        <w:rPr>
          <w:rFonts w:ascii="Arial" w:cs="Arial" w:eastAsia="Arial" w:hAnsi="Arial"/>
          <w:sz w:val="18"/>
          <w:szCs w:val="18"/>
          <w:color w:val="000000"/>
        </w:rPr>
        <w:t xml:space="preserve"> </w:t>
      </w:r>
      <w:r>
        <w:rPr>
          <w:rFonts w:ascii="Arial" w:cs="Arial" w:eastAsia="Arial" w:hAnsi="Arial"/>
          <w:sz w:val="18"/>
          <w:szCs w:val="18"/>
          <w:color w:val="231F20"/>
        </w:rPr>
        <w:t>certain maintenance contracts.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2015</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$23.7 million was primarily attributable to $10.4 million of cash</w:t>
      </w:r>
      <w:r>
        <w:rPr>
          <w:rFonts w:ascii="Arial" w:cs="Arial" w:eastAsia="Arial" w:hAnsi="Arial"/>
          <w:sz w:val="18"/>
          <w:szCs w:val="18"/>
          <w:color w:val="231F20"/>
        </w:rPr>
        <w:t xml:space="preserve"> </w:t>
      </w:r>
      <w:r>
        <w:rPr>
          <w:rFonts w:ascii="Arial" w:cs="Arial" w:eastAsia="Arial" w:hAnsi="Arial"/>
          <w:sz w:val="18"/>
          <w:szCs w:val="18"/>
          <w:color w:val="000000"/>
        </w:rPr>
        <w:t>for capital expenditures, including computer hardware and software for our data centers to support our growth and development and physical scanner appliances and computer hardware provided to certain customers as part of their subscriptions; and purchases of investments of $61.4 million, partially offset by sales and maturities of investments of $48.2 million.</w:t>
      </w:r>
    </w:p>
    <w:p>
      <w:pPr>
        <w:spacing w:after="0" w:line="20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2014</w:t>
      </w:r>
      <w:r>
        <w:rPr>
          <w:rFonts w:ascii="Arial" w:cs="Arial" w:eastAsia="Arial" w:hAnsi="Arial"/>
          <w:sz w:val="18"/>
          <w:szCs w:val="18"/>
          <w:color w:val="231F20"/>
        </w:rPr>
        <w:t xml:space="preserve">, cash used in investing activities of $18.5 million was primarily attributable to </w:t>
      </w:r>
      <w:r>
        <w:rPr>
          <w:rFonts w:ascii="Arial" w:cs="Arial" w:eastAsia="Arial" w:hAnsi="Arial"/>
          <w:sz w:val="18"/>
          <w:szCs w:val="18"/>
          <w:color w:val="000000"/>
        </w:rPr>
        <w:t>$6.5 million of cash</w:t>
      </w:r>
      <w:r>
        <w:rPr>
          <w:rFonts w:ascii="Arial" w:cs="Arial" w:eastAsia="Arial" w:hAnsi="Arial"/>
          <w:sz w:val="18"/>
          <w:szCs w:val="18"/>
          <w:color w:val="231F20"/>
        </w:rPr>
        <w:t xml:space="preserve"> </w:t>
      </w:r>
      <w:r>
        <w:rPr>
          <w:rFonts w:ascii="Arial" w:cs="Arial" w:eastAsia="Arial" w:hAnsi="Arial"/>
          <w:sz w:val="18"/>
          <w:szCs w:val="18"/>
          <w:color w:val="000000"/>
        </w:rPr>
        <w:t xml:space="preserve">for capital expenditures, including computer hardware and software for our data centers to support our growth and development and physical scanner appliances provided to certain customers as part of their subscriptions; purchases of investments of </w:t>
      </w:r>
      <w:r>
        <w:rPr>
          <w:rFonts w:ascii="Arial" w:cs="Arial" w:eastAsia="Arial" w:hAnsi="Arial"/>
          <w:sz w:val="18"/>
          <w:szCs w:val="18"/>
          <w:color w:val="231F20"/>
        </w:rPr>
        <w:t>$76.9 million</w:t>
      </w:r>
      <w:r>
        <w:rPr>
          <w:rFonts w:ascii="Arial" w:cs="Arial" w:eastAsia="Arial" w:hAnsi="Arial"/>
          <w:sz w:val="18"/>
          <w:szCs w:val="18"/>
          <w:color w:val="000000"/>
        </w:rPr>
        <w:t xml:space="preserve">, partially offset by sales and maturities of investments of </w:t>
      </w:r>
      <w:r>
        <w:rPr>
          <w:rFonts w:ascii="Arial" w:cs="Arial" w:eastAsia="Arial" w:hAnsi="Arial"/>
          <w:sz w:val="18"/>
          <w:szCs w:val="18"/>
          <w:color w:val="231F20"/>
        </w:rPr>
        <w:t>$65.0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2015</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$5.7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$5.5 million</w:t>
      </w:r>
      <w:r>
        <w:rPr>
          <w:rFonts w:ascii="Arial" w:cs="Arial" w:eastAsia="Arial" w:hAnsi="Arial"/>
          <w:sz w:val="18"/>
          <w:szCs w:val="18"/>
          <w:color w:val="231F20"/>
        </w:rPr>
        <w:t xml:space="preserve"> of proceeds from the exercise of stock options.</w:t>
      </w:r>
    </w:p>
    <w:p>
      <w:pPr>
        <w:spacing w:after="0" w:line="196"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2014</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$2.6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$3.1 million</w:t>
      </w:r>
      <w:r>
        <w:rPr>
          <w:rFonts w:ascii="Arial" w:cs="Arial" w:eastAsia="Arial" w:hAnsi="Arial"/>
          <w:sz w:val="18"/>
          <w:szCs w:val="18"/>
          <w:color w:val="231F20"/>
        </w:rPr>
        <w:t xml:space="preserve"> of proceeds from the exercise of stock options, partially offset by repayments on our capital lease obligations of </w:t>
      </w:r>
      <w:r>
        <w:rPr>
          <w:rFonts w:ascii="Arial" w:cs="Arial" w:eastAsia="Arial" w:hAnsi="Arial"/>
          <w:sz w:val="18"/>
          <w:szCs w:val="18"/>
          <w:color w:val="000000"/>
        </w:rPr>
        <w:t>$0.5 million</w:t>
      </w:r>
      <w:r>
        <w:rPr>
          <w:rFonts w:ascii="Arial" w:cs="Arial" w:eastAsia="Arial" w:hAnsi="Arial"/>
          <w:sz w:val="18"/>
          <w:szCs w:val="18"/>
          <w:color w:val="231F20"/>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June 30, 2015</w:t>
      </w:r>
      <w:r>
        <w:rPr>
          <w:rFonts w:ascii="Arial" w:cs="Arial" w:eastAsia="Arial" w:hAnsi="Arial"/>
          <w:sz w:val="18"/>
          <w:szCs w:val="18"/>
          <w:color w:val="231F20"/>
        </w:rPr>
        <w:t xml:space="preserve"> and the effect such obligations are expected to have on our liquidity and cash flows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Remainder of</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6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5"/>
                <w:szCs w:val="15"/>
                <w:color w:val="auto"/>
              </w:rPr>
            </w:pPr>
          </w:p>
        </w:tc>
        <w:tc>
          <w:tcPr>
            <w:tcW w:w="1100" w:type="dxa"/>
            <w:vAlign w:val="bottom"/>
            <w:gridSpan w:val="2"/>
          </w:tcPr>
          <w:p>
            <w:pPr>
              <w:ind w:left="160"/>
              <w:spacing w:after="0" w:line="181"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5"/>
                <w:szCs w:val="15"/>
                <w:color w:val="auto"/>
              </w:rPr>
            </w:pPr>
          </w:p>
        </w:tc>
        <w:tc>
          <w:tcPr>
            <w:tcW w:w="1000" w:type="dxa"/>
            <w:vAlign w:val="bottom"/>
          </w:tcPr>
          <w:p>
            <w:pPr>
              <w:jc w:val="right"/>
              <w:ind w:right="379"/>
              <w:spacing w:after="0" w:line="181" w:lineRule="exact"/>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2016-2017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2018-2019</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2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4020" w:type="dxa"/>
            <w:vAlign w:val="bottom"/>
            <w:shd w:val="clear" w:color="auto" w:fill="CCEEFF"/>
          </w:tcPr>
          <w:p>
            <w:pPr>
              <w:jc w:val="right"/>
              <w:ind w:right="3826"/>
              <w:spacing w:after="0"/>
              <w:rPr>
                <w:sz w:val="20"/>
                <w:szCs w:val="20"/>
                <w:color w:val="auto"/>
              </w:rPr>
            </w:pPr>
            <w:r>
              <w:rPr>
                <w:rFonts w:ascii="Arial" w:cs="Arial" w:eastAsia="Arial" w:hAnsi="Arial"/>
                <w:sz w:val="11"/>
                <w:szCs w:val="11"/>
                <w:color w:val="auto"/>
                <w:w w:val="88"/>
                <w:shd w:val="clear" w:color="auto" w:fill="CCEEFF"/>
              </w:rPr>
              <w:t>(1)</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7,783</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2,097</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5,020</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90"/>
        </w:trPr>
        <w:tc>
          <w:tcPr>
            <w:tcW w:w="40" w:type="dxa"/>
            <w:vAlign w:val="bottom"/>
            <w:tcBorders>
              <w:bottom w:val="single" w:sz="8" w:color="CCEEFF"/>
            </w:tcBorders>
            <w:shd w:val="clear" w:color="auto" w:fill="CCEEFF"/>
          </w:tcPr>
          <w:p>
            <w:pPr>
              <w:spacing w:after="0"/>
              <w:rPr>
                <w:sz w:val="7"/>
                <w:szCs w:val="7"/>
                <w:color w:val="auto"/>
              </w:rPr>
            </w:pPr>
          </w:p>
        </w:tc>
        <w:tc>
          <w:tcPr>
            <w:tcW w:w="2000" w:type="dxa"/>
            <w:vAlign w:val="bottom"/>
            <w:tcBorders>
              <w:bottom w:val="single" w:sz="8" w:color="CCEEFF"/>
            </w:tcBorders>
            <w:gridSpan w:val="2"/>
            <w:vMerge w:val="continue"/>
            <w:shd w:val="clear" w:color="auto" w:fill="CCEEFF"/>
          </w:tcPr>
          <w:p>
            <w:pPr>
              <w:spacing w:after="0"/>
              <w:rPr>
                <w:sz w:val="7"/>
                <w:szCs w:val="7"/>
                <w:color w:val="auto"/>
              </w:rPr>
            </w:pPr>
          </w:p>
        </w:tc>
        <w:tc>
          <w:tcPr>
            <w:tcW w:w="402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02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7,783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5,020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80" w:hanging="332"/>
        <w:spacing w:after="0" w:line="278" w:lineRule="auto"/>
        <w:tabs>
          <w:tab w:leader="none" w:pos="232" w:val="left"/>
        </w:tabs>
        <w:numPr>
          <w:ilvl w:val="0"/>
          <w:numId w:val="7"/>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six</w:t>
      </w:r>
      <w:r>
        <w:rPr>
          <w:rFonts w:ascii="Arial" w:cs="Arial" w:eastAsia="Arial" w:hAnsi="Arial"/>
          <w:sz w:val="14"/>
          <w:szCs w:val="14"/>
          <w:color w:val="231F20"/>
        </w:rPr>
        <w:t xml:space="preserve"> </w:t>
      </w:r>
      <w:r>
        <w:rPr>
          <w:rFonts w:ascii="Arial" w:cs="Arial" w:eastAsia="Arial" w:hAnsi="Arial"/>
          <w:sz w:val="14"/>
          <w:szCs w:val="14"/>
          <w:color w:val="000000"/>
        </w:rPr>
        <w:t>months ended June 30, 2015</w:t>
      </w:r>
      <w:r>
        <w:rPr>
          <w:rFonts w:ascii="Arial" w:cs="Arial" w:eastAsia="Arial" w:hAnsi="Arial"/>
          <w:sz w:val="14"/>
          <w:szCs w:val="14"/>
          <w:color w:val="231F20"/>
        </w:rPr>
        <w:t>, we made regular payments on our operating lease obligations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2014, filed with the SEC on March 6, 2015,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1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231F20"/>
        </w:rPr>
        <w:t>Quantitative and Qualitative Disclosures about Market Risk</w:t>
      </w:r>
    </w:p>
    <w:p>
      <w:pPr>
        <w:spacing w:after="0" w:line="328"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We have $187.1 million in cash, cash equivalents and short-term and long-term investments at June 30, 2015. Cash and cash equivalents include cash held in banks, highly liquid money market funds, U.S. government agency securities, and commercial paper. Investments consist of fixed-income U.S. government agency securities, corporate bonds, asset-backed securities, and commercial paper. We </w:t>
      </w:r>
      <w:r>
        <w:rPr>
          <w:rFonts w:ascii="Arial" w:cs="Arial" w:eastAsia="Arial" w:hAnsi="Arial"/>
          <w:sz w:val="18"/>
          <w:szCs w:val="18"/>
          <w:color w:val="231F20"/>
        </w:rPr>
        <w:t>determine the appropriate classification of our investments at the time of purchase and reevaluate such designation at each balance sheet date. We classify our investments as either short-term or long-term based on each instrument's underlying contractual maturity date.</w:t>
      </w:r>
    </w:p>
    <w:p>
      <w:pPr>
        <w:spacing w:after="0" w:line="16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1"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right="140" w:firstLine="486"/>
        <w:spacing w:after="0" w:line="265"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2015. The term “disclosure controls and procedures,” as defined in Rules 13a-15(e) and</w:t>
      </w:r>
    </w:p>
    <w:p>
      <w:pPr>
        <w:spacing w:after="0" w:line="251" w:lineRule="auto"/>
        <w:rPr>
          <w:sz w:val="20"/>
          <w:szCs w:val="20"/>
          <w:color w:val="auto"/>
        </w:rPr>
      </w:pPr>
      <w:r>
        <w:rPr>
          <w:rFonts w:ascii="Arial" w:cs="Arial" w:eastAsia="Arial" w:hAnsi="Arial"/>
          <w:sz w:val="18"/>
          <w:szCs w:val="18"/>
          <w:color w:val="auto"/>
        </w:rPr>
        <w:t>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2015,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74"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71"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1"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41" w:right="27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10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231F20"/>
        </w:rPr>
        <w:t>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342"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In addition, we will continue to incur increased personnel and professional services expenses in connection with compliance with Section 404 of the Sarbanes-Oxley Act.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derived 79% and 82% of our revenues from subscriptions to our core QualysGuard Vulnerability Management solution for the six months ended June 30, 2015 and 2014,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231F20"/>
        </w:rPr>
        <w:t>or increase subscriptions for this solution or a decline in price of this solution would harm our business and operating results more seriously than if we derived significant revenues from a variety of solutions.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 Service, Qualys SECURE Seal, Continuous Monitoring and Cloud Agent Platform,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economic conditions or reduced IT spending may adversely impact our business.</w:t>
      </w:r>
    </w:p>
    <w:p>
      <w:pPr>
        <w:spacing w:after="0" w:line="247"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auto"/>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and expect to add additional data centers throughout 2015. However, these additional facilities may not be operational in the anticipated time-frame and we may incur unplanned expenses.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36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McAfee, Inc. (a subsidiary of Intel Corporation), Symantec Corporation, and Rapid7, Inc., as well as privately held security providers including BeyondTrust Software, Inc., nCircle Network Security,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4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41" w:right="27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231F20"/>
        </w:rPr>
        <w:t>overall demand for, our solutions. Privacy concerns, whether valid or not valid, may inhibit market adoption of our solutions particularly in certain industries and foreign countries.</w:t>
      </w:r>
    </w:p>
    <w:p>
      <w:pPr>
        <w:spacing w:after="0" w:line="17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27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approximately 43% of our employees are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40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8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2012</w:t>
      </w:r>
      <w:r>
        <w:rPr>
          <w:rFonts w:ascii="Arial" w:cs="Arial" w:eastAsia="Arial" w:hAnsi="Arial"/>
          <w:sz w:val="18"/>
          <w:szCs w:val="18"/>
          <w:color w:val="231F20"/>
        </w:rPr>
        <w:t xml:space="preserve"> to </w:t>
      </w:r>
      <w:r>
        <w:rPr>
          <w:rFonts w:ascii="Arial" w:cs="Arial" w:eastAsia="Arial" w:hAnsi="Arial"/>
          <w:sz w:val="18"/>
          <w:szCs w:val="18"/>
          <w:color w:val="000000"/>
        </w:rPr>
        <w:t>2014</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$91.4 million</w:t>
      </w:r>
      <w:r>
        <w:rPr>
          <w:rFonts w:ascii="Arial" w:cs="Arial" w:eastAsia="Arial" w:hAnsi="Arial"/>
          <w:sz w:val="18"/>
          <w:szCs w:val="18"/>
          <w:color w:val="231F20"/>
        </w:rPr>
        <w:t xml:space="preserve"> to </w:t>
      </w:r>
      <w:r>
        <w:rPr>
          <w:rFonts w:ascii="Arial" w:cs="Arial" w:eastAsia="Arial" w:hAnsi="Arial"/>
          <w:sz w:val="18"/>
          <w:szCs w:val="18"/>
          <w:color w:val="000000"/>
        </w:rPr>
        <w:t>$133.6</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359 employees at the beginning of 2012 to 483 employees at June 30, 2015. We rely on information</w:t>
      </w:r>
      <w:r>
        <w:rPr>
          <w:rFonts w:ascii="Arial" w:cs="Arial" w:eastAsia="Arial" w:hAnsi="Arial"/>
          <w:sz w:val="18"/>
          <w:szCs w:val="18"/>
          <w:color w:val="000000"/>
        </w:rPr>
        <w:t xml:space="preserve"> </w:t>
      </w:r>
      <w:r>
        <w:rPr>
          <w:rFonts w:ascii="Arial" w:cs="Arial" w:eastAsia="Arial" w:hAnsi="Arial"/>
          <w:sz w:val="18"/>
          <w:szCs w:val="18"/>
          <w:color w:val="231F20"/>
        </w:rPr>
        <w:t>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success significantly depends upon establishing and maintaining relationships with a variety of channel partners and we anticipate that we will continue to depend on these partners in order to grow our business. For the six months ended June 30, 2015 and 2014, we derived approximately 36% and 37%,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27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1" w:right="2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8"/>
          <w:szCs w:val="18"/>
          <w:color w:val="231F20"/>
        </w:rPr>
        <w:t>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200" w:lineRule="exact"/>
        <w:rPr>
          <w:sz w:val="20"/>
          <w:szCs w:val="20"/>
          <w:color w:val="auto"/>
        </w:rPr>
      </w:pPr>
    </w:p>
    <w:p>
      <w:pPr>
        <w:spacing w:after="0" w:line="20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and could result in an inability or delay in deploying our solutions to customers that request physical scanner appliances as part of their subscriptions.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six months ended June 30, 2015, we incurred approximately 21% of our expenses outside of the United States in foreign currencies, primarily Euros and British Pounds, principally with respect to salaries and related personnel expenses associated with our European operations. Additionally, for six months ended June 30, 2015, approximately 17%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and British Pound. The results of our operations may be adversely affected by foreign exchange fluctuations.</w:t>
      </w:r>
    </w:p>
    <w:p>
      <w:pPr>
        <w:spacing w:after="0" w:line="21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four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41" w:right="2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$0.6 million on our condensed consolidated balance sheet as of </w:t>
      </w:r>
      <w:r>
        <w:rPr>
          <w:rFonts w:ascii="Arial" w:cs="Arial" w:eastAsia="Arial" w:hAnsi="Arial"/>
          <w:sz w:val="18"/>
          <w:szCs w:val="18"/>
          <w:color w:val="000000"/>
        </w:rPr>
        <w:t>June 30, 2015</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w:t>
      </w:r>
    </w:p>
    <w:p>
      <w:pPr>
        <w:spacing w:after="0" w:line="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231F20"/>
        </w:rPr>
        <w:t>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such acquisitions may still be viewed negatively by customers, financial markets or investors. </w:t>
      </w:r>
      <w:r>
        <w:rPr>
          <w:rFonts w:ascii="Arial" w:cs="Arial" w:eastAsia="Arial" w:hAnsi="Arial"/>
          <w:sz w:val="18"/>
          <w:szCs w:val="18"/>
          <w:color w:val="231F20"/>
        </w:rPr>
        <w:t>The acquisition and integration</w:t>
      </w:r>
      <w:r>
        <w:rPr>
          <w:rFonts w:ascii="Arial" w:cs="Arial" w:eastAsia="Arial" w:hAnsi="Arial"/>
          <w:sz w:val="18"/>
          <w:szCs w:val="18"/>
          <w:color w:val="000000"/>
        </w:rPr>
        <w:t xml:space="preserve"> </w:t>
      </w:r>
      <w:r>
        <w:rPr>
          <w:rFonts w:ascii="Arial" w:cs="Arial" w:eastAsia="Arial" w:hAnsi="Arial"/>
          <w:sz w:val="18"/>
          <w:szCs w:val="18"/>
          <w:color w:val="231F20"/>
        </w:rPr>
        <w:t xml:space="preserve">process is complex, 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w:t>
      </w:r>
      <w:r>
        <w:rPr>
          <w:rFonts w:ascii="Arial" w:cs="Arial" w:eastAsia="Arial" w:hAnsi="Arial"/>
          <w:sz w:val="18"/>
          <w:szCs w:val="18"/>
          <w:color w:val="231F20"/>
        </w:rPr>
        <w:t xml:space="preserve"> </w:t>
      </w:r>
      <w:r>
        <w:rPr>
          <w:rFonts w:ascii="Arial" w:cs="Arial" w:eastAsia="Arial" w:hAnsi="Arial"/>
          <w:sz w:val="18"/>
          <w:szCs w:val="18"/>
          <w:color w:val="000000"/>
        </w:rPr>
        <w:t xml:space="preserve">may issue 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ind w:right="24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revenues through additional bookings in any period, as revenues are recognized ratably over the subscription period.</w:t>
      </w:r>
    </w:p>
    <w:p>
      <w:pPr>
        <w:spacing w:after="0" w:line="20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$56.7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4"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231F20"/>
        </w:rPr>
        <w:t xml:space="preserve">Our </w:t>
      </w:r>
      <w:r>
        <w:rPr>
          <w:rFonts w:ascii="Arial" w:cs="Arial" w:eastAsia="Arial" w:hAnsi="Arial"/>
          <w:sz w:val="17"/>
          <w:szCs w:val="17"/>
          <w:color w:val="000000"/>
        </w:rPr>
        <w:t>internal control over financial reporting is a process designed to provide reasonable assurance regarding the reliability of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reporting and the preparation of financial statements in accordance with GAAP. Our </w:t>
      </w:r>
      <w:r>
        <w:rPr>
          <w:rFonts w:ascii="Arial" w:cs="Arial" w:eastAsia="Arial" w:hAnsi="Arial"/>
          <w:sz w:val="17"/>
          <w:szCs w:val="17"/>
          <w:color w:val="231F20"/>
        </w:rPr>
        <w:t>current controls and any new controls that we develop may</w:t>
      </w:r>
      <w:r>
        <w:rPr>
          <w:rFonts w:ascii="Arial" w:cs="Arial" w:eastAsia="Arial" w:hAnsi="Arial"/>
          <w:sz w:val="17"/>
          <w:szCs w:val="17"/>
          <w:color w:val="000000"/>
        </w:rPr>
        <w:t xml:space="preserve"> </w:t>
      </w:r>
      <w:r>
        <w:rPr>
          <w:rFonts w:ascii="Arial" w:cs="Arial" w:eastAsia="Arial" w:hAnsi="Arial"/>
          <w:sz w:val="17"/>
          <w:szCs w:val="17"/>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In the event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19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Our independent registered public accounting firm is not required to formally attest to the effectiveness of our internal control over financial reporting until the first annual report required to be filed with the SEC following the date we are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1"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31F20"/>
        </w:rPr>
        <w:t>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As of June 30, 2015, the aggregate market value of voting shares of common stock that was held by non-affiliates exceeded $700 million, therefore, we will cease to be an emerging growth company as of December 31, 2015 and our independent registered public accounting firm will be required to formally attest to the effectiveness of our internal control over financial reporting for our 2015 annual report.</w:t>
      </w:r>
    </w:p>
    <w:p>
      <w:pPr>
        <w:spacing w:after="0" w:line="187"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by the end of this year, which could adversely affect our business and operating results.</w:t>
      </w:r>
    </w:p>
    <w:p>
      <w:pPr>
        <w:spacing w:after="0" w:line="1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231F20"/>
        </w:rPr>
        <w:t>As of June 30, 2015, the aggregate market value of voting shares of common stock that was held by non-affiliates exceeded $700 million, therefore, we will cease to be an emerging growth company as of December 31, and we thus expect to incur increasing expenses and devote substantial management effort toward ensuring compliance with the requirements of Section 404(b) of the Sarbanes-Oxley Act, when applicable to us.</w:t>
      </w:r>
    </w:p>
    <w:p>
      <w:pPr>
        <w:spacing w:after="0" w:line="20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8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231F20"/>
        </w:rPr>
        <w:t>We are currently an “emerging growth company” and we cannot be certain if the reduced disclosure requirements applicable to emerging growth companies make our common stock less attractive to investors.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are currently an “emerging growth company,” as defined in the JOBS Act, and, as we will remain an "emerging growth company" through the end of this year,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4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680" w:firstLine="405"/>
        <w:spacing w:after="0" w:line="256"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41"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may vary from our guidance and the variations may be material. In light of the foregoing, investors are urged not to rely upon our guidance in making an investment decision regarding our common stock.</w:t>
      </w:r>
    </w:p>
    <w:p>
      <w:pPr>
        <w:spacing w:after="0" w:line="196"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4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As of June 30, 2015, our executive officers, directors and holders of 10% or more of our outstanding common stock beneficially own, in the aggregate, approximately 27%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2015, we had approximately 34.1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In addition, as of June 30, 2015, we had outstanding options to purchase approximately 7.4 million shares of common stock options that, if exercised, will result in these additional shares becoming available for sale. As of June 30, 2015, we had an aggregate of 2.2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41"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39" w:lineRule="exact"/>
        <w:rPr>
          <w:sz w:val="20"/>
          <w:szCs w:val="20"/>
          <w:color w:val="auto"/>
        </w:rPr>
      </w:pPr>
    </w:p>
    <w:p>
      <w:pPr>
        <w:ind w:right="5560"/>
        <w:spacing w:after="0" w:line="381"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41"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August 6, 2015.</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41"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1880" w:type="dxa"/>
            <w:vAlign w:val="bottom"/>
            <w:gridSpan w:val="4"/>
          </w:tcPr>
          <w:p>
            <w:pPr>
              <w:jc w:val="center"/>
              <w:ind w:right="620"/>
              <w:spacing w:after="0"/>
              <w:rPr>
                <w:rFonts w:ascii="Arial" w:cs="Arial" w:eastAsia="Arial" w:hAnsi="Arial"/>
                <w:sz w:val="16"/>
                <w:szCs w:val="16"/>
                <w:color w:val="0000EE"/>
                <w:w w:val="99"/>
              </w:rPr>
            </w:pPr>
            <w:hyperlink w:anchor="page1">
              <w:r>
                <w:rPr>
                  <w:rFonts w:ascii="Arial" w:cs="Arial" w:eastAsia="Arial" w:hAnsi="Arial"/>
                  <w:sz w:val="16"/>
                  <w:szCs w:val="16"/>
                  <w:color w:val="0000EE"/>
                  <w:w w:val="99"/>
                </w:rPr>
                <w:t>Table of Contents</w:t>
              </w:r>
            </w:hyperlink>
          </w:p>
        </w:tc>
        <w:tc>
          <w:tcPr>
            <w:tcW w:w="8460" w:type="dxa"/>
            <w:vAlign w:val="bottom"/>
          </w:tcPr>
          <w:p>
            <w:pPr>
              <w:spacing w:after="0"/>
              <w:rPr>
                <w:sz w:val="16"/>
                <w:szCs w:val="16"/>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880" w:type="dxa"/>
            <w:vAlign w:val="bottom"/>
            <w:gridSpan w:val="4"/>
          </w:tcPr>
          <w:p>
            <w:pPr>
              <w:ind w:left="280"/>
              <w:spacing w:after="0"/>
              <w:rPr>
                <w:sz w:val="20"/>
                <w:szCs w:val="20"/>
                <w:color w:val="auto"/>
              </w:rPr>
            </w:pPr>
            <w:r>
              <w:rPr>
                <w:rFonts w:ascii="Arial" w:cs="Arial" w:eastAsia="Arial" w:hAnsi="Arial"/>
                <w:sz w:val="18"/>
                <w:szCs w:val="18"/>
                <w:color w:val="auto"/>
              </w:rPr>
              <w:t>Exhibit Number</w:t>
            </w:r>
          </w:p>
        </w:tc>
        <w:tc>
          <w:tcPr>
            <w:tcW w:w="84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431"/>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Exchange Act of 1934, 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231F20"/>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231F20"/>
              </w:rPr>
              <w:t>Sarbanes-Oxley Act of 2002.</w:t>
            </w:r>
          </w:p>
        </w:tc>
      </w:tr>
      <w:tr>
        <w:trPr>
          <w:trHeight w:val="48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w:t>
            </w: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Pr>
          <w:p>
            <w:pPr>
              <w:ind w:left="340"/>
              <w:spacing w:after="0" w:line="202" w:lineRule="exact"/>
              <w:rPr>
                <w:sz w:val="20"/>
                <w:szCs w:val="20"/>
                <w:color w:val="auto"/>
              </w:rPr>
            </w:pPr>
            <w:r>
              <w:rPr>
                <w:rFonts w:ascii="Arial" w:cs="Arial" w:eastAsia="Arial" w:hAnsi="Arial"/>
                <w:sz w:val="18"/>
                <w:szCs w:val="18"/>
                <w:color w:val="auto"/>
              </w:rPr>
              <w:t>Exchange Act of 1934 and 18 U.S.C. Section 1350 as adopted pursuant to Section 906 of The</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1020"/>
              <w:spacing w:after="0"/>
              <w:rPr>
                <w:sz w:val="20"/>
                <w:szCs w:val="20"/>
                <w:color w:val="auto"/>
              </w:rPr>
            </w:pPr>
            <w:r>
              <w:rPr>
                <w:rFonts w:ascii="Arial" w:cs="Arial" w:eastAsia="Arial" w:hAnsi="Arial"/>
                <w:sz w:val="18"/>
                <w:szCs w:val="18"/>
                <w:color w:val="auto"/>
              </w:rPr>
              <w:t>INS^^</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Instance Document</w:t>
            </w:r>
          </w:p>
        </w:tc>
      </w:tr>
      <w:tr>
        <w:trPr>
          <w:trHeight w:val="500"/>
        </w:trPr>
        <w:tc>
          <w:tcPr>
            <w:tcW w:w="1880" w:type="dxa"/>
            <w:vAlign w:val="bottom"/>
            <w:gridSpan w:val="4"/>
          </w:tcPr>
          <w:p>
            <w:pPr>
              <w:ind w:left="40"/>
              <w:spacing w:after="0"/>
              <w:rPr>
                <w:sz w:val="20"/>
                <w:szCs w:val="20"/>
                <w:color w:val="auto"/>
              </w:rPr>
            </w:pPr>
            <w:r>
              <w:rPr>
                <w:rFonts w:ascii="Arial" w:cs="Arial" w:eastAsia="Arial" w:hAnsi="Arial"/>
                <w:sz w:val="18"/>
                <w:szCs w:val="18"/>
                <w:color w:val="auto"/>
              </w:rPr>
              <w:t>101 SCH^^</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CAL^^</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DEF^^</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80"/>
              <w:spacing w:after="0"/>
              <w:rPr>
                <w:sz w:val="20"/>
                <w:szCs w:val="20"/>
                <w:color w:val="auto"/>
              </w:rPr>
            </w:pPr>
            <w:r>
              <w:rPr>
                <w:rFonts w:ascii="Arial" w:cs="Arial" w:eastAsia="Arial" w:hAnsi="Arial"/>
                <w:sz w:val="18"/>
                <w:szCs w:val="18"/>
                <w:color w:val="auto"/>
              </w:rPr>
              <w:t>LAB^^</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center"/>
              <w:ind w:right="960"/>
              <w:spacing w:after="0"/>
              <w:rPr>
                <w:sz w:val="20"/>
                <w:szCs w:val="20"/>
                <w:color w:val="auto"/>
              </w:rPr>
            </w:pPr>
            <w:r>
              <w:rPr>
                <w:rFonts w:ascii="Arial" w:cs="Arial" w:eastAsia="Arial" w:hAnsi="Arial"/>
                <w:sz w:val="18"/>
                <w:szCs w:val="18"/>
                <w:color w:val="auto"/>
              </w:rPr>
              <w:t>PRE^^</w:t>
            </w:r>
          </w:p>
        </w:tc>
        <w:tc>
          <w:tcPr>
            <w:tcW w:w="8460" w:type="dxa"/>
            <w:vAlign w:val="bottom"/>
          </w:tcPr>
          <w:p>
            <w:pPr>
              <w:ind w:left="2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20" w:hanging="492"/>
        <w:spacing w:after="0" w:line="253" w:lineRule="auto"/>
        <w:tabs>
          <w:tab w:leader="none" w:pos="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hanging="492"/>
        <w:spacing w:after="0" w:line="302" w:lineRule="auto"/>
        <w:tabs>
          <w:tab w:leader="none" w:pos="500" w:val="left"/>
        </w:tabs>
        <w:numPr>
          <w:ilvl w:val="0"/>
          <w:numId w:val="17"/>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18" w:right="2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6, 2015</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August 6, 2015</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2015,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6, 2015</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2015,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2015</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2"/>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2019-12-29T15:19:05Z</dcterms:created>
  <dcterms:modified xsi:type="dcterms:W3CDTF">2019-12-29T15:19:05Z</dcterms:modified>
</cp:coreProperties>
</file>