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132080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200660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4"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220345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247015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206" w:lineRule="exact"/>
        <w:rPr>
          <w:sz w:val="24"/>
          <w:szCs w:val="24"/>
          <w:color w:val="auto"/>
        </w:rPr>
      </w:pPr>
    </w:p>
    <w:p>
      <w:pPr>
        <w:jc w:val="center"/>
        <w:ind w:right="-340"/>
        <w:spacing w:after="0"/>
        <w:rPr>
          <w:sz w:val="20"/>
          <w:szCs w:val="20"/>
          <w:color w:val="auto"/>
        </w:rPr>
      </w:pPr>
      <w:r>
        <w:rPr>
          <w:rFonts w:ascii="Arial" w:cs="Arial" w:eastAsia="Arial" w:hAnsi="Arial"/>
          <w:sz w:val="36"/>
          <w:szCs w:val="36"/>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73"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(Name of Person(s) Filing Proxy Statement, if other than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1"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537" w:right="1440" w:bottom="1440" w:gutter="0" w:footer="0" w:header="0"/>
        </w:sectPr>
      </w:pPr>
    </w:p>
    <w:bookmarkStart w:id="1" w:name="page2"/>
    <w:bookmarkEnd w:id="1"/>
    <w:p>
      <w:pPr>
        <w:ind w:left="3880"/>
        <w:spacing w:after="0"/>
        <w:rPr>
          <w:sz w:val="20"/>
          <w:szCs w:val="20"/>
          <w:color w:val="auto"/>
        </w:rPr>
      </w:pPr>
      <w:r>
        <w:rPr>
          <w:rFonts w:ascii="Arial" w:cs="Arial" w:eastAsia="Arial" w:hAnsi="Arial"/>
          <w:sz w:val="18"/>
          <w:szCs w:val="18"/>
          <w:b w:val="1"/>
          <w:bCs w:val="1"/>
          <w:color w:val="auto"/>
        </w:rPr>
        <w:t>QUALYS, INC.</w:t>
      </w:r>
    </w:p>
    <w:p>
      <w:pPr>
        <w:ind w:left="2840"/>
        <w:spacing w:after="0" w:line="183" w:lineRule="auto"/>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ind w:left="3300"/>
        <w:spacing w:after="0" w:line="236" w:lineRule="auto"/>
        <w:rPr>
          <w:sz w:val="20"/>
          <w:szCs w:val="20"/>
          <w:color w:val="auto"/>
        </w:rPr>
      </w:pPr>
      <w:r>
        <w:rPr>
          <w:rFonts w:ascii="Arial" w:cs="Arial" w:eastAsia="Arial" w:hAnsi="Arial"/>
          <w:sz w:val="18"/>
          <w:szCs w:val="18"/>
          <w:b w:val="1"/>
          <w:bCs w:val="1"/>
          <w:color w:val="auto"/>
        </w:rPr>
        <w:t>Foster City, California 94404</w:t>
      </w:r>
    </w:p>
    <w:p>
      <w:pPr>
        <w:ind w:left="4380"/>
        <w:spacing w:after="0" w:line="228" w:lineRule="auto"/>
        <w:rPr>
          <w:sz w:val="20"/>
          <w:szCs w:val="20"/>
          <w:color w:val="auto"/>
        </w:rPr>
      </w:pPr>
      <w:r>
        <w:rPr>
          <w:rFonts w:ascii="Arial" w:cs="Arial" w:eastAsia="Arial" w:hAnsi="Arial"/>
          <w:sz w:val="18"/>
          <w:szCs w:val="18"/>
          <w:b w:val="1"/>
          <w:bCs w:val="1"/>
          <w:color w:val="auto"/>
        </w:rPr>
        <w:t> </w:t>
      </w:r>
    </w:p>
    <w:p>
      <w:pPr>
        <w:jc w:val="center"/>
        <w:ind w:right="79"/>
        <w:spacing w:after="0" w:line="236" w:lineRule="auto"/>
        <w:rPr>
          <w:sz w:val="20"/>
          <w:szCs w:val="20"/>
          <w:color w:val="auto"/>
        </w:rPr>
      </w:pPr>
      <w:r>
        <w:rPr>
          <w:rFonts w:ascii="Arial" w:cs="Arial" w:eastAsia="Arial" w:hAnsi="Arial"/>
          <w:sz w:val="22"/>
          <w:szCs w:val="22"/>
          <w:b w:val="1"/>
          <w:bCs w:val="1"/>
          <w:color w:val="auto"/>
        </w:rPr>
        <w:t>NOTICE OF ANNUAL MEETING OF STOCKHOLDERS</w:t>
      </w:r>
    </w:p>
    <w:p>
      <w:pPr>
        <w:ind w:left="1260"/>
        <w:spacing w:after="0"/>
        <w:rPr>
          <w:sz w:val="20"/>
          <w:szCs w:val="20"/>
          <w:color w:val="auto"/>
        </w:rPr>
      </w:pPr>
      <w:r>
        <w:rPr>
          <w:rFonts w:ascii="Arial" w:cs="Arial" w:eastAsia="Arial" w:hAnsi="Arial"/>
          <w:sz w:val="18"/>
          <w:szCs w:val="18"/>
          <w:b w:val="1"/>
          <w:bCs w:val="1"/>
          <w:color w:val="auto"/>
        </w:rPr>
        <w:t>To Be Held at 11:00 a.m. Pacific Daylight Time on Wednesday, June 10, 2026</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HOLDERS OF COMMON STOCK</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 QUALYS, INC.:</w:t>
      </w:r>
    </w:p>
    <w:p>
      <w:pPr>
        <w:spacing w:after="0" w:line="86" w:lineRule="exact"/>
        <w:rPr>
          <w:sz w:val="20"/>
          <w:szCs w:val="20"/>
          <w:color w:val="auto"/>
        </w:rPr>
      </w:pPr>
    </w:p>
    <w:p>
      <w:pPr>
        <w:ind w:left="500" w:right="519" w:firstLine="360"/>
        <w:spacing w:after="0" w:line="281" w:lineRule="auto"/>
        <w:rPr>
          <w:sz w:val="20"/>
          <w:szCs w:val="20"/>
          <w:color w:val="auto"/>
        </w:rPr>
      </w:pPr>
      <w:r>
        <w:rPr>
          <w:rFonts w:ascii="Arial" w:cs="Arial" w:eastAsia="Arial" w:hAnsi="Arial"/>
          <w:sz w:val="18"/>
          <w:szCs w:val="18"/>
          <w:color w:val="auto"/>
        </w:rPr>
        <w:t xml:space="preserve">The 2026 Annual Meeting of Stockholders of Qualys, Inc., a Delaware corporation, will be held online on </w:t>
      </w:r>
      <w:r>
        <w:rPr>
          <w:rFonts w:ascii="Arial" w:cs="Arial" w:eastAsia="Arial" w:hAnsi="Arial"/>
          <w:sz w:val="18"/>
          <w:szCs w:val="18"/>
          <w:b w:val="1"/>
          <w:bCs w:val="1"/>
          <w:color w:val="auto"/>
        </w:rPr>
        <w:t>Wednesday, June 10, 2026, at 11:00 a.m. Pacific Daylight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10795</wp:posOffset>
            </wp:positionV>
            <wp:extent cx="5078730" cy="681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78730" cy="681355"/>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Stockholders may participate in the meeting only by logging in at:</w:t>
      </w:r>
    </w:p>
    <w:p>
      <w:pPr>
        <w:spacing w:after="0" w:line="14" w:lineRule="exact"/>
        <w:rPr>
          <w:sz w:val="20"/>
          <w:szCs w:val="20"/>
          <w:color w:val="auto"/>
        </w:rPr>
      </w:pPr>
    </w:p>
    <w:p>
      <w:pPr>
        <w:jc w:val="center"/>
        <w:ind w:left="500" w:right="519"/>
        <w:spacing w:after="0" w:line="242" w:lineRule="auto"/>
        <w:rPr>
          <w:sz w:val="20"/>
          <w:szCs w:val="20"/>
          <w:color w:val="auto"/>
        </w:rPr>
      </w:pPr>
      <w:r>
        <w:rPr>
          <w:rFonts w:ascii="Arial" w:cs="Arial" w:eastAsia="Arial" w:hAnsi="Arial"/>
          <w:sz w:val="18"/>
          <w:szCs w:val="18"/>
          <w:b w:val="1"/>
          <w:bCs w:val="1"/>
          <w:u w:val="single" w:color="auto"/>
          <w:color w:val="auto"/>
        </w:rPr>
        <w:t xml:space="preserve">www.virtualshareholdermeeting.com/QLYS2026 </w:t>
      </w:r>
      <w:r>
        <w:rPr>
          <w:rFonts w:ascii="Arial" w:cs="Arial" w:eastAsia="Arial" w:hAnsi="Arial"/>
          <w:sz w:val="18"/>
          <w:szCs w:val="18"/>
          <w:color w:val="auto"/>
        </w:rPr>
        <w:t>Stockholders will be able to listen to the meeting live, vote and submit questions. There will be no physical location for stockholders to attend the meeting.</w:t>
      </w:r>
    </w:p>
    <w:p>
      <w:pPr>
        <w:spacing w:after="0" w:line="152"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9" w:lineRule="exact"/>
        <w:rPr>
          <w:sz w:val="20"/>
          <w:szCs w:val="20"/>
          <w:color w:val="auto"/>
        </w:rPr>
      </w:pPr>
    </w:p>
    <w:p>
      <w:pPr>
        <w:ind w:left="1080" w:right="519" w:hanging="356"/>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the three Class II directors named in this proxy statement to serve until the 2029 annual meeting of stockholders or until their successors are duly elected and qualified;</w:t>
      </w:r>
    </w:p>
    <w:p>
      <w:pPr>
        <w:spacing w:after="0" w:line="5" w:lineRule="exact"/>
        <w:rPr>
          <w:rFonts w:ascii="Arial" w:cs="Arial" w:eastAsia="Arial" w:hAnsi="Arial"/>
          <w:sz w:val="18"/>
          <w:szCs w:val="18"/>
          <w:color w:val="auto"/>
        </w:rPr>
      </w:pPr>
    </w:p>
    <w:p>
      <w:pPr>
        <w:ind w:left="1080" w:right="519" w:hanging="356"/>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2026;</w:t>
      </w:r>
    </w:p>
    <w:p>
      <w:pPr>
        <w:spacing w:after="0" w:line="5" w:lineRule="exact"/>
        <w:rPr>
          <w:rFonts w:ascii="Arial" w:cs="Arial" w:eastAsia="Arial" w:hAnsi="Arial"/>
          <w:sz w:val="18"/>
          <w:szCs w:val="18"/>
          <w:color w:val="auto"/>
        </w:rPr>
      </w:pPr>
    </w:p>
    <w:p>
      <w:pPr>
        <w:ind w:left="1080" w:right="539" w:hanging="356"/>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this proxy statement;</w:t>
      </w:r>
    </w:p>
    <w:p>
      <w:pPr>
        <w:spacing w:after="0" w:line="18" w:lineRule="exact"/>
        <w:rPr>
          <w:rFonts w:ascii="Arial" w:cs="Arial" w:eastAsia="Arial" w:hAnsi="Arial"/>
          <w:sz w:val="18"/>
          <w:szCs w:val="18"/>
          <w:color w:val="auto"/>
        </w:rPr>
      </w:pPr>
    </w:p>
    <w:p>
      <w:pPr>
        <w:ind w:left="1080" w:hanging="35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our 2012 Equity Incentive Plan, as amended and restated; and</w:t>
      </w:r>
    </w:p>
    <w:p>
      <w:pPr>
        <w:spacing w:after="0" w:line="63" w:lineRule="exact"/>
        <w:rPr>
          <w:rFonts w:ascii="Arial" w:cs="Arial" w:eastAsia="Arial" w:hAnsi="Arial"/>
          <w:sz w:val="18"/>
          <w:szCs w:val="18"/>
          <w:color w:val="auto"/>
        </w:rPr>
      </w:pPr>
    </w:p>
    <w:p>
      <w:pPr>
        <w:ind w:left="1080" w:right="519" w:hanging="356"/>
        <w:spacing w:after="0" w:line="27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5"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The board of directors of Qualys, Inc. has fixed the close of business on April 14, 2026 as the record date for the meeting. Only stockholders of record of our common stock on April 14, 2026 are entitled to notice of and to vote at the meeting. Further information regarding voting rights and the matters to be voted upon is presented in the accompanying proxy statement.</w:t>
      </w:r>
    </w:p>
    <w:p>
      <w:pPr>
        <w:spacing w:after="0" w:line="39"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 xml:space="preserve">On or about April 22, 2026, we expect to mail to our stockholders a Notice of Internet Availability of Proxy Materials (the “Notice”) containing instructions on how to access the proxy statement for the 2026 annual meeting and our 2025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All you have to do is enter the control number located on the Notice or your proxy card.</w:t>
      </w:r>
    </w:p>
    <w:p>
      <w:pPr>
        <w:spacing w:after="0" w:line="3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b w:val="1"/>
          <w:bCs w:val="1"/>
          <w:color w:val="auto"/>
        </w:rPr>
        <w:t xml:space="preserve">YOUR VOTE IS IMPORTANT. Whether or not you plan to participate in the annual meeting, we urge you to submit your vote via the Internet, telephone or mail in advance of the meeting. </w:t>
      </w:r>
      <w:r>
        <w:rPr>
          <w:rFonts w:ascii="Arial" w:cs="Arial" w:eastAsia="Arial" w:hAnsi="Arial"/>
          <w:sz w:val="18"/>
          <w:szCs w:val="18"/>
          <w:color w:val="auto"/>
        </w:rPr>
        <w:t>If you plan to participate in the annual meeting, please see the instructions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proxy statement.</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appreciate your continued support of Qualys, Inc.</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Sumedh S. Thakar</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Sumedh S. Thakar</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Director, President and Chief Executive Officer</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Foster City, California</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2994025</wp:posOffset>
            </wp:positionH>
            <wp:positionV relativeFrom="page">
              <wp:posOffset>88900</wp:posOffset>
            </wp:positionV>
            <wp:extent cx="156845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8315"/>
                    </a:xfrm>
                    <a:prstGeom prst="rect">
                      <a:avLst/>
                    </a:prstGeom>
                    <a:noFill/>
                  </pic:spPr>
                </pic:pic>
              </a:graphicData>
            </a:graphic>
          </wp:anchor>
        </w:drawing>
        <w:t> </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on Wednesday, June 10, 2026 at 11:00 a.m. Pacific Daylight Time</w:t>
      </w:r>
    </w:p>
    <w:p>
      <w:pPr>
        <w:spacing w:after="0" w:line="194"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10, 2026, at 11:00 a.m. Pacific Daylight Time, and any postponements, adjournments or continuations thereof. The Annual Meeting will be held online at </w:t>
      </w:r>
      <w:r>
        <w:rPr>
          <w:rFonts w:ascii="Arial" w:cs="Arial" w:eastAsia="Arial" w:hAnsi="Arial"/>
          <w:sz w:val="18"/>
          <w:szCs w:val="18"/>
          <w:b w:val="1"/>
          <w:bCs w:val="1"/>
          <w:u w:val="single" w:color="auto"/>
          <w:color w:val="auto"/>
        </w:rPr>
        <w:t>www.virtualshareholdermeeting.com/QLYS2026</w:t>
      </w:r>
      <w:r>
        <w:rPr>
          <w:rFonts w:ascii="Arial" w:cs="Arial" w:eastAsia="Arial" w:hAnsi="Arial"/>
          <w:sz w:val="18"/>
          <w:szCs w:val="18"/>
          <w:color w:val="auto"/>
        </w:rPr>
        <w:t>, where stockholders will be able to listen to the meeting live, vote and submit questions. There will be no physical location for stockholders to attend the meeting.</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On or about April 22, 2026, we expect to mail to our stockholders a Notice of Internet Availability of Proxy Materials (the “Notice”) containing instructions on how to access this proxy statement and our 2025 annual report to stockholders.</w:t>
      </w:r>
    </w:p>
    <w:p>
      <w:pPr>
        <w:spacing w:after="0" w:line="169"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104"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b w:val="1"/>
          <w:bCs w:val="1"/>
          <w:u w:val="single" w:color="auto"/>
          <w:color w:val="auto"/>
        </w:rPr>
        <w:t>www.virtualshareholdermeeting.com/QLYS2026</w:t>
      </w:r>
      <w:r>
        <w:rPr>
          <w:rFonts w:ascii="Arial" w:cs="Arial" w:eastAsia="Arial" w:hAnsi="Arial"/>
          <w:sz w:val="18"/>
          <w:szCs w:val="18"/>
          <w:color w:val="auto"/>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10, 2026. The meeting will begin promptly at 11:00 a.m. Pacific Daylight Time on June 10, 2026. We encourage you to log into the virtual meeting platform and ensure you can hear streaming audio prior to the meeting start time.</w:t>
      </w:r>
    </w:p>
    <w:p>
      <w:pPr>
        <w:spacing w:after="0" w:line="185"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The virtual meeting platform is supported across browsers (Internet Explorer,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w:t>
      </w:r>
    </w:p>
    <w:p>
      <w:pPr>
        <w:spacing w:after="0" w:line="174"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 If we receive substantially similar questions, we may group such questions together and provide a single response to avoid repetition.</w:t>
      </w:r>
    </w:p>
    <w:p>
      <w:pPr>
        <w:spacing w:after="0" w:line="180"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If you encounter any difficulties accessing the meeting, please call the technical support number that will be posted on the virtual meeting platform’s log in page.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bookmarkStart w:id="3" w:name="page4"/>
    <w:bookmarkEnd w:id="3"/>
    <w:p>
      <w:pPr>
        <w:jc w:val="both"/>
        <w:ind w:left="500" w:right="519" w:firstLine="360"/>
        <w:spacing w:after="0" w:line="270" w:lineRule="auto"/>
        <w:rPr>
          <w:sz w:val="20"/>
          <w:szCs w:val="20"/>
          <w:color w:val="auto"/>
        </w:rPr>
      </w:pPr>
      <w:r>
        <w:rPr>
          <w:rFonts w:ascii="Arial" w:cs="Arial" w:eastAsia="Arial" w:hAnsi="Arial"/>
          <w:sz w:val="18"/>
          <w:szCs w:val="18"/>
          <w:color w:val="auto"/>
        </w:rPr>
        <w:t>Other stockholders and members of the public can also access the Annual Meeting at the URL above without a control number, but without the right to vote or submit a question.</w:t>
      </w:r>
    </w:p>
    <w:p>
      <w:pPr>
        <w:spacing w:after="0" w:line="303" w:lineRule="exact"/>
        <w:rPr>
          <w:sz w:val="20"/>
          <w:szCs w:val="20"/>
          <w:color w:val="auto"/>
        </w:rPr>
      </w:pPr>
    </w:p>
    <w:p>
      <w:pPr>
        <w:ind w:left="500" w:right="559"/>
        <w:spacing w:after="0" w:line="281" w:lineRule="auto"/>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28"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2025 annual report to stockholders, primarily via the Internet. On or about April 22, 2026,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3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What matters am I voting on?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You will be voting on:</w:t>
      </w:r>
    </w:p>
    <w:p>
      <w:pPr>
        <w:spacing w:after="0" w:line="104" w:lineRule="exact"/>
        <w:rPr>
          <w:sz w:val="20"/>
          <w:szCs w:val="20"/>
          <w:color w:val="auto"/>
        </w:rPr>
      </w:pPr>
    </w:p>
    <w:p>
      <w:pPr>
        <w:jc w:val="both"/>
        <w:ind w:left="1220" w:right="519" w:hanging="280"/>
        <w:spacing w:after="0" w:line="220" w:lineRule="auto"/>
        <w:tabs>
          <w:tab w:leader="none" w:pos="1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election of the three Class II directors named in this proxy statement to hold office until the 2029 annual meeting of stockholders or until their successors are duly elected and qualified;</w:t>
      </w:r>
    </w:p>
    <w:p>
      <w:pPr>
        <w:spacing w:after="0" w:line="72" w:lineRule="exact"/>
        <w:rPr>
          <w:rFonts w:ascii="Arial" w:cs="Arial" w:eastAsia="Arial" w:hAnsi="Arial"/>
          <w:sz w:val="25"/>
          <w:szCs w:val="25"/>
          <w:color w:val="auto"/>
          <w:vertAlign w:val="superscript"/>
        </w:rPr>
      </w:pPr>
    </w:p>
    <w:p>
      <w:pPr>
        <w:ind w:left="1220" w:right="539" w:hanging="280"/>
        <w:spacing w:after="0" w:line="214" w:lineRule="auto"/>
        <w:tabs>
          <w:tab w:leader="none" w:pos="1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proposal to ratify the appointment of Grant Thornton LLP as our independent registered public accounting firm for our fiscal year ending December 31, 2026;</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proposal to approve, on an advisory and non-binding basis, the compensation of our named executive officers as described in this proxy statement;</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proposal to approve our 2012 Equity Incentive Plan, as amended and restated; and</w:t>
      </w:r>
    </w:p>
    <w:p>
      <w:pPr>
        <w:spacing w:after="0" w:line="89"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any other business that may properly come before the meeting.</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board of directors recommends a vote:</w:t>
      </w:r>
    </w:p>
    <w:p>
      <w:pPr>
        <w:spacing w:after="0" w:line="63" w:lineRule="exact"/>
        <w:rPr>
          <w:sz w:val="20"/>
          <w:szCs w:val="20"/>
          <w:color w:val="auto"/>
        </w:rPr>
      </w:pPr>
    </w:p>
    <w:p>
      <w:pPr>
        <w:ind w:left="1220" w:hanging="280"/>
        <w:spacing w:after="0"/>
        <w:tabs>
          <w:tab w:leader="none" w:pos="1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named in this proxy statement for election as Class II directors;</w:t>
      </w:r>
    </w:p>
    <w:p>
      <w:pPr>
        <w:spacing w:after="0" w:line="81" w:lineRule="exact"/>
        <w:rPr>
          <w:rFonts w:ascii="Arial" w:cs="Arial" w:eastAsia="Arial" w:hAnsi="Arial"/>
          <w:sz w:val="25"/>
          <w:szCs w:val="25"/>
          <w:color w:val="auto"/>
          <w:vertAlign w:val="superscript"/>
        </w:rPr>
      </w:pPr>
    </w:p>
    <w:p>
      <w:pPr>
        <w:ind w:left="1220" w:right="539" w:hanging="280"/>
        <w:spacing w:after="0" w:line="205" w:lineRule="auto"/>
        <w:tabs>
          <w:tab w:leader="none" w:pos="1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Grant Thornton LLP as our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for our fiscal year ending December 31, 2026;</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compensation of our named executive officers as described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w:t>
      </w:r>
    </w:p>
    <w:p>
      <w:pPr>
        <w:spacing w:after="0" w:line="31"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our 2012 Equity Incentive Plan, as amended and restated.</w:t>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Who is entitled to vote?</w:t>
      </w:r>
    </w:p>
    <w:p>
      <w:pPr>
        <w:spacing w:after="0" w:line="104" w:lineRule="exact"/>
        <w:rPr>
          <w:sz w:val="20"/>
          <w:szCs w:val="20"/>
          <w:color w:val="auto"/>
        </w:rPr>
      </w:pPr>
    </w:p>
    <w:p>
      <w:pPr>
        <w:jc w:val="both"/>
        <w:ind w:left="500" w:right="519" w:firstLine="360"/>
        <w:spacing w:after="0" w:line="237" w:lineRule="auto"/>
        <w:rPr>
          <w:sz w:val="20"/>
          <w:szCs w:val="20"/>
          <w:color w:val="auto"/>
        </w:rPr>
      </w:pPr>
      <w:r>
        <w:rPr>
          <w:rFonts w:ascii="Arial" w:cs="Arial" w:eastAsia="Arial" w:hAnsi="Arial"/>
          <w:sz w:val="18"/>
          <w:szCs w:val="18"/>
          <w:color w:val="auto"/>
        </w:rPr>
        <w:t>Holders of our common stock as of the close of business on April 14, 2026, the record date, may vote at the Annual Meeting. As of the record date, we had 35,289,949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made available for the examination of any stockholder for any purpose germane to the meeting for ten days prior to the Annual Meeting by email request to ir@qualys.com. The list will also be</w:t>
      </w:r>
    </w:p>
    <w:p>
      <w:pPr>
        <w:spacing w:after="0" w:line="5" w:lineRule="exact"/>
        <w:rPr>
          <w:sz w:val="20"/>
          <w:szCs w:val="20"/>
          <w:color w:val="auto"/>
        </w:rPr>
      </w:pPr>
    </w:p>
    <w:p>
      <w:pPr>
        <w:jc w:val="both"/>
        <w:ind w:left="500" w:right="519"/>
        <w:spacing w:after="0" w:line="260" w:lineRule="auto"/>
        <w:rPr>
          <w:sz w:val="20"/>
          <w:szCs w:val="20"/>
          <w:color w:val="auto"/>
        </w:rPr>
      </w:pPr>
      <w:r>
        <w:rPr>
          <w:rFonts w:ascii="Arial" w:cs="Arial" w:eastAsia="Arial" w:hAnsi="Arial"/>
          <w:sz w:val="18"/>
          <w:szCs w:val="18"/>
          <w:color w:val="auto"/>
        </w:rPr>
        <w:t xml:space="preserve">available for examination online during the meeting at </w:t>
      </w:r>
      <w:r>
        <w:rPr>
          <w:rFonts w:ascii="Arial" w:cs="Arial" w:eastAsia="Arial" w:hAnsi="Arial"/>
          <w:sz w:val="18"/>
          <w:szCs w:val="18"/>
          <w:b w:val="1"/>
          <w:bCs w:val="1"/>
          <w:u w:val="single" w:color="auto"/>
          <w:color w:val="auto"/>
        </w:rPr>
        <w:t>www.virtualshareholdermeeting.com/QLYS2026</w:t>
      </w:r>
      <w:r>
        <w:rPr>
          <w:rFonts w:ascii="Arial" w:cs="Arial" w:eastAsia="Arial" w:hAnsi="Arial"/>
          <w:sz w:val="18"/>
          <w:szCs w:val="18"/>
          <w:color w:val="auto"/>
        </w:rPr>
        <w: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jc w:val="both"/>
        <w:ind w:left="500" w:right="519" w:firstLine="360"/>
        <w:spacing w:after="0" w:line="246"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w:t>
      </w:r>
    </w:p>
    <w:p>
      <w:pPr>
        <w:spacing w:after="0" w:line="177"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your shares are held in a stock brokerage account or by a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you are considered the 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How do I vote?</w:t>
      </w:r>
    </w:p>
    <w:p>
      <w:pPr>
        <w:spacing w:after="0" w:line="212" w:lineRule="exact"/>
        <w:rPr>
          <w:sz w:val="20"/>
          <w:szCs w:val="20"/>
          <w:color w:val="auto"/>
        </w:rPr>
      </w:pPr>
    </w:p>
    <w:p>
      <w:pPr>
        <w:jc w:val="both"/>
        <w:ind w:left="500" w:right="519"/>
        <w:spacing w:after="0" w:line="271"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there are several ways for you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your shares:</w:t>
      </w:r>
    </w:p>
    <w:p>
      <w:pPr>
        <w:spacing w:after="0" w:line="46" w:lineRule="exact"/>
        <w:rPr>
          <w:sz w:val="20"/>
          <w:szCs w:val="20"/>
          <w:color w:val="auto"/>
        </w:rPr>
      </w:pPr>
    </w:p>
    <w:p>
      <w:pPr>
        <w:jc w:val="both"/>
        <w:ind w:left="1220" w:right="519" w:hanging="280"/>
        <w:spacing w:after="0" w:line="223" w:lineRule="auto"/>
        <w:tabs>
          <w:tab w:leader="none" w:pos="12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Via the Internet—Before the Annual Meeting</w:t>
      </w:r>
      <w:r>
        <w:rPr>
          <w:rFonts w:ascii="Arial" w:cs="Arial" w:eastAsia="Arial" w:hAnsi="Arial"/>
          <w:sz w:val="18"/>
          <w:szCs w:val="18"/>
          <w:color w:val="auto"/>
        </w:rPr>
        <w:t>. 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24 hours a day, seven days a week, until 11:59 p.m. Eastern Daylight Time on June 9, 2026. You will need the control number included on your Notice or your proxy card (if you received a printed copy of the proxy materials).</w:t>
      </w:r>
    </w:p>
    <w:p>
      <w:pPr>
        <w:spacing w:after="0" w:line="6"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Via the Internet—During the Annual Meeting</w:t>
      </w:r>
      <w:r>
        <w:rPr>
          <w:rFonts w:ascii="Arial" w:cs="Arial" w:eastAsia="Arial" w:hAnsi="Arial"/>
          <w:sz w:val="18"/>
          <w:szCs w:val="18"/>
          <w:color w:val="auto"/>
        </w:rPr>
        <w:t>. You may vote live at the Annual Meeting</w:t>
      </w:r>
    </w:p>
    <w:p>
      <w:pPr>
        <w:jc w:val="both"/>
        <w:ind w:left="1220" w:right="519"/>
        <w:spacing w:after="0"/>
        <w:rPr>
          <w:rFonts w:ascii="Arial" w:cs="Arial" w:eastAsia="Arial" w:hAnsi="Arial"/>
          <w:sz w:val="25"/>
          <w:szCs w:val="25"/>
          <w:color w:val="auto"/>
          <w:vertAlign w:val="superscript"/>
        </w:rPr>
      </w:pPr>
      <w:r>
        <w:rPr>
          <w:rFonts w:ascii="Arial" w:cs="Arial" w:eastAsia="Arial" w:hAnsi="Arial"/>
          <w:sz w:val="18"/>
          <w:szCs w:val="18"/>
          <w:color w:val="auto"/>
        </w:rPr>
        <w:t xml:space="preserve">through the virtual meeting platform by logging into </w:t>
      </w:r>
      <w:r>
        <w:rPr>
          <w:rFonts w:ascii="Arial" w:cs="Arial" w:eastAsia="Arial" w:hAnsi="Arial"/>
          <w:sz w:val="18"/>
          <w:szCs w:val="18"/>
          <w:b w:val="1"/>
          <w:bCs w:val="1"/>
          <w:u w:val="single" w:color="auto"/>
          <w:color w:val="auto"/>
        </w:rPr>
        <w:t>www.virtualshareholdermeeting.com/QLYS2026</w:t>
      </w:r>
      <w:r>
        <w:rPr>
          <w:rFonts w:ascii="Arial" w:cs="Arial" w:eastAsia="Arial" w:hAnsi="Arial"/>
          <w:sz w:val="18"/>
          <w:szCs w:val="18"/>
          <w:color w:val="auto"/>
        </w:rPr>
        <w:t>. You will need the control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on your Notice or your proxy card (if you received a printed copy of the proxy materials).</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3" w:lineRule="auto"/>
        <w:tabs>
          <w:tab w:leader="none" w:pos="12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using a touch-tone telephone by calling 1-800-690-6903,</w:t>
      </w:r>
      <w:r>
        <w:rPr>
          <w:rFonts w:ascii="Arial" w:cs="Arial" w:eastAsia="Arial" w:hAnsi="Arial"/>
          <w:sz w:val="18"/>
          <w:szCs w:val="18"/>
          <w:b w:val="1"/>
          <w:bCs w:val="1"/>
          <w:color w:val="auto"/>
        </w:rPr>
        <w:t xml:space="preserve"> </w:t>
      </w:r>
      <w:r>
        <w:rPr>
          <w:rFonts w:ascii="Arial" w:cs="Arial" w:eastAsia="Arial" w:hAnsi="Arial"/>
          <w:sz w:val="18"/>
          <w:szCs w:val="18"/>
          <w:color w:val="auto"/>
        </w:rPr>
        <w:t>24 hours a day, seven days a week, until 11:59 p.m. Eastern Daylight Time on June 9, 2026. You will need the control number included on your Notice or your proxy card (if you received a printed copy of the proxy materials).</w:t>
      </w:r>
    </w:p>
    <w:p>
      <w:pPr>
        <w:spacing w:after="0" w:line="73" w:lineRule="exact"/>
        <w:rPr>
          <w:rFonts w:ascii="Arial" w:cs="Arial" w:eastAsia="Arial" w:hAnsi="Arial"/>
          <w:sz w:val="25"/>
          <w:szCs w:val="25"/>
          <w:color w:val="auto"/>
          <w:vertAlign w:val="superscript"/>
        </w:rPr>
      </w:pPr>
    </w:p>
    <w:p>
      <w:pPr>
        <w:jc w:val="both"/>
        <w:ind w:left="1220" w:right="519" w:hanging="280"/>
        <w:spacing w:after="0" w:line="223" w:lineRule="auto"/>
        <w:tabs>
          <w:tab w:leader="none" w:pos="12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printed proxy materials, you may submit your vote by completing,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signing and dating each proxy card received and returning it in the prepaid envelope. Sign your name exactly as it appears on the proxy card. Proxy cards submitted by mail must be received no later than June 9, 2026, to be voted at the Annual Meeting.</w:t>
      </w:r>
    </w:p>
    <w:p>
      <w:pPr>
        <w:spacing w:after="0" w:line="18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should have received a Notice or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from the broker or other 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500"/>
        <w:spacing w:after="0"/>
        <w:rPr>
          <w:sz w:val="20"/>
          <w:szCs w:val="20"/>
          <w:color w:val="auto"/>
        </w:rPr>
      </w:pPr>
      <w:r>
        <w:rPr>
          <w:rFonts w:ascii="Arial" w:cs="Arial" w:eastAsia="Arial" w:hAnsi="Arial"/>
          <w:sz w:val="18"/>
          <w:szCs w:val="18"/>
          <w:b w:val="1"/>
          <w:bCs w:val="1"/>
          <w:color w:val="auto"/>
        </w:rPr>
        <w:t>Can I change my vote?</w:t>
      </w:r>
    </w:p>
    <w:p>
      <w:pPr>
        <w:spacing w:after="0" w:line="103"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change your vote or revoke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any time before the Annual Meeting by:</w:t>
      </w:r>
    </w:p>
    <w:p>
      <w:pPr>
        <w:spacing w:after="0" w:line="46" w:lineRule="exact"/>
        <w:rPr>
          <w:sz w:val="20"/>
          <w:szCs w:val="20"/>
          <w:color w:val="auto"/>
        </w:rPr>
      </w:pPr>
    </w:p>
    <w:p>
      <w:pPr>
        <w:ind w:left="1220" w:right="519" w:hanging="280"/>
        <w:spacing w:after="0" w:line="214" w:lineRule="auto"/>
        <w:tabs>
          <w:tab w:leader="none" w:pos="12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entering a new vote by Internet or by telephone (only your latest Internet or telephone proxy received by 11:59 p.m. Eastern Daylight Time on June 9, 2026, will be counted);</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signing and returning a new proxy card with a later date to Qualys, Inc., Attention: Corporate Secretary, 919 East Hillsdale Blvd., 4</w:t>
      </w:r>
      <w:r>
        <w:rPr>
          <w:rFonts w:ascii="Arial" w:cs="Arial" w:eastAsia="Arial" w:hAnsi="Arial"/>
          <w:sz w:val="10"/>
          <w:szCs w:val="10"/>
          <w:color w:val="auto"/>
        </w:rPr>
        <w:t>th</w:t>
      </w:r>
      <w:r>
        <w:rPr>
          <w:rFonts w:ascii="Arial" w:cs="Arial" w:eastAsia="Arial" w:hAnsi="Arial"/>
          <w:sz w:val="18"/>
          <w:szCs w:val="18"/>
          <w:color w:val="auto"/>
        </w:rPr>
        <w:t xml:space="preserve"> Floor, Foster City, California 94404, to be received no later than June 9, 2026;</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delivering a written revocation to Qualys, Inc., Attention: Corporate Secretary, 919 East Hillsdale Blvd., 4</w:t>
      </w:r>
      <w:r>
        <w:rPr>
          <w:rFonts w:ascii="Arial" w:cs="Arial" w:eastAsia="Arial" w:hAnsi="Arial"/>
          <w:sz w:val="10"/>
          <w:szCs w:val="10"/>
          <w:color w:val="auto"/>
        </w:rPr>
        <w:t>th</w:t>
      </w:r>
      <w:r>
        <w:rPr>
          <w:rFonts w:ascii="Arial" w:cs="Arial" w:eastAsia="Arial" w:hAnsi="Arial"/>
          <w:sz w:val="18"/>
          <w:szCs w:val="18"/>
          <w:color w:val="auto"/>
        </w:rPr>
        <w:t xml:space="preserve"> Floor, Foster City, California 94404, to be received no later than June 9, 2026; or</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participating in the Annual Meeting live via the Internet and voting again.</w:t>
      </w:r>
    </w:p>
    <w:p>
      <w:pPr>
        <w:spacing w:after="0" w:line="180"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must contact the broker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your shares and follow their instructions for changing your vote or revoking your proxy.</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What is a quorum?</w:t>
      </w:r>
    </w:p>
    <w:p>
      <w:pPr>
        <w:spacing w:after="0" w:line="10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A quorum is the minimum number of shares required to be present at a meeting of stockholders for action to be taken at the meeting. Under our bylaws, the presence, live or represented by proxy (including any abstentions and “broker non-votes”), of a majority of all issued and outstanding shares of common stock entitled to vote at the Annual Meeting will constitute a quorum at the meeting.</w:t>
      </w: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What are “broker non-votes”?</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When a broker, bank or other nominee votes a client’s shares on some but not all of the proposals, the missing votes are referred to as “broker non-votes.” If you are a beneficial owner and do not provide timely voting instructions to your bank, broker or other nominee, that organization will have discretion to vote your shares on our sole “routine” matter—Proposal No. 2 to ratify the appointment of Grant Thornton LLP. The election of directors, the advisory vote to approve executive compensation, and the proposal to approve our 2012 Equity Incentive Plan, as amended and restated, are non-discretionary items and may not be voted on by brokers, banks or other nominees who have not received specific voting instructions from beneficial owners. Therefore, broker non-votes may exist in connection with Proposals No. 1, No. 3 and No. 4.</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500"/>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03" w:lineRule="exact"/>
        <w:rPr>
          <w:sz w:val="20"/>
          <w:szCs w:val="20"/>
          <w:color w:val="auto"/>
        </w:rPr>
      </w:pPr>
    </w:p>
    <w:p>
      <w:pPr>
        <w:jc w:val="both"/>
        <w:ind w:left="1220" w:right="519" w:hanging="280"/>
        <w:spacing w:after="0" w:line="227" w:lineRule="auto"/>
        <w:tabs>
          <w:tab w:leader="none" w:pos="1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meaning that the individuals who 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5" w:lineRule="auto"/>
        <w:tabs>
          <w:tab w:leader="none" w:pos="1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w:t>
      </w:r>
    </w:p>
    <w:p>
      <w:pPr>
        <w:spacing w:after="0" w:line="74" w:lineRule="exact"/>
        <w:rPr>
          <w:rFonts w:ascii="Arial" w:cs="Arial" w:eastAsia="Arial" w:hAnsi="Arial"/>
          <w:sz w:val="25"/>
          <w:szCs w:val="25"/>
          <w:color w:val="auto"/>
          <w:vertAlign w:val="superscript"/>
        </w:rPr>
      </w:pPr>
    </w:p>
    <w:p>
      <w:pPr>
        <w:jc w:val="both"/>
        <w:ind w:left="1220" w:right="519" w:hanging="280"/>
        <w:spacing w:after="0" w:line="228" w:lineRule="auto"/>
        <w:tabs>
          <w:tab w:leader="none" w:pos="1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named executive officers as described in this proxy statement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78" w:lineRule="exact"/>
        <w:rPr>
          <w:rFonts w:ascii="Arial" w:cs="Arial" w:eastAsia="Arial" w:hAnsi="Arial"/>
          <w:sz w:val="25"/>
          <w:szCs w:val="25"/>
          <w:color w:val="auto"/>
          <w:vertAlign w:val="superscript"/>
        </w:rPr>
      </w:pPr>
    </w:p>
    <w:p>
      <w:pPr>
        <w:jc w:val="both"/>
        <w:ind w:left="1220" w:right="519" w:hanging="280"/>
        <w:spacing w:after="0" w:line="228" w:lineRule="auto"/>
        <w:tabs>
          <w:tab w:leader="none" w:pos="12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Proposal No. 4</w:t>
      </w:r>
      <w:r>
        <w:rPr>
          <w:rFonts w:ascii="Arial" w:cs="Arial" w:eastAsia="Arial" w:hAnsi="Arial"/>
          <w:sz w:val="18"/>
          <w:szCs w:val="18"/>
          <w:color w:val="auto"/>
        </w:rPr>
        <w:t>: The approval of our 2012 Equity Incentive Plan, as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37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Is my vote confidential?</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500" w:right="919"/>
        <w:spacing w:after="0" w:line="280"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2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jc w:val="center"/>
        <w:ind w:right="59"/>
        <w:spacing w:after="0" w:line="181" w:lineRule="auto"/>
        <w:rPr>
          <w:sz w:val="20"/>
          <w:szCs w:val="20"/>
          <w:color w:val="auto"/>
        </w:rPr>
      </w:pPr>
      <w:r>
        <w:rPr>
          <w:rFonts w:ascii="Arial" w:cs="Arial" w:eastAsia="Arial" w:hAnsi="Arial"/>
          <w:sz w:val="17"/>
          <w:szCs w:val="17"/>
          <w:color w:val="auto"/>
        </w:rPr>
        <w:t>919 East Hillsdale Boulevard,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jc w:val="center"/>
        <w:ind w:right="79"/>
        <w:spacing w:after="0" w:line="234" w:lineRule="auto"/>
        <w:rPr>
          <w:sz w:val="20"/>
          <w:szCs w:val="20"/>
          <w:color w:val="auto"/>
        </w:rPr>
      </w:pPr>
      <w:r>
        <w:rPr>
          <w:rFonts w:ascii="Arial" w:cs="Arial" w:eastAsia="Arial" w:hAnsi="Arial"/>
          <w:sz w:val="18"/>
          <w:szCs w:val="18"/>
          <w:color w:val="auto"/>
        </w:rPr>
        <w:t>Foster City, California 94404</w:t>
      </w:r>
    </w:p>
    <w:p>
      <w:pPr>
        <w:spacing w:after="0" w:line="1" w:lineRule="exact"/>
        <w:rPr>
          <w:sz w:val="20"/>
          <w:szCs w:val="20"/>
          <w:color w:val="auto"/>
        </w:rPr>
      </w:pPr>
    </w:p>
    <w:p>
      <w:pPr>
        <w:jc w:val="both"/>
        <w:ind w:left="3900" w:right="3899" w:hanging="11"/>
        <w:spacing w:after="0" w:line="250" w:lineRule="auto"/>
        <w:tabs>
          <w:tab w:leader="none" w:pos="4351" w:val="left"/>
        </w:tabs>
        <w:numPr>
          <w:ilvl w:val="0"/>
          <w:numId w:val="9"/>
        </w:numPr>
        <w:rPr>
          <w:rFonts w:ascii="Arial" w:cs="Arial" w:eastAsia="Arial" w:hAnsi="Arial"/>
          <w:sz w:val="18"/>
          <w:szCs w:val="18"/>
          <w:color w:val="auto"/>
        </w:rPr>
      </w:pPr>
      <w:r>
        <w:rPr>
          <w:rFonts w:ascii="Arial" w:cs="Arial" w:eastAsia="Arial" w:hAnsi="Arial"/>
          <w:sz w:val="18"/>
          <w:szCs w:val="18"/>
          <w:color w:val="auto"/>
        </w:rPr>
        <w:t>801-6100 ir@qualys.com</w:t>
      </w:r>
    </w:p>
    <w:p>
      <w:pPr>
        <w:spacing w:after="0" w:line="172"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302" w:lineRule="exact"/>
        <w:rPr>
          <w:sz w:val="20"/>
          <w:szCs w:val="20"/>
          <w:color w:val="auto"/>
        </w:rPr>
      </w:pPr>
    </w:p>
    <w:p>
      <w:pPr>
        <w:ind w:left="500" w:right="799"/>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Stockholder Proposals</w:t>
      </w:r>
    </w:p>
    <w:p>
      <w:pPr>
        <w:spacing w:after="0" w:line="102"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2027 annual meeting of stockholders, our Corporate Secretary must receive the written proposal at our principal executive offices not later than December 23, 2026. In addition, stockholder proposals must comply with the requirements of Rule 14a-8 under the Securities Exchange Act of 1934, as amended (the “Exchange Act”) regarding the inclusion of stockholder proposals in company-sponsored proxy materials. Proposals should be addressed to:</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Corporate Secretary</w:t>
      </w:r>
    </w:p>
    <w:p>
      <w:pPr>
        <w:ind w:left="2940"/>
        <w:spacing w:after="0" w:line="181" w:lineRule="auto"/>
        <w:rPr>
          <w:sz w:val="20"/>
          <w:szCs w:val="20"/>
          <w:color w:val="auto"/>
        </w:rPr>
      </w:pPr>
      <w:r>
        <w:rPr>
          <w:rFonts w:ascii="Arial" w:cs="Arial" w:eastAsia="Arial" w:hAnsi="Arial"/>
          <w:sz w:val="17"/>
          <w:szCs w:val="17"/>
          <w:color w:val="auto"/>
        </w:rPr>
        <w:t>919 East Hillsdale Boulevard,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3380"/>
        <w:spacing w:after="0"/>
        <w:rPr>
          <w:sz w:val="20"/>
          <w:szCs w:val="20"/>
          <w:color w:val="auto"/>
        </w:rPr>
      </w:pPr>
      <w:r>
        <w:rPr>
          <w:rFonts w:ascii="Arial" w:cs="Arial" w:eastAsia="Arial" w:hAnsi="Arial"/>
          <w:sz w:val="18"/>
          <w:szCs w:val="18"/>
          <w:color w:val="auto"/>
        </w:rPr>
        <w:t>Foster City, California 94404</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both"/>
        <w:ind w:left="500" w:right="519" w:firstLine="360"/>
        <w:spacing w:after="0" w:line="238"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2027 annual meeting of stockholders, our Corporate Secretary must receive the written notice at our principal executive offices:</w:t>
      </w:r>
    </w:p>
    <w:p>
      <w:pPr>
        <w:spacing w:after="0" w:line="28" w:lineRule="exact"/>
        <w:rPr>
          <w:sz w:val="20"/>
          <w:szCs w:val="20"/>
          <w:color w:val="auto"/>
        </w:rPr>
      </w:pPr>
    </w:p>
    <w:p>
      <w:pPr>
        <w:ind w:left="1220" w:hanging="280"/>
        <w:spacing w:after="0"/>
        <w:tabs>
          <w:tab w:leader="none" w:pos="122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not earlier than 8:00 a.m. Eastern Time on February 10, 2027; and</w:t>
      </w:r>
    </w:p>
    <w:p>
      <w:pPr>
        <w:spacing w:after="0" w:line="89"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not later than 5:00 p.m. Eastern Time on March 12, 2027.</w:t>
      </w:r>
    </w:p>
    <w:p>
      <w:pPr>
        <w:spacing w:after="0" w:line="180"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In the event that we hold our 2027 annual meeting of stockholders more than 25 days before or after the one-year anniversary of the date of the Annual Meeting, then notice of a stockholder proposal that is not intended to be included in our proxy statement must be received no earlier than 8:00 a.m. Eastern Time on the 120th day before such annual meeting and no later than 5:00 p.m. Eastern Time on the later of the following two dates:</w:t>
      </w:r>
    </w:p>
    <w:p>
      <w:pPr>
        <w:spacing w:after="0" w:line="20" w:lineRule="exact"/>
        <w:rPr>
          <w:sz w:val="20"/>
          <w:szCs w:val="20"/>
          <w:color w:val="auto"/>
        </w:rPr>
      </w:pPr>
    </w:p>
    <w:p>
      <w:pPr>
        <w:ind w:left="1220" w:hanging="280"/>
        <w:spacing w:after="0"/>
        <w:tabs>
          <w:tab w:leader="none" w:pos="122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90th day prior to such annual meeting; or</w:t>
      </w:r>
    </w:p>
    <w:p>
      <w:pPr>
        <w:spacing w:after="0" w:line="89" w:lineRule="exact"/>
        <w:rPr>
          <w:rFonts w:ascii="Arial" w:cs="Arial" w:eastAsia="Arial" w:hAnsi="Arial"/>
          <w:sz w:val="25"/>
          <w:szCs w:val="25"/>
          <w:color w:val="auto"/>
          <w:vertAlign w:val="superscript"/>
        </w:rPr>
      </w:pPr>
    </w:p>
    <w:p>
      <w:pPr>
        <w:jc w:val="both"/>
        <w:ind w:left="1220" w:right="519" w:hanging="280"/>
        <w:spacing w:after="0" w:line="214" w:lineRule="auto"/>
        <w:tabs>
          <w:tab w:leader="none" w:pos="122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10th day following the day on which public announcement of the date of such meeting is first made if the first public announcement of the date of such annual meeting is less than 100 days prior to the date of such annual meeting.</w:t>
      </w:r>
    </w:p>
    <w:p>
      <w:pPr>
        <w:spacing w:after="0" w:line="180"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Nomination of Director Candidates</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Stockholders may propose director candidates for consideration by the Nominating and Governance Committee of our board of directors.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the section entitled “</w:t>
      </w:r>
      <w:r>
        <w:rPr>
          <w:rFonts w:ascii="Arial" w:cs="Arial" w:eastAsia="Arial" w:hAnsi="Arial"/>
          <w:sz w:val="18"/>
          <w:szCs w:val="18"/>
          <w:i w:val="1"/>
          <w:iCs w:val="1"/>
          <w:color w:val="auto"/>
        </w:rPr>
        <w:t>Board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Corporate Governance—Stockholder Recommendations for Nominations to the Board of Directors</w:t>
      </w:r>
      <w:r>
        <w:rPr>
          <w:rFonts w:ascii="Arial" w:cs="Arial" w:eastAsia="Arial" w:hAnsi="Arial"/>
          <w:sz w:val="18"/>
          <w:szCs w:val="18"/>
          <w:color w:val="auto"/>
        </w:rPr>
        <w:t>” below.</w:t>
      </w:r>
    </w:p>
    <w:p>
      <w:pPr>
        <w:spacing w:after="0" w:line="185"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 w:cs="Arial" w:eastAsia="Arial" w:hAnsi="Arial"/>
          <w:sz w:val="18"/>
          <w:szCs w:val="18"/>
          <w:i w:val="1"/>
          <w:iCs w:val="1"/>
          <w:color w:val="auto"/>
        </w:rPr>
        <w:t>Stockholder Proposals</w:t>
      </w:r>
      <w:r>
        <w:rPr>
          <w:rFonts w:ascii="Arial" w:cs="Arial" w:eastAsia="Arial" w:hAnsi="Arial"/>
          <w:sz w:val="18"/>
          <w:szCs w:val="18"/>
          <w:color w:val="auto"/>
        </w:rPr>
        <w:t>” for stockholder proposals that are not intended to be included in our proxy statement.</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Availability of Bylaws</w:t>
      </w:r>
    </w:p>
    <w:p>
      <w:pPr>
        <w:spacing w:after="0" w:line="102"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1" w:lineRule="exact"/>
        <w:rPr>
          <w:sz w:val="20"/>
          <w:szCs w:val="20"/>
          <w:color w:val="auto"/>
        </w:rPr>
      </w:pPr>
    </w:p>
    <w:p>
      <w:pPr>
        <w:jc w:val="both"/>
        <w:ind w:left="1500" w:right="1520" w:firstLine="360"/>
        <w:spacing w:after="0" w:line="23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whom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85725</wp:posOffset>
            </wp:positionV>
            <wp:extent cx="68580" cy="87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7439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85725</wp:posOffset>
            </wp:positionV>
            <wp:extent cx="68580" cy="87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74395"/>
                    </a:xfrm>
                    <a:prstGeom prst="rect">
                      <a:avLst/>
                    </a:prstGeom>
                    <a:noFill/>
                  </pic:spPr>
                </pic:pic>
              </a:graphicData>
            </a:graphic>
          </wp:anchor>
        </w:drawing>
      </w:r>
    </w:p>
    <w:p>
      <w:pPr>
        <w:spacing w:after="0" w:line="115" w:lineRule="exact"/>
        <w:rPr>
          <w:sz w:val="20"/>
          <w:szCs w:val="20"/>
          <w:color w:val="auto"/>
        </w:rPr>
      </w:pPr>
    </w:p>
    <w:tbl>
      <w:tblPr>
        <w:tblLayout w:type="fixed"/>
        <w:tblInd w:w="1500" w:type="dxa"/>
        <w:tblCellMar>
          <w:top w:w="0" w:type="dxa"/>
          <w:left w:w="0" w:type="dxa"/>
          <w:bottom w:w="0" w:type="dxa"/>
          <w:right w:w="0" w:type="dxa"/>
        </w:tblCellMar>
      </w:tblPr>
      <w:tr>
        <w:trPr>
          <w:trHeight w:val="68"/>
        </w:trPr>
        <w:tc>
          <w:tcPr>
            <w:tcW w:w="2660" w:type="dxa"/>
            <w:vAlign w:val="bottom"/>
            <w:tcBorders>
              <w:right w:val="single" w:sz="8" w:color="1D3965"/>
            </w:tcBorders>
            <w:vMerge w:val="restart"/>
            <w:shd w:val="clear" w:color="auto" w:fill="1D3965"/>
          </w:tcPr>
          <w:p>
            <w:pPr>
              <w:jc w:val="center"/>
              <w:ind w:right="19"/>
              <w:spacing w:after="0"/>
              <w:rPr>
                <w:sz w:val="20"/>
                <w:szCs w:val="20"/>
                <w:color w:val="auto"/>
              </w:rPr>
            </w:pPr>
            <w:r>
              <w:rPr>
                <w:rFonts w:ascii="Arial" w:cs="Arial" w:eastAsia="Arial" w:hAnsi="Arial"/>
                <w:sz w:val="16"/>
                <w:szCs w:val="16"/>
                <w:b w:val="1"/>
                <w:bCs w:val="1"/>
                <w:color w:val="FFFFFF"/>
              </w:rPr>
              <w:t>Class I Directors</w:t>
            </w:r>
          </w:p>
        </w:tc>
        <w:tc>
          <w:tcPr>
            <w:tcW w:w="160" w:type="dxa"/>
            <w:vAlign w:val="bottom"/>
            <w:tcBorders>
              <w:right w:val="single" w:sz="8" w:color="1D3965"/>
            </w:tcBorders>
          </w:tcPr>
          <w:p>
            <w:pPr>
              <w:spacing w:after="0"/>
              <w:rPr>
                <w:sz w:val="5"/>
                <w:szCs w:val="5"/>
                <w:color w:val="auto"/>
              </w:rPr>
            </w:pPr>
          </w:p>
        </w:tc>
        <w:tc>
          <w:tcPr>
            <w:tcW w:w="2640" w:type="dxa"/>
            <w:vAlign w:val="bottom"/>
            <w:vMerge w:val="restart"/>
            <w:shd w:val="clear" w:color="auto" w:fill="1D3965"/>
          </w:tcPr>
          <w:p>
            <w:pPr>
              <w:jc w:val="center"/>
              <w:ind w:right="18"/>
              <w:spacing w:after="0"/>
              <w:rPr>
                <w:sz w:val="20"/>
                <w:szCs w:val="20"/>
                <w:color w:val="auto"/>
              </w:rPr>
            </w:pPr>
            <w:r>
              <w:rPr>
                <w:rFonts w:ascii="Arial" w:cs="Arial" w:eastAsia="Arial" w:hAnsi="Arial"/>
                <w:sz w:val="16"/>
                <w:szCs w:val="16"/>
                <w:b w:val="1"/>
                <w:bCs w:val="1"/>
                <w:color w:val="FFFFFF"/>
              </w:rPr>
              <w:t>Class II Directors</w:t>
            </w:r>
          </w:p>
        </w:tc>
        <w:tc>
          <w:tcPr>
            <w:tcW w:w="160" w:type="dxa"/>
            <w:vAlign w:val="bottom"/>
            <w:tcBorders>
              <w:right w:val="single" w:sz="8" w:color="1D3965"/>
            </w:tcBorders>
          </w:tcPr>
          <w:p>
            <w:pPr>
              <w:spacing w:after="0"/>
              <w:rPr>
                <w:sz w:val="5"/>
                <w:szCs w:val="5"/>
                <w:color w:val="auto"/>
              </w:rPr>
            </w:pPr>
          </w:p>
        </w:tc>
        <w:tc>
          <w:tcPr>
            <w:tcW w:w="2380" w:type="dxa"/>
            <w:vAlign w:val="bottom"/>
            <w:vMerge w:val="restart"/>
            <w:shd w:val="clear" w:color="auto" w:fill="1D3965"/>
          </w:tcPr>
          <w:p>
            <w:pPr>
              <w:jc w:val="center"/>
              <w:spacing w:after="0"/>
              <w:rPr>
                <w:sz w:val="20"/>
                <w:szCs w:val="20"/>
                <w:color w:val="auto"/>
              </w:rPr>
            </w:pPr>
            <w:r>
              <w:rPr>
                <w:rFonts w:ascii="Arial" w:cs="Arial" w:eastAsia="Arial" w:hAnsi="Arial"/>
                <w:sz w:val="16"/>
                <w:szCs w:val="16"/>
                <w:b w:val="1"/>
                <w:bCs w:val="1"/>
                <w:color w:val="FFFFFF"/>
              </w:rPr>
              <w:t>Class III Directors</w:t>
            </w:r>
          </w:p>
        </w:tc>
        <w:tc>
          <w:tcPr>
            <w:tcW w:w="0" w:type="dxa"/>
            <w:vAlign w:val="bottom"/>
          </w:tcPr>
          <w:p>
            <w:pPr>
              <w:spacing w:after="0"/>
              <w:rPr>
                <w:sz w:val="1"/>
                <w:szCs w:val="1"/>
                <w:color w:val="auto"/>
              </w:rPr>
            </w:pPr>
          </w:p>
        </w:tc>
      </w:tr>
      <w:tr>
        <w:trPr>
          <w:trHeight w:val="180"/>
        </w:trPr>
        <w:tc>
          <w:tcPr>
            <w:tcW w:w="2660" w:type="dxa"/>
            <w:vAlign w:val="bottom"/>
            <w:tcBorders>
              <w:right w:val="single" w:sz="8" w:color="1D3965"/>
            </w:tcBorders>
            <w:vMerge w:val="continue"/>
            <w:shd w:val="clear" w:color="auto" w:fill="1D3965"/>
          </w:tcPr>
          <w:p>
            <w:pPr>
              <w:spacing w:after="0"/>
              <w:rPr>
                <w:sz w:val="15"/>
                <w:szCs w:val="15"/>
                <w:color w:val="auto"/>
              </w:rPr>
            </w:pPr>
          </w:p>
        </w:tc>
        <w:tc>
          <w:tcPr>
            <w:tcW w:w="160" w:type="dxa"/>
            <w:vAlign w:val="bottom"/>
            <w:tcBorders>
              <w:right w:val="single" w:sz="8" w:color="1D3965"/>
            </w:tcBorders>
            <w:shd w:val="clear" w:color="auto" w:fill="1D3965"/>
          </w:tcPr>
          <w:p>
            <w:pPr>
              <w:spacing w:after="0"/>
              <w:rPr>
                <w:sz w:val="15"/>
                <w:szCs w:val="15"/>
                <w:color w:val="auto"/>
              </w:rPr>
            </w:pPr>
          </w:p>
        </w:tc>
        <w:tc>
          <w:tcPr>
            <w:tcW w:w="2640" w:type="dxa"/>
            <w:vAlign w:val="bottom"/>
            <w:vMerge w:val="continue"/>
            <w:shd w:val="clear" w:color="auto" w:fill="1D3965"/>
          </w:tcPr>
          <w:p>
            <w:pPr>
              <w:spacing w:after="0"/>
              <w:rPr>
                <w:sz w:val="15"/>
                <w:szCs w:val="15"/>
                <w:color w:val="auto"/>
              </w:rPr>
            </w:pPr>
          </w:p>
        </w:tc>
        <w:tc>
          <w:tcPr>
            <w:tcW w:w="160" w:type="dxa"/>
            <w:vAlign w:val="bottom"/>
            <w:tcBorders>
              <w:right w:val="single" w:sz="8" w:color="1D3965"/>
            </w:tcBorders>
            <w:shd w:val="clear" w:color="auto" w:fill="1D3965"/>
          </w:tcPr>
          <w:p>
            <w:pPr>
              <w:spacing w:after="0"/>
              <w:rPr>
                <w:sz w:val="15"/>
                <w:szCs w:val="15"/>
                <w:color w:val="auto"/>
              </w:rPr>
            </w:pPr>
          </w:p>
        </w:tc>
        <w:tc>
          <w:tcPr>
            <w:tcW w:w="2380" w:type="dxa"/>
            <w:vAlign w:val="bottom"/>
            <w:vMerge w:val="continue"/>
            <w:shd w:val="clear" w:color="auto" w:fill="1D396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tcBorders>
              <w:right w:val="single" w:sz="8" w:color="1D3965"/>
            </w:tcBorders>
            <w:shd w:val="clear" w:color="auto" w:fill="1D3965"/>
          </w:tcPr>
          <w:p>
            <w:pPr>
              <w:jc w:val="center"/>
              <w:ind w:right="19"/>
              <w:spacing w:after="0"/>
              <w:rPr>
                <w:sz w:val="20"/>
                <w:szCs w:val="20"/>
                <w:color w:val="auto"/>
              </w:rPr>
            </w:pPr>
            <w:r>
              <w:rPr>
                <w:rFonts w:ascii="Arial" w:cs="Arial" w:eastAsia="Arial" w:hAnsi="Arial"/>
                <w:sz w:val="14"/>
                <w:szCs w:val="14"/>
                <w:color w:val="FFFFFF"/>
              </w:rPr>
              <w:t>(Term Expires at the</w:t>
            </w:r>
          </w:p>
        </w:tc>
        <w:tc>
          <w:tcPr>
            <w:tcW w:w="160" w:type="dxa"/>
            <w:vAlign w:val="bottom"/>
            <w:tcBorders>
              <w:right w:val="single" w:sz="8" w:color="1D3965"/>
            </w:tcBorders>
            <w:shd w:val="clear" w:color="auto" w:fill="1D3965"/>
          </w:tcPr>
          <w:p>
            <w:pPr>
              <w:spacing w:after="0"/>
              <w:rPr>
                <w:sz w:val="14"/>
                <w:szCs w:val="14"/>
                <w:color w:val="auto"/>
              </w:rPr>
            </w:pPr>
          </w:p>
        </w:tc>
        <w:tc>
          <w:tcPr>
            <w:tcW w:w="2640" w:type="dxa"/>
            <w:vAlign w:val="bottom"/>
            <w:shd w:val="clear" w:color="auto" w:fill="1D3965"/>
          </w:tcPr>
          <w:p>
            <w:pPr>
              <w:jc w:val="center"/>
              <w:ind w:right="18"/>
              <w:spacing w:after="0"/>
              <w:rPr>
                <w:sz w:val="20"/>
                <w:szCs w:val="20"/>
                <w:color w:val="auto"/>
              </w:rPr>
            </w:pPr>
            <w:r>
              <w:rPr>
                <w:rFonts w:ascii="Arial" w:cs="Arial" w:eastAsia="Arial" w:hAnsi="Arial"/>
                <w:sz w:val="14"/>
                <w:szCs w:val="14"/>
                <w:color w:val="FFFFFF"/>
              </w:rPr>
              <w:t>(Term Expires at the</w:t>
            </w:r>
          </w:p>
        </w:tc>
        <w:tc>
          <w:tcPr>
            <w:tcW w:w="160" w:type="dxa"/>
            <w:vAlign w:val="bottom"/>
            <w:tcBorders>
              <w:right w:val="single" w:sz="8" w:color="1D3965"/>
            </w:tcBorders>
            <w:shd w:val="clear" w:color="auto" w:fill="1D3965"/>
          </w:tcPr>
          <w:p>
            <w:pPr>
              <w:spacing w:after="0"/>
              <w:rPr>
                <w:sz w:val="14"/>
                <w:szCs w:val="14"/>
                <w:color w:val="auto"/>
              </w:rPr>
            </w:pPr>
          </w:p>
        </w:tc>
        <w:tc>
          <w:tcPr>
            <w:tcW w:w="2380" w:type="dxa"/>
            <w:vAlign w:val="bottom"/>
            <w:shd w:val="clear" w:color="auto" w:fill="1D3965"/>
          </w:tcPr>
          <w:p>
            <w:pPr>
              <w:jc w:val="center"/>
              <w:spacing w:after="0"/>
              <w:rPr>
                <w:sz w:val="20"/>
                <w:szCs w:val="20"/>
                <w:color w:val="auto"/>
              </w:rPr>
            </w:pPr>
            <w:r>
              <w:rPr>
                <w:rFonts w:ascii="Arial" w:cs="Arial" w:eastAsia="Arial" w:hAnsi="Arial"/>
                <w:sz w:val="14"/>
                <w:szCs w:val="14"/>
                <w:color w:val="FFFFFF"/>
              </w:rPr>
              <w:t>(Term Expires at the</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auto"/>
              <w:right w:val="single" w:sz="8" w:color="1D3965"/>
            </w:tcBorders>
            <w:shd w:val="clear" w:color="auto" w:fill="1D3965"/>
          </w:tcPr>
          <w:p>
            <w:pPr>
              <w:jc w:val="center"/>
              <w:spacing w:after="0"/>
              <w:rPr>
                <w:sz w:val="20"/>
                <w:szCs w:val="20"/>
                <w:color w:val="auto"/>
              </w:rPr>
            </w:pPr>
            <w:r>
              <w:rPr>
                <w:rFonts w:ascii="Arial" w:cs="Arial" w:eastAsia="Arial" w:hAnsi="Arial"/>
                <w:sz w:val="14"/>
                <w:szCs w:val="14"/>
                <w:color w:val="FFFFFF"/>
              </w:rPr>
              <w:t>2028 Annual Meeting)</w:t>
            </w:r>
          </w:p>
        </w:tc>
        <w:tc>
          <w:tcPr>
            <w:tcW w:w="160" w:type="dxa"/>
            <w:vAlign w:val="bottom"/>
            <w:tcBorders>
              <w:bottom w:val="single" w:sz="8" w:color="1D3965"/>
              <w:right w:val="single" w:sz="8" w:color="1D3965"/>
            </w:tcBorders>
            <w:shd w:val="clear" w:color="auto" w:fill="1D3965"/>
          </w:tcPr>
          <w:p>
            <w:pPr>
              <w:spacing w:after="0"/>
              <w:rPr>
                <w:sz w:val="18"/>
                <w:szCs w:val="18"/>
                <w:color w:val="auto"/>
              </w:rPr>
            </w:pPr>
          </w:p>
        </w:tc>
        <w:tc>
          <w:tcPr>
            <w:tcW w:w="264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color w:val="FFFFFF"/>
              </w:rPr>
              <w:t>2026 Annual Meeting)</w:t>
            </w:r>
          </w:p>
        </w:tc>
        <w:tc>
          <w:tcPr>
            <w:tcW w:w="160" w:type="dxa"/>
            <w:vAlign w:val="bottom"/>
            <w:tcBorders>
              <w:bottom w:val="single" w:sz="8" w:color="1D3965"/>
              <w:right w:val="single" w:sz="8" w:color="1D3965"/>
            </w:tcBorders>
            <w:shd w:val="clear" w:color="auto" w:fill="1D3965"/>
          </w:tcPr>
          <w:p>
            <w:pPr>
              <w:spacing w:after="0"/>
              <w:rPr>
                <w:sz w:val="18"/>
                <w:szCs w:val="18"/>
                <w:color w:val="auto"/>
              </w:rPr>
            </w:pPr>
          </w:p>
        </w:tc>
        <w:tc>
          <w:tcPr>
            <w:tcW w:w="238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color w:val="FFFFFF"/>
              </w:rPr>
              <w:t>2027 Annual Meeting)</w:t>
            </w:r>
          </w:p>
        </w:tc>
        <w:tc>
          <w:tcPr>
            <w:tcW w:w="0" w:type="dxa"/>
            <w:vAlign w:val="bottom"/>
          </w:tcPr>
          <w:p>
            <w:pPr>
              <w:spacing w:after="0"/>
              <w:rPr>
                <w:sz w:val="1"/>
                <w:szCs w:val="1"/>
                <w:color w:val="auto"/>
              </w:rPr>
            </w:pPr>
          </w:p>
        </w:tc>
      </w:tr>
      <w:tr>
        <w:trPr>
          <w:trHeight w:val="235"/>
        </w:trPr>
        <w:tc>
          <w:tcPr>
            <w:tcW w:w="2660" w:type="dxa"/>
            <w:vAlign w:val="bottom"/>
          </w:tcPr>
          <w:p>
            <w:pPr>
              <w:jc w:val="center"/>
              <w:spacing w:after="0"/>
              <w:rPr>
                <w:sz w:val="20"/>
                <w:szCs w:val="20"/>
                <w:color w:val="auto"/>
              </w:rPr>
            </w:pPr>
            <w:r>
              <w:rPr>
                <w:rFonts w:ascii="Arial" w:cs="Arial" w:eastAsia="Arial" w:hAnsi="Arial"/>
                <w:sz w:val="18"/>
                <w:szCs w:val="18"/>
                <w:color w:val="auto"/>
                <w:w w:val="98"/>
              </w:rPr>
              <w:t>Thomas P. Berquist</w:t>
            </w:r>
          </w:p>
        </w:tc>
        <w:tc>
          <w:tcPr>
            <w:tcW w:w="1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Bradford L. Brooks</w:t>
            </w:r>
          </w:p>
        </w:tc>
        <w:tc>
          <w:tcPr>
            <w:tcW w:w="16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Jeffrey P. Hank</w:t>
            </w:r>
          </w:p>
        </w:tc>
        <w:tc>
          <w:tcPr>
            <w:tcW w:w="0" w:type="dxa"/>
            <w:vAlign w:val="bottom"/>
          </w:tcPr>
          <w:p>
            <w:pPr>
              <w:spacing w:after="0"/>
              <w:rPr>
                <w:sz w:val="1"/>
                <w:szCs w:val="1"/>
                <w:color w:val="auto"/>
              </w:rPr>
            </w:pPr>
          </w:p>
        </w:tc>
      </w:tr>
      <w:tr>
        <w:trPr>
          <w:trHeight w:val="229"/>
        </w:trPr>
        <w:tc>
          <w:tcPr>
            <w:tcW w:w="2660" w:type="dxa"/>
            <w:vAlign w:val="bottom"/>
          </w:tcPr>
          <w:p>
            <w:pPr>
              <w:jc w:val="center"/>
              <w:spacing w:after="0"/>
              <w:rPr>
                <w:sz w:val="20"/>
                <w:szCs w:val="20"/>
                <w:color w:val="auto"/>
              </w:rPr>
            </w:pPr>
            <w:r>
              <w:rPr>
                <w:rFonts w:ascii="Arial" w:cs="Arial" w:eastAsia="Arial" w:hAnsi="Arial"/>
                <w:sz w:val="18"/>
                <w:szCs w:val="18"/>
                <w:color w:val="auto"/>
                <w:w w:val="99"/>
              </w:rPr>
              <w:t>Kristi M. Rogers</w:t>
            </w:r>
          </w:p>
        </w:tc>
        <w:tc>
          <w:tcPr>
            <w:tcW w:w="16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Wendy M. Pfeiffer</w:t>
            </w:r>
          </w:p>
        </w:tc>
        <w:tc>
          <w:tcPr>
            <w:tcW w:w="16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Sumedh S. Thakar</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rPr>
              <w:t>John A. Zangardi</w:t>
            </w: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1500" w:right="1520" w:firstLine="360"/>
        <w:spacing w:after="0" w:line="244" w:lineRule="auto"/>
        <w:rPr>
          <w:sz w:val="20"/>
          <w:szCs w:val="20"/>
          <w:color w:val="auto"/>
        </w:rPr>
      </w:pPr>
      <w:r>
        <w:rPr>
          <w:rFonts w:ascii="Arial" w:cs="Arial" w:eastAsia="Arial" w:hAnsi="Arial"/>
          <w:sz w:val="18"/>
          <w:szCs w:val="18"/>
          <w:color w:val="auto"/>
        </w:rPr>
        <w:t>The following table sets forth the names, ages as of April 22, 2026, and certain other information for each of the nominees for election as a director and for each of the continuing members of our board of directors. Mr. Brooks, who joined our board of directors in October 2025, was recommended to the Nominating and Governance Committee for consideration as a potential director by an independent search firm.</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00" w:type="dxa"/>
            <w:vAlign w:val="bottom"/>
          </w:tcPr>
          <w:p>
            <w:pPr>
              <w:spacing w:after="0"/>
              <w:rPr>
                <w:sz w:val="22"/>
                <w:szCs w:val="22"/>
                <w:color w:val="auto"/>
              </w:rPr>
            </w:pPr>
          </w:p>
        </w:tc>
        <w:tc>
          <w:tcPr>
            <w:tcW w:w="100" w:type="dxa"/>
            <w:vAlign w:val="bottom"/>
            <w:shd w:val="clear" w:color="auto" w:fill="1D3965"/>
          </w:tcPr>
          <w:p>
            <w:pPr>
              <w:spacing w:after="0"/>
              <w:rPr>
                <w:sz w:val="22"/>
                <w:szCs w:val="22"/>
                <w:color w:val="auto"/>
              </w:rPr>
            </w:pPr>
          </w:p>
        </w:tc>
        <w:tc>
          <w:tcPr>
            <w:tcW w:w="2060" w:type="dxa"/>
            <w:vAlign w:val="bottom"/>
            <w:tcBorders>
              <w:right w:val="single" w:sz="8" w:color="1D3965"/>
            </w:tcBorders>
            <w:shd w:val="clear" w:color="auto" w:fill="1D3965"/>
          </w:tcPr>
          <w:p>
            <w:pPr>
              <w:spacing w:after="0"/>
              <w:rPr>
                <w:sz w:val="22"/>
                <w:szCs w:val="22"/>
                <w:color w:val="auto"/>
              </w:rPr>
            </w:pPr>
          </w:p>
        </w:tc>
        <w:tc>
          <w:tcPr>
            <w:tcW w:w="920" w:type="dxa"/>
            <w:vAlign w:val="bottom"/>
            <w:shd w:val="clear" w:color="auto" w:fill="1D3965"/>
          </w:tcPr>
          <w:p>
            <w:pPr>
              <w:spacing w:after="0"/>
              <w:rPr>
                <w:sz w:val="22"/>
                <w:szCs w:val="22"/>
                <w:color w:val="auto"/>
              </w:rPr>
            </w:pPr>
          </w:p>
        </w:tc>
        <w:tc>
          <w:tcPr>
            <w:tcW w:w="700" w:type="dxa"/>
            <w:vAlign w:val="bottom"/>
            <w:tcBorders>
              <w:right w:val="single" w:sz="8" w:color="1D3965"/>
            </w:tcBorders>
            <w:shd w:val="clear" w:color="auto" w:fill="1D3965"/>
          </w:tcPr>
          <w:p>
            <w:pPr>
              <w:spacing w:after="0"/>
              <w:rPr>
                <w:sz w:val="22"/>
                <w:szCs w:val="22"/>
                <w:color w:val="auto"/>
              </w:rPr>
            </w:pPr>
          </w:p>
        </w:tc>
        <w:tc>
          <w:tcPr>
            <w:tcW w:w="340" w:type="dxa"/>
            <w:vAlign w:val="bottom"/>
            <w:shd w:val="clear" w:color="auto" w:fill="1D3965"/>
          </w:tcPr>
          <w:p>
            <w:pPr>
              <w:spacing w:after="0"/>
              <w:rPr>
                <w:sz w:val="22"/>
                <w:szCs w:val="22"/>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Other</w:t>
            </w:r>
          </w:p>
        </w:tc>
        <w:tc>
          <w:tcPr>
            <w:tcW w:w="820" w:type="dxa"/>
            <w:vAlign w:val="bottom"/>
            <w:shd w:val="clear" w:color="auto" w:fill="1D3965"/>
          </w:tcPr>
          <w:p>
            <w:pPr>
              <w:spacing w:after="0"/>
              <w:rPr>
                <w:sz w:val="22"/>
                <w:szCs w:val="22"/>
                <w:color w:val="auto"/>
              </w:rPr>
            </w:pPr>
          </w:p>
        </w:tc>
        <w:tc>
          <w:tcPr>
            <w:tcW w:w="1300" w:type="dxa"/>
            <w:vAlign w:val="bottom"/>
            <w:tcBorders>
              <w:right w:val="single" w:sz="8" w:color="1D3965"/>
            </w:tcBorders>
            <w:shd w:val="clear" w:color="auto" w:fill="1D3965"/>
          </w:tcPr>
          <w:p>
            <w:pPr>
              <w:spacing w:after="0"/>
              <w:rPr>
                <w:sz w:val="22"/>
                <w:szCs w:val="22"/>
                <w:color w:val="auto"/>
              </w:rPr>
            </w:pPr>
          </w:p>
        </w:tc>
        <w:tc>
          <w:tcPr>
            <w:tcW w:w="980" w:type="dxa"/>
            <w:vAlign w:val="bottom"/>
            <w:shd w:val="clear" w:color="auto" w:fill="1D3965"/>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0" w:type="dxa"/>
            <w:vAlign w:val="bottom"/>
            <w:shd w:val="clear" w:color="auto" w:fill="1D3965"/>
          </w:tcPr>
          <w:p>
            <w:pPr>
              <w:spacing w:after="0"/>
              <w:rPr>
                <w:sz w:val="14"/>
                <w:szCs w:val="14"/>
                <w:color w:val="auto"/>
              </w:rPr>
            </w:pPr>
          </w:p>
        </w:tc>
        <w:tc>
          <w:tcPr>
            <w:tcW w:w="2060" w:type="dxa"/>
            <w:vAlign w:val="bottom"/>
            <w:tcBorders>
              <w:right w:val="single" w:sz="8" w:color="1D3965"/>
            </w:tcBorders>
            <w:shd w:val="clear" w:color="auto" w:fill="1D3965"/>
          </w:tcPr>
          <w:p>
            <w:pPr>
              <w:spacing w:after="0"/>
              <w:rPr>
                <w:sz w:val="14"/>
                <w:szCs w:val="14"/>
                <w:color w:val="auto"/>
              </w:rPr>
            </w:pPr>
          </w:p>
        </w:tc>
        <w:tc>
          <w:tcPr>
            <w:tcW w:w="920" w:type="dxa"/>
            <w:vAlign w:val="bottom"/>
            <w:shd w:val="clear" w:color="auto" w:fill="1D3965"/>
          </w:tcPr>
          <w:p>
            <w:pPr>
              <w:spacing w:after="0"/>
              <w:rPr>
                <w:sz w:val="14"/>
                <w:szCs w:val="14"/>
                <w:color w:val="auto"/>
              </w:rPr>
            </w:pPr>
          </w:p>
        </w:tc>
        <w:tc>
          <w:tcPr>
            <w:tcW w:w="700" w:type="dxa"/>
            <w:vAlign w:val="bottom"/>
            <w:tcBorders>
              <w:right w:val="single" w:sz="8" w:color="1D3965"/>
            </w:tcBorders>
            <w:shd w:val="clear" w:color="auto" w:fill="1D3965"/>
          </w:tcPr>
          <w:p>
            <w:pPr>
              <w:spacing w:after="0"/>
              <w:rPr>
                <w:sz w:val="14"/>
                <w:szCs w:val="14"/>
                <w:color w:val="auto"/>
              </w:rPr>
            </w:pPr>
          </w:p>
        </w:tc>
        <w:tc>
          <w:tcPr>
            <w:tcW w:w="340" w:type="dxa"/>
            <w:vAlign w:val="bottom"/>
            <w:shd w:val="clear" w:color="auto" w:fill="1D3965"/>
          </w:tcPr>
          <w:p>
            <w:pPr>
              <w:spacing w:after="0"/>
              <w:rPr>
                <w:sz w:val="14"/>
                <w:szCs w:val="14"/>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Public</w:t>
            </w:r>
          </w:p>
        </w:tc>
        <w:tc>
          <w:tcPr>
            <w:tcW w:w="820" w:type="dxa"/>
            <w:vAlign w:val="bottom"/>
            <w:shd w:val="clear" w:color="auto" w:fill="1D3965"/>
          </w:tcPr>
          <w:p>
            <w:pPr>
              <w:spacing w:after="0"/>
              <w:rPr>
                <w:sz w:val="14"/>
                <w:szCs w:val="14"/>
                <w:color w:val="auto"/>
              </w:rPr>
            </w:pPr>
          </w:p>
        </w:tc>
        <w:tc>
          <w:tcPr>
            <w:tcW w:w="1300" w:type="dxa"/>
            <w:vAlign w:val="bottom"/>
            <w:tcBorders>
              <w:right w:val="single" w:sz="8" w:color="1D3965"/>
            </w:tcBorders>
            <w:shd w:val="clear" w:color="auto" w:fill="1D3965"/>
          </w:tcPr>
          <w:p>
            <w:pPr>
              <w:spacing w:after="0"/>
              <w:rPr>
                <w:sz w:val="14"/>
                <w:szCs w:val="14"/>
                <w:color w:val="auto"/>
              </w:rPr>
            </w:pPr>
          </w:p>
        </w:tc>
        <w:tc>
          <w:tcPr>
            <w:tcW w:w="980" w:type="dxa"/>
            <w:vAlign w:val="bottom"/>
            <w:shd w:val="clear" w:color="auto" w:fill="1D3965"/>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0" w:type="dxa"/>
            <w:vAlign w:val="bottom"/>
            <w:shd w:val="clear" w:color="auto" w:fill="1D3965"/>
          </w:tcPr>
          <w:p>
            <w:pPr>
              <w:spacing w:after="0"/>
              <w:rPr>
                <w:sz w:val="14"/>
                <w:szCs w:val="14"/>
                <w:color w:val="auto"/>
              </w:rPr>
            </w:pPr>
          </w:p>
        </w:tc>
        <w:tc>
          <w:tcPr>
            <w:tcW w:w="2060" w:type="dxa"/>
            <w:vAlign w:val="bottom"/>
            <w:tcBorders>
              <w:right w:val="single" w:sz="8" w:color="1D3965"/>
            </w:tcBorders>
            <w:shd w:val="clear" w:color="auto" w:fill="1D3965"/>
          </w:tcPr>
          <w:p>
            <w:pPr>
              <w:spacing w:after="0"/>
              <w:rPr>
                <w:sz w:val="14"/>
                <w:szCs w:val="14"/>
                <w:color w:val="auto"/>
              </w:rPr>
            </w:pPr>
          </w:p>
        </w:tc>
        <w:tc>
          <w:tcPr>
            <w:tcW w:w="920" w:type="dxa"/>
            <w:vAlign w:val="bottom"/>
            <w:shd w:val="clear" w:color="auto" w:fill="1D3965"/>
          </w:tcPr>
          <w:p>
            <w:pPr>
              <w:spacing w:after="0"/>
              <w:rPr>
                <w:sz w:val="14"/>
                <w:szCs w:val="14"/>
                <w:color w:val="auto"/>
              </w:rPr>
            </w:pPr>
          </w:p>
        </w:tc>
        <w:tc>
          <w:tcPr>
            <w:tcW w:w="700" w:type="dxa"/>
            <w:vAlign w:val="bottom"/>
            <w:tcBorders>
              <w:right w:val="single" w:sz="8" w:color="1D3965"/>
            </w:tcBorders>
            <w:shd w:val="clear" w:color="auto" w:fill="1D3965"/>
          </w:tcPr>
          <w:p>
            <w:pPr>
              <w:spacing w:after="0"/>
              <w:rPr>
                <w:sz w:val="14"/>
                <w:szCs w:val="14"/>
                <w:color w:val="auto"/>
              </w:rPr>
            </w:pPr>
          </w:p>
        </w:tc>
        <w:tc>
          <w:tcPr>
            <w:tcW w:w="340" w:type="dxa"/>
            <w:vAlign w:val="bottom"/>
            <w:shd w:val="clear" w:color="auto" w:fill="1D3965"/>
          </w:tcPr>
          <w:p>
            <w:pPr>
              <w:spacing w:after="0"/>
              <w:rPr>
                <w:sz w:val="14"/>
                <w:szCs w:val="14"/>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7"/>
              </w:rPr>
              <w:t>Co.</w:t>
            </w:r>
          </w:p>
        </w:tc>
        <w:tc>
          <w:tcPr>
            <w:tcW w:w="820" w:type="dxa"/>
            <w:vAlign w:val="bottom"/>
            <w:shd w:val="clear" w:color="auto" w:fill="1D3965"/>
          </w:tcPr>
          <w:p>
            <w:pPr>
              <w:spacing w:after="0"/>
              <w:rPr>
                <w:sz w:val="14"/>
                <w:szCs w:val="14"/>
                <w:color w:val="auto"/>
              </w:rPr>
            </w:pPr>
          </w:p>
        </w:tc>
        <w:tc>
          <w:tcPr>
            <w:tcW w:w="1300" w:type="dxa"/>
            <w:vAlign w:val="bottom"/>
            <w:tcBorders>
              <w:right w:val="single" w:sz="8" w:color="1D3965"/>
            </w:tcBorders>
            <w:shd w:val="clear" w:color="auto" w:fill="1D3965"/>
          </w:tcPr>
          <w:p>
            <w:pPr>
              <w:spacing w:after="0"/>
              <w:rPr>
                <w:sz w:val="14"/>
                <w:szCs w:val="14"/>
                <w:color w:val="auto"/>
              </w:rPr>
            </w:pPr>
          </w:p>
        </w:tc>
        <w:tc>
          <w:tcPr>
            <w:tcW w:w="980" w:type="dxa"/>
            <w:vAlign w:val="bottom"/>
            <w:shd w:val="clear" w:color="auto" w:fill="1D3965"/>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0" w:type="dxa"/>
            <w:vAlign w:val="bottom"/>
            <w:shd w:val="clear" w:color="auto" w:fill="1D3965"/>
          </w:tcPr>
          <w:p>
            <w:pPr>
              <w:spacing w:after="0"/>
              <w:rPr>
                <w:sz w:val="14"/>
                <w:szCs w:val="14"/>
                <w:color w:val="auto"/>
              </w:rPr>
            </w:pPr>
          </w:p>
        </w:tc>
        <w:tc>
          <w:tcPr>
            <w:tcW w:w="2060" w:type="dxa"/>
            <w:vAlign w:val="bottom"/>
            <w:tcBorders>
              <w:right w:val="single" w:sz="8" w:color="1D3965"/>
            </w:tcBorders>
            <w:shd w:val="clear" w:color="auto" w:fill="1D3965"/>
          </w:tcPr>
          <w:p>
            <w:pPr>
              <w:spacing w:after="0"/>
              <w:rPr>
                <w:sz w:val="14"/>
                <w:szCs w:val="14"/>
                <w:color w:val="auto"/>
              </w:rPr>
            </w:pPr>
          </w:p>
        </w:tc>
        <w:tc>
          <w:tcPr>
            <w:tcW w:w="920" w:type="dxa"/>
            <w:vAlign w:val="bottom"/>
            <w:shd w:val="clear" w:color="auto" w:fill="1D3965"/>
          </w:tcPr>
          <w:p>
            <w:pPr>
              <w:spacing w:after="0"/>
              <w:rPr>
                <w:sz w:val="14"/>
                <w:szCs w:val="14"/>
                <w:color w:val="auto"/>
              </w:rPr>
            </w:pPr>
          </w:p>
        </w:tc>
        <w:tc>
          <w:tcPr>
            <w:tcW w:w="700" w:type="dxa"/>
            <w:vAlign w:val="bottom"/>
            <w:tcBorders>
              <w:right w:val="single" w:sz="8" w:color="1D3965"/>
            </w:tcBorders>
            <w:shd w:val="clear" w:color="auto" w:fill="1D3965"/>
          </w:tcPr>
          <w:p>
            <w:pPr>
              <w:spacing w:after="0"/>
              <w:rPr>
                <w:sz w:val="14"/>
                <w:szCs w:val="14"/>
                <w:color w:val="auto"/>
              </w:rPr>
            </w:pPr>
          </w:p>
        </w:tc>
        <w:tc>
          <w:tcPr>
            <w:tcW w:w="340" w:type="dxa"/>
            <w:vAlign w:val="bottom"/>
            <w:shd w:val="clear" w:color="auto" w:fill="1D3965"/>
          </w:tcPr>
          <w:p>
            <w:pPr>
              <w:spacing w:after="0"/>
              <w:rPr>
                <w:sz w:val="14"/>
                <w:szCs w:val="14"/>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Boards In</w:t>
            </w:r>
          </w:p>
        </w:tc>
        <w:tc>
          <w:tcPr>
            <w:tcW w:w="820" w:type="dxa"/>
            <w:vAlign w:val="bottom"/>
            <w:shd w:val="clear" w:color="auto" w:fill="1D3965"/>
          </w:tcPr>
          <w:p>
            <w:pPr>
              <w:spacing w:after="0"/>
              <w:rPr>
                <w:sz w:val="14"/>
                <w:szCs w:val="14"/>
                <w:color w:val="auto"/>
              </w:rPr>
            </w:pPr>
          </w:p>
        </w:tc>
        <w:tc>
          <w:tcPr>
            <w:tcW w:w="130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Nominating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0" w:type="dxa"/>
            <w:vAlign w:val="bottom"/>
            <w:shd w:val="clear" w:color="auto" w:fill="1D3965"/>
          </w:tcPr>
          <w:p>
            <w:pPr>
              <w:spacing w:after="0"/>
              <w:rPr>
                <w:sz w:val="14"/>
                <w:szCs w:val="14"/>
                <w:color w:val="auto"/>
              </w:rPr>
            </w:pPr>
          </w:p>
        </w:tc>
        <w:tc>
          <w:tcPr>
            <w:tcW w:w="2060" w:type="dxa"/>
            <w:vAlign w:val="bottom"/>
            <w:tcBorders>
              <w:right w:val="single" w:sz="8" w:color="1D3965"/>
            </w:tcBorders>
            <w:shd w:val="clear" w:color="auto" w:fill="1D3965"/>
          </w:tcPr>
          <w:p>
            <w:pPr>
              <w:spacing w:after="0"/>
              <w:rPr>
                <w:sz w:val="14"/>
                <w:szCs w:val="14"/>
                <w:color w:val="auto"/>
              </w:rPr>
            </w:pPr>
          </w:p>
        </w:tc>
        <w:tc>
          <w:tcPr>
            <w:tcW w:w="920" w:type="dxa"/>
            <w:vAlign w:val="bottom"/>
            <w:shd w:val="clear" w:color="auto" w:fill="1D3965"/>
          </w:tcPr>
          <w:p>
            <w:pPr>
              <w:spacing w:after="0"/>
              <w:rPr>
                <w:sz w:val="14"/>
                <w:szCs w:val="14"/>
                <w:color w:val="auto"/>
              </w:rPr>
            </w:pPr>
          </w:p>
        </w:tc>
        <w:tc>
          <w:tcPr>
            <w:tcW w:w="700" w:type="dxa"/>
            <w:vAlign w:val="bottom"/>
            <w:tcBorders>
              <w:right w:val="single" w:sz="8" w:color="1D3965"/>
            </w:tcBorders>
            <w:shd w:val="clear" w:color="auto" w:fill="1D3965"/>
          </w:tcPr>
          <w:p>
            <w:pPr>
              <w:spacing w:after="0"/>
              <w:rPr>
                <w:sz w:val="14"/>
                <w:szCs w:val="14"/>
                <w:color w:val="auto"/>
              </w:rPr>
            </w:pPr>
          </w:p>
        </w:tc>
        <w:tc>
          <w:tcPr>
            <w:tcW w:w="340" w:type="dxa"/>
            <w:vAlign w:val="bottom"/>
            <w:shd w:val="clear" w:color="auto" w:fill="1D3965"/>
          </w:tcPr>
          <w:p>
            <w:pPr>
              <w:spacing w:after="0"/>
              <w:rPr>
                <w:sz w:val="14"/>
                <w:szCs w:val="14"/>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the Past</w:t>
            </w:r>
          </w:p>
        </w:tc>
        <w:tc>
          <w:tcPr>
            <w:tcW w:w="820" w:type="dxa"/>
            <w:vAlign w:val="bottom"/>
            <w:shd w:val="clear" w:color="auto" w:fill="1D3965"/>
          </w:tcPr>
          <w:p>
            <w:pPr>
              <w:ind w:left="120"/>
              <w:spacing w:after="0"/>
              <w:rPr>
                <w:sz w:val="20"/>
                <w:szCs w:val="20"/>
                <w:color w:val="auto"/>
              </w:rPr>
            </w:pPr>
            <w:r>
              <w:rPr>
                <w:rFonts w:ascii="Arial" w:cs="Arial" w:eastAsia="Arial" w:hAnsi="Arial"/>
                <w:sz w:val="14"/>
                <w:szCs w:val="14"/>
                <w:b w:val="1"/>
                <w:bCs w:val="1"/>
                <w:color w:val="FFFFFF"/>
              </w:rPr>
              <w:t>Audit &amp;</w:t>
            </w:r>
          </w:p>
        </w:tc>
        <w:tc>
          <w:tcPr>
            <w:tcW w:w="1300" w:type="dxa"/>
            <w:vAlign w:val="bottom"/>
            <w:tcBorders>
              <w:right w:val="single" w:sz="8" w:color="1D3965"/>
            </w:tcBorders>
            <w:shd w:val="clear" w:color="auto" w:fill="1D3965"/>
          </w:tcPr>
          <w:p>
            <w:pPr>
              <w:jc w:val="center"/>
              <w:ind w:right="20"/>
              <w:spacing w:after="0"/>
              <w:rPr>
                <w:sz w:val="20"/>
                <w:szCs w:val="20"/>
                <w:color w:val="auto"/>
              </w:rPr>
            </w:pPr>
            <w:r>
              <w:rPr>
                <w:rFonts w:ascii="Arial" w:cs="Arial" w:eastAsia="Arial" w:hAnsi="Arial"/>
                <w:sz w:val="14"/>
                <w:szCs w:val="14"/>
                <w:b w:val="1"/>
                <w:bCs w:val="1"/>
                <w:color w:val="FFFFFF"/>
              </w:rPr>
              <w:t>&amp;</w:t>
            </w:r>
          </w:p>
        </w:tc>
        <w:tc>
          <w:tcPr>
            <w:tcW w:w="980" w:type="dxa"/>
            <w:vAlign w:val="bottom"/>
            <w:shd w:val="clear" w:color="auto" w:fill="1D3965"/>
          </w:tcPr>
          <w:p>
            <w:pPr>
              <w:jc w:val="center"/>
              <w:ind w:right="20"/>
              <w:spacing w:after="0"/>
              <w:rPr>
                <w:sz w:val="20"/>
                <w:szCs w:val="20"/>
                <w:color w:val="auto"/>
              </w:rPr>
            </w:pPr>
            <w:r>
              <w:rPr>
                <w:rFonts w:ascii="Arial" w:cs="Arial" w:eastAsia="Arial" w:hAnsi="Arial"/>
                <w:sz w:val="14"/>
                <w:szCs w:val="14"/>
                <w:b w:val="1"/>
                <w:bCs w:val="1"/>
                <w:color w:val="FFFFFF"/>
              </w:rPr>
              <w:t>&amp;</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0" w:type="dxa"/>
            <w:vAlign w:val="bottom"/>
            <w:shd w:val="clear" w:color="auto" w:fill="1D3965"/>
          </w:tcPr>
          <w:p>
            <w:pPr>
              <w:spacing w:after="0"/>
              <w:rPr>
                <w:sz w:val="14"/>
                <w:szCs w:val="14"/>
                <w:color w:val="auto"/>
              </w:rPr>
            </w:pPr>
          </w:p>
        </w:tc>
        <w:tc>
          <w:tcPr>
            <w:tcW w:w="2060" w:type="dxa"/>
            <w:vAlign w:val="bottom"/>
            <w:tcBorders>
              <w:right w:val="single" w:sz="8" w:color="1D3965"/>
            </w:tcBorders>
            <w:shd w:val="clear" w:color="auto" w:fill="1D3965"/>
          </w:tcPr>
          <w:p>
            <w:pPr>
              <w:spacing w:after="0"/>
              <w:rPr>
                <w:sz w:val="14"/>
                <w:szCs w:val="14"/>
                <w:color w:val="auto"/>
              </w:rPr>
            </w:pPr>
          </w:p>
        </w:tc>
        <w:tc>
          <w:tcPr>
            <w:tcW w:w="920" w:type="dxa"/>
            <w:vAlign w:val="bottom"/>
            <w:shd w:val="clear" w:color="auto" w:fill="1D3965"/>
          </w:tcPr>
          <w:p>
            <w:pPr>
              <w:spacing w:after="0"/>
              <w:rPr>
                <w:sz w:val="14"/>
                <w:szCs w:val="14"/>
                <w:color w:val="auto"/>
              </w:rPr>
            </w:pPr>
          </w:p>
        </w:tc>
        <w:tc>
          <w:tcPr>
            <w:tcW w:w="70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Director</w:t>
            </w:r>
          </w:p>
        </w:tc>
        <w:tc>
          <w:tcPr>
            <w:tcW w:w="340" w:type="dxa"/>
            <w:vAlign w:val="bottom"/>
            <w:shd w:val="clear" w:color="auto" w:fill="1D3965"/>
          </w:tcPr>
          <w:p>
            <w:pPr>
              <w:spacing w:after="0"/>
              <w:rPr>
                <w:sz w:val="14"/>
                <w:szCs w:val="14"/>
                <w:color w:val="auto"/>
              </w:rPr>
            </w:pP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Five</w:t>
            </w:r>
          </w:p>
        </w:tc>
        <w:tc>
          <w:tcPr>
            <w:tcW w:w="820" w:type="dxa"/>
            <w:vAlign w:val="bottom"/>
            <w:shd w:val="clear" w:color="auto" w:fill="1D3965"/>
          </w:tcPr>
          <w:p>
            <w:pPr>
              <w:ind w:left="220"/>
              <w:spacing w:after="0"/>
              <w:rPr>
                <w:sz w:val="20"/>
                <w:szCs w:val="20"/>
                <w:color w:val="auto"/>
              </w:rPr>
            </w:pPr>
            <w:r>
              <w:rPr>
                <w:rFonts w:ascii="Arial" w:cs="Arial" w:eastAsia="Arial" w:hAnsi="Arial"/>
                <w:sz w:val="14"/>
                <w:szCs w:val="14"/>
                <w:b w:val="1"/>
                <w:bCs w:val="1"/>
                <w:color w:val="FFFFFF"/>
              </w:rPr>
              <w:t>Risk</w:t>
            </w:r>
          </w:p>
        </w:tc>
        <w:tc>
          <w:tcPr>
            <w:tcW w:w="1300" w:type="dxa"/>
            <w:vAlign w:val="bottom"/>
            <w:tcBorders>
              <w:right w:val="single" w:sz="8" w:color="1D3965"/>
            </w:tcBorders>
            <w:shd w:val="clear" w:color="auto" w:fill="1D3965"/>
          </w:tcPr>
          <w:p>
            <w:pPr>
              <w:jc w:val="center"/>
              <w:ind w:right="20"/>
              <w:spacing w:after="0"/>
              <w:rPr>
                <w:sz w:val="20"/>
                <w:szCs w:val="20"/>
                <w:color w:val="auto"/>
              </w:rPr>
            </w:pPr>
            <w:r>
              <w:rPr>
                <w:rFonts w:ascii="Arial" w:cs="Arial" w:eastAsia="Arial" w:hAnsi="Arial"/>
                <w:sz w:val="14"/>
                <w:szCs w:val="14"/>
                <w:b w:val="1"/>
                <w:bCs w:val="1"/>
                <w:color w:val="FFFFFF"/>
                <w:w w:val="96"/>
              </w:rPr>
              <w:t>Talent</w:t>
            </w:r>
          </w:p>
        </w:tc>
        <w:tc>
          <w:tcPr>
            <w:tcW w:w="980" w:type="dxa"/>
            <w:vAlign w:val="bottom"/>
            <w:shd w:val="clear" w:color="auto" w:fill="1D3965"/>
          </w:tcPr>
          <w:p>
            <w:pPr>
              <w:jc w:val="center"/>
              <w:ind w:right="20"/>
              <w:spacing w:after="0"/>
              <w:rPr>
                <w:sz w:val="20"/>
                <w:szCs w:val="20"/>
                <w:color w:val="auto"/>
              </w:rPr>
            </w:pPr>
            <w:r>
              <w:rPr>
                <w:rFonts w:ascii="Arial" w:cs="Arial" w:eastAsia="Arial" w:hAnsi="Arial"/>
                <w:sz w:val="14"/>
                <w:szCs w:val="14"/>
                <w:b w:val="1"/>
                <w:bCs w:val="1"/>
                <w:color w:val="FFFFFF"/>
              </w:rPr>
              <w:t>Governance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00" w:type="dxa"/>
            <w:vAlign w:val="bottom"/>
            <w:shd w:val="clear" w:color="auto" w:fill="1D3965"/>
          </w:tcPr>
          <w:p>
            <w:pPr>
              <w:spacing w:after="0"/>
              <w:rPr>
                <w:sz w:val="17"/>
                <w:szCs w:val="17"/>
                <w:color w:val="auto"/>
              </w:rPr>
            </w:pPr>
          </w:p>
        </w:tc>
        <w:tc>
          <w:tcPr>
            <w:tcW w:w="2060" w:type="dxa"/>
            <w:vAlign w:val="bottom"/>
            <w:tcBorders>
              <w:right w:val="single" w:sz="8" w:color="1D3965"/>
            </w:tcBorders>
            <w:shd w:val="clear" w:color="auto" w:fill="1D3965"/>
          </w:tcPr>
          <w:p>
            <w:pPr>
              <w:ind w:left="60"/>
              <w:spacing w:after="0"/>
              <w:rPr>
                <w:sz w:val="20"/>
                <w:szCs w:val="20"/>
                <w:color w:val="auto"/>
              </w:rPr>
            </w:pPr>
            <w:r>
              <w:rPr>
                <w:rFonts w:ascii="Arial" w:cs="Arial" w:eastAsia="Arial" w:hAnsi="Arial"/>
                <w:sz w:val="14"/>
                <w:szCs w:val="14"/>
                <w:b w:val="1"/>
                <w:bCs w:val="1"/>
                <w:color w:val="FFFFFF"/>
              </w:rPr>
              <w:t>Name</w:t>
            </w:r>
          </w:p>
        </w:tc>
        <w:tc>
          <w:tcPr>
            <w:tcW w:w="9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Independent</w:t>
            </w:r>
          </w:p>
        </w:tc>
        <w:tc>
          <w:tcPr>
            <w:tcW w:w="70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Since</w:t>
            </w:r>
          </w:p>
        </w:tc>
        <w:tc>
          <w:tcPr>
            <w:tcW w:w="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8"/>
              </w:rPr>
              <w:t>Age</w:t>
            </w:r>
          </w:p>
        </w:tc>
        <w:tc>
          <w:tcPr>
            <w:tcW w:w="86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Years</w:t>
            </w:r>
          </w:p>
        </w:tc>
        <w:tc>
          <w:tcPr>
            <w:tcW w:w="820" w:type="dxa"/>
            <w:vAlign w:val="bottom"/>
            <w:shd w:val="clear" w:color="auto" w:fill="1D3965"/>
          </w:tcPr>
          <w:p>
            <w:pPr>
              <w:ind w:left="20"/>
              <w:spacing w:after="0"/>
              <w:rPr>
                <w:sz w:val="20"/>
                <w:szCs w:val="20"/>
                <w:color w:val="auto"/>
              </w:rPr>
            </w:pPr>
            <w:r>
              <w:rPr>
                <w:rFonts w:ascii="Arial" w:cs="Arial" w:eastAsia="Arial" w:hAnsi="Arial"/>
                <w:sz w:val="14"/>
                <w:szCs w:val="14"/>
                <w:b w:val="1"/>
                <w:bCs w:val="1"/>
                <w:color w:val="FFFFFF"/>
              </w:rPr>
              <w:t>Committee</w:t>
            </w:r>
          </w:p>
        </w:tc>
        <w:tc>
          <w:tcPr>
            <w:tcW w:w="130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Committee</w:t>
            </w:r>
          </w:p>
        </w:tc>
        <w:tc>
          <w:tcPr>
            <w:tcW w:w="9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Committee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00" w:type="dxa"/>
            <w:vAlign w:val="bottom"/>
            <w:shd w:val="clear" w:color="auto" w:fill="1D3965"/>
          </w:tcPr>
          <w:p>
            <w:pPr>
              <w:spacing w:after="0"/>
              <w:rPr>
                <w:sz w:val="6"/>
                <w:szCs w:val="6"/>
                <w:color w:val="auto"/>
              </w:rPr>
            </w:pPr>
          </w:p>
        </w:tc>
        <w:tc>
          <w:tcPr>
            <w:tcW w:w="2060" w:type="dxa"/>
            <w:vAlign w:val="bottom"/>
            <w:tcBorders>
              <w:right w:val="single" w:sz="8" w:color="1D3965"/>
            </w:tcBorders>
            <w:shd w:val="clear" w:color="auto" w:fill="1D3965"/>
          </w:tcPr>
          <w:p>
            <w:pPr>
              <w:spacing w:after="0"/>
              <w:rPr>
                <w:sz w:val="6"/>
                <w:szCs w:val="6"/>
                <w:color w:val="auto"/>
              </w:rPr>
            </w:pPr>
          </w:p>
        </w:tc>
        <w:tc>
          <w:tcPr>
            <w:tcW w:w="920" w:type="dxa"/>
            <w:vAlign w:val="bottom"/>
            <w:shd w:val="clear" w:color="auto" w:fill="1D3965"/>
          </w:tcPr>
          <w:p>
            <w:pPr>
              <w:spacing w:after="0"/>
              <w:rPr>
                <w:sz w:val="6"/>
                <w:szCs w:val="6"/>
                <w:color w:val="auto"/>
              </w:rPr>
            </w:pPr>
          </w:p>
        </w:tc>
        <w:tc>
          <w:tcPr>
            <w:tcW w:w="700" w:type="dxa"/>
            <w:vAlign w:val="bottom"/>
            <w:tcBorders>
              <w:right w:val="single" w:sz="8" w:color="1D3965"/>
            </w:tcBorders>
            <w:shd w:val="clear" w:color="auto" w:fill="1D3965"/>
          </w:tcPr>
          <w:p>
            <w:pPr>
              <w:spacing w:after="0"/>
              <w:rPr>
                <w:sz w:val="6"/>
                <w:szCs w:val="6"/>
                <w:color w:val="auto"/>
              </w:rPr>
            </w:pPr>
          </w:p>
        </w:tc>
        <w:tc>
          <w:tcPr>
            <w:tcW w:w="340" w:type="dxa"/>
            <w:vAlign w:val="bottom"/>
            <w:shd w:val="clear" w:color="auto" w:fill="1D3965"/>
          </w:tcPr>
          <w:p>
            <w:pPr>
              <w:spacing w:after="0"/>
              <w:rPr>
                <w:sz w:val="6"/>
                <w:szCs w:val="6"/>
                <w:color w:val="auto"/>
              </w:rPr>
            </w:pPr>
          </w:p>
        </w:tc>
        <w:tc>
          <w:tcPr>
            <w:tcW w:w="860" w:type="dxa"/>
            <w:vAlign w:val="bottom"/>
            <w:tcBorders>
              <w:right w:val="single" w:sz="8" w:color="1D3965"/>
            </w:tcBorders>
            <w:shd w:val="clear" w:color="auto" w:fill="1D3965"/>
          </w:tcPr>
          <w:p>
            <w:pPr>
              <w:spacing w:after="0"/>
              <w:rPr>
                <w:sz w:val="6"/>
                <w:szCs w:val="6"/>
                <w:color w:val="auto"/>
              </w:rPr>
            </w:pPr>
          </w:p>
        </w:tc>
        <w:tc>
          <w:tcPr>
            <w:tcW w:w="820" w:type="dxa"/>
            <w:vAlign w:val="bottom"/>
            <w:shd w:val="clear" w:color="auto" w:fill="1D3965"/>
          </w:tcPr>
          <w:p>
            <w:pPr>
              <w:spacing w:after="0"/>
              <w:rPr>
                <w:sz w:val="6"/>
                <w:szCs w:val="6"/>
                <w:color w:val="auto"/>
              </w:rPr>
            </w:pPr>
          </w:p>
        </w:tc>
        <w:tc>
          <w:tcPr>
            <w:tcW w:w="1300" w:type="dxa"/>
            <w:vAlign w:val="bottom"/>
            <w:tcBorders>
              <w:right w:val="single" w:sz="8" w:color="1D3965"/>
            </w:tcBorders>
            <w:shd w:val="clear" w:color="auto" w:fill="1D3965"/>
          </w:tcPr>
          <w:p>
            <w:pPr>
              <w:spacing w:after="0"/>
              <w:rPr>
                <w:sz w:val="6"/>
                <w:szCs w:val="6"/>
                <w:color w:val="auto"/>
              </w:rPr>
            </w:pPr>
          </w:p>
        </w:tc>
        <w:tc>
          <w:tcPr>
            <w:tcW w:w="980" w:type="dxa"/>
            <w:vAlign w:val="bottom"/>
            <w:shd w:val="clear" w:color="auto" w:fill="1D3965"/>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EDEDED"/>
            </w:tcBorders>
          </w:tcPr>
          <w:p>
            <w:pPr>
              <w:ind w:left="60"/>
              <w:spacing w:after="0"/>
              <w:rPr>
                <w:sz w:val="20"/>
                <w:szCs w:val="20"/>
                <w:color w:val="auto"/>
              </w:rPr>
            </w:pPr>
            <w:r>
              <w:rPr>
                <w:rFonts w:ascii="Arial" w:cs="Arial" w:eastAsia="Arial" w:hAnsi="Arial"/>
                <w:sz w:val="18"/>
                <w:szCs w:val="18"/>
                <w:b w:val="1"/>
                <w:bCs w:val="1"/>
                <w:color w:val="auto"/>
              </w:rPr>
              <w:t>Nominees for Director</w:t>
            </w:r>
          </w:p>
        </w:tc>
        <w:tc>
          <w:tcPr>
            <w:tcW w:w="920" w:type="dxa"/>
            <w:vAlign w:val="bottom"/>
            <w:tcBorders>
              <w:bottom w:val="single" w:sz="8" w:color="EDEDED"/>
            </w:tcBorders>
            <w:shd w:val="clear" w:color="auto" w:fill="EDEDED"/>
          </w:tcPr>
          <w:p>
            <w:pPr>
              <w:spacing w:after="0"/>
              <w:rPr>
                <w:sz w:val="24"/>
                <w:szCs w:val="24"/>
                <w:color w:val="auto"/>
              </w:rPr>
            </w:pPr>
          </w:p>
        </w:tc>
        <w:tc>
          <w:tcPr>
            <w:tcW w:w="700" w:type="dxa"/>
            <w:vAlign w:val="bottom"/>
            <w:tcBorders>
              <w:right w:val="single" w:sz="8" w:color="EDEDED"/>
            </w:tcBorders>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860" w:type="dxa"/>
            <w:vAlign w:val="bottom"/>
            <w:tcBorders>
              <w:right w:val="single" w:sz="8" w:color="EDEDED"/>
            </w:tcBorders>
          </w:tcPr>
          <w:p>
            <w:pPr>
              <w:spacing w:after="0"/>
              <w:rPr>
                <w:sz w:val="24"/>
                <w:szCs w:val="24"/>
                <w:color w:val="auto"/>
              </w:rPr>
            </w:pPr>
          </w:p>
        </w:tc>
        <w:tc>
          <w:tcPr>
            <w:tcW w:w="820" w:type="dxa"/>
            <w:vAlign w:val="bottom"/>
            <w:tcBorders>
              <w:bottom w:val="single" w:sz="8" w:color="EDEDED"/>
            </w:tcBorders>
            <w:shd w:val="clear" w:color="auto" w:fill="EDEDED"/>
          </w:tcPr>
          <w:p>
            <w:pPr>
              <w:spacing w:after="0"/>
              <w:rPr>
                <w:sz w:val="24"/>
                <w:szCs w:val="24"/>
                <w:color w:val="auto"/>
              </w:rPr>
            </w:pPr>
          </w:p>
        </w:tc>
        <w:tc>
          <w:tcPr>
            <w:tcW w:w="1300" w:type="dxa"/>
            <w:vAlign w:val="bottom"/>
            <w:tcBorders>
              <w:right w:val="single" w:sz="8" w:color="EDEDED"/>
            </w:tcBorders>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EDEDED"/>
            </w:tcBorders>
          </w:tcPr>
          <w:p>
            <w:pPr>
              <w:ind w:left="60"/>
              <w:spacing w:after="0"/>
              <w:rPr>
                <w:sz w:val="20"/>
                <w:szCs w:val="20"/>
                <w:color w:val="auto"/>
              </w:rPr>
            </w:pPr>
            <w:r>
              <w:rPr>
                <w:rFonts w:ascii="Arial" w:cs="Arial" w:eastAsia="Arial" w:hAnsi="Arial"/>
                <w:sz w:val="18"/>
                <w:szCs w:val="18"/>
                <w:color w:val="auto"/>
              </w:rPr>
              <w:t>Bradford L. Brooks</w:t>
            </w:r>
          </w:p>
        </w:tc>
        <w:tc>
          <w:tcPr>
            <w:tcW w:w="920" w:type="dxa"/>
            <w:vAlign w:val="bottom"/>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2025</w:t>
            </w:r>
          </w:p>
        </w:tc>
        <w:tc>
          <w:tcPr>
            <w:tcW w:w="34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58</w:t>
            </w:r>
          </w:p>
        </w:tc>
        <w:tc>
          <w:tcPr>
            <w:tcW w:w="86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1</w:t>
            </w:r>
          </w:p>
        </w:tc>
        <w:tc>
          <w:tcPr>
            <w:tcW w:w="820" w:type="dxa"/>
            <w:vAlign w:val="bottom"/>
            <w:shd w:val="clear" w:color="auto" w:fill="EDEDED"/>
          </w:tcPr>
          <w:p>
            <w:pPr>
              <w:spacing w:after="0"/>
              <w:rPr>
                <w:sz w:val="24"/>
                <w:szCs w:val="24"/>
                <w:color w:val="auto"/>
              </w:rPr>
            </w:pPr>
          </w:p>
        </w:tc>
        <w:tc>
          <w:tcPr>
            <w:tcW w:w="1300" w:type="dxa"/>
            <w:vAlign w:val="bottom"/>
            <w:tcBorders>
              <w:right w:val="single" w:sz="8" w:color="EDEDED"/>
            </w:tcBorders>
          </w:tcPr>
          <w:p>
            <w:pPr>
              <w:spacing w:after="0"/>
              <w:rPr>
                <w:sz w:val="24"/>
                <w:szCs w:val="24"/>
                <w:color w:val="auto"/>
              </w:rPr>
            </w:pPr>
          </w:p>
        </w:tc>
        <w:tc>
          <w:tcPr>
            <w:tcW w:w="980" w:type="dxa"/>
            <w:vAlign w:val="bottom"/>
            <w:vMerge w:val="restart"/>
            <w:shd w:val="clear" w:color="auto" w:fill="EDEDED"/>
          </w:tcPr>
          <w:p>
            <w:pPr>
              <w:ind w:left="180"/>
              <w:spacing w:after="0"/>
              <w:rPr>
                <w:sz w:val="20"/>
                <w:szCs w:val="20"/>
                <w:color w:val="auto"/>
              </w:rPr>
            </w:pPr>
            <w:r>
              <w:rPr>
                <w:rFonts w:ascii="Arial" w:cs="Arial" w:eastAsia="Arial" w:hAnsi="Arial"/>
                <w:sz w:val="18"/>
                <w:szCs w:val="18"/>
                <w:color w:val="auto"/>
              </w:rPr>
              <w:t> </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Borders>
              <w:right w:val="single" w:sz="8" w:color="EDEDED"/>
            </w:tcBorders>
          </w:tcPr>
          <w:p>
            <w:pPr>
              <w:spacing w:after="0"/>
              <w:rPr>
                <w:sz w:val="15"/>
                <w:szCs w:val="15"/>
                <w:color w:val="auto"/>
              </w:rPr>
            </w:pPr>
          </w:p>
        </w:tc>
        <w:tc>
          <w:tcPr>
            <w:tcW w:w="920" w:type="dxa"/>
            <w:vAlign w:val="bottom"/>
            <w:tcBorders>
              <w:bottom w:val="single" w:sz="8" w:color="EDEDED"/>
            </w:tcBorders>
            <w:shd w:val="clear" w:color="auto" w:fill="EDEDED"/>
          </w:tcPr>
          <w:p>
            <w:pPr>
              <w:spacing w:after="0"/>
              <w:rPr>
                <w:sz w:val="15"/>
                <w:szCs w:val="15"/>
                <w:color w:val="auto"/>
              </w:rPr>
            </w:pPr>
          </w:p>
        </w:tc>
        <w:tc>
          <w:tcPr>
            <w:tcW w:w="700" w:type="dxa"/>
            <w:vAlign w:val="bottom"/>
            <w:tcBorders>
              <w:right w:val="single" w:sz="8" w:color="EDEDED"/>
            </w:tcBorders>
          </w:tcPr>
          <w:p>
            <w:pPr>
              <w:spacing w:after="0"/>
              <w:rPr>
                <w:sz w:val="15"/>
                <w:szCs w:val="15"/>
                <w:color w:val="auto"/>
              </w:rPr>
            </w:pPr>
          </w:p>
        </w:tc>
        <w:tc>
          <w:tcPr>
            <w:tcW w:w="340" w:type="dxa"/>
            <w:vAlign w:val="bottom"/>
            <w:tcBorders>
              <w:bottom w:val="single" w:sz="8" w:color="EDEDED"/>
            </w:tcBorders>
            <w:shd w:val="clear" w:color="auto" w:fill="EDEDED"/>
          </w:tcPr>
          <w:p>
            <w:pPr>
              <w:spacing w:after="0"/>
              <w:rPr>
                <w:sz w:val="15"/>
                <w:szCs w:val="15"/>
                <w:color w:val="auto"/>
              </w:rPr>
            </w:pPr>
          </w:p>
        </w:tc>
        <w:tc>
          <w:tcPr>
            <w:tcW w:w="860" w:type="dxa"/>
            <w:vAlign w:val="bottom"/>
            <w:tcBorders>
              <w:right w:val="single" w:sz="8" w:color="EDEDED"/>
            </w:tcBorders>
          </w:tcPr>
          <w:p>
            <w:pPr>
              <w:spacing w:after="0"/>
              <w:rPr>
                <w:sz w:val="15"/>
                <w:szCs w:val="15"/>
                <w:color w:val="auto"/>
              </w:rPr>
            </w:pPr>
          </w:p>
        </w:tc>
        <w:tc>
          <w:tcPr>
            <w:tcW w:w="820" w:type="dxa"/>
            <w:vAlign w:val="bottom"/>
            <w:tcBorders>
              <w:bottom w:val="single" w:sz="8" w:color="EDEDED"/>
            </w:tcBorders>
            <w:shd w:val="clear" w:color="auto" w:fill="EDEDED"/>
          </w:tcPr>
          <w:p>
            <w:pPr>
              <w:spacing w:after="0"/>
              <w:rPr>
                <w:sz w:val="15"/>
                <w:szCs w:val="15"/>
                <w:color w:val="auto"/>
              </w:rPr>
            </w:pPr>
          </w:p>
        </w:tc>
        <w:tc>
          <w:tcPr>
            <w:tcW w:w="1300" w:type="dxa"/>
            <w:vAlign w:val="bottom"/>
            <w:tcBorders>
              <w:right w:val="single" w:sz="8" w:color="EDEDED"/>
            </w:tcBorders>
          </w:tcPr>
          <w:p>
            <w:pPr>
              <w:spacing w:after="0"/>
              <w:rPr>
                <w:sz w:val="15"/>
                <w:szCs w:val="15"/>
                <w:color w:val="auto"/>
              </w:rPr>
            </w:pPr>
          </w:p>
        </w:tc>
        <w:tc>
          <w:tcPr>
            <w:tcW w:w="980" w:type="dxa"/>
            <w:vAlign w:val="bottom"/>
            <w:tcBorders>
              <w:bottom w:val="single" w:sz="8" w:color="EDEDED"/>
            </w:tcBorders>
            <w:vMerge w:val="continue"/>
            <w:shd w:val="clear" w:color="auto" w:fill="EDEDED"/>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500" w:type="dxa"/>
            <w:vAlign w:val="bottom"/>
          </w:tcPr>
          <w:p>
            <w:pPr>
              <w:spacing w:after="0"/>
              <w:rPr>
                <w:sz w:val="24"/>
                <w:szCs w:val="24"/>
                <w:color w:val="auto"/>
              </w:rPr>
            </w:pPr>
          </w:p>
        </w:tc>
        <w:tc>
          <w:tcPr>
            <w:tcW w:w="100" w:type="dxa"/>
            <w:vAlign w:val="bottom"/>
            <w:tcBorders>
              <w:top w:val="single" w:sz="8" w:color="8FAAD7"/>
            </w:tcBorders>
          </w:tcPr>
          <w:p>
            <w:pPr>
              <w:spacing w:after="0"/>
              <w:rPr>
                <w:sz w:val="24"/>
                <w:szCs w:val="24"/>
                <w:color w:val="auto"/>
              </w:rPr>
            </w:pPr>
          </w:p>
        </w:tc>
        <w:tc>
          <w:tcPr>
            <w:tcW w:w="2060" w:type="dxa"/>
            <w:vAlign w:val="bottom"/>
            <w:tcBorders>
              <w:top w:val="single" w:sz="8" w:color="8FAAD7"/>
              <w:right w:val="single" w:sz="8" w:color="EDEDED"/>
            </w:tcBorders>
          </w:tcPr>
          <w:p>
            <w:pPr>
              <w:ind w:left="60"/>
              <w:spacing w:after="0"/>
              <w:rPr>
                <w:sz w:val="20"/>
                <w:szCs w:val="20"/>
                <w:color w:val="auto"/>
              </w:rPr>
            </w:pPr>
            <w:r>
              <w:rPr>
                <w:rFonts w:ascii="Arial" w:cs="Arial" w:eastAsia="Arial" w:hAnsi="Arial"/>
                <w:sz w:val="18"/>
                <w:szCs w:val="18"/>
                <w:color w:val="auto"/>
              </w:rPr>
              <w:t>Wendy M. Pfeiffer</w:t>
            </w:r>
          </w:p>
        </w:tc>
        <w:tc>
          <w:tcPr>
            <w:tcW w:w="920" w:type="dxa"/>
            <w:vAlign w:val="bottom"/>
            <w:tcBorders>
              <w:top w:val="single" w:sz="8" w:color="8FAAD7"/>
            </w:tcBorders>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2019</w:t>
            </w:r>
          </w:p>
        </w:tc>
        <w:tc>
          <w:tcPr>
            <w:tcW w:w="340" w:type="dxa"/>
            <w:vAlign w:val="bottom"/>
            <w:tcBorders>
              <w:top w:val="single" w:sz="8" w:color="8FAAD7"/>
            </w:tcBorders>
            <w:shd w:val="clear" w:color="auto" w:fill="EDEDED"/>
          </w:tcPr>
          <w:p>
            <w:pPr>
              <w:jc w:val="center"/>
              <w:spacing w:after="0"/>
              <w:rPr>
                <w:sz w:val="20"/>
                <w:szCs w:val="20"/>
                <w:color w:val="auto"/>
              </w:rPr>
            </w:pPr>
            <w:r>
              <w:rPr>
                <w:rFonts w:ascii="Arial" w:cs="Arial" w:eastAsia="Arial" w:hAnsi="Arial"/>
                <w:sz w:val="18"/>
                <w:szCs w:val="18"/>
                <w:color w:val="auto"/>
                <w:w w:val="99"/>
              </w:rPr>
              <w:t>60</w:t>
            </w:r>
          </w:p>
        </w:tc>
        <w:tc>
          <w:tcPr>
            <w:tcW w:w="86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Borders>
              <w:top w:val="single" w:sz="8" w:color="8FAAD7"/>
            </w:tcBorders>
            <w:vMerge w:val="restart"/>
            <w:shd w:val="clear" w:color="auto" w:fill="EDEDED"/>
          </w:tcPr>
          <w:p>
            <w:pPr>
              <w:ind w:left="100"/>
              <w:spacing w:after="0"/>
              <w:rPr>
                <w:sz w:val="20"/>
                <w:szCs w:val="20"/>
                <w:color w:val="auto"/>
              </w:rPr>
            </w:pPr>
            <w:r>
              <w:rPr>
                <w:rFonts w:ascii="Arial" w:cs="Arial" w:eastAsia="Arial" w:hAnsi="Arial"/>
                <w:sz w:val="18"/>
                <w:szCs w:val="18"/>
                <w:color w:val="auto"/>
              </w:rPr>
              <w:t> </w:t>
            </w:r>
          </w:p>
        </w:tc>
        <w:tc>
          <w:tcPr>
            <w:tcW w:w="1300" w:type="dxa"/>
            <w:vAlign w:val="bottom"/>
            <w:tcBorders>
              <w:top w:val="single" w:sz="8" w:color="8FAAD7"/>
              <w:right w:val="single" w:sz="8" w:color="EDEDED"/>
            </w:tcBorders>
          </w:tcPr>
          <w:p>
            <w:pPr>
              <w:spacing w:after="0"/>
              <w:rPr>
                <w:sz w:val="24"/>
                <w:szCs w:val="24"/>
                <w:color w:val="auto"/>
              </w:rPr>
            </w:pPr>
          </w:p>
        </w:tc>
        <w:tc>
          <w:tcPr>
            <w:tcW w:w="980" w:type="dxa"/>
            <w:vAlign w:val="bottom"/>
            <w:tcBorders>
              <w:top w:val="single" w:sz="8" w:color="8FAAD7"/>
            </w:tcBorders>
            <w:vMerge w:val="restart"/>
            <w:shd w:val="clear" w:color="auto" w:fill="EDEDED"/>
          </w:tcPr>
          <w:p>
            <w:pPr>
              <w:ind w:left="180"/>
              <w:spacing w:after="0"/>
              <w:rPr>
                <w:sz w:val="20"/>
                <w:szCs w:val="20"/>
                <w:color w:val="auto"/>
              </w:rPr>
            </w:pPr>
            <w:r>
              <w:rPr>
                <w:rFonts w:ascii="Arial" w:cs="Arial" w:eastAsia="Arial" w:hAnsi="Arial"/>
                <w:sz w:val="18"/>
                <w:szCs w:val="18"/>
                <w:color w:val="auto"/>
              </w:rPr>
              <w:t> </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right w:val="single" w:sz="8" w:color="EDEDED"/>
            </w:tcBorders>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700" w:type="dxa"/>
            <w:vAlign w:val="bottom"/>
            <w:tcBorders>
              <w:right w:val="single" w:sz="8" w:color="EDEDED"/>
            </w:tcBorders>
          </w:tcPr>
          <w:p>
            <w:pPr>
              <w:spacing w:after="0"/>
              <w:rPr>
                <w:sz w:val="19"/>
                <w:szCs w:val="19"/>
                <w:color w:val="auto"/>
              </w:rPr>
            </w:pPr>
          </w:p>
        </w:tc>
        <w:tc>
          <w:tcPr>
            <w:tcW w:w="34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right w:val="single" w:sz="8" w:color="EDEDED"/>
            </w:tcBorders>
          </w:tcPr>
          <w:p>
            <w:pPr>
              <w:spacing w:after="0"/>
              <w:rPr>
                <w:sz w:val="19"/>
                <w:szCs w:val="19"/>
                <w:color w:val="auto"/>
              </w:rPr>
            </w:pPr>
          </w:p>
        </w:tc>
        <w:tc>
          <w:tcPr>
            <w:tcW w:w="820" w:type="dxa"/>
            <w:vAlign w:val="bottom"/>
            <w:tcBorders>
              <w:bottom w:val="single" w:sz="8" w:color="EDEDED"/>
            </w:tcBorders>
            <w:vMerge w:val="continue"/>
            <w:shd w:val="clear" w:color="auto" w:fill="EDEDED"/>
          </w:tcPr>
          <w:p>
            <w:pPr>
              <w:spacing w:after="0"/>
              <w:rPr>
                <w:sz w:val="19"/>
                <w:szCs w:val="19"/>
                <w:color w:val="auto"/>
              </w:rPr>
            </w:pPr>
          </w:p>
        </w:tc>
        <w:tc>
          <w:tcPr>
            <w:tcW w:w="1300" w:type="dxa"/>
            <w:vAlign w:val="bottom"/>
            <w:tcBorders>
              <w:right w:val="single" w:sz="8" w:color="EDEDED"/>
            </w:tcBorders>
          </w:tcPr>
          <w:p>
            <w:pPr>
              <w:spacing w:after="0"/>
              <w:rPr>
                <w:sz w:val="19"/>
                <w:szCs w:val="19"/>
                <w:color w:val="auto"/>
              </w:rPr>
            </w:pPr>
          </w:p>
        </w:tc>
        <w:tc>
          <w:tcPr>
            <w:tcW w:w="980" w:type="dxa"/>
            <w:vAlign w:val="bottom"/>
            <w:tcBorders>
              <w:bottom w:val="single" w:sz="8" w:color="EDEDED"/>
            </w:tcBorders>
            <w:vMerge w:val="continue"/>
            <w:shd w:val="clear" w:color="auto" w:fill="EDEDED"/>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1500" w:type="dxa"/>
            <w:vAlign w:val="bottom"/>
          </w:tcPr>
          <w:p>
            <w:pPr>
              <w:spacing w:after="0"/>
              <w:rPr>
                <w:sz w:val="24"/>
                <w:szCs w:val="24"/>
                <w:color w:val="auto"/>
              </w:rPr>
            </w:pPr>
          </w:p>
        </w:tc>
        <w:tc>
          <w:tcPr>
            <w:tcW w:w="100" w:type="dxa"/>
            <w:vAlign w:val="bottom"/>
            <w:tcBorders>
              <w:top w:val="single" w:sz="8" w:color="8FAAD7"/>
            </w:tcBorders>
          </w:tcPr>
          <w:p>
            <w:pPr>
              <w:spacing w:after="0"/>
              <w:rPr>
                <w:sz w:val="24"/>
                <w:szCs w:val="24"/>
                <w:color w:val="auto"/>
              </w:rPr>
            </w:pPr>
          </w:p>
        </w:tc>
        <w:tc>
          <w:tcPr>
            <w:tcW w:w="2060" w:type="dxa"/>
            <w:vAlign w:val="bottom"/>
            <w:tcBorders>
              <w:top w:val="single" w:sz="8" w:color="8FAAD7"/>
              <w:right w:val="single" w:sz="8" w:color="EDEDED"/>
            </w:tcBorders>
          </w:tcPr>
          <w:p>
            <w:pPr>
              <w:ind w:left="60"/>
              <w:spacing w:after="0"/>
              <w:rPr>
                <w:sz w:val="20"/>
                <w:szCs w:val="20"/>
                <w:color w:val="auto"/>
              </w:rPr>
            </w:pPr>
            <w:r>
              <w:rPr>
                <w:rFonts w:ascii="Arial" w:cs="Arial" w:eastAsia="Arial" w:hAnsi="Arial"/>
                <w:sz w:val="18"/>
                <w:szCs w:val="18"/>
                <w:color w:val="auto"/>
              </w:rPr>
              <w:t>John A. Zangardi</w:t>
            </w:r>
          </w:p>
        </w:tc>
        <w:tc>
          <w:tcPr>
            <w:tcW w:w="920" w:type="dxa"/>
            <w:vAlign w:val="bottom"/>
            <w:tcBorders>
              <w:top w:val="single" w:sz="8" w:color="8FAAD7"/>
            </w:tcBorders>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2020</w:t>
            </w:r>
          </w:p>
        </w:tc>
        <w:tc>
          <w:tcPr>
            <w:tcW w:w="340" w:type="dxa"/>
            <w:vAlign w:val="bottom"/>
            <w:tcBorders>
              <w:top w:val="single" w:sz="8" w:color="8FAAD7"/>
            </w:tcBorders>
            <w:shd w:val="clear" w:color="auto" w:fill="EDEDED"/>
          </w:tcPr>
          <w:p>
            <w:pPr>
              <w:jc w:val="center"/>
              <w:spacing w:after="0"/>
              <w:rPr>
                <w:sz w:val="20"/>
                <w:szCs w:val="20"/>
                <w:color w:val="auto"/>
              </w:rPr>
            </w:pPr>
            <w:r>
              <w:rPr>
                <w:rFonts w:ascii="Arial" w:cs="Arial" w:eastAsia="Arial" w:hAnsi="Arial"/>
                <w:sz w:val="18"/>
                <w:szCs w:val="18"/>
                <w:color w:val="auto"/>
                <w:w w:val="99"/>
              </w:rPr>
              <w:t>65</w:t>
            </w:r>
          </w:p>
        </w:tc>
        <w:tc>
          <w:tcPr>
            <w:tcW w:w="86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Borders>
              <w:top w:val="single" w:sz="8" w:color="8FAAD7"/>
            </w:tcBorders>
            <w:vMerge w:val="restart"/>
            <w:shd w:val="clear" w:color="auto" w:fill="EDEDED"/>
          </w:tcPr>
          <w:p>
            <w:pPr>
              <w:ind w:left="100"/>
              <w:spacing w:after="0"/>
              <w:rPr>
                <w:sz w:val="20"/>
                <w:szCs w:val="20"/>
                <w:color w:val="auto"/>
              </w:rPr>
            </w:pPr>
            <w:r>
              <w:rPr>
                <w:rFonts w:ascii="Arial" w:cs="Arial" w:eastAsia="Arial" w:hAnsi="Arial"/>
                <w:sz w:val="18"/>
                <w:szCs w:val="18"/>
                <w:color w:val="auto"/>
              </w:rPr>
              <w:t> </w:t>
            </w:r>
          </w:p>
        </w:tc>
        <w:tc>
          <w:tcPr>
            <w:tcW w:w="130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CHAIR</w:t>
            </w:r>
          </w:p>
        </w:tc>
        <w:tc>
          <w:tcPr>
            <w:tcW w:w="980" w:type="dxa"/>
            <w:vAlign w:val="bottom"/>
            <w:tcBorders>
              <w:top w:val="single" w:sz="8" w:color="8FAAD7"/>
            </w:tcBorders>
            <w:shd w:val="clear" w:color="auto" w:fill="EDEDED"/>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right w:val="single" w:sz="8" w:color="EDEDED"/>
            </w:tcBorders>
          </w:tcPr>
          <w:p>
            <w:pPr>
              <w:spacing w:after="0"/>
              <w:rPr>
                <w:sz w:val="17"/>
                <w:szCs w:val="17"/>
                <w:color w:val="auto"/>
              </w:rPr>
            </w:pPr>
          </w:p>
        </w:tc>
        <w:tc>
          <w:tcPr>
            <w:tcW w:w="920" w:type="dxa"/>
            <w:vAlign w:val="bottom"/>
            <w:tcBorders>
              <w:bottom w:val="single" w:sz="8" w:color="EDEDED"/>
            </w:tcBorders>
            <w:shd w:val="clear" w:color="auto" w:fill="EDEDED"/>
          </w:tcPr>
          <w:p>
            <w:pPr>
              <w:spacing w:after="0"/>
              <w:rPr>
                <w:sz w:val="17"/>
                <w:szCs w:val="17"/>
                <w:color w:val="auto"/>
              </w:rPr>
            </w:pPr>
          </w:p>
        </w:tc>
        <w:tc>
          <w:tcPr>
            <w:tcW w:w="700" w:type="dxa"/>
            <w:vAlign w:val="bottom"/>
            <w:tcBorders>
              <w:right w:val="single" w:sz="8" w:color="EDEDED"/>
            </w:tcBorders>
          </w:tcPr>
          <w:p>
            <w:pPr>
              <w:spacing w:after="0"/>
              <w:rPr>
                <w:sz w:val="17"/>
                <w:szCs w:val="17"/>
                <w:color w:val="auto"/>
              </w:rPr>
            </w:pPr>
          </w:p>
        </w:tc>
        <w:tc>
          <w:tcPr>
            <w:tcW w:w="340" w:type="dxa"/>
            <w:vAlign w:val="bottom"/>
            <w:tcBorders>
              <w:bottom w:val="single" w:sz="8" w:color="EDEDED"/>
            </w:tcBorders>
            <w:shd w:val="clear" w:color="auto" w:fill="EDEDED"/>
          </w:tcPr>
          <w:p>
            <w:pPr>
              <w:spacing w:after="0"/>
              <w:rPr>
                <w:sz w:val="17"/>
                <w:szCs w:val="17"/>
                <w:color w:val="auto"/>
              </w:rPr>
            </w:pPr>
          </w:p>
        </w:tc>
        <w:tc>
          <w:tcPr>
            <w:tcW w:w="860" w:type="dxa"/>
            <w:vAlign w:val="bottom"/>
            <w:tcBorders>
              <w:right w:val="single" w:sz="8" w:color="EDEDED"/>
            </w:tcBorders>
          </w:tcPr>
          <w:p>
            <w:pPr>
              <w:spacing w:after="0"/>
              <w:rPr>
                <w:sz w:val="17"/>
                <w:szCs w:val="17"/>
                <w:color w:val="auto"/>
              </w:rPr>
            </w:pPr>
          </w:p>
        </w:tc>
        <w:tc>
          <w:tcPr>
            <w:tcW w:w="820" w:type="dxa"/>
            <w:vAlign w:val="bottom"/>
            <w:tcBorders>
              <w:bottom w:val="single" w:sz="8" w:color="EDEDED"/>
            </w:tcBorders>
            <w:vMerge w:val="continue"/>
            <w:shd w:val="clear" w:color="auto" w:fill="EDEDED"/>
          </w:tcPr>
          <w:p>
            <w:pPr>
              <w:spacing w:after="0"/>
              <w:rPr>
                <w:sz w:val="17"/>
                <w:szCs w:val="17"/>
                <w:color w:val="auto"/>
              </w:rPr>
            </w:pPr>
          </w:p>
        </w:tc>
        <w:tc>
          <w:tcPr>
            <w:tcW w:w="1300" w:type="dxa"/>
            <w:vAlign w:val="bottom"/>
            <w:tcBorders>
              <w:right w:val="single" w:sz="8" w:color="EDEDED"/>
            </w:tcBorders>
          </w:tcPr>
          <w:p>
            <w:pPr>
              <w:spacing w:after="0"/>
              <w:rPr>
                <w:sz w:val="17"/>
                <w:szCs w:val="17"/>
                <w:color w:val="auto"/>
              </w:rPr>
            </w:pPr>
          </w:p>
        </w:tc>
        <w:tc>
          <w:tcPr>
            <w:tcW w:w="980" w:type="dxa"/>
            <w:vAlign w:val="bottom"/>
            <w:tcBorders>
              <w:bottom w:val="single" w:sz="8" w:color="EDEDED"/>
            </w:tcBorders>
            <w:shd w:val="clear" w:color="auto" w:fill="EDEDED"/>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500" w:type="dxa"/>
            <w:vAlign w:val="bottom"/>
          </w:tcPr>
          <w:p>
            <w:pPr>
              <w:spacing w:after="0"/>
              <w:rPr>
                <w:sz w:val="24"/>
                <w:szCs w:val="24"/>
                <w:color w:val="auto"/>
              </w:rPr>
            </w:pPr>
          </w:p>
        </w:tc>
        <w:tc>
          <w:tcPr>
            <w:tcW w:w="100" w:type="dxa"/>
            <w:vAlign w:val="bottom"/>
            <w:tcBorders>
              <w:top w:val="single" w:sz="8" w:color="8FAAD7"/>
            </w:tcBorders>
          </w:tcPr>
          <w:p>
            <w:pPr>
              <w:spacing w:after="0"/>
              <w:rPr>
                <w:sz w:val="24"/>
                <w:szCs w:val="24"/>
                <w:color w:val="auto"/>
              </w:rPr>
            </w:pPr>
          </w:p>
        </w:tc>
        <w:tc>
          <w:tcPr>
            <w:tcW w:w="2060" w:type="dxa"/>
            <w:vAlign w:val="bottom"/>
            <w:tcBorders>
              <w:top w:val="single" w:sz="8" w:color="8FAAD7"/>
              <w:right w:val="single" w:sz="8" w:color="EDEDED"/>
            </w:tcBorders>
          </w:tcPr>
          <w:p>
            <w:pPr>
              <w:ind w:left="60"/>
              <w:spacing w:after="0"/>
              <w:rPr>
                <w:sz w:val="20"/>
                <w:szCs w:val="20"/>
                <w:color w:val="auto"/>
              </w:rPr>
            </w:pPr>
            <w:r>
              <w:rPr>
                <w:rFonts w:ascii="Arial" w:cs="Arial" w:eastAsia="Arial" w:hAnsi="Arial"/>
                <w:sz w:val="18"/>
                <w:szCs w:val="18"/>
                <w:b w:val="1"/>
                <w:bCs w:val="1"/>
                <w:color w:val="auto"/>
              </w:rPr>
              <w:t>Continuing Directors</w:t>
            </w:r>
          </w:p>
        </w:tc>
        <w:tc>
          <w:tcPr>
            <w:tcW w:w="920" w:type="dxa"/>
            <w:vAlign w:val="bottom"/>
            <w:tcBorders>
              <w:top w:val="single" w:sz="8" w:color="8FAAD7"/>
              <w:bottom w:val="single" w:sz="8" w:color="EDEDED"/>
            </w:tcBorders>
            <w:shd w:val="clear" w:color="auto" w:fill="EDEDED"/>
          </w:tcPr>
          <w:p>
            <w:pPr>
              <w:spacing w:after="0"/>
              <w:rPr>
                <w:sz w:val="24"/>
                <w:szCs w:val="24"/>
                <w:color w:val="auto"/>
              </w:rPr>
            </w:pPr>
          </w:p>
        </w:tc>
        <w:tc>
          <w:tcPr>
            <w:tcW w:w="700" w:type="dxa"/>
            <w:vAlign w:val="bottom"/>
            <w:tcBorders>
              <w:top w:val="single" w:sz="8" w:color="8FAAD7"/>
              <w:right w:val="single" w:sz="8" w:color="EDEDED"/>
            </w:tcBorders>
          </w:tcPr>
          <w:p>
            <w:pPr>
              <w:spacing w:after="0"/>
              <w:rPr>
                <w:sz w:val="24"/>
                <w:szCs w:val="24"/>
                <w:color w:val="auto"/>
              </w:rPr>
            </w:pPr>
          </w:p>
        </w:tc>
        <w:tc>
          <w:tcPr>
            <w:tcW w:w="340" w:type="dxa"/>
            <w:vAlign w:val="bottom"/>
            <w:tcBorders>
              <w:top w:val="single" w:sz="8" w:color="8FAAD7"/>
              <w:bottom w:val="single" w:sz="8" w:color="EDEDED"/>
            </w:tcBorders>
            <w:shd w:val="clear" w:color="auto" w:fill="EDEDED"/>
          </w:tcPr>
          <w:p>
            <w:pPr>
              <w:spacing w:after="0"/>
              <w:rPr>
                <w:sz w:val="24"/>
                <w:szCs w:val="24"/>
                <w:color w:val="auto"/>
              </w:rPr>
            </w:pPr>
          </w:p>
        </w:tc>
        <w:tc>
          <w:tcPr>
            <w:tcW w:w="860" w:type="dxa"/>
            <w:vAlign w:val="bottom"/>
            <w:tcBorders>
              <w:top w:val="single" w:sz="8" w:color="8FAAD7"/>
              <w:right w:val="single" w:sz="8" w:color="EDEDED"/>
            </w:tcBorders>
          </w:tcPr>
          <w:p>
            <w:pPr>
              <w:spacing w:after="0"/>
              <w:rPr>
                <w:sz w:val="24"/>
                <w:szCs w:val="24"/>
                <w:color w:val="auto"/>
              </w:rPr>
            </w:pPr>
          </w:p>
        </w:tc>
        <w:tc>
          <w:tcPr>
            <w:tcW w:w="820" w:type="dxa"/>
            <w:vAlign w:val="bottom"/>
            <w:tcBorders>
              <w:top w:val="single" w:sz="8" w:color="8FAAD7"/>
              <w:bottom w:val="single" w:sz="8" w:color="EDEDED"/>
            </w:tcBorders>
            <w:shd w:val="clear" w:color="auto" w:fill="EDEDED"/>
          </w:tcPr>
          <w:p>
            <w:pPr>
              <w:spacing w:after="0"/>
              <w:rPr>
                <w:sz w:val="24"/>
                <w:szCs w:val="24"/>
                <w:color w:val="auto"/>
              </w:rPr>
            </w:pPr>
          </w:p>
        </w:tc>
        <w:tc>
          <w:tcPr>
            <w:tcW w:w="1300" w:type="dxa"/>
            <w:vAlign w:val="bottom"/>
            <w:tcBorders>
              <w:top w:val="single" w:sz="8" w:color="8FAAD7"/>
              <w:right w:val="single" w:sz="8" w:color="EDEDED"/>
            </w:tcBorders>
          </w:tcPr>
          <w:p>
            <w:pPr>
              <w:spacing w:after="0"/>
              <w:rPr>
                <w:sz w:val="24"/>
                <w:szCs w:val="24"/>
                <w:color w:val="auto"/>
              </w:rPr>
            </w:pPr>
          </w:p>
        </w:tc>
        <w:tc>
          <w:tcPr>
            <w:tcW w:w="980" w:type="dxa"/>
            <w:vAlign w:val="bottom"/>
            <w:tcBorders>
              <w:top w:val="single" w:sz="8" w:color="8FAAD7"/>
              <w:bottom w:val="single" w:sz="8" w:color="EDEDED"/>
            </w:tcBorders>
            <w:shd w:val="clear" w:color="auto" w:fill="EDEDED"/>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right w:val="single" w:sz="8" w:color="EDEDED"/>
            </w:tcBorders>
          </w:tcPr>
          <w:p>
            <w:pPr>
              <w:ind w:left="60"/>
              <w:spacing w:after="0"/>
              <w:rPr>
                <w:sz w:val="20"/>
                <w:szCs w:val="20"/>
                <w:color w:val="auto"/>
              </w:rPr>
            </w:pPr>
            <w:r>
              <w:rPr>
                <w:rFonts w:ascii="Arial" w:cs="Arial" w:eastAsia="Arial" w:hAnsi="Arial"/>
                <w:sz w:val="18"/>
                <w:szCs w:val="18"/>
                <w:color w:val="auto"/>
              </w:rPr>
              <w:t>Jeffrey P. Hank</w:t>
            </w:r>
          </w:p>
        </w:tc>
        <w:tc>
          <w:tcPr>
            <w:tcW w:w="920" w:type="dxa"/>
            <w:vAlign w:val="bottom"/>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2010</w:t>
            </w:r>
          </w:p>
        </w:tc>
        <w:tc>
          <w:tcPr>
            <w:tcW w:w="34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66</w:t>
            </w:r>
          </w:p>
        </w:tc>
        <w:tc>
          <w:tcPr>
            <w:tcW w:w="86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EDEDED"/>
          </w:tcPr>
          <w:p>
            <w:pPr>
              <w:spacing w:after="0"/>
              <w:rPr>
                <w:sz w:val="19"/>
                <w:szCs w:val="19"/>
                <w:color w:val="auto"/>
              </w:rPr>
            </w:pPr>
          </w:p>
        </w:tc>
        <w:tc>
          <w:tcPr>
            <w:tcW w:w="1300" w:type="dxa"/>
            <w:vAlign w:val="bottom"/>
            <w:tcBorders>
              <w:right w:val="single" w:sz="8" w:color="EDEDED"/>
            </w:tcBorders>
          </w:tcPr>
          <w:p>
            <w:pPr>
              <w:spacing w:after="0"/>
              <w:rPr>
                <w:sz w:val="19"/>
                <w:szCs w:val="19"/>
                <w:color w:val="auto"/>
              </w:rPr>
            </w:pPr>
          </w:p>
        </w:tc>
        <w:tc>
          <w:tcPr>
            <w:tcW w:w="980" w:type="dxa"/>
            <w:vAlign w:val="bottom"/>
            <w:shd w:val="clear" w:color="auto" w:fill="EDEDED"/>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00" w:type="dxa"/>
            <w:vAlign w:val="bottom"/>
            <w:tcBorders>
              <w:bottom w:val="single" w:sz="8" w:color="8FAAD7"/>
            </w:tcBorders>
          </w:tcPr>
          <w:p>
            <w:pPr>
              <w:spacing w:after="0"/>
              <w:rPr>
                <w:sz w:val="21"/>
                <w:szCs w:val="21"/>
                <w:color w:val="auto"/>
              </w:rPr>
            </w:pPr>
          </w:p>
        </w:tc>
        <w:tc>
          <w:tcPr>
            <w:tcW w:w="2060" w:type="dxa"/>
            <w:vAlign w:val="bottom"/>
            <w:tcBorders>
              <w:bottom w:val="single" w:sz="8" w:color="8FAAD7"/>
              <w:right w:val="single" w:sz="8" w:color="EDEDED"/>
            </w:tcBorders>
          </w:tcPr>
          <w:p>
            <w:pPr>
              <w:ind w:left="240"/>
              <w:spacing w:after="0"/>
              <w:rPr>
                <w:sz w:val="20"/>
                <w:szCs w:val="20"/>
                <w:color w:val="auto"/>
              </w:rPr>
            </w:pPr>
            <w:r>
              <w:rPr>
                <w:rFonts w:ascii="Arial" w:cs="Arial" w:eastAsia="Arial" w:hAnsi="Arial"/>
                <w:sz w:val="18"/>
                <w:szCs w:val="18"/>
                <w:i w:val="1"/>
                <w:iCs w:val="1"/>
                <w:color w:val="auto"/>
              </w:rPr>
              <w:t>Chair of the Board</w:t>
            </w:r>
          </w:p>
        </w:tc>
        <w:tc>
          <w:tcPr>
            <w:tcW w:w="920" w:type="dxa"/>
            <w:vAlign w:val="bottom"/>
            <w:tcBorders>
              <w:bottom w:val="single" w:sz="8" w:color="8FAAD7"/>
            </w:tcBorders>
            <w:shd w:val="clear" w:color="auto" w:fill="EDEDED"/>
          </w:tcPr>
          <w:p>
            <w:pPr>
              <w:spacing w:after="0"/>
              <w:rPr>
                <w:sz w:val="21"/>
                <w:szCs w:val="21"/>
                <w:color w:val="auto"/>
              </w:rPr>
            </w:pPr>
          </w:p>
        </w:tc>
        <w:tc>
          <w:tcPr>
            <w:tcW w:w="700" w:type="dxa"/>
            <w:vAlign w:val="bottom"/>
            <w:tcBorders>
              <w:bottom w:val="single" w:sz="8" w:color="8FAAD7"/>
              <w:right w:val="single" w:sz="8" w:color="EDEDED"/>
            </w:tcBorders>
          </w:tcPr>
          <w:p>
            <w:pPr>
              <w:spacing w:after="0"/>
              <w:rPr>
                <w:sz w:val="21"/>
                <w:szCs w:val="21"/>
                <w:color w:val="auto"/>
              </w:rPr>
            </w:pPr>
          </w:p>
        </w:tc>
        <w:tc>
          <w:tcPr>
            <w:tcW w:w="340" w:type="dxa"/>
            <w:vAlign w:val="bottom"/>
            <w:tcBorders>
              <w:bottom w:val="single" w:sz="8" w:color="8FAAD7"/>
            </w:tcBorders>
            <w:shd w:val="clear" w:color="auto" w:fill="EDEDED"/>
          </w:tcPr>
          <w:p>
            <w:pPr>
              <w:spacing w:after="0"/>
              <w:rPr>
                <w:sz w:val="21"/>
                <w:szCs w:val="21"/>
                <w:color w:val="auto"/>
              </w:rPr>
            </w:pPr>
          </w:p>
        </w:tc>
        <w:tc>
          <w:tcPr>
            <w:tcW w:w="860" w:type="dxa"/>
            <w:vAlign w:val="bottom"/>
            <w:tcBorders>
              <w:bottom w:val="single" w:sz="8" w:color="8FAAD7"/>
              <w:right w:val="single" w:sz="8" w:color="EDEDED"/>
            </w:tcBorders>
          </w:tcPr>
          <w:p>
            <w:pPr>
              <w:spacing w:after="0"/>
              <w:rPr>
                <w:sz w:val="21"/>
                <w:szCs w:val="21"/>
                <w:color w:val="auto"/>
              </w:rPr>
            </w:pPr>
          </w:p>
        </w:tc>
        <w:tc>
          <w:tcPr>
            <w:tcW w:w="820" w:type="dxa"/>
            <w:vAlign w:val="bottom"/>
            <w:tcBorders>
              <w:bottom w:val="single" w:sz="8" w:color="8FAAD7"/>
            </w:tcBorders>
            <w:shd w:val="clear" w:color="auto" w:fill="EDEDED"/>
          </w:tcPr>
          <w:p>
            <w:pPr>
              <w:spacing w:after="0"/>
              <w:rPr>
                <w:sz w:val="21"/>
                <w:szCs w:val="21"/>
                <w:color w:val="auto"/>
              </w:rPr>
            </w:pPr>
          </w:p>
        </w:tc>
        <w:tc>
          <w:tcPr>
            <w:tcW w:w="1300" w:type="dxa"/>
            <w:vAlign w:val="bottom"/>
            <w:tcBorders>
              <w:bottom w:val="single" w:sz="8" w:color="8FAAD7"/>
              <w:right w:val="single" w:sz="8" w:color="EDEDED"/>
            </w:tcBorders>
          </w:tcPr>
          <w:p>
            <w:pPr>
              <w:spacing w:after="0"/>
              <w:rPr>
                <w:sz w:val="21"/>
                <w:szCs w:val="21"/>
                <w:color w:val="auto"/>
              </w:rPr>
            </w:pPr>
          </w:p>
        </w:tc>
        <w:tc>
          <w:tcPr>
            <w:tcW w:w="980" w:type="dxa"/>
            <w:vAlign w:val="bottom"/>
            <w:tcBorders>
              <w:bottom w:val="single" w:sz="8" w:color="8FAAD7"/>
            </w:tcBorders>
            <w:shd w:val="clear" w:color="auto" w:fill="EDEDED"/>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right w:val="single" w:sz="8" w:color="EDEDED"/>
            </w:tcBorders>
          </w:tcPr>
          <w:p>
            <w:pPr>
              <w:ind w:left="60"/>
              <w:spacing w:after="0"/>
              <w:rPr>
                <w:sz w:val="20"/>
                <w:szCs w:val="20"/>
                <w:color w:val="auto"/>
              </w:rPr>
            </w:pPr>
            <w:r>
              <w:rPr>
                <w:rFonts w:ascii="Arial" w:cs="Arial" w:eastAsia="Arial" w:hAnsi="Arial"/>
                <w:sz w:val="18"/>
                <w:szCs w:val="18"/>
                <w:color w:val="auto"/>
              </w:rPr>
              <w:t>Thomas P. Berquist</w:t>
            </w:r>
          </w:p>
        </w:tc>
        <w:tc>
          <w:tcPr>
            <w:tcW w:w="920" w:type="dxa"/>
            <w:vAlign w:val="bottom"/>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2023</w:t>
            </w:r>
          </w:p>
        </w:tc>
        <w:tc>
          <w:tcPr>
            <w:tcW w:w="34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61</w:t>
            </w:r>
          </w:p>
        </w:tc>
        <w:tc>
          <w:tcPr>
            <w:tcW w:w="860" w:type="dxa"/>
            <w:vAlign w:val="bottom"/>
            <w:tcBorders>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EDEDED"/>
          </w:tcPr>
          <w:p>
            <w:pPr>
              <w:ind w:left="100"/>
              <w:spacing w:after="0"/>
              <w:rPr>
                <w:sz w:val="20"/>
                <w:szCs w:val="20"/>
                <w:color w:val="auto"/>
              </w:rPr>
            </w:pPr>
            <w:r>
              <w:rPr>
                <w:rFonts w:ascii="Arial" w:cs="Arial" w:eastAsia="Arial" w:hAnsi="Arial"/>
                <w:sz w:val="18"/>
                <w:szCs w:val="18"/>
                <w:color w:val="auto"/>
              </w:rPr>
              <w:t>CHAIR</w:t>
            </w:r>
          </w:p>
        </w:tc>
        <w:tc>
          <w:tcPr>
            <w:tcW w:w="1300" w:type="dxa"/>
            <w:vAlign w:val="bottom"/>
            <w:tcBorders>
              <w:right w:val="single" w:sz="8" w:color="EDEDED"/>
            </w:tcBorders>
            <w:vMerge w:val="restart"/>
          </w:tcPr>
          <w:p>
            <w:pPr>
              <w:ind w:left="3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EDEDED"/>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right w:val="single" w:sz="8" w:color="EDEDED"/>
            </w:tcBorders>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700" w:type="dxa"/>
            <w:vAlign w:val="bottom"/>
            <w:tcBorders>
              <w:right w:val="single" w:sz="8" w:color="EDEDED"/>
            </w:tcBorders>
          </w:tcPr>
          <w:p>
            <w:pPr>
              <w:spacing w:after="0"/>
              <w:rPr>
                <w:sz w:val="19"/>
                <w:szCs w:val="19"/>
                <w:color w:val="auto"/>
              </w:rPr>
            </w:pPr>
          </w:p>
        </w:tc>
        <w:tc>
          <w:tcPr>
            <w:tcW w:w="34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right w:val="single" w:sz="8" w:color="EDEDED"/>
            </w:tcBorders>
          </w:tcPr>
          <w:p>
            <w:pPr>
              <w:spacing w:after="0"/>
              <w:rPr>
                <w:sz w:val="19"/>
                <w:szCs w:val="19"/>
                <w:color w:val="auto"/>
              </w:rPr>
            </w:pPr>
          </w:p>
        </w:tc>
        <w:tc>
          <w:tcPr>
            <w:tcW w:w="820" w:type="dxa"/>
            <w:vAlign w:val="bottom"/>
            <w:tcBorders>
              <w:bottom w:val="single" w:sz="8" w:color="EDEDED"/>
            </w:tcBorders>
            <w:shd w:val="clear" w:color="auto" w:fill="EDEDED"/>
          </w:tcPr>
          <w:p>
            <w:pPr>
              <w:spacing w:after="0"/>
              <w:rPr>
                <w:sz w:val="19"/>
                <w:szCs w:val="19"/>
                <w:color w:val="auto"/>
              </w:rPr>
            </w:pPr>
          </w:p>
        </w:tc>
        <w:tc>
          <w:tcPr>
            <w:tcW w:w="1300" w:type="dxa"/>
            <w:vAlign w:val="bottom"/>
            <w:tcBorders>
              <w:right w:val="single" w:sz="8" w:color="EDEDED"/>
            </w:tcBorders>
            <w:vMerge w:val="continue"/>
          </w:tcPr>
          <w:p>
            <w:pPr>
              <w:spacing w:after="0"/>
              <w:rPr>
                <w:sz w:val="19"/>
                <w:szCs w:val="19"/>
                <w:color w:val="auto"/>
              </w:rPr>
            </w:pPr>
          </w:p>
        </w:tc>
        <w:tc>
          <w:tcPr>
            <w:tcW w:w="980" w:type="dxa"/>
            <w:vAlign w:val="bottom"/>
            <w:tcBorders>
              <w:bottom w:val="single" w:sz="8" w:color="EDEDED"/>
            </w:tcBorders>
            <w:shd w:val="clear" w:color="auto" w:fill="EDEDED"/>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500" w:type="dxa"/>
            <w:vAlign w:val="bottom"/>
          </w:tcPr>
          <w:p>
            <w:pPr>
              <w:spacing w:after="0"/>
              <w:rPr>
                <w:sz w:val="24"/>
                <w:szCs w:val="24"/>
                <w:color w:val="auto"/>
              </w:rPr>
            </w:pPr>
          </w:p>
        </w:tc>
        <w:tc>
          <w:tcPr>
            <w:tcW w:w="100" w:type="dxa"/>
            <w:vAlign w:val="bottom"/>
            <w:tcBorders>
              <w:top w:val="single" w:sz="8" w:color="8FAAD7"/>
            </w:tcBorders>
          </w:tcPr>
          <w:p>
            <w:pPr>
              <w:spacing w:after="0"/>
              <w:rPr>
                <w:sz w:val="24"/>
                <w:szCs w:val="24"/>
                <w:color w:val="auto"/>
              </w:rPr>
            </w:pPr>
          </w:p>
        </w:tc>
        <w:tc>
          <w:tcPr>
            <w:tcW w:w="2060" w:type="dxa"/>
            <w:vAlign w:val="bottom"/>
            <w:tcBorders>
              <w:top w:val="single" w:sz="8" w:color="8FAAD7"/>
              <w:right w:val="single" w:sz="8" w:color="EDEDED"/>
            </w:tcBorders>
          </w:tcPr>
          <w:p>
            <w:pPr>
              <w:ind w:left="60"/>
              <w:spacing w:after="0"/>
              <w:rPr>
                <w:sz w:val="20"/>
                <w:szCs w:val="20"/>
                <w:color w:val="auto"/>
              </w:rPr>
            </w:pPr>
            <w:r>
              <w:rPr>
                <w:rFonts w:ascii="Arial" w:cs="Arial" w:eastAsia="Arial" w:hAnsi="Arial"/>
                <w:sz w:val="18"/>
                <w:szCs w:val="18"/>
                <w:color w:val="auto"/>
              </w:rPr>
              <w:t>Kristi M. Rogers</w:t>
            </w:r>
          </w:p>
        </w:tc>
        <w:tc>
          <w:tcPr>
            <w:tcW w:w="920" w:type="dxa"/>
            <w:vAlign w:val="bottom"/>
            <w:tcBorders>
              <w:top w:val="single" w:sz="8" w:color="8FAAD7"/>
            </w:tcBorders>
            <w:shd w:val="clear" w:color="auto" w:fill="EDEDED"/>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2013</w:t>
            </w:r>
          </w:p>
        </w:tc>
        <w:tc>
          <w:tcPr>
            <w:tcW w:w="340" w:type="dxa"/>
            <w:vAlign w:val="bottom"/>
            <w:tcBorders>
              <w:top w:val="single" w:sz="8" w:color="8FAAD7"/>
            </w:tcBorders>
            <w:shd w:val="clear" w:color="auto" w:fill="EDEDED"/>
          </w:tcPr>
          <w:p>
            <w:pPr>
              <w:jc w:val="center"/>
              <w:spacing w:after="0"/>
              <w:rPr>
                <w:sz w:val="20"/>
                <w:szCs w:val="20"/>
                <w:color w:val="auto"/>
              </w:rPr>
            </w:pPr>
            <w:r>
              <w:rPr>
                <w:rFonts w:ascii="Arial" w:cs="Arial" w:eastAsia="Arial" w:hAnsi="Arial"/>
                <w:sz w:val="18"/>
                <w:szCs w:val="18"/>
                <w:color w:val="auto"/>
                <w:w w:val="99"/>
              </w:rPr>
              <w:t>56</w:t>
            </w:r>
          </w:p>
        </w:tc>
        <w:tc>
          <w:tcPr>
            <w:tcW w:w="86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Borders>
              <w:top w:val="single" w:sz="8" w:color="8FAAD7"/>
            </w:tcBorders>
            <w:shd w:val="clear" w:color="auto" w:fill="EDEDED"/>
          </w:tcPr>
          <w:p>
            <w:pPr>
              <w:spacing w:after="0"/>
              <w:rPr>
                <w:sz w:val="24"/>
                <w:szCs w:val="24"/>
                <w:color w:val="auto"/>
              </w:rPr>
            </w:pPr>
          </w:p>
        </w:tc>
        <w:tc>
          <w:tcPr>
            <w:tcW w:w="1300" w:type="dxa"/>
            <w:vAlign w:val="bottom"/>
            <w:tcBorders>
              <w:top w:val="single" w:sz="8" w:color="8FAAD7"/>
              <w:right w:val="single" w:sz="8" w:color="EDEDED"/>
            </w:tcBorders>
            <w:vMerge w:val="restart"/>
          </w:tcPr>
          <w:p>
            <w:pPr>
              <w:ind w:left="34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8FAAD7"/>
            </w:tcBorders>
            <w:shd w:val="clear" w:color="auto" w:fill="EDEDED"/>
          </w:tcPr>
          <w:p>
            <w:pPr>
              <w:jc w:val="center"/>
              <w:spacing w:after="0"/>
              <w:rPr>
                <w:sz w:val="20"/>
                <w:szCs w:val="20"/>
                <w:color w:val="auto"/>
              </w:rPr>
            </w:pPr>
            <w:r>
              <w:rPr>
                <w:rFonts w:ascii="Arial" w:cs="Arial" w:eastAsia="Arial" w:hAnsi="Arial"/>
                <w:sz w:val="18"/>
                <w:szCs w:val="18"/>
                <w:color w:val="auto"/>
                <w:w w:val="99"/>
              </w:rPr>
              <w:t>CHAIR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right w:val="single" w:sz="8" w:color="EDEDED"/>
            </w:tcBorders>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700" w:type="dxa"/>
            <w:vAlign w:val="bottom"/>
            <w:tcBorders>
              <w:right w:val="single" w:sz="8" w:color="EDEDED"/>
            </w:tcBorders>
          </w:tcPr>
          <w:p>
            <w:pPr>
              <w:spacing w:after="0"/>
              <w:rPr>
                <w:sz w:val="19"/>
                <w:szCs w:val="19"/>
                <w:color w:val="auto"/>
              </w:rPr>
            </w:pPr>
          </w:p>
        </w:tc>
        <w:tc>
          <w:tcPr>
            <w:tcW w:w="34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right w:val="single" w:sz="8" w:color="EDEDED"/>
            </w:tcBorders>
          </w:tcPr>
          <w:p>
            <w:pPr>
              <w:spacing w:after="0"/>
              <w:rPr>
                <w:sz w:val="19"/>
                <w:szCs w:val="19"/>
                <w:color w:val="auto"/>
              </w:rPr>
            </w:pPr>
          </w:p>
        </w:tc>
        <w:tc>
          <w:tcPr>
            <w:tcW w:w="820" w:type="dxa"/>
            <w:vAlign w:val="bottom"/>
            <w:tcBorders>
              <w:bottom w:val="single" w:sz="8" w:color="EDEDED"/>
            </w:tcBorders>
            <w:shd w:val="clear" w:color="auto" w:fill="EDEDED"/>
          </w:tcPr>
          <w:p>
            <w:pPr>
              <w:spacing w:after="0"/>
              <w:rPr>
                <w:sz w:val="19"/>
                <w:szCs w:val="19"/>
                <w:color w:val="auto"/>
              </w:rPr>
            </w:pPr>
          </w:p>
        </w:tc>
        <w:tc>
          <w:tcPr>
            <w:tcW w:w="1300" w:type="dxa"/>
            <w:vAlign w:val="bottom"/>
            <w:tcBorders>
              <w:right w:val="single" w:sz="8" w:color="EDEDED"/>
            </w:tcBorders>
            <w:vMerge w:val="continue"/>
          </w:tcPr>
          <w:p>
            <w:pPr>
              <w:spacing w:after="0"/>
              <w:rPr>
                <w:sz w:val="19"/>
                <w:szCs w:val="19"/>
                <w:color w:val="auto"/>
              </w:rPr>
            </w:pPr>
          </w:p>
        </w:tc>
        <w:tc>
          <w:tcPr>
            <w:tcW w:w="980" w:type="dxa"/>
            <w:vAlign w:val="bottom"/>
            <w:tcBorders>
              <w:bottom w:val="single" w:sz="8" w:color="EDEDED"/>
            </w:tcBorders>
            <w:shd w:val="clear" w:color="auto" w:fill="EDEDED"/>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00" w:type="dxa"/>
            <w:vAlign w:val="bottom"/>
            <w:tcBorders>
              <w:top w:val="single" w:sz="8" w:color="8FAAD7"/>
            </w:tcBorders>
          </w:tcPr>
          <w:p>
            <w:pPr>
              <w:spacing w:after="0"/>
              <w:rPr>
                <w:sz w:val="21"/>
                <w:szCs w:val="21"/>
                <w:color w:val="auto"/>
              </w:rPr>
            </w:pPr>
          </w:p>
        </w:tc>
        <w:tc>
          <w:tcPr>
            <w:tcW w:w="2060" w:type="dxa"/>
            <w:vAlign w:val="bottom"/>
            <w:tcBorders>
              <w:top w:val="single" w:sz="8" w:color="8FAAD7"/>
              <w:right w:val="single" w:sz="8" w:color="EDEDED"/>
            </w:tcBorders>
          </w:tcPr>
          <w:p>
            <w:pPr>
              <w:ind w:left="60"/>
              <w:spacing w:after="0"/>
              <w:rPr>
                <w:sz w:val="20"/>
                <w:szCs w:val="20"/>
                <w:color w:val="auto"/>
              </w:rPr>
            </w:pPr>
            <w:r>
              <w:rPr>
                <w:rFonts w:ascii="Arial" w:cs="Arial" w:eastAsia="Arial" w:hAnsi="Arial"/>
                <w:sz w:val="18"/>
                <w:szCs w:val="18"/>
                <w:color w:val="auto"/>
              </w:rPr>
              <w:t>Sumedh S. Thakar</w:t>
            </w:r>
          </w:p>
        </w:tc>
        <w:tc>
          <w:tcPr>
            <w:tcW w:w="920" w:type="dxa"/>
            <w:vAlign w:val="bottom"/>
            <w:tcBorders>
              <w:top w:val="single" w:sz="8" w:color="8FAAD7"/>
            </w:tcBorders>
            <w:shd w:val="clear" w:color="auto" w:fill="EDEDED"/>
          </w:tcPr>
          <w:p>
            <w:pPr>
              <w:spacing w:after="0"/>
              <w:rPr>
                <w:sz w:val="21"/>
                <w:szCs w:val="21"/>
                <w:color w:val="auto"/>
              </w:rPr>
            </w:pPr>
          </w:p>
        </w:tc>
        <w:tc>
          <w:tcPr>
            <w:tcW w:w="70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2021</w:t>
            </w:r>
          </w:p>
        </w:tc>
        <w:tc>
          <w:tcPr>
            <w:tcW w:w="340" w:type="dxa"/>
            <w:vAlign w:val="bottom"/>
            <w:tcBorders>
              <w:top w:val="single" w:sz="8" w:color="8FAAD7"/>
            </w:tcBorders>
            <w:shd w:val="clear" w:color="auto" w:fill="EDEDED"/>
          </w:tcPr>
          <w:p>
            <w:pPr>
              <w:jc w:val="center"/>
              <w:spacing w:after="0"/>
              <w:rPr>
                <w:sz w:val="20"/>
                <w:szCs w:val="20"/>
                <w:color w:val="auto"/>
              </w:rPr>
            </w:pPr>
            <w:r>
              <w:rPr>
                <w:rFonts w:ascii="Arial" w:cs="Arial" w:eastAsia="Arial" w:hAnsi="Arial"/>
                <w:sz w:val="18"/>
                <w:szCs w:val="18"/>
                <w:color w:val="auto"/>
                <w:w w:val="99"/>
              </w:rPr>
              <w:t>50</w:t>
            </w:r>
          </w:p>
        </w:tc>
        <w:tc>
          <w:tcPr>
            <w:tcW w:w="860" w:type="dxa"/>
            <w:vAlign w:val="bottom"/>
            <w:tcBorders>
              <w:top w:val="single" w:sz="8" w:color="8FAAD7"/>
              <w:right w:val="single" w:sz="8" w:color="EDEDED"/>
            </w:tcBorders>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Borders>
              <w:top w:val="single" w:sz="8" w:color="8FAAD7"/>
            </w:tcBorders>
            <w:shd w:val="clear" w:color="auto" w:fill="EDEDED"/>
          </w:tcPr>
          <w:p>
            <w:pPr>
              <w:spacing w:after="0"/>
              <w:rPr>
                <w:sz w:val="21"/>
                <w:szCs w:val="21"/>
                <w:color w:val="auto"/>
              </w:rPr>
            </w:pPr>
          </w:p>
        </w:tc>
        <w:tc>
          <w:tcPr>
            <w:tcW w:w="1300" w:type="dxa"/>
            <w:vAlign w:val="bottom"/>
            <w:tcBorders>
              <w:top w:val="single" w:sz="8" w:color="8FAAD7"/>
              <w:right w:val="single" w:sz="8" w:color="EDEDED"/>
            </w:tcBorders>
          </w:tcPr>
          <w:p>
            <w:pPr>
              <w:spacing w:after="0"/>
              <w:rPr>
                <w:sz w:val="21"/>
                <w:szCs w:val="21"/>
                <w:color w:val="auto"/>
              </w:rPr>
            </w:pPr>
          </w:p>
        </w:tc>
        <w:tc>
          <w:tcPr>
            <w:tcW w:w="980" w:type="dxa"/>
            <w:vAlign w:val="bottom"/>
            <w:tcBorders>
              <w:top w:val="single" w:sz="8" w:color="8FAAD7"/>
            </w:tcBorders>
            <w:shd w:val="clear" w:color="auto" w:fill="EDEDED"/>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100" w:type="dxa"/>
            <w:vAlign w:val="bottom"/>
            <w:tcBorders>
              <w:bottom w:val="single" w:sz="8" w:color="8FAAD7"/>
            </w:tcBorders>
          </w:tcPr>
          <w:p>
            <w:pPr>
              <w:spacing w:after="0"/>
              <w:rPr>
                <w:sz w:val="19"/>
                <w:szCs w:val="19"/>
                <w:color w:val="auto"/>
              </w:rPr>
            </w:pPr>
          </w:p>
        </w:tc>
        <w:tc>
          <w:tcPr>
            <w:tcW w:w="2060" w:type="dxa"/>
            <w:vAlign w:val="bottom"/>
            <w:tcBorders>
              <w:bottom w:val="single" w:sz="8" w:color="8FAAD7"/>
              <w:right w:val="single" w:sz="8" w:color="EDEDED"/>
            </w:tcBorders>
          </w:tcPr>
          <w:p>
            <w:pPr>
              <w:ind w:left="240"/>
              <w:spacing w:after="0"/>
              <w:rPr>
                <w:sz w:val="20"/>
                <w:szCs w:val="20"/>
                <w:color w:val="auto"/>
              </w:rPr>
            </w:pPr>
            <w:r>
              <w:rPr>
                <w:rFonts w:ascii="Arial" w:cs="Arial" w:eastAsia="Arial" w:hAnsi="Arial"/>
                <w:sz w:val="18"/>
                <w:szCs w:val="18"/>
                <w:i w:val="1"/>
                <w:iCs w:val="1"/>
                <w:color w:val="auto"/>
              </w:rPr>
              <w:t>President &amp; CEO</w:t>
            </w:r>
          </w:p>
        </w:tc>
        <w:tc>
          <w:tcPr>
            <w:tcW w:w="920" w:type="dxa"/>
            <w:vAlign w:val="bottom"/>
            <w:tcBorders>
              <w:bottom w:val="single" w:sz="8" w:color="8FAAD7"/>
            </w:tcBorders>
            <w:shd w:val="clear" w:color="auto" w:fill="EDEDED"/>
          </w:tcPr>
          <w:p>
            <w:pPr>
              <w:spacing w:after="0"/>
              <w:rPr>
                <w:sz w:val="19"/>
                <w:szCs w:val="19"/>
                <w:color w:val="auto"/>
              </w:rPr>
            </w:pPr>
          </w:p>
        </w:tc>
        <w:tc>
          <w:tcPr>
            <w:tcW w:w="700" w:type="dxa"/>
            <w:vAlign w:val="bottom"/>
            <w:tcBorders>
              <w:bottom w:val="single" w:sz="8" w:color="8FAAD7"/>
              <w:right w:val="single" w:sz="8" w:color="EDEDED"/>
            </w:tcBorders>
          </w:tcPr>
          <w:p>
            <w:pPr>
              <w:spacing w:after="0"/>
              <w:rPr>
                <w:sz w:val="19"/>
                <w:szCs w:val="19"/>
                <w:color w:val="auto"/>
              </w:rPr>
            </w:pPr>
          </w:p>
        </w:tc>
        <w:tc>
          <w:tcPr>
            <w:tcW w:w="340" w:type="dxa"/>
            <w:vAlign w:val="bottom"/>
            <w:tcBorders>
              <w:bottom w:val="single" w:sz="8" w:color="8FAAD7"/>
            </w:tcBorders>
            <w:shd w:val="clear" w:color="auto" w:fill="EDEDED"/>
          </w:tcPr>
          <w:p>
            <w:pPr>
              <w:spacing w:after="0"/>
              <w:rPr>
                <w:sz w:val="19"/>
                <w:szCs w:val="19"/>
                <w:color w:val="auto"/>
              </w:rPr>
            </w:pPr>
          </w:p>
        </w:tc>
        <w:tc>
          <w:tcPr>
            <w:tcW w:w="860" w:type="dxa"/>
            <w:vAlign w:val="bottom"/>
            <w:tcBorders>
              <w:bottom w:val="single" w:sz="8" w:color="8FAAD7"/>
              <w:right w:val="single" w:sz="8" w:color="EDEDED"/>
            </w:tcBorders>
          </w:tcPr>
          <w:p>
            <w:pPr>
              <w:spacing w:after="0"/>
              <w:rPr>
                <w:sz w:val="19"/>
                <w:szCs w:val="19"/>
                <w:color w:val="auto"/>
              </w:rPr>
            </w:pPr>
          </w:p>
        </w:tc>
        <w:tc>
          <w:tcPr>
            <w:tcW w:w="820" w:type="dxa"/>
            <w:vAlign w:val="bottom"/>
            <w:tcBorders>
              <w:bottom w:val="single" w:sz="8" w:color="8FAAD7"/>
            </w:tcBorders>
            <w:shd w:val="clear" w:color="auto" w:fill="EDEDED"/>
          </w:tcPr>
          <w:p>
            <w:pPr>
              <w:spacing w:after="0"/>
              <w:rPr>
                <w:sz w:val="19"/>
                <w:szCs w:val="19"/>
                <w:color w:val="auto"/>
              </w:rPr>
            </w:pPr>
          </w:p>
        </w:tc>
        <w:tc>
          <w:tcPr>
            <w:tcW w:w="1300" w:type="dxa"/>
            <w:vAlign w:val="bottom"/>
            <w:tcBorders>
              <w:bottom w:val="single" w:sz="8" w:color="8FAAD7"/>
              <w:right w:val="single" w:sz="8" w:color="EDEDED"/>
            </w:tcBorders>
          </w:tcPr>
          <w:p>
            <w:pPr>
              <w:spacing w:after="0"/>
              <w:rPr>
                <w:sz w:val="19"/>
                <w:szCs w:val="19"/>
                <w:color w:val="auto"/>
              </w:rPr>
            </w:pPr>
          </w:p>
        </w:tc>
        <w:tc>
          <w:tcPr>
            <w:tcW w:w="980" w:type="dxa"/>
            <w:vAlign w:val="bottom"/>
            <w:tcBorders>
              <w:bottom w:val="single" w:sz="8" w:color="8FAAD7"/>
            </w:tcBorders>
            <w:shd w:val="clear" w:color="auto" w:fill="EDEDED"/>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-3068320</wp:posOffset>
            </wp:positionV>
            <wp:extent cx="11176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12890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-2716530</wp:posOffset>
            </wp:positionV>
            <wp:extent cx="11176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-2716530</wp:posOffset>
            </wp:positionV>
            <wp:extent cx="11176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760" cy="128905"/>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-2365375</wp:posOffset>
            </wp:positionV>
            <wp:extent cx="11176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-1482725</wp:posOffset>
            </wp:positionV>
            <wp:extent cx="11112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-1130935</wp:posOffset>
            </wp:positionV>
            <wp:extent cx="11112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12890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b w:val="1"/>
          <w:bCs w:val="1"/>
          <w:color w:val="auto"/>
        </w:rPr>
        <w:t>Composition of the Board</w:t>
      </w:r>
    </w:p>
    <w:p>
      <w:pPr>
        <w:spacing w:after="0" w:line="103"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board believes that a balance of director experience, diversity and tenure best enables our board to act as effective stewards for our investors. Accordingly, we strive to maintain a board that includes both longer tenured directors with historical institutional knowledge of our business and the competitive environment as well as newer directors who provide fresh perspectives. Information regarding our directors as of April 22, 2026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226695</wp:posOffset>
            </wp:positionV>
            <wp:extent cx="4997450" cy="4594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745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  </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b w:val="1"/>
          <w:bCs w:val="1"/>
          <w:color w:val="auto"/>
        </w:rPr>
        <w:t>Board Skills and Experience Matrix</w:t>
      </w:r>
    </w:p>
    <w:p>
      <w:pPr>
        <w:spacing w:after="0" w:line="10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following graphic shows the number of our directors, as of April 22, 2026, who have experience in the areas that our board of directors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222250</wp:posOffset>
            </wp:positionV>
            <wp:extent cx="5057775" cy="5743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57775" cy="574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103"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b w:val="1"/>
          <w:bCs w:val="1"/>
          <w:i w:val="1"/>
          <w:iCs w:val="1"/>
          <w:color w:val="auto"/>
        </w:rPr>
        <w:t xml:space="preserve">Bradford L. Brooks </w:t>
      </w:r>
      <w:r>
        <w:rPr>
          <w:rFonts w:ascii="Arial" w:cs="Arial" w:eastAsia="Arial" w:hAnsi="Arial"/>
          <w:sz w:val="18"/>
          <w:szCs w:val="18"/>
          <w:color w:val="auto"/>
        </w:rPr>
        <w:t>has served as a director of Qualys since October 2025. Mr. Brooks 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the board of directors for Relyance AI, a Data Privacy Compliance and Data Security company and is a Board Observer on Exaforce, an AI Security Operations Center (SOC) Technology company and is compensated by Thomvest Ventures for both roles since January 2026. Previously, Mr Brooks served as Chief Executive Officer of Censys, Inc., a leading provider of continuous attack surface management, from January 2022 through May 2025. Previously, Mr. Brooks served as a member of the board of directors of ARC Document Solutions from April 2018 through November 2024 where he served on the Audit Committee, Compensation Committee, and as Lead Independent Director. Mr. Brooks also served on the board of directors of WeTransfer from March 2021 through July 2024 and as President and CEO of OneLogin, a global leader in cloud-based identity and access management as a service, from August 2017 to October 2021. From January 2015 to June 2017, Mr. Brooks was Chief Marketing Officer as well as the executive leader of product management and engineering for DocuSign. Mr. Brooks held senior executive level positions at Juniper Networks and Microsoft prior to DocuSign. Mr. Brooks holds a Bachelor of Science in Economics from California State University, Chico, and a Masters of International Management from Thunderbird School of Global Management, Arizona State University.</w:t>
      </w:r>
    </w:p>
    <w:p>
      <w:pPr>
        <w:spacing w:after="0" w:line="347"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believe that Mr. Brooks possesses specific attributes that qualify him to serve as a member of our board of directors, including his experience as an executive at various technology companies and his understanding of finance and accounting.</w:t>
      </w:r>
    </w:p>
    <w:p>
      <w:pPr>
        <w:spacing w:after="0" w:line="169"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Wendy M. Pfeiffer </w:t>
      </w:r>
      <w:r>
        <w:rPr>
          <w:rFonts w:ascii="Arial" w:cs="Arial" w:eastAsia="Arial" w:hAnsi="Arial"/>
          <w:sz w:val="18"/>
          <w:szCs w:val="18"/>
          <w:color w:val="auto"/>
        </w:rPr>
        <w:t>has served as a director of Qualys since August 2019. Ms. Pfeiffer founded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Box of Chocolates, LLC and has been its managing director since January 2024. Ms. Pfeiffer served as a director of SADA Systems, a Google reseller and professional services company, from January 2020 until December 2023. Ms. Pfeiffer served as Senior Vice President and Chief Information Officer of Nutanix, Inc., an enterprise cloud computing company, from January 17, 2017 until March 17, 2023. Previously, Ms. Pfeiffer served as Chief Information Officer and vice president IT of GoPro, Inc., a maker of video and photo capture devices, from July 2015 to January 2017. Ms. Pfeiffer also served as Senior Director, IT shared services, of Robert Half International, a staffing and recruiting company, from February 2009 to June 2015. Ms. Pfeiffer holds a Bachelor of Science degree in Business Administration, Financial Accounting and Technology, from the University of Phoenix.</w:t>
      </w:r>
    </w:p>
    <w:p>
      <w:pPr>
        <w:spacing w:after="0" w:line="18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We believe that Ms. Pfeiffer possesses specific attributes that qualify her to serve as a member of our board of directors, including her experience serving as chief information officer at technology companies, her experience as an independent board director for both public and private companies, and her relevant technical and cyber industry expertise and reputation.</w:t>
      </w:r>
    </w:p>
    <w:p>
      <w:pPr>
        <w:spacing w:after="0" w:line="174" w:lineRule="exact"/>
        <w:rPr>
          <w:sz w:val="20"/>
          <w:szCs w:val="20"/>
          <w:color w:val="auto"/>
        </w:rPr>
      </w:pPr>
    </w:p>
    <w:p>
      <w:pPr>
        <w:jc w:val="both"/>
        <w:ind w:left="500" w:right="519" w:firstLine="360"/>
        <w:spacing w:after="0" w:line="237" w:lineRule="auto"/>
        <w:rPr>
          <w:sz w:val="20"/>
          <w:szCs w:val="20"/>
          <w:color w:val="auto"/>
        </w:rPr>
      </w:pPr>
      <w:r>
        <w:rPr>
          <w:rFonts w:ascii="Arial" w:cs="Arial" w:eastAsia="Arial" w:hAnsi="Arial"/>
          <w:sz w:val="18"/>
          <w:szCs w:val="18"/>
          <w:b w:val="1"/>
          <w:bCs w:val="1"/>
          <w:i w:val="1"/>
          <w:iCs w:val="1"/>
          <w:color w:val="auto"/>
        </w:rPr>
        <w:t xml:space="preserve">John A. Zangardi </w:t>
      </w:r>
      <w:r>
        <w:rPr>
          <w:rFonts w:ascii="Arial" w:cs="Arial" w:eastAsia="Arial" w:hAnsi="Arial"/>
          <w:sz w:val="18"/>
          <w:szCs w:val="18"/>
          <w:color w:val="auto"/>
        </w:rPr>
        <w:t>has served as a director of Qualys since June 2020. Dr. Zangardi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Redhorse Corporation, a technology services company delivering decision quality data to federal government customers, from January 2025 until August 2025, and as Chief Executive Officer of Redhorse Corporation from December 2021 until December 2024. As President of Redhorse Corporation from June 2020 until December 2024, he expanded the AI/ML and data services offerings to the federal government. From November 2019 to May 2020, Dr. Zangardi served as Senior Vice President of Business Initiatives and Strategic Partnerships for the Civil Group at Leidos, Inc. From November 2017 to November 2019, Dr. Zangardi served as Chief Information Officer of the Department of Homeland Security, a presidentially appointed position, where he was responsible for overseeing IT and its related security and management. Prior to that, Dr. Zangardi first served as the Principal Deputy Chief Information Officer and later as the Acting Chief Information Officer of the Department of Defense, from October 2016 until November 2017. He also represented the Department of NATO’s C3 Board. Dr. Zangardi served as the Deputy Assistant Secretary of the Navy for Command, Control, Communications, Computers, Intelligence, Information Operations &amp; Space from March 2011 until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 w:name="page14"/>
    <w:bookmarkEnd w:id="13"/>
    <w:p>
      <w:pPr>
        <w:jc w:val="both"/>
        <w:ind w:left="500" w:right="519"/>
        <w:spacing w:after="0" w:line="239" w:lineRule="auto"/>
        <w:rPr>
          <w:sz w:val="20"/>
          <w:szCs w:val="20"/>
          <w:color w:val="auto"/>
        </w:rPr>
      </w:pPr>
      <w:r>
        <w:rPr>
          <w:rFonts w:ascii="Arial" w:cs="Arial" w:eastAsia="Arial" w:hAnsi="Arial"/>
          <w:sz w:val="18"/>
          <w:szCs w:val="18"/>
          <w:color w:val="auto"/>
        </w:rPr>
        <w:t>September 2016 and as the Department of the Navy CIO from 2014 to 2015. A retired Navy officer, Dr. Zangardi served in a variety of command and staff assignments during his military career before being appointed to the Senior Executive Service. Dr. Zangardi currently serves as an independent board member of ZeroFox, Inc. and as a non -executive director of Symetrica, Inc., a U.K-based radiation detection technology company. He previously served on the board of directors of Forcepoint, a privately held software company, from April 2021 to January 2024. Dr. Zangardi holds a Bachelor of Science degree from the University of Scranton, a Master of Science degree from the Naval Postgraduate School, and a Doctor of Philosophy degree from George Mason University.</w:t>
      </w:r>
    </w:p>
    <w:p>
      <w:pPr>
        <w:spacing w:after="0" w:line="18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We believe that Dr. Zangardi possesses specific attributes that qualify him to serve as a member of our board of directors, including his experience as chief information officer for departments of the federal government and Dr. Zangardi’s background in the U.S. military and executive experience at technology companies.</w:t>
      </w: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Information Concerning Continuing Directors</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Jeffrey P. Hank </w:t>
      </w:r>
      <w:r>
        <w:rPr>
          <w:rFonts w:ascii="Arial" w:cs="Arial" w:eastAsia="Arial" w:hAnsi="Arial"/>
          <w:sz w:val="18"/>
          <w:szCs w:val="18"/>
          <w:color w:val="auto"/>
        </w:rPr>
        <w:t>has served as a director of Qualys since January 2010, including as Chair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since January 2023. Mr. Hank currently serves as the chairman of the board of directors for First Tech Federal Credit Union since April 2022. From June 2005 to July 2012, Mr. Hank was the Vice 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8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6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Thomas P. Berquist </w:t>
      </w:r>
      <w:r>
        <w:rPr>
          <w:rFonts w:ascii="Arial" w:cs="Arial" w:eastAsia="Arial" w:hAnsi="Arial"/>
          <w:sz w:val="18"/>
          <w:szCs w:val="18"/>
          <w:color w:val="auto"/>
        </w:rPr>
        <w:t>has served as a director of Qualys since August 2023. He was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Chief Financial Officer at Cloud Software Group from September 2022 until September 2025. From October 2015 to September 2022, Mr. Berquist served as Executive Vice President and Chief Financial Officer of TIBCO Software. Mr. Berquist has previously served as an executive officer at multiple software companies including Corel Software and Ingres Corporation, was a Managing Director of Software Equity Research at Salomon Smith Barney, Goldman Sachs and Piper Jaffray, and worked at Deloitte Consulting and Wells Fargo. Mr. Berquist holds a B.A. degree in Accounting with an Application Area in Computer Science from the University of Saint Thomas as well as an M.B.A. with an emphasis in Marketing from the University of Saint Thomas.</w:t>
      </w:r>
    </w:p>
    <w:p>
      <w:pPr>
        <w:spacing w:after="0" w:line="18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believe that Mr. Berquist possesses specific attributes that qualify him to serve as a member of our board of directors, including his experience as an executive at multiple technology companies and investment banks and his background in finance and accounting.</w:t>
      </w:r>
    </w:p>
    <w:p>
      <w:pPr>
        <w:spacing w:after="0" w:line="16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Kristi M. Rogers </w:t>
      </w:r>
      <w:r>
        <w:rPr>
          <w:rFonts w:ascii="Arial" w:cs="Arial" w:eastAsia="Arial" w:hAnsi="Arial"/>
          <w:sz w:val="18"/>
          <w:szCs w:val="18"/>
          <w:color w:val="auto"/>
        </w:rPr>
        <w:t>has served as a director of Qualys since August 2013. Ms. Rogers is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co-founder and Managing Partner 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p>
      <w:pPr>
        <w:jc w:val="both"/>
        <w:ind w:left="500" w:right="519"/>
        <w:spacing w:after="0" w:line="241" w:lineRule="auto"/>
        <w:rPr>
          <w:sz w:val="20"/>
          <w:szCs w:val="20"/>
          <w:color w:val="auto"/>
        </w:rPr>
      </w:pPr>
      <w:r>
        <w:rPr>
          <w:rFonts w:ascii="Arial" w:cs="Arial" w:eastAsia="Arial" w:hAnsi="Arial"/>
          <w:sz w:val="18"/>
          <w:szCs w:val="18"/>
          <w:color w:val="auto"/>
        </w:rPr>
        <w:t>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w:t>
      </w:r>
    </w:p>
    <w:p>
      <w:pPr>
        <w:spacing w:after="0" w:line="183" w:lineRule="exact"/>
        <w:rPr>
          <w:sz w:val="20"/>
          <w:szCs w:val="20"/>
          <w:color w:val="auto"/>
        </w:rPr>
      </w:pPr>
    </w:p>
    <w:p>
      <w:pPr>
        <w:jc w:val="both"/>
        <w:ind w:left="500" w:right="519" w:firstLine="360"/>
        <w:spacing w:after="0" w:line="241"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2" w:lineRule="exact"/>
        <w:rPr>
          <w:sz w:val="20"/>
          <w:szCs w:val="20"/>
          <w:color w:val="auto"/>
        </w:rPr>
      </w:pPr>
    </w:p>
    <w:p>
      <w:pPr>
        <w:jc w:val="both"/>
        <w:ind w:left="500" w:right="519"/>
        <w:spacing w:after="0" w:line="237"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has served as a director of Qualys since February 2021, as our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April 2021 and as our President since October 2019. Mr. Thakar previously served as our interim Chief Executive Officer from February 2021 to April 2021, and as our Chief Product Officer from June 2014 to April 2021. Mr. Thakar joined us in February 2003 and has held various positions with us since that time, including Principal Engineer, Engineering Manager, Director of Engineering, and Vice President, Engineering. Mr. Thakar holds a Bachelor of Computer Science degree from the University of Pune, India.</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believe that Mr. Thakar possesses specific attributes that qualify him to serve as a member of our board of directors, including his experience as our President and Chief Product Officer and his knowledge of our company.</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Mr. Berquist, Mr. Brooks, Mr. Hank,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Rules (the “Nasdaq Listing Rules”) of The Nasdaq Stock Market LLC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3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Independent Chair of the Board</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board of directors does not have a policy on whether the roles of Chairperson of our board of directors and Chief Executive Officer should be separate. Our board believes it should be free to determine what is best for the Company at a given point in time. Mr. Hank, an independent, non-employee director, has served as Chair of the Board since January 2023. Our board has determined that the separation of the roles of Chair of the Board and Chief Executive Officer is appropriate at this time, as it allows our Chief Executive Officer to focus primarily on management responsibilities and corporate strategy, while allowing the Chair to focus on leadership of the board, providing feedback and advice to the Chief Executive Officer, and providing a channel of communication between board members and our Chief Executive Officer. Our board currently does not have a lead independent director because the Chair is an independent director.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b w:val="1"/>
          <w:bCs w:val="1"/>
          <w:color w:val="auto"/>
        </w:rPr>
        <w:t>Board Meetings and Committees</w:t>
      </w:r>
    </w:p>
    <w:p>
      <w:pPr>
        <w:spacing w:after="0" w:line="10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During the year ended December 31, 2025, our board of directors held 4 meetings (including regularly scheduled and special meetings), our Audit and Risk Committee held 8 meetings, our Compensation and Talent Committee held 4 meetings, and our Nominating and Governance Committee held 4 meetings. Each incumbent director attended at least 75% of the total number of meetings of our board of directors and the committees of which he or she was a member during the period for which he or she served as a director during 2025.</w:t>
      </w:r>
    </w:p>
    <w:p>
      <w:pPr>
        <w:spacing w:after="0" w:line="179"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Mr. Berquist, Mr. Hank, Ms. Pfeiffer, Ms. Rogers, Mr. Thakar, and Dr. Zangardi, representing six of our current directors attended our 2025 annual meeting of stockholders.</w:t>
      </w:r>
    </w:p>
    <w:p>
      <w:pPr>
        <w:spacing w:after="0" w:line="17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board of directors has three standing committees: an Audit and Risk Committee, a Compensation and Talent Committee, and a Nominating and Governance Committee. The composition and responsibilities of each of these committees is described below. Members serve on these committees until their resignation or until otherwise determined by our board of directors.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Our Audit and Risk Committee consists of Mr. Berquist, Ms. Pfeiffer and Dr. Zangardi, with Mr. Berquist serving as Chair. Our board of directors has determined that all members of the Audit and Risk Committee (i) are independent under the Nasdaq Listing Rules and Rule 10A-3(b)(1) of the Exchange Act, and (ii) meet Nasdaq’s financial knowledge and sophistication requirements. In addition, our board of directors has determined that Mr. Berquist is an audit committee financial expert within the meaning of the rules and regulations of the SEC. Among other responsibilities, our Audit and Risk Committee:</w:t>
      </w:r>
    </w:p>
    <w:p>
      <w:pPr>
        <w:spacing w:after="0" w:line="77" w:lineRule="exact"/>
        <w:rPr>
          <w:sz w:val="20"/>
          <w:szCs w:val="20"/>
          <w:color w:val="auto"/>
        </w:rPr>
      </w:pPr>
    </w:p>
    <w:p>
      <w:pPr>
        <w:ind w:left="1220" w:right="519" w:hanging="280"/>
        <w:spacing w:after="0" w:line="214"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helps to ensure the independence and performance of the independent registered public accounting firm;</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72" w:lineRule="exact"/>
        <w:rPr>
          <w:rFonts w:ascii="Arial" w:cs="Arial" w:eastAsia="Arial" w:hAnsi="Arial"/>
          <w:sz w:val="25"/>
          <w:szCs w:val="25"/>
          <w:color w:val="auto"/>
          <w:vertAlign w:val="superscript"/>
        </w:rPr>
      </w:pPr>
    </w:p>
    <w:p>
      <w:pPr>
        <w:ind w:left="1220" w:right="539" w:hanging="280"/>
        <w:spacing w:after="0" w:line="214"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oversees procedures for employees to submit concerns anonymously about questionable accounting or audit matters;</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reviews our policies on risk assessment and risk management pertaining to financial, accounting, insurance coverage, investment, tax, and operational infrastructure, including security, data privacy, reliability, business continuity and capacity matters;</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reviews related party transactions;</w:t>
      </w:r>
    </w:p>
    <w:p>
      <w:pPr>
        <w:spacing w:after="0" w:line="89" w:lineRule="exact"/>
        <w:rPr>
          <w:rFonts w:ascii="Arial" w:cs="Arial" w:eastAsia="Arial" w:hAnsi="Arial"/>
          <w:sz w:val="25"/>
          <w:szCs w:val="25"/>
          <w:color w:val="auto"/>
          <w:vertAlign w:val="superscript"/>
        </w:rPr>
      </w:pPr>
    </w:p>
    <w:p>
      <w:pPr>
        <w:jc w:val="both"/>
        <w:ind w:left="1220" w:right="519" w:hanging="280"/>
        <w:spacing w:after="0" w:line="214"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 w:name="page17"/>
    <w:bookmarkEnd w:id="16"/>
    <w:p>
      <w:pPr>
        <w:jc w:val="both"/>
        <w:ind w:left="500" w:right="539" w:firstLine="360"/>
        <w:spacing w:after="0" w:line="252" w:lineRule="auto"/>
        <w:rPr>
          <w:sz w:val="20"/>
          <w:szCs w:val="20"/>
          <w:color w:val="auto"/>
        </w:rPr>
      </w:pPr>
      <w:r>
        <w:rPr>
          <w:rFonts w:ascii="Arial" w:cs="Arial" w:eastAsia="Arial" w:hAnsi="Arial"/>
          <w:sz w:val="18"/>
          <w:szCs w:val="18"/>
          <w:color w:val="auto"/>
        </w:rPr>
        <w:t>Our Audit and Risk Committee operates under a written charter that was adopted by our board of directors and satisfies the applicable rules of the SEC and the Nasdaq Listing Rules. A copy of the Audit and Risk Committee charter is available on our website at http://investor.qualys.com.</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Compensation and Talent Committee</w:t>
      </w:r>
    </w:p>
    <w:p>
      <w:pPr>
        <w:spacing w:after="0" w:line="10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Compensation and Talent Committee consists of Mr. Berquist, Ms. Rogers and Dr. Zangardi, with Dr. Zangardi serving as Chair. Our board of directors has determined that all members of the Compensation and Talent Committee (i) are independent under the Nasdaq Listing Rules, and (ii) are “non-employee directors”, as defined in Rule 16b-3 promulgated under the Exchange Act. Among other responsibilities, our Compensation and Talent Committee:</w:t>
      </w:r>
    </w:p>
    <w:p>
      <w:pPr>
        <w:spacing w:after="0" w:line="68" w:lineRule="exact"/>
        <w:rPr>
          <w:sz w:val="20"/>
          <w:szCs w:val="20"/>
          <w:color w:val="auto"/>
        </w:rPr>
      </w:pPr>
    </w:p>
    <w:p>
      <w:pPr>
        <w:ind w:left="1220" w:right="539" w:hanging="280"/>
        <w:spacing w:after="0" w:line="214" w:lineRule="auto"/>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administers our stock and equity incentive plans;</w:t>
      </w:r>
    </w:p>
    <w:p>
      <w:pPr>
        <w:spacing w:after="0" w:line="89" w:lineRule="exact"/>
        <w:rPr>
          <w:rFonts w:ascii="Arial" w:cs="Arial" w:eastAsia="Arial" w:hAnsi="Arial"/>
          <w:sz w:val="25"/>
          <w:szCs w:val="25"/>
          <w:color w:val="auto"/>
          <w:vertAlign w:val="superscript"/>
        </w:rPr>
      </w:pPr>
    </w:p>
    <w:p>
      <w:pPr>
        <w:ind w:left="1220" w:right="519" w:hanging="280"/>
        <w:spacing w:after="0" w:line="205" w:lineRule="auto"/>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reviews and approves and makes recommendations to our board of directors regarding incentive compensation and equity plans;</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establishes and reviews general policies relating to compensation and benefits of our employees;</w:t>
      </w:r>
    </w:p>
    <w:p>
      <w:pPr>
        <w:spacing w:after="0" w:line="72" w:lineRule="exact"/>
        <w:rPr>
          <w:rFonts w:ascii="Arial" w:cs="Arial" w:eastAsia="Arial" w:hAnsi="Arial"/>
          <w:sz w:val="25"/>
          <w:szCs w:val="25"/>
          <w:color w:val="auto"/>
          <w:vertAlign w:val="superscript"/>
        </w:rPr>
      </w:pPr>
    </w:p>
    <w:p>
      <w:pPr>
        <w:ind w:left="1220" w:right="539" w:hanging="280"/>
        <w:spacing w:after="0" w:line="214" w:lineRule="auto"/>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reviews our succession planning process for members of our executive management team; and</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discharges the responsibilities of our board of directors relating to the development and implementation of policies and strategies regarding talent diversity and inclusion.</w:t>
      </w:r>
    </w:p>
    <w:p>
      <w:pPr>
        <w:spacing w:after="0" w:line="180"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Compensation and Talent Committee operates under a written charter that was adopted by our board of directors and satisfies the applicable rules of the SEC and the Nasdaq Listing Rules. A copy of the Compensation and Talent Committee charter is available on our website at http://investor.qualys.com.</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02"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Nominating and Governance Committee consists of Mr. Brooks, Ms. Pfeiffer and Ms. Rogers, with Ms. Rogers serving as Chair. Our board of directors has determined that all members of the Nominating and Governance Committee are independent under the Nasdaq Listing Rules. Among other responsibilities, our Nominating and Governance Committee:</w:t>
      </w:r>
    </w:p>
    <w:p>
      <w:pPr>
        <w:spacing w:after="0" w:line="66" w:lineRule="exact"/>
        <w:rPr>
          <w:sz w:val="20"/>
          <w:szCs w:val="20"/>
          <w:color w:val="auto"/>
        </w:rPr>
      </w:pPr>
    </w:p>
    <w:p>
      <w:pPr>
        <w:ind w:left="1220" w:right="539" w:hanging="280"/>
        <w:spacing w:after="0" w:line="214" w:lineRule="auto"/>
        <w:tabs>
          <w:tab w:leader="none" w:pos="12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oversees our corporate governance practices;</w:t>
      </w:r>
    </w:p>
    <w:p>
      <w:pPr>
        <w:spacing w:after="0" w:line="89" w:lineRule="exact"/>
        <w:rPr>
          <w:rFonts w:ascii="Arial" w:cs="Arial" w:eastAsia="Arial" w:hAnsi="Arial"/>
          <w:sz w:val="25"/>
          <w:szCs w:val="25"/>
          <w:color w:val="auto"/>
          <w:vertAlign w:val="superscript"/>
        </w:rPr>
      </w:pPr>
    </w:p>
    <w:p>
      <w:pPr>
        <w:ind w:left="1220" w:right="519" w:hanging="280"/>
        <w:spacing w:after="0" w:line="205" w:lineRule="auto"/>
        <w:tabs>
          <w:tab w:leader="none" w:pos="12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oversees the annual performance evaluation of our board of directors and of individual directors; and</w:t>
      </w:r>
    </w:p>
    <w:p>
      <w:pPr>
        <w:spacing w:after="0" w:line="24"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oversees our ESG activities, programs and public disclosure.</w:t>
      </w:r>
    </w:p>
    <w:p>
      <w:pPr>
        <w:spacing w:after="0" w:line="180"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Nasdaq Listing Rules. A copy of the Nominating and Governance Committee charter is available on our website at http://investor.qualys.com.</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3"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During fiscal 2025, Mr. Berquist, Ms. Rogers, and Dr. Zangardi served as members of our Compensation and Talent Committee. None of them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and Talent Committee or our board of directors.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04" w:lineRule="exact"/>
        <w:rPr>
          <w:sz w:val="20"/>
          <w:szCs w:val="20"/>
          <w:color w:val="auto"/>
        </w:rPr>
      </w:pPr>
    </w:p>
    <w:p>
      <w:pPr>
        <w:jc w:val="both"/>
        <w:ind w:left="500" w:right="519" w:firstLine="360"/>
        <w:spacing w:after="0" w:line="237" w:lineRule="auto"/>
        <w:rPr>
          <w:sz w:val="20"/>
          <w:szCs w:val="20"/>
          <w:color w:val="auto"/>
        </w:rPr>
      </w:pPr>
      <w:r>
        <w:rPr>
          <w:rFonts w:ascii="Arial" w:cs="Arial" w:eastAsia="Arial" w:hAnsi="Arial"/>
          <w:sz w:val="18"/>
          <w:szCs w:val="18"/>
          <w:color w:val="auto"/>
        </w:rPr>
        <w:t>Our Nominating and Governance Committee uses a variety of methods for identifying and evaluating director nominees. In its evaluation of director candidates, our Nominating and Governance Committee will consider the current size and composition of our board of directors and the needs of our board and its committees. Some of the qualifications that the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Governance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Governance Committee may also consider such other factors as it may deem, from time to time, are in our and our stockholders’ best interests. Our Nominating and Governance Committee will also seek appropriate input from our Chief Executive Officer from time to time in assessing the needs of our board of directors for relevant background, experience, diversity and skills of its members.</w:t>
      </w:r>
    </w:p>
    <w:p>
      <w:pPr>
        <w:spacing w:after="0" w:line="18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Although our board of directors does not maintain a specific policy with respect to board diversity, our board of directors recognizes the benefits of having a diverse board. To that end, our Nominating and Governance Committee considers a broad range of backgrounds, viewpoints, and experiences in making determinations regarding nominations of directors. Our Nominating and Governance Committee also considers these and other factors as it oversees the annual board of director and committee evaluations.</w:t>
      </w:r>
    </w:p>
    <w:p>
      <w:pPr>
        <w:spacing w:after="0" w:line="35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0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Our Nominating and Governance Committee will consider candidates for director recommended by stockholders so long as such recommendations comply with our certificate of incorporation and bylaws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83" w:lineRule="exact"/>
        <w:rPr>
          <w:sz w:val="20"/>
          <w:szCs w:val="20"/>
          <w:color w:val="auto"/>
        </w:rPr>
      </w:pPr>
    </w:p>
    <w:p>
      <w:pPr>
        <w:jc w:val="both"/>
        <w:ind w:left="500" w:right="539" w:firstLine="360"/>
        <w:spacing w:after="0" w:line="253" w:lineRule="auto"/>
        <w:rPr>
          <w:sz w:val="20"/>
          <w:szCs w:val="20"/>
          <w:color w:val="auto"/>
        </w:rPr>
      </w:pPr>
      <w:r>
        <w:rPr>
          <w:rFonts w:ascii="Arial" w:cs="Arial" w:eastAsia="Arial" w:hAnsi="Arial"/>
          <w:sz w:val="18"/>
          <w:szCs w:val="18"/>
          <w:color w:val="auto"/>
        </w:rPr>
        <w:t>A stockholder of record can nominate a candidate directly for election to our board of directors by complying with the procedures in Section 2.4(a)(ii) of our bylaws. Any eligible stockholder who wishes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 w:name="page19"/>
    <w:bookmarkEnd w:id="18"/>
    <w:p>
      <w:pPr>
        <w:jc w:val="both"/>
        <w:ind w:left="500" w:right="519"/>
        <w:spacing w:after="0" w:line="244" w:lineRule="auto"/>
        <w:rPr>
          <w:sz w:val="20"/>
          <w:szCs w:val="20"/>
          <w:color w:val="auto"/>
        </w:rPr>
      </w:pPr>
      <w:r>
        <w:rPr>
          <w:rFonts w:ascii="Arial" w:cs="Arial" w:eastAsia="Arial" w:hAnsi="Arial"/>
          <w:sz w:val="18"/>
          <w:szCs w:val="18"/>
          <w:color w:val="auto"/>
        </w:rPr>
        <w:t>to submit a nomination should review the requirements in the bylaws on nominations by stockholders. Any nomination should be sent in writing to Qualys, Inc., Attention: Corporate</w:t>
      </w:r>
    </w:p>
    <w:p>
      <w:pPr>
        <w:spacing w:after="0" w:line="1" w:lineRule="exact"/>
        <w:rPr>
          <w:sz w:val="20"/>
          <w:szCs w:val="20"/>
          <w:color w:val="auto"/>
        </w:rPr>
      </w:pPr>
    </w:p>
    <w:p>
      <w:pPr>
        <w:jc w:val="both"/>
        <w:ind w:left="500" w:right="519"/>
        <w:spacing w:after="0" w:line="218" w:lineRule="auto"/>
        <w:rPr>
          <w:sz w:val="20"/>
          <w:szCs w:val="20"/>
          <w:color w:val="auto"/>
        </w:rPr>
      </w:pPr>
      <w:r>
        <w:rPr>
          <w:rFonts w:ascii="Arial" w:cs="Arial" w:eastAsia="Arial" w:hAnsi="Arial"/>
          <w:sz w:val="18"/>
          <w:szCs w:val="18"/>
          <w:color w:val="auto"/>
        </w:rPr>
        <w:t>Secretary, 919 East Hillsdale Boulevard,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Foster City, California 94404. Notice must be received by us no earlier than 8:00 a.m. Eastern Time on February 10, 2027, and no later than 5:00 p.m. Eastern Time on March 12, 2027. The notice must state the information required by Section 2.4(a)(ii) of our bylaws and otherwise must comply with applicable federal and state law.</w:t>
      </w:r>
    </w:p>
    <w:p>
      <w:pPr>
        <w:spacing w:after="0" w:line="37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04" w:lineRule="exact"/>
        <w:rPr>
          <w:sz w:val="20"/>
          <w:szCs w:val="20"/>
          <w:color w:val="auto"/>
        </w:rPr>
      </w:pPr>
    </w:p>
    <w:p>
      <w:pPr>
        <w:jc w:val="both"/>
        <w:ind w:left="500" w:right="519" w:firstLine="360"/>
        <w:spacing w:after="0" w:line="241" w:lineRule="auto"/>
        <w:rPr>
          <w:sz w:val="20"/>
          <w:szCs w:val="20"/>
          <w:color w:val="auto"/>
        </w:rPr>
      </w:pPr>
      <w:r>
        <w:rPr>
          <w:rFonts w:ascii="Arial" w:cs="Arial" w:eastAsia="Arial" w:hAnsi="Arial"/>
          <w:sz w:val="18"/>
          <w:szCs w:val="18"/>
          <w:color w:val="auto"/>
        </w:rPr>
        <w:t>Stockholders wishing to communicate with our board of directors or with an individual member of the board may do so by writing to our board of directors or to the particular member of the board, and mailing the correspondence to: Qualys, Inc., Attention: Corporate Secretary, 919 East Hillsdale</w:t>
      </w:r>
    </w:p>
    <w:p>
      <w:pPr>
        <w:spacing w:after="0" w:line="2" w:lineRule="exact"/>
        <w:rPr>
          <w:sz w:val="20"/>
          <w:szCs w:val="20"/>
          <w:color w:val="auto"/>
        </w:rPr>
      </w:pPr>
    </w:p>
    <w:p>
      <w:pPr>
        <w:jc w:val="both"/>
        <w:ind w:left="500" w:right="519"/>
        <w:spacing w:after="0" w:line="213" w:lineRule="auto"/>
        <w:rPr>
          <w:sz w:val="20"/>
          <w:szCs w:val="20"/>
          <w:color w:val="auto"/>
        </w:rPr>
      </w:pPr>
      <w:r>
        <w:rPr>
          <w:rFonts w:ascii="Arial" w:cs="Arial" w:eastAsia="Arial" w:hAnsi="Arial"/>
          <w:sz w:val="18"/>
          <w:szCs w:val="18"/>
          <w:color w:val="auto"/>
        </w:rPr>
        <w:t>Boulevard,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Foster City, California 94404. All such stockholder communications will be forwarded to the appropriate member or members of our board of directors or, if none is specified, to the Chair of the Board.</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Governance section of our website at http://investor.qualys.com. We will post amendments to our Code of Business Conduct and Ethics or waivers of our Code of Business Conduct and Ethics for directors and executive officers on the same website.</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 Management</w:t>
      </w:r>
    </w:p>
    <w:p>
      <w:pPr>
        <w:spacing w:after="0" w:line="104"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prudently manage risk in our operations. Management is responsible for the day-to-day management of risks our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85"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Qualys.</w:t>
      </w:r>
    </w:p>
    <w:p>
      <w:pPr>
        <w:spacing w:after="0" w:line="17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While our entire board of directors is ultimately responsible for risk oversight, our board committees assist our board in fulfilling its oversight responsibilities in certain areas of risk. Our Audit and Risk Committee assists our board of directors in fulfilling its oversight responsibilities with respect to risk management pertaining to financial, accounting, insurance coverage, investment, tax, and operational infrastructure, including cyber security, data privacy, reliability, business continuity and capacity matters. Our Audit and Risk Committee discusses with management and the independent auditor guidelines and policies with respect to risk assessment and risk management; reviews management’s assessment of the key risks facing us, including the key controls it relies on to mitigate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 w:name="page20"/>
    <w:bookmarkEnd w:id="19"/>
    <w:p>
      <w:pPr>
        <w:jc w:val="both"/>
        <w:ind w:left="500" w:right="519"/>
        <w:spacing w:after="0" w:line="239" w:lineRule="auto"/>
        <w:rPr>
          <w:sz w:val="20"/>
          <w:szCs w:val="20"/>
          <w:color w:val="auto"/>
        </w:rPr>
      </w:pPr>
      <w:r>
        <w:rPr>
          <w:rFonts w:ascii="Arial" w:cs="Arial" w:eastAsia="Arial" w:hAnsi="Arial"/>
          <w:sz w:val="18"/>
          <w:szCs w:val="18"/>
          <w:color w:val="auto"/>
        </w:rPr>
        <w:t>those risks; and monitors certain key risks at each of its regularly scheduled meetings, such as risk associated with internal control over financial reporting and liquidity risk. Our Compensation and Talent Committee assesses and monitors whether any of our compensation policies and programs has the potential to encourage excessive risk-taking. Our Nominating and Governance Committee assists our board of directors in fulfilling its oversight responsibilities with respect to the management of risk associated with board organization, membership and structure, and ESG matters.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Non-Employee Director Compensation</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2025 Director Compensation Table</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The following table provides information regarding compensation of our non-employee directors during our fiscal year ended December 31, 2025. Directors who are also our employees receive no additional compensation for their service as a director. During 2025, our CEO, Sumedh S. Thakar was an employee. Mr. Thakar’s compensation is discussed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We reimburse our non-employee directors for expenses associated with attending meetings of our board of directors and meetings of committees of our board of directors.</w:t>
      </w: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3160" w:type="dxa"/>
            <w:vAlign w:val="bottom"/>
            <w:shd w:val="clear" w:color="auto" w:fill="1D3965"/>
          </w:tcPr>
          <w:p>
            <w:pPr>
              <w:spacing w:after="0"/>
              <w:rPr>
                <w:sz w:val="23"/>
                <w:szCs w:val="23"/>
                <w:color w:val="auto"/>
              </w:rPr>
            </w:pPr>
          </w:p>
        </w:tc>
        <w:tc>
          <w:tcPr>
            <w:tcW w:w="2700" w:type="dxa"/>
            <w:vAlign w:val="bottom"/>
            <w:shd w:val="clear" w:color="auto" w:fill="1D3965"/>
          </w:tcPr>
          <w:p>
            <w:pPr>
              <w:jc w:val="center"/>
              <w:ind w:left="1176"/>
              <w:spacing w:after="0"/>
              <w:rPr>
                <w:sz w:val="20"/>
                <w:szCs w:val="20"/>
                <w:color w:val="auto"/>
              </w:rPr>
            </w:pPr>
            <w:r>
              <w:rPr>
                <w:rFonts w:ascii="Arial" w:cs="Arial" w:eastAsia="Arial" w:hAnsi="Arial"/>
                <w:sz w:val="14"/>
                <w:szCs w:val="14"/>
                <w:b w:val="1"/>
                <w:bCs w:val="1"/>
                <w:color w:val="FFFFFF"/>
              </w:rPr>
              <w:t>Fees Earned or</w:t>
            </w:r>
          </w:p>
        </w:tc>
        <w:tc>
          <w:tcPr>
            <w:tcW w:w="1240" w:type="dxa"/>
            <w:vAlign w:val="bottom"/>
            <w:shd w:val="clear" w:color="auto" w:fill="1D3965"/>
          </w:tcPr>
          <w:p>
            <w:pPr>
              <w:jc w:val="right"/>
              <w:ind w:right="357"/>
              <w:spacing w:after="0"/>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1D3965"/>
          </w:tcPr>
          <w:p>
            <w:pPr>
              <w:spacing w:after="0"/>
              <w:rPr>
                <w:sz w:val="23"/>
                <w:szCs w:val="23"/>
                <w:color w:val="auto"/>
              </w:rPr>
            </w:pPr>
          </w:p>
        </w:tc>
      </w:tr>
      <w:tr>
        <w:trPr>
          <w:trHeight w:val="162"/>
        </w:trPr>
        <w:tc>
          <w:tcPr>
            <w:tcW w:w="3160" w:type="dxa"/>
            <w:vAlign w:val="bottom"/>
            <w:shd w:val="clear" w:color="auto" w:fill="1D3965"/>
          </w:tcPr>
          <w:p>
            <w:pPr>
              <w:spacing w:after="0"/>
              <w:rPr>
                <w:sz w:val="14"/>
                <w:szCs w:val="14"/>
                <w:color w:val="auto"/>
              </w:rPr>
            </w:pPr>
          </w:p>
        </w:tc>
        <w:tc>
          <w:tcPr>
            <w:tcW w:w="2700" w:type="dxa"/>
            <w:vAlign w:val="bottom"/>
            <w:shd w:val="clear" w:color="auto" w:fill="1D3965"/>
          </w:tcPr>
          <w:p>
            <w:pPr>
              <w:jc w:val="center"/>
              <w:ind w:left="1156"/>
              <w:spacing w:after="0"/>
              <w:rPr>
                <w:sz w:val="20"/>
                <w:szCs w:val="20"/>
                <w:color w:val="auto"/>
              </w:rPr>
            </w:pPr>
            <w:r>
              <w:rPr>
                <w:rFonts w:ascii="Arial" w:cs="Arial" w:eastAsia="Arial" w:hAnsi="Arial"/>
                <w:sz w:val="14"/>
                <w:szCs w:val="14"/>
                <w:b w:val="1"/>
                <w:bCs w:val="1"/>
                <w:color w:val="FFFFFF"/>
              </w:rPr>
              <w:t>Paid in Cash</w:t>
            </w:r>
          </w:p>
        </w:tc>
        <w:tc>
          <w:tcPr>
            <w:tcW w:w="1240" w:type="dxa"/>
            <w:vAlign w:val="bottom"/>
            <w:shd w:val="clear" w:color="auto" w:fill="1D3965"/>
          </w:tcPr>
          <w:p>
            <w:pPr>
              <w:jc w:val="right"/>
              <w:ind w:right="297"/>
              <w:spacing w:after="0"/>
              <w:rPr>
                <w:sz w:val="20"/>
                <w:szCs w:val="20"/>
                <w:color w:val="auto"/>
              </w:rPr>
            </w:pPr>
            <w:r>
              <w:rPr>
                <w:rFonts w:ascii="Arial" w:cs="Arial" w:eastAsia="Arial" w:hAnsi="Arial"/>
                <w:sz w:val="14"/>
                <w:szCs w:val="14"/>
                <w:b w:val="1"/>
                <w:bCs w:val="1"/>
                <w:color w:val="FFFFFF"/>
              </w:rPr>
              <w:t>Awards</w:t>
            </w:r>
          </w:p>
        </w:tc>
        <w:tc>
          <w:tcPr>
            <w:tcW w:w="9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Total</w:t>
            </w:r>
          </w:p>
        </w:tc>
      </w:tr>
      <w:tr>
        <w:trPr>
          <w:trHeight w:val="243"/>
        </w:trPr>
        <w:tc>
          <w:tcPr>
            <w:tcW w:w="3160" w:type="dxa"/>
            <w:vAlign w:val="bottom"/>
            <w:shd w:val="clear" w:color="auto" w:fill="1D3965"/>
          </w:tcPr>
          <w:p>
            <w:pPr>
              <w:ind w:left="1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1D3965"/>
          </w:tcPr>
          <w:p>
            <w:pPr>
              <w:jc w:val="center"/>
              <w:ind w:left="1196"/>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1D3965"/>
          </w:tcPr>
          <w:p>
            <w:pPr>
              <w:jc w:val="right"/>
              <w:ind w:right="297"/>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(1)(2)</w:t>
            </w:r>
          </w:p>
        </w:tc>
        <w:tc>
          <w:tcPr>
            <w:tcW w:w="900" w:type="dxa"/>
            <w:vAlign w:val="bottom"/>
            <w:shd w:val="clear" w:color="auto" w:fill="1D3965"/>
          </w:tcPr>
          <w:p>
            <w:pPr>
              <w:jc w:val="center"/>
              <w:ind w:left="35"/>
              <w:spacing w:after="0"/>
              <w:rPr>
                <w:sz w:val="20"/>
                <w:szCs w:val="20"/>
                <w:color w:val="auto"/>
              </w:rPr>
            </w:pPr>
            <w:r>
              <w:rPr>
                <w:rFonts w:ascii="Arial" w:cs="Arial" w:eastAsia="Arial" w:hAnsi="Arial"/>
                <w:sz w:val="14"/>
                <w:szCs w:val="14"/>
                <w:b w:val="1"/>
                <w:bCs w:val="1"/>
                <w:color w:val="FFFFFF"/>
              </w:rPr>
              <w:t>($)</w:t>
            </w:r>
          </w:p>
        </w:tc>
      </w:tr>
      <w:tr>
        <w:trPr>
          <w:trHeight w:val="350"/>
        </w:trPr>
        <w:tc>
          <w:tcPr>
            <w:tcW w:w="3160" w:type="dxa"/>
            <w:vAlign w:val="bottom"/>
          </w:tcPr>
          <w:p>
            <w:pPr>
              <w:ind w:left="160"/>
              <w:spacing w:after="0"/>
              <w:rPr>
                <w:sz w:val="20"/>
                <w:szCs w:val="20"/>
                <w:color w:val="auto"/>
              </w:rPr>
            </w:pPr>
            <w:r>
              <w:rPr>
                <w:rFonts w:ascii="Arial" w:cs="Arial" w:eastAsia="Arial" w:hAnsi="Arial"/>
                <w:sz w:val="18"/>
                <w:szCs w:val="18"/>
                <w:color w:val="auto"/>
              </w:rPr>
              <w:t>Thomas P. Berquist</w:t>
            </w:r>
          </w:p>
        </w:tc>
        <w:tc>
          <w:tcPr>
            <w:tcW w:w="2700" w:type="dxa"/>
            <w:vAlign w:val="bottom"/>
          </w:tcPr>
          <w:p>
            <w:pPr>
              <w:jc w:val="right"/>
              <w:ind w:right="376"/>
              <w:spacing w:after="0"/>
              <w:rPr>
                <w:sz w:val="20"/>
                <w:szCs w:val="20"/>
                <w:color w:val="auto"/>
              </w:rPr>
            </w:pPr>
            <w:r>
              <w:rPr>
                <w:rFonts w:ascii="Arial" w:cs="Arial" w:eastAsia="Arial" w:hAnsi="Arial"/>
                <w:sz w:val="18"/>
                <w:szCs w:val="18"/>
                <w:color w:val="auto"/>
              </w:rPr>
              <w:t>62,500</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263,079</w:t>
            </w:r>
            <w:r>
              <w:rPr>
                <w:rFonts w:ascii="Arial" w:cs="Arial" w:eastAsia="Arial" w:hAnsi="Arial"/>
                <w:sz w:val="29"/>
                <w:szCs w:val="29"/>
                <w:color w:val="auto"/>
                <w:vertAlign w:val="superscript"/>
              </w:rPr>
              <w:t>(3)</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325,579</w:t>
            </w:r>
          </w:p>
        </w:tc>
      </w:tr>
      <w:tr>
        <w:trPr>
          <w:trHeight w:val="324"/>
        </w:trPr>
        <w:tc>
          <w:tcPr>
            <w:tcW w:w="3160" w:type="dxa"/>
            <w:vAlign w:val="bottom"/>
          </w:tcPr>
          <w:p>
            <w:pPr>
              <w:ind w:left="160"/>
              <w:spacing w:after="0"/>
              <w:rPr>
                <w:sz w:val="20"/>
                <w:szCs w:val="20"/>
                <w:color w:val="auto"/>
              </w:rPr>
            </w:pPr>
            <w:r>
              <w:rPr>
                <w:rFonts w:ascii="Arial" w:cs="Arial" w:eastAsia="Arial" w:hAnsi="Arial"/>
                <w:sz w:val="18"/>
                <w:szCs w:val="18"/>
                <w:color w:val="auto"/>
              </w:rPr>
              <w:t>Bradford L. Brooks</w:t>
            </w:r>
          </w:p>
        </w:tc>
        <w:tc>
          <w:tcPr>
            <w:tcW w:w="2700" w:type="dxa"/>
            <w:vAlign w:val="bottom"/>
          </w:tcPr>
          <w:p>
            <w:pPr>
              <w:jc w:val="right"/>
              <w:ind w:right="196"/>
              <w:spacing w:after="0" w:line="324" w:lineRule="exact"/>
              <w:rPr>
                <w:sz w:val="20"/>
                <w:szCs w:val="20"/>
                <w:color w:val="auto"/>
              </w:rPr>
            </w:pPr>
            <w:r>
              <w:rPr>
                <w:rFonts w:ascii="Arial" w:cs="Arial" w:eastAsia="Arial" w:hAnsi="Arial"/>
                <w:sz w:val="18"/>
                <w:szCs w:val="18"/>
                <w:color w:val="auto"/>
              </w:rPr>
              <w:t>6,849</w:t>
            </w:r>
            <w:r>
              <w:rPr>
                <w:rFonts w:ascii="Arial" w:cs="Arial" w:eastAsia="Arial" w:hAnsi="Arial"/>
                <w:sz w:val="29"/>
                <w:szCs w:val="29"/>
                <w:color w:val="auto"/>
                <w:vertAlign w:val="superscript"/>
              </w:rPr>
              <w:t>(4)</w:t>
            </w:r>
          </w:p>
        </w:tc>
        <w:tc>
          <w:tcPr>
            <w:tcW w:w="1240" w:type="dxa"/>
            <w:vAlign w:val="bottom"/>
          </w:tcPr>
          <w:p>
            <w:pPr>
              <w:jc w:val="right"/>
              <w:ind w:right="117"/>
              <w:spacing w:after="0" w:line="324" w:lineRule="exact"/>
              <w:rPr>
                <w:sz w:val="20"/>
                <w:szCs w:val="20"/>
                <w:color w:val="auto"/>
              </w:rPr>
            </w:pPr>
            <w:r>
              <w:rPr>
                <w:rFonts w:ascii="Arial" w:cs="Arial" w:eastAsia="Arial" w:hAnsi="Arial"/>
                <w:sz w:val="18"/>
                <w:szCs w:val="18"/>
                <w:color w:val="auto"/>
              </w:rPr>
              <w:t>395,880</w:t>
            </w:r>
            <w:r>
              <w:rPr>
                <w:rFonts w:ascii="Arial" w:cs="Arial" w:eastAsia="Arial" w:hAnsi="Arial"/>
                <w:sz w:val="29"/>
                <w:szCs w:val="29"/>
                <w:color w:val="auto"/>
                <w:vertAlign w:val="superscript"/>
              </w:rPr>
              <w:t>(5)</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402,729</w:t>
            </w:r>
          </w:p>
        </w:tc>
      </w:tr>
      <w:tr>
        <w:trPr>
          <w:trHeight w:val="324"/>
        </w:trPr>
        <w:tc>
          <w:tcPr>
            <w:tcW w:w="3160" w:type="dxa"/>
            <w:vAlign w:val="bottom"/>
          </w:tcPr>
          <w:p>
            <w:pPr>
              <w:ind w:left="160"/>
              <w:spacing w:after="0"/>
              <w:rPr>
                <w:sz w:val="20"/>
                <w:szCs w:val="20"/>
                <w:color w:val="auto"/>
              </w:rPr>
            </w:pPr>
            <w:r>
              <w:rPr>
                <w:rFonts w:ascii="Arial" w:cs="Arial" w:eastAsia="Arial" w:hAnsi="Arial"/>
                <w:sz w:val="18"/>
                <w:szCs w:val="18"/>
                <w:color w:val="auto"/>
              </w:rPr>
              <w:t>Jeffrey P. Hank</w:t>
            </w:r>
          </w:p>
        </w:tc>
        <w:tc>
          <w:tcPr>
            <w:tcW w:w="2700" w:type="dxa"/>
            <w:vAlign w:val="bottom"/>
          </w:tcPr>
          <w:p>
            <w:pPr>
              <w:jc w:val="right"/>
              <w:ind w:right="376"/>
              <w:spacing w:after="0"/>
              <w:rPr>
                <w:sz w:val="20"/>
                <w:szCs w:val="20"/>
                <w:color w:val="auto"/>
              </w:rPr>
            </w:pPr>
            <w:r>
              <w:rPr>
                <w:rFonts w:ascii="Arial" w:cs="Arial" w:eastAsia="Arial" w:hAnsi="Arial"/>
                <w:sz w:val="18"/>
                <w:szCs w:val="18"/>
                <w:color w:val="auto"/>
              </w:rPr>
              <w:t>85,000</w:t>
            </w:r>
          </w:p>
        </w:tc>
        <w:tc>
          <w:tcPr>
            <w:tcW w:w="1240" w:type="dxa"/>
            <w:vAlign w:val="bottom"/>
          </w:tcPr>
          <w:p>
            <w:pPr>
              <w:jc w:val="right"/>
              <w:ind w:right="117"/>
              <w:spacing w:after="0" w:line="324" w:lineRule="exact"/>
              <w:rPr>
                <w:sz w:val="20"/>
                <w:szCs w:val="20"/>
                <w:color w:val="auto"/>
              </w:rPr>
            </w:pPr>
            <w:r>
              <w:rPr>
                <w:rFonts w:ascii="Arial" w:cs="Arial" w:eastAsia="Arial" w:hAnsi="Arial"/>
                <w:sz w:val="18"/>
                <w:szCs w:val="18"/>
                <w:color w:val="auto"/>
              </w:rPr>
              <w:t>263,079</w:t>
            </w:r>
            <w:r>
              <w:rPr>
                <w:rFonts w:ascii="Arial" w:cs="Arial" w:eastAsia="Arial" w:hAnsi="Arial"/>
                <w:sz w:val="29"/>
                <w:szCs w:val="29"/>
                <w:color w:val="auto"/>
                <w:vertAlign w:val="superscript"/>
              </w:rPr>
              <w:t>(3)</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348,079</w:t>
            </w:r>
          </w:p>
        </w:tc>
      </w:tr>
      <w:tr>
        <w:trPr>
          <w:trHeight w:val="324"/>
        </w:trPr>
        <w:tc>
          <w:tcPr>
            <w:tcW w:w="3160" w:type="dxa"/>
            <w:vAlign w:val="bottom"/>
          </w:tcPr>
          <w:p>
            <w:pPr>
              <w:ind w:left="160"/>
              <w:spacing w:after="0"/>
              <w:rPr>
                <w:sz w:val="20"/>
                <w:szCs w:val="20"/>
                <w:color w:val="auto"/>
              </w:rPr>
            </w:pPr>
            <w:r>
              <w:rPr>
                <w:rFonts w:ascii="Arial" w:cs="Arial" w:eastAsia="Arial" w:hAnsi="Arial"/>
                <w:sz w:val="18"/>
                <w:szCs w:val="18"/>
                <w:color w:val="auto"/>
              </w:rPr>
              <w:t>Wendy M. Pfeiffer</w:t>
            </w:r>
          </w:p>
        </w:tc>
        <w:tc>
          <w:tcPr>
            <w:tcW w:w="2700" w:type="dxa"/>
            <w:vAlign w:val="bottom"/>
          </w:tcPr>
          <w:p>
            <w:pPr>
              <w:jc w:val="right"/>
              <w:ind w:right="376"/>
              <w:spacing w:after="0"/>
              <w:rPr>
                <w:sz w:val="20"/>
                <w:szCs w:val="20"/>
                <w:color w:val="auto"/>
              </w:rPr>
            </w:pPr>
            <w:r>
              <w:rPr>
                <w:rFonts w:ascii="Arial" w:cs="Arial" w:eastAsia="Arial" w:hAnsi="Arial"/>
                <w:sz w:val="18"/>
                <w:szCs w:val="18"/>
                <w:color w:val="auto"/>
              </w:rPr>
              <w:t>50,000</w:t>
            </w:r>
          </w:p>
        </w:tc>
        <w:tc>
          <w:tcPr>
            <w:tcW w:w="1240" w:type="dxa"/>
            <w:vAlign w:val="bottom"/>
          </w:tcPr>
          <w:p>
            <w:pPr>
              <w:jc w:val="right"/>
              <w:ind w:right="117"/>
              <w:spacing w:after="0" w:line="324" w:lineRule="exact"/>
              <w:rPr>
                <w:sz w:val="20"/>
                <w:szCs w:val="20"/>
                <w:color w:val="auto"/>
              </w:rPr>
            </w:pPr>
            <w:r>
              <w:rPr>
                <w:rFonts w:ascii="Arial" w:cs="Arial" w:eastAsia="Arial" w:hAnsi="Arial"/>
                <w:sz w:val="18"/>
                <w:szCs w:val="18"/>
                <w:color w:val="auto"/>
              </w:rPr>
              <w:t>263,079</w:t>
            </w:r>
            <w:r>
              <w:rPr>
                <w:rFonts w:ascii="Arial" w:cs="Arial" w:eastAsia="Arial" w:hAnsi="Arial"/>
                <w:sz w:val="29"/>
                <w:szCs w:val="29"/>
                <w:color w:val="auto"/>
                <w:vertAlign w:val="superscript"/>
              </w:rPr>
              <w:t>(3)</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313,079</w:t>
            </w:r>
          </w:p>
        </w:tc>
      </w:tr>
      <w:tr>
        <w:trPr>
          <w:trHeight w:val="324"/>
        </w:trPr>
        <w:tc>
          <w:tcPr>
            <w:tcW w:w="3160" w:type="dxa"/>
            <w:vAlign w:val="bottom"/>
          </w:tcPr>
          <w:p>
            <w:pPr>
              <w:ind w:left="160"/>
              <w:spacing w:after="0"/>
              <w:rPr>
                <w:sz w:val="20"/>
                <w:szCs w:val="20"/>
                <w:color w:val="auto"/>
              </w:rPr>
            </w:pPr>
            <w:r>
              <w:rPr>
                <w:rFonts w:ascii="Arial" w:cs="Arial" w:eastAsia="Arial" w:hAnsi="Arial"/>
                <w:sz w:val="18"/>
                <w:szCs w:val="18"/>
                <w:color w:val="auto"/>
              </w:rPr>
              <w:t>Kristi M. Rogers</w:t>
            </w:r>
          </w:p>
        </w:tc>
        <w:tc>
          <w:tcPr>
            <w:tcW w:w="2700" w:type="dxa"/>
            <w:vAlign w:val="bottom"/>
          </w:tcPr>
          <w:p>
            <w:pPr>
              <w:jc w:val="right"/>
              <w:ind w:right="376"/>
              <w:spacing w:after="0"/>
              <w:rPr>
                <w:sz w:val="20"/>
                <w:szCs w:val="20"/>
                <w:color w:val="auto"/>
              </w:rPr>
            </w:pPr>
            <w:r>
              <w:rPr>
                <w:rFonts w:ascii="Arial" w:cs="Arial" w:eastAsia="Arial" w:hAnsi="Arial"/>
                <w:sz w:val="18"/>
                <w:szCs w:val="18"/>
                <w:color w:val="auto"/>
              </w:rPr>
              <w:t>52,500</w:t>
            </w:r>
          </w:p>
        </w:tc>
        <w:tc>
          <w:tcPr>
            <w:tcW w:w="1240" w:type="dxa"/>
            <w:vAlign w:val="bottom"/>
          </w:tcPr>
          <w:p>
            <w:pPr>
              <w:jc w:val="right"/>
              <w:ind w:right="117"/>
              <w:spacing w:after="0" w:line="324" w:lineRule="exact"/>
              <w:rPr>
                <w:sz w:val="20"/>
                <w:szCs w:val="20"/>
                <w:color w:val="auto"/>
              </w:rPr>
            </w:pPr>
            <w:r>
              <w:rPr>
                <w:rFonts w:ascii="Arial" w:cs="Arial" w:eastAsia="Arial" w:hAnsi="Arial"/>
                <w:sz w:val="18"/>
                <w:szCs w:val="18"/>
                <w:color w:val="auto"/>
              </w:rPr>
              <w:t>263,079</w:t>
            </w:r>
            <w:r>
              <w:rPr>
                <w:rFonts w:ascii="Arial" w:cs="Arial" w:eastAsia="Arial" w:hAnsi="Arial"/>
                <w:sz w:val="29"/>
                <w:szCs w:val="29"/>
                <w:color w:val="auto"/>
                <w:vertAlign w:val="superscript"/>
              </w:rPr>
              <w:t>(3)</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315,579</w:t>
            </w:r>
          </w:p>
        </w:tc>
      </w:tr>
      <w:tr>
        <w:trPr>
          <w:trHeight w:val="401"/>
        </w:trPr>
        <w:tc>
          <w:tcPr>
            <w:tcW w:w="3160" w:type="dxa"/>
            <w:vAlign w:val="bottom"/>
          </w:tcPr>
          <w:p>
            <w:pPr>
              <w:ind w:left="160"/>
              <w:spacing w:after="0"/>
              <w:rPr>
                <w:sz w:val="20"/>
                <w:szCs w:val="20"/>
                <w:color w:val="auto"/>
              </w:rPr>
            </w:pPr>
            <w:r>
              <w:rPr>
                <w:rFonts w:ascii="Arial" w:cs="Arial" w:eastAsia="Arial" w:hAnsi="Arial"/>
                <w:sz w:val="18"/>
                <w:szCs w:val="18"/>
                <w:color w:val="auto"/>
              </w:rPr>
              <w:t>John A. Zangardi</w:t>
            </w:r>
          </w:p>
        </w:tc>
        <w:tc>
          <w:tcPr>
            <w:tcW w:w="2700" w:type="dxa"/>
            <w:vAlign w:val="bottom"/>
          </w:tcPr>
          <w:p>
            <w:pPr>
              <w:jc w:val="right"/>
              <w:ind w:right="376"/>
              <w:spacing w:after="0"/>
              <w:rPr>
                <w:sz w:val="20"/>
                <w:szCs w:val="20"/>
                <w:color w:val="auto"/>
              </w:rPr>
            </w:pPr>
            <w:r>
              <w:rPr>
                <w:rFonts w:ascii="Arial" w:cs="Arial" w:eastAsia="Arial" w:hAnsi="Arial"/>
                <w:sz w:val="18"/>
                <w:szCs w:val="18"/>
                <w:color w:val="auto"/>
              </w:rPr>
              <w:t>60,000</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263,079</w:t>
            </w:r>
            <w:r>
              <w:rPr>
                <w:rFonts w:ascii="Arial" w:cs="Arial" w:eastAsia="Arial" w:hAnsi="Arial"/>
                <w:sz w:val="29"/>
                <w:szCs w:val="29"/>
                <w:color w:val="auto"/>
                <w:vertAlign w:val="superscript"/>
              </w:rPr>
              <w:t>(3)</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rPr>
              <w:t>323,079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-5080</wp:posOffset>
            </wp:positionV>
            <wp:extent cx="480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4" w:lineRule="exact"/>
        <w:rPr>
          <w:sz w:val="20"/>
          <w:szCs w:val="20"/>
          <w:color w:val="auto"/>
        </w:rPr>
      </w:pPr>
    </w:p>
    <w:p>
      <w:pPr>
        <w:jc w:val="both"/>
        <w:ind w:left="860" w:right="519" w:hanging="352"/>
        <w:spacing w:after="0" w:line="23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grant date fair value of restricted stock unit awards granted in 2025. These amounts have been calculated in accordance with Financial Accounting Standards Board, or FASB, Accounting Standards Codification, or ASC, Topic 718. The fair value of each restricted stock unit award is measured based on the closing market price of our common stock on the date of grant. Pursuant to SEC rules, the amounts reported exclude the impact of estimated forfeitures related to service-based vesting conditions. For a discussion of valuation assumptions, see the stock-based compensation note to our audited financial statements included in our Annual Report on Form 10-K for the year ended December 31, 2025, filed with the SEC on February 20, 2026.</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jc w:val="both"/>
        <w:ind w:left="860" w:right="519" w:hanging="352"/>
        <w:spacing w:after="0" w:line="252"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2025, the aggregate number of shares of our common stock underlying unvested stock awards and outstanding option awards held by each of our non-employee directors was:</w:t>
      </w:r>
    </w:p>
    <w:p>
      <w:pPr>
        <w:spacing w:after="0" w:line="95" w:lineRule="exact"/>
        <w:rPr>
          <w:sz w:val="20"/>
          <w:szCs w:val="20"/>
          <w:color w:val="auto"/>
        </w:rPr>
      </w:pPr>
    </w:p>
    <w:tbl>
      <w:tblPr>
        <w:tblLayout w:type="fixed"/>
        <w:tblInd w:w="1580" w:type="dxa"/>
        <w:tblCellMar>
          <w:top w:w="0" w:type="dxa"/>
          <w:left w:w="0" w:type="dxa"/>
          <w:bottom w:w="0" w:type="dxa"/>
          <w:right w:w="0" w:type="dxa"/>
        </w:tblCellMar>
      </w:tblPr>
      <w:tr>
        <w:trPr>
          <w:trHeight w:val="261"/>
        </w:trPr>
        <w:tc>
          <w:tcPr>
            <w:tcW w:w="2680" w:type="dxa"/>
            <w:vAlign w:val="bottom"/>
            <w:shd w:val="clear" w:color="auto" w:fill="1D3965"/>
          </w:tcPr>
          <w:p>
            <w:pPr>
              <w:spacing w:after="0"/>
              <w:rPr>
                <w:sz w:val="22"/>
                <w:szCs w:val="22"/>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Aggregate</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680" w:type="dxa"/>
            <w:vAlign w:val="bottom"/>
            <w:shd w:val="clear" w:color="auto" w:fill="1D3965"/>
          </w:tcPr>
          <w:p>
            <w:pPr>
              <w:spacing w:after="0"/>
              <w:rPr>
                <w:sz w:val="14"/>
                <w:szCs w:val="14"/>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2680" w:type="dxa"/>
            <w:vAlign w:val="bottom"/>
            <w:shd w:val="clear" w:color="auto" w:fill="1D3965"/>
          </w:tcPr>
          <w:p>
            <w:pPr>
              <w:spacing w:after="0"/>
              <w:rPr>
                <w:sz w:val="14"/>
                <w:szCs w:val="14"/>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Shares</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2680" w:type="dxa"/>
            <w:vAlign w:val="bottom"/>
            <w:shd w:val="clear" w:color="auto" w:fill="1D3965"/>
          </w:tcPr>
          <w:p>
            <w:pPr>
              <w:spacing w:after="0"/>
              <w:rPr>
                <w:sz w:val="14"/>
                <w:szCs w:val="14"/>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Underlying</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Underlying</w:t>
            </w:r>
          </w:p>
        </w:tc>
      </w:tr>
      <w:tr>
        <w:trPr>
          <w:trHeight w:val="162"/>
        </w:trPr>
        <w:tc>
          <w:tcPr>
            <w:tcW w:w="2680" w:type="dxa"/>
            <w:vAlign w:val="bottom"/>
            <w:shd w:val="clear" w:color="auto" w:fill="1D3965"/>
          </w:tcPr>
          <w:p>
            <w:pPr>
              <w:spacing w:after="0"/>
              <w:rPr>
                <w:sz w:val="14"/>
                <w:szCs w:val="14"/>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Unvested</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Outstanding</w:t>
            </w:r>
          </w:p>
        </w:tc>
      </w:tr>
      <w:tr>
        <w:trPr>
          <w:trHeight w:val="162"/>
        </w:trPr>
        <w:tc>
          <w:tcPr>
            <w:tcW w:w="2680" w:type="dxa"/>
            <w:vAlign w:val="bottom"/>
            <w:shd w:val="clear" w:color="auto" w:fill="1D3965"/>
          </w:tcPr>
          <w:p>
            <w:pPr>
              <w:spacing w:after="0"/>
              <w:rPr>
                <w:sz w:val="14"/>
                <w:szCs w:val="14"/>
                <w:color w:val="auto"/>
              </w:rPr>
            </w:pPr>
          </w:p>
        </w:tc>
        <w:tc>
          <w:tcPr>
            <w:tcW w:w="2000" w:type="dxa"/>
            <w:vAlign w:val="bottom"/>
            <w:shd w:val="clear" w:color="auto" w:fill="1D3965"/>
          </w:tcPr>
          <w:p>
            <w:pPr>
              <w:jc w:val="center"/>
              <w:ind w:left="884"/>
              <w:spacing w:after="0"/>
              <w:rPr>
                <w:sz w:val="20"/>
                <w:szCs w:val="20"/>
                <w:color w:val="auto"/>
              </w:rPr>
            </w:pPr>
            <w:r>
              <w:rPr>
                <w:rFonts w:ascii="Arial" w:cs="Arial" w:eastAsia="Arial" w:hAnsi="Arial"/>
                <w:sz w:val="14"/>
                <w:szCs w:val="14"/>
                <w:b w:val="1"/>
                <w:bCs w:val="1"/>
                <w:color w:val="FFFFFF"/>
              </w:rPr>
              <w:t>Stock</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232"/>
        </w:trPr>
        <w:tc>
          <w:tcPr>
            <w:tcW w:w="2680" w:type="dxa"/>
            <w:vAlign w:val="bottom"/>
            <w:tcBorders>
              <w:bottom w:val="single" w:sz="8" w:color="1D3965"/>
            </w:tcBorders>
            <w:shd w:val="clear" w:color="auto" w:fill="1D3965"/>
          </w:tcPr>
          <w:p>
            <w:pPr>
              <w:ind w:left="180"/>
              <w:spacing w:after="0"/>
              <w:rPr>
                <w:sz w:val="20"/>
                <w:szCs w:val="20"/>
                <w:color w:val="auto"/>
              </w:rPr>
            </w:pPr>
            <w:r>
              <w:rPr>
                <w:rFonts w:ascii="Arial" w:cs="Arial" w:eastAsia="Arial" w:hAnsi="Arial"/>
                <w:sz w:val="14"/>
                <w:szCs w:val="14"/>
                <w:b w:val="1"/>
                <w:bCs w:val="1"/>
                <w:color w:val="FFFFFF"/>
              </w:rPr>
              <w:t>Name</w:t>
            </w:r>
          </w:p>
        </w:tc>
        <w:tc>
          <w:tcPr>
            <w:tcW w:w="2000" w:type="dxa"/>
            <w:vAlign w:val="bottom"/>
            <w:tcBorders>
              <w:bottom w:val="single" w:sz="8" w:color="1D3965"/>
            </w:tcBorders>
            <w:shd w:val="clear" w:color="auto" w:fill="1D3965"/>
          </w:tcPr>
          <w:p>
            <w:pPr>
              <w:jc w:val="center"/>
              <w:ind w:left="924"/>
              <w:spacing w:after="0"/>
              <w:rPr>
                <w:sz w:val="20"/>
                <w:szCs w:val="20"/>
                <w:color w:val="auto"/>
              </w:rPr>
            </w:pPr>
            <w:r>
              <w:rPr>
                <w:rFonts w:ascii="Arial" w:cs="Arial" w:eastAsia="Arial" w:hAnsi="Arial"/>
                <w:sz w:val="14"/>
                <w:szCs w:val="14"/>
                <w:b w:val="1"/>
                <w:bCs w:val="1"/>
                <w:color w:val="FFFFFF"/>
              </w:rPr>
              <w:t>Awards</w:t>
            </w:r>
          </w:p>
        </w:tc>
        <w:tc>
          <w:tcPr>
            <w:tcW w:w="116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268"/>
        </w:trPr>
        <w:tc>
          <w:tcPr>
            <w:tcW w:w="2680" w:type="dxa"/>
            <w:vAlign w:val="bottom"/>
          </w:tcPr>
          <w:p>
            <w:pPr>
              <w:ind w:left="180"/>
              <w:spacing w:after="0"/>
              <w:rPr>
                <w:sz w:val="20"/>
                <w:szCs w:val="20"/>
                <w:color w:val="auto"/>
              </w:rPr>
            </w:pPr>
            <w:r>
              <w:rPr>
                <w:rFonts w:ascii="Arial" w:cs="Arial" w:eastAsia="Arial" w:hAnsi="Arial"/>
                <w:sz w:val="16"/>
                <w:szCs w:val="16"/>
                <w:color w:val="auto"/>
              </w:rPr>
              <w:t>Thomas P. Berquist</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2,901</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24"/>
        </w:trPr>
        <w:tc>
          <w:tcPr>
            <w:tcW w:w="2680" w:type="dxa"/>
            <w:vAlign w:val="bottom"/>
          </w:tcPr>
          <w:p>
            <w:pPr>
              <w:ind w:left="180"/>
              <w:spacing w:after="0"/>
              <w:rPr>
                <w:sz w:val="20"/>
                <w:szCs w:val="20"/>
                <w:color w:val="auto"/>
              </w:rPr>
            </w:pPr>
            <w:r>
              <w:rPr>
                <w:rFonts w:ascii="Arial" w:cs="Arial" w:eastAsia="Arial" w:hAnsi="Arial"/>
                <w:sz w:val="16"/>
                <w:szCs w:val="16"/>
                <w:color w:val="auto"/>
              </w:rPr>
              <w:t>Bradford L. Brooks</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3,198</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24"/>
        </w:trPr>
        <w:tc>
          <w:tcPr>
            <w:tcW w:w="2680" w:type="dxa"/>
            <w:vAlign w:val="bottom"/>
          </w:tcPr>
          <w:p>
            <w:pPr>
              <w:ind w:left="180"/>
              <w:spacing w:after="0"/>
              <w:rPr>
                <w:sz w:val="20"/>
                <w:szCs w:val="20"/>
                <w:color w:val="auto"/>
              </w:rPr>
            </w:pPr>
            <w:r>
              <w:rPr>
                <w:rFonts w:ascii="Arial" w:cs="Arial" w:eastAsia="Arial" w:hAnsi="Arial"/>
                <w:sz w:val="16"/>
                <w:szCs w:val="16"/>
                <w:color w:val="auto"/>
              </w:rPr>
              <w:t>Jeffrey P. Hank</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1,879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24"/>
        </w:trPr>
        <w:tc>
          <w:tcPr>
            <w:tcW w:w="2680" w:type="dxa"/>
            <w:vAlign w:val="bottom"/>
          </w:tcPr>
          <w:p>
            <w:pPr>
              <w:ind w:left="180"/>
              <w:spacing w:after="0"/>
              <w:rPr>
                <w:sz w:val="20"/>
                <w:szCs w:val="20"/>
                <w:color w:val="auto"/>
              </w:rPr>
            </w:pPr>
            <w:r>
              <w:rPr>
                <w:rFonts w:ascii="Arial" w:cs="Arial" w:eastAsia="Arial" w:hAnsi="Arial"/>
                <w:sz w:val="16"/>
                <w:szCs w:val="16"/>
                <w:color w:val="auto"/>
              </w:rPr>
              <w:t>Wendy M. Pfeiffer</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1,879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24"/>
        </w:trPr>
        <w:tc>
          <w:tcPr>
            <w:tcW w:w="2680" w:type="dxa"/>
            <w:vAlign w:val="bottom"/>
          </w:tcPr>
          <w:p>
            <w:pPr>
              <w:ind w:left="180"/>
              <w:spacing w:after="0"/>
              <w:rPr>
                <w:sz w:val="20"/>
                <w:szCs w:val="20"/>
                <w:color w:val="auto"/>
              </w:rPr>
            </w:pPr>
            <w:r>
              <w:rPr>
                <w:rFonts w:ascii="Arial" w:cs="Arial" w:eastAsia="Arial" w:hAnsi="Arial"/>
                <w:sz w:val="16"/>
                <w:szCs w:val="16"/>
                <w:color w:val="auto"/>
              </w:rPr>
              <w:t>Kristi M. Rogers</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1,879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24"/>
        </w:trPr>
        <w:tc>
          <w:tcPr>
            <w:tcW w:w="2680" w:type="dxa"/>
            <w:vAlign w:val="bottom"/>
          </w:tcPr>
          <w:p>
            <w:pPr>
              <w:ind w:left="180"/>
              <w:spacing w:after="0"/>
              <w:rPr>
                <w:sz w:val="20"/>
                <w:szCs w:val="20"/>
                <w:color w:val="auto"/>
              </w:rPr>
            </w:pPr>
            <w:r>
              <w:rPr>
                <w:rFonts w:ascii="Arial" w:cs="Arial" w:eastAsia="Arial" w:hAnsi="Arial"/>
                <w:sz w:val="16"/>
                <w:szCs w:val="16"/>
                <w:color w:val="auto"/>
              </w:rPr>
              <w:t>John A. Zangardi</w:t>
            </w:r>
          </w:p>
        </w:tc>
        <w:tc>
          <w:tcPr>
            <w:tcW w:w="2000" w:type="dxa"/>
            <w:vAlign w:val="bottom"/>
          </w:tcPr>
          <w:p>
            <w:pPr>
              <w:jc w:val="center"/>
              <w:ind w:left="924"/>
              <w:spacing w:after="0"/>
              <w:rPr>
                <w:sz w:val="20"/>
                <w:szCs w:val="20"/>
                <w:color w:val="auto"/>
              </w:rPr>
            </w:pPr>
            <w:r>
              <w:rPr>
                <w:rFonts w:ascii="Arial" w:cs="Arial" w:eastAsia="Arial" w:hAnsi="Arial"/>
                <w:sz w:val="16"/>
                <w:szCs w:val="16"/>
                <w:color w:val="auto"/>
                <w:w w:val="99"/>
              </w:rPr>
              <w:t>1,879</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78" w:lineRule="exact"/>
        <w:rPr>
          <w:sz w:val="20"/>
          <w:szCs w:val="20"/>
          <w:color w:val="auto"/>
        </w:rPr>
      </w:pPr>
    </w:p>
    <w:p>
      <w:pPr>
        <w:jc w:val="both"/>
        <w:ind w:left="860" w:right="519" w:hanging="352"/>
        <w:spacing w:after="0" w:line="24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11, 2025, each of Mr. Berquist, Mr. Hank, Ms. Pfeiffer, Ms. Rogers and Dr. Zangardi was granted an award of 1,879 restricted stock units, which vest on the earlier of (i) June 12, 2026 or (ii) the day before our 2026 annual meeting of stockholders, subject to the applicable director’s continued service to us through each vesting date.</w:t>
      </w:r>
    </w:p>
    <w:p>
      <w:pPr>
        <w:spacing w:after="0" w:line="65" w:lineRule="exact"/>
        <w:rPr>
          <w:rFonts w:ascii="Arial" w:cs="Arial" w:eastAsia="Arial" w:hAnsi="Arial"/>
          <w:sz w:val="18"/>
          <w:szCs w:val="18"/>
          <w:color w:val="auto"/>
        </w:rPr>
      </w:pPr>
    </w:p>
    <w:p>
      <w:pPr>
        <w:ind w:left="860" w:right="539" w:hanging="352"/>
        <w:spacing w:after="0" w:line="271"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Brooks joined our board of directors on October 30, 2025. Accordingly, this reflects a pro-rata amount for his service on our board of directors during 2025.</w:t>
      </w:r>
    </w:p>
    <w:p>
      <w:pPr>
        <w:spacing w:after="0" w:line="45" w:lineRule="exact"/>
        <w:rPr>
          <w:rFonts w:ascii="Arial" w:cs="Arial" w:eastAsia="Arial" w:hAnsi="Arial"/>
          <w:sz w:val="18"/>
          <w:szCs w:val="18"/>
          <w:color w:val="auto"/>
        </w:rPr>
      </w:pPr>
    </w:p>
    <w:p>
      <w:pPr>
        <w:jc w:val="both"/>
        <w:ind w:left="860" w:right="519" w:hanging="352"/>
        <w:spacing w:after="0" w:line="253"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30, 2025, Mr. Brooks was granted an award of 3,198 restricted stock units, which vest in three equal annual installments on each of the first three anniversaries of November 1, 2025, subject to Mr. Brook’s continued service to us through each vesting date.</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102"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Compensation and Talent Committee is responsible for reviewing and making recommendations with respect to the compensation of our non-employee directors. The committee’s practice is to engage a compensation consultant every year to conduct a full review and competitive analysis (using the same peer group used to analyze executive compensation) of our non-employee directors’ compensation in order to ensure that our directors’ compensation is in line with peer companies competing for director talent. Our current non-employee director compensation program was reviewed and approved in 2024 with input from Compensia, Inc. (“Compensia”), an independent compensation consultant. During 2025, our non-employee director compensation program consisted of equity and cash, as described below.</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our board of directors, subject to continued service to us through each vesting date.</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both"/>
        <w:ind w:left="500" w:right="519"/>
        <w:spacing w:after="0" w:line="241" w:lineRule="auto"/>
        <w:rPr>
          <w:sz w:val="20"/>
          <w:szCs w:val="20"/>
          <w:color w:val="auto"/>
        </w:rPr>
      </w:pPr>
      <w:r>
        <w:rPr>
          <w:rFonts w:ascii="Arial" w:cs="Arial" w:eastAsia="Arial" w:hAnsi="Arial"/>
          <w:sz w:val="18"/>
          <w:szCs w:val="18"/>
          <w:color w:val="auto"/>
        </w:rPr>
        <w:t>stock units with an intended “value” (based on the average of the closing prices of our common stock for the 30 trading days ending one week before the applicable grant date) of $250,000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w:t>
      </w:r>
    </w:p>
    <w:p>
      <w:pPr>
        <w:spacing w:after="0" w:line="18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(as defined in our 2012 Equity Incentive Plan) of Qualys.</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Cash Compensation</w:t>
      </w:r>
    </w:p>
    <w:p>
      <w:pPr>
        <w:spacing w:after="0" w:line="102" w:lineRule="exact"/>
        <w:rPr>
          <w:sz w:val="20"/>
          <w:szCs w:val="20"/>
          <w:color w:val="auto"/>
        </w:rPr>
      </w:pPr>
    </w:p>
    <w:p>
      <w:pPr>
        <w:jc w:val="both"/>
        <w:ind w:left="500" w:right="539" w:firstLine="360"/>
        <w:spacing w:after="0" w:line="244" w:lineRule="auto"/>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$35,000 for serving on our board of directors (the “Annual Retainer”). In addition to the Annual Retainer, the non-employee Chair of the Board is entitled to an additional cash retainer of $50,000. The chairpersons and members of our board’s three standing committees are entitled to the following cash retainers each year:</w:t>
      </w:r>
    </w:p>
    <w:p>
      <w:pPr>
        <w:spacing w:after="0" w:line="128" w:lineRule="exact"/>
        <w:rPr>
          <w:sz w:val="20"/>
          <w:szCs w:val="20"/>
          <w:color w:val="auto"/>
        </w:rPr>
      </w:pPr>
    </w:p>
    <w:tbl>
      <w:tblPr>
        <w:tblLayout w:type="fixed"/>
        <w:tblInd w:w="1580" w:type="dxa"/>
        <w:tblCellMar>
          <w:top w:w="0" w:type="dxa"/>
          <w:left w:w="0" w:type="dxa"/>
          <w:bottom w:w="0" w:type="dxa"/>
          <w:right w:w="0" w:type="dxa"/>
        </w:tblCellMar>
      </w:tblPr>
      <w:tr>
        <w:trPr>
          <w:trHeight w:val="261"/>
        </w:trPr>
        <w:tc>
          <w:tcPr>
            <w:tcW w:w="3640" w:type="dxa"/>
            <w:vAlign w:val="bottom"/>
            <w:shd w:val="clear" w:color="auto" w:fill="1D3965"/>
          </w:tcPr>
          <w:p>
            <w:pPr>
              <w:spacing w:after="0"/>
              <w:rPr>
                <w:sz w:val="22"/>
                <w:szCs w:val="22"/>
                <w:color w:val="auto"/>
              </w:rPr>
            </w:pPr>
          </w:p>
        </w:tc>
        <w:tc>
          <w:tcPr>
            <w:tcW w:w="1260" w:type="dxa"/>
            <w:vAlign w:val="bottom"/>
            <w:shd w:val="clear" w:color="auto" w:fill="1D3965"/>
          </w:tcPr>
          <w:p>
            <w:pPr>
              <w:jc w:val="right"/>
              <w:ind w:right="57"/>
              <w:spacing w:after="0"/>
              <w:rPr>
                <w:sz w:val="20"/>
                <w:szCs w:val="20"/>
                <w:color w:val="auto"/>
              </w:rPr>
            </w:pPr>
            <w:r>
              <w:rPr>
                <w:rFonts w:ascii="Arial" w:cs="Arial" w:eastAsia="Arial" w:hAnsi="Arial"/>
                <w:sz w:val="14"/>
                <w:szCs w:val="14"/>
                <w:b w:val="1"/>
                <w:bCs w:val="1"/>
                <w:color w:val="FFFFFF"/>
              </w:rPr>
              <w:t>Chairperson</w:t>
            </w:r>
          </w:p>
        </w:tc>
        <w:tc>
          <w:tcPr>
            <w:tcW w:w="940" w:type="dxa"/>
            <w:vAlign w:val="bottom"/>
            <w:shd w:val="clear" w:color="auto" w:fill="1D3965"/>
          </w:tcPr>
          <w:p>
            <w:pPr>
              <w:jc w:val="right"/>
              <w:ind w:right="157"/>
              <w:spacing w:after="0"/>
              <w:rPr>
                <w:sz w:val="20"/>
                <w:szCs w:val="20"/>
                <w:color w:val="auto"/>
              </w:rPr>
            </w:pPr>
            <w:r>
              <w:rPr>
                <w:rFonts w:ascii="Arial" w:cs="Arial" w:eastAsia="Arial" w:hAnsi="Arial"/>
                <w:sz w:val="14"/>
                <w:szCs w:val="14"/>
                <w:b w:val="1"/>
                <w:bCs w:val="1"/>
                <w:color w:val="FFFFFF"/>
              </w:rPr>
              <w:t>Member</w:t>
            </w:r>
          </w:p>
        </w:tc>
      </w:tr>
      <w:tr>
        <w:trPr>
          <w:trHeight w:val="232"/>
        </w:trPr>
        <w:tc>
          <w:tcPr>
            <w:tcW w:w="3640" w:type="dxa"/>
            <w:vAlign w:val="bottom"/>
            <w:tcBorders>
              <w:bottom w:val="single" w:sz="8" w:color="1D3965"/>
            </w:tcBorders>
            <w:shd w:val="clear" w:color="auto" w:fill="1D3965"/>
          </w:tcPr>
          <w:p>
            <w:pPr>
              <w:ind w:left="180"/>
              <w:spacing w:after="0"/>
              <w:rPr>
                <w:sz w:val="20"/>
                <w:szCs w:val="20"/>
                <w:color w:val="auto"/>
              </w:rPr>
            </w:pPr>
            <w:r>
              <w:rPr>
                <w:rFonts w:ascii="Arial" w:cs="Arial" w:eastAsia="Arial" w:hAnsi="Arial"/>
                <w:sz w:val="14"/>
                <w:szCs w:val="14"/>
                <w:b w:val="1"/>
                <w:bCs w:val="1"/>
                <w:color w:val="FFFFFF"/>
              </w:rPr>
              <w:t>Board Committee</w:t>
            </w:r>
          </w:p>
        </w:tc>
        <w:tc>
          <w:tcPr>
            <w:tcW w:w="1260" w:type="dxa"/>
            <w:vAlign w:val="bottom"/>
            <w:tcBorders>
              <w:bottom w:val="single" w:sz="8" w:color="1D3965"/>
            </w:tcBorders>
            <w:shd w:val="clear" w:color="auto" w:fill="1D3965"/>
          </w:tcPr>
          <w:p>
            <w:pPr>
              <w:jc w:val="right"/>
              <w:ind w:right="197"/>
              <w:spacing w:after="0"/>
              <w:rPr>
                <w:sz w:val="20"/>
                <w:szCs w:val="20"/>
                <w:color w:val="auto"/>
              </w:rPr>
            </w:pPr>
            <w:r>
              <w:rPr>
                <w:rFonts w:ascii="Arial" w:cs="Arial" w:eastAsia="Arial" w:hAnsi="Arial"/>
                <w:sz w:val="14"/>
                <w:szCs w:val="14"/>
                <w:b w:val="1"/>
                <w:bCs w:val="1"/>
                <w:color w:val="FFFFFF"/>
              </w:rPr>
              <w:t>Retainer</w:t>
            </w:r>
          </w:p>
        </w:tc>
        <w:tc>
          <w:tcPr>
            <w:tcW w:w="940" w:type="dxa"/>
            <w:vAlign w:val="bottom"/>
            <w:tcBorders>
              <w:bottom w:val="single" w:sz="8" w:color="1D3965"/>
            </w:tcBorders>
            <w:shd w:val="clear" w:color="auto" w:fill="1D3965"/>
          </w:tcPr>
          <w:p>
            <w:pPr>
              <w:jc w:val="right"/>
              <w:ind w:right="137"/>
              <w:spacing w:after="0"/>
              <w:rPr>
                <w:sz w:val="20"/>
                <w:szCs w:val="20"/>
                <w:color w:val="auto"/>
              </w:rPr>
            </w:pPr>
            <w:r>
              <w:rPr>
                <w:rFonts w:ascii="Arial" w:cs="Arial" w:eastAsia="Arial" w:hAnsi="Arial"/>
                <w:sz w:val="14"/>
                <w:szCs w:val="14"/>
                <w:b w:val="1"/>
                <w:bCs w:val="1"/>
                <w:color w:val="FFFFFF"/>
              </w:rPr>
              <w:t>Retainer</w:t>
            </w:r>
          </w:p>
        </w:tc>
      </w:tr>
      <w:tr>
        <w:trPr>
          <w:trHeight w:val="288"/>
        </w:trPr>
        <w:tc>
          <w:tcPr>
            <w:tcW w:w="3640" w:type="dxa"/>
            <w:vAlign w:val="bottom"/>
          </w:tcPr>
          <w:p>
            <w:pPr>
              <w:ind w:left="180"/>
              <w:spacing w:after="0"/>
              <w:rPr>
                <w:sz w:val="20"/>
                <w:szCs w:val="20"/>
                <w:color w:val="auto"/>
              </w:rPr>
            </w:pPr>
            <w:r>
              <w:rPr>
                <w:rFonts w:ascii="Arial" w:cs="Arial" w:eastAsia="Arial" w:hAnsi="Arial"/>
                <w:sz w:val="18"/>
                <w:szCs w:val="18"/>
                <w:color w:val="auto"/>
              </w:rPr>
              <w:t>Audit and Risk Committee</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$20,000</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$10,000</w:t>
            </w:r>
          </w:p>
        </w:tc>
      </w:tr>
      <w:tr>
        <w:trPr>
          <w:trHeight w:val="337"/>
        </w:trPr>
        <w:tc>
          <w:tcPr>
            <w:tcW w:w="3640" w:type="dxa"/>
            <w:vAlign w:val="bottom"/>
          </w:tcPr>
          <w:p>
            <w:pPr>
              <w:ind w:left="180"/>
              <w:spacing w:after="0"/>
              <w:rPr>
                <w:sz w:val="20"/>
                <w:szCs w:val="20"/>
                <w:color w:val="auto"/>
              </w:rPr>
            </w:pPr>
            <w:r>
              <w:rPr>
                <w:rFonts w:ascii="Arial" w:cs="Arial" w:eastAsia="Arial" w:hAnsi="Arial"/>
                <w:sz w:val="18"/>
                <w:szCs w:val="18"/>
                <w:color w:val="auto"/>
              </w:rPr>
              <w:t>Compensation and Talent Committee</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15,000</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7,500</w:t>
            </w:r>
          </w:p>
        </w:tc>
      </w:tr>
      <w:tr>
        <w:trPr>
          <w:trHeight w:val="338"/>
        </w:trPr>
        <w:tc>
          <w:tcPr>
            <w:tcW w:w="3640" w:type="dxa"/>
            <w:vAlign w:val="bottom"/>
          </w:tcPr>
          <w:p>
            <w:pPr>
              <w:ind w:left="180"/>
              <w:spacing w:after="0"/>
              <w:rPr>
                <w:sz w:val="20"/>
                <w:szCs w:val="20"/>
                <w:color w:val="auto"/>
              </w:rPr>
            </w:pPr>
            <w:r>
              <w:rPr>
                <w:rFonts w:ascii="Arial" w:cs="Arial" w:eastAsia="Arial" w:hAnsi="Arial"/>
                <w:sz w:val="18"/>
                <w:szCs w:val="18"/>
                <w:color w:val="auto"/>
              </w:rPr>
              <w:t>Nominating and Governance Committee</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10,000</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5,000</w:t>
            </w:r>
          </w:p>
        </w:tc>
      </w:tr>
    </w:tbl>
    <w:p>
      <w:pPr>
        <w:spacing w:after="0" w:line="180"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 unless otherwise approved by the board of directors.</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Insider Trading Policies (Including Hedging and Pledging Policy)</w:t>
      </w:r>
    </w:p>
    <w:p>
      <w:pPr>
        <w:spacing w:after="0" w:line="102"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We maintain insider trading policies and procedures governing the purchase, sale, and other dispositions of Company securities that are applicable to all of our directors, officers, employees and advisors (such as consultants and contractors), and all members of their immediate families and households. Our insider trading policies and procedures are reasonably designed to promote compliance with insider trading laws, rules and regulations, and the Nasdaq listing standards. Our insider trading policy prohibits, among other things, our non-employee directors and executive officers from trading in derivative securities (including hedging) with respect to our common stock, pledging Company securities as collateral, or holding company securities in a margin account. In addition, with regard to the Company’s trading in its own securities, it is the Company’s policy to comply with the federal securities laws and the applicable exchange listing requirements.</w:t>
      </w:r>
    </w:p>
    <w:p>
      <w:pPr>
        <w:spacing w:after="0" w:line="26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In February 2019, we adopted our stock ownership guidelines that set minimum stock ownership requirements for our non-employee directors and executive officers, in order to more closely align their interests with the long-term interests of our stockholders. In October 2024, we amended our stock ownership guidelines to increase the number of shares of our common stock each non-employee director is required to own from a value equal to at least five times the value of his or her Annual Retainer to a value equal to at least six times the value of his or Annual Retainer (not including any additional fees received for committee service, board chair or lead independent director service, 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jc w:val="both"/>
        <w:ind w:left="500" w:right="519"/>
        <w:spacing w:after="0" w:line="252" w:lineRule="auto"/>
        <w:rPr>
          <w:sz w:val="20"/>
          <w:szCs w:val="20"/>
          <w:color w:val="auto"/>
        </w:rPr>
      </w:pPr>
      <w:r>
        <w:rPr>
          <w:rFonts w:ascii="Arial" w:cs="Arial" w:eastAsia="Arial" w:hAnsi="Arial"/>
          <w:sz w:val="18"/>
          <w:szCs w:val="18"/>
          <w:color w:val="auto"/>
        </w:rPr>
        <w:t>meeting attendance). Only shares of the Company’s common stock (including shares beneficially owned) count towards satisfaction of the stock ownership levels. Consistent with emerging best practices, vested and exercisable stock options do not count towards satisfying the guidelines.</w:t>
      </w:r>
    </w:p>
    <w:p>
      <w:pPr>
        <w:spacing w:after="0" w:line="171"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Each non-employee director must satisfy his or her applicable ownership level within five years of becoming a director. Compliance with these guidelines is measured based on the non-employee director’s Annual Retainer and the closing market price of our common stock, in each case as of December 31st of each year (or the next trading day if December 31st is not a trading day). Unless and until a director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As of December 31, 2025, all of our non-employee directors were in compliance with our stock ownership guidelines or within the grace period for compliance. Mr. Berquist, who joined board in August of 2023, has until August of 2028 to be in compliance with our stock ownership guidelines. Mr. Brooks, who joined board in October of 2025, has until October of 2030 to be in compliance with our stock ownership guidelines.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3720"/>
        <w:spacing w:after="0"/>
        <w:rPr>
          <w:sz w:val="20"/>
          <w:szCs w:val="20"/>
          <w:color w:val="auto"/>
        </w:rPr>
      </w:pPr>
      <w:r>
        <w:rPr>
          <w:rFonts w:ascii="Arial" w:cs="Arial" w:eastAsia="Arial" w:hAnsi="Arial"/>
          <w:sz w:val="18"/>
          <w:szCs w:val="18"/>
          <w:b w:val="1"/>
          <w:bCs w:val="1"/>
          <w:color w:val="auto"/>
        </w:rPr>
        <w:t>PROPOSAL NO. 1</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ELECTION OF DIRECTORS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Number of Directors; Board Structure</w:t>
      </w:r>
    </w:p>
    <w:p>
      <w:pPr>
        <w:spacing w:after="0" w:line="104"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Our board of directors is currently composed of seven members. Our board of directors is divided into three staggered classes of directors. At each annual meeting of stockholders, a class of directors will be elected for a three-year term to succeed the same class whose term is then expiring. The term of the Class II directors expires at the Annual Meeting, the term of the Class III directors expires at the 2027 annual meeting, and the term of the Class I directors expires at the 2028 annual meeting.</w:t>
      </w:r>
    </w:p>
    <w:p>
      <w:pPr>
        <w:spacing w:after="0" w:line="35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Nominees</w:t>
      </w:r>
    </w:p>
    <w:p>
      <w:pPr>
        <w:spacing w:after="0" w:line="104"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Our Nominating and Governance Committee has recommended, and our board of directors has approved Bradford L. Brooks, Wendy M. Pfeiffer, and John A. Zangardi as nominees for election as Class II directors at the Annual Meeting. If elected, Mr. Brooks, Ms. Pfeiffer and Dr. Zangardi will serve as Class II directors until the 2029 annual meeting of stockholders and until their successors are duly elected and qualified, subject to their earlier death, resignation, or removal. Each of the nominees currently serves on our board of directors as a Class II director. For information concerning the nominees, please see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above.</w:t>
      </w:r>
    </w:p>
    <w:p>
      <w:pPr>
        <w:spacing w:after="0" w:line="185"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Mr. Brooks, Ms. Pfeiffer and Dr. Zangardi, each of whom has consented to being named as a nominee in this proxy statement and to serve as a director, if elected. If, at the time of the Annual Meeting, any nominee is unable or declines to serve as a director, the discretionary authority provided in the enclosed proxy will be exercised to vote for a substitute candidate designated by our board of directors, unless the board chooses to reduce its own size. Our board of directors has no reason to believe that any of the nominees will be unable or will decline to serve if elected. If you are a street name stockholder and you do not give voting instructions to your broker, bank, or other nominee, your broker, bank, or other nominee will leave your shares unvoted on this matter.</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NOMINEES NAMED ABOVE.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Audit and Risk Committee has appointed Grant Thornton LLP (“Grant Thornton”), independent registered public accountants, to audit our financial statements for our fiscal year ending December 31, 2026. Grant Thornton has audited our financial statements since 2005. At the Annual Meeting, our stockholders are being asked to ratify the appointment of Grant Thornton as our independent registered public accounting firm for our fiscal year ending December 31, 2026.</w:t>
      </w:r>
    </w:p>
    <w:p>
      <w:pPr>
        <w:spacing w:after="0" w:line="176"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Our Audit and Risk Committee is submitting the selection of Grant Thornton to our stockholders because we value our stockholders’ views on our independent registered public accounting firm and as a matter of good corporate governance. If the stockholders do not ratify the appointment of Grant Thornton, our board of directors may reconsider the appointment. Notwithstanding its selection and even if our stockholders ratify the selection, our Audit and Risk Committee, in its discretion, may appoint another independent registered public accounting firm at any time during the year if it believes that such a change would be in the best interests of Qualys and its stockholders.</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Representatives of Grant Thornton will be present at the Annual Meeting, and they will have an opportunity to make statements and will be available to respond to appropriate questions from stockholders.</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04"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following table presents fees for services rendered to Qualys by Grant Thornton for the fiscal years ended December 31, 2024 and 2025. During such fiscal years, Grant Thornton did not render any services to Qualys other than professional audit services.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331"/>
        </w:trPr>
        <w:tc>
          <w:tcPr>
            <w:tcW w:w="3580" w:type="dxa"/>
            <w:vAlign w:val="bottom"/>
            <w:tcBorders>
              <w:bottom w:val="single" w:sz="8" w:color="1D3965"/>
            </w:tcBorders>
            <w:shd w:val="clear" w:color="auto" w:fill="1D3965"/>
          </w:tcPr>
          <w:p>
            <w:pPr>
              <w:spacing w:after="0"/>
              <w:rPr>
                <w:sz w:val="24"/>
                <w:szCs w:val="24"/>
                <w:color w:val="auto"/>
              </w:rPr>
            </w:pPr>
          </w:p>
        </w:tc>
        <w:tc>
          <w:tcPr>
            <w:tcW w:w="3360" w:type="dxa"/>
            <w:vAlign w:val="bottom"/>
            <w:tcBorders>
              <w:bottom w:val="single" w:sz="8" w:color="1D3965"/>
            </w:tcBorders>
            <w:shd w:val="clear" w:color="auto" w:fill="1D3965"/>
          </w:tcPr>
          <w:p>
            <w:pPr>
              <w:jc w:val="right"/>
              <w:ind w:right="319"/>
              <w:spacing w:after="0"/>
              <w:rPr>
                <w:sz w:val="20"/>
                <w:szCs w:val="20"/>
                <w:color w:val="auto"/>
              </w:rPr>
            </w:pPr>
            <w:r>
              <w:rPr>
                <w:rFonts w:ascii="Arial" w:cs="Arial" w:eastAsia="Arial" w:hAnsi="Arial"/>
                <w:sz w:val="14"/>
                <w:szCs w:val="14"/>
                <w:b w:val="1"/>
                <w:bCs w:val="1"/>
                <w:color w:val="FFFFFF"/>
              </w:rPr>
              <w:t>2024</w:t>
            </w:r>
          </w:p>
        </w:tc>
        <w:tc>
          <w:tcPr>
            <w:tcW w:w="1060" w:type="dxa"/>
            <w:vAlign w:val="bottom"/>
            <w:tcBorders>
              <w:bottom w:val="single" w:sz="8" w:color="1D3965"/>
            </w:tcBorders>
            <w:shd w:val="clear" w:color="auto" w:fill="1D3965"/>
          </w:tcPr>
          <w:p>
            <w:pPr>
              <w:jc w:val="right"/>
              <w:ind w:right="279"/>
              <w:spacing w:after="0"/>
              <w:rPr>
                <w:sz w:val="20"/>
                <w:szCs w:val="20"/>
                <w:color w:val="auto"/>
              </w:rPr>
            </w:pPr>
            <w:r>
              <w:rPr>
                <w:rFonts w:ascii="Arial" w:cs="Arial" w:eastAsia="Arial" w:hAnsi="Arial"/>
                <w:sz w:val="14"/>
                <w:szCs w:val="14"/>
                <w:b w:val="1"/>
                <w:bCs w:val="1"/>
                <w:color w:val="FFFFFF"/>
              </w:rPr>
              <w:t>2025</w:t>
            </w:r>
          </w:p>
        </w:tc>
      </w:tr>
      <w:tr>
        <w:trPr>
          <w:trHeight w:val="454"/>
        </w:trPr>
        <w:tc>
          <w:tcPr>
            <w:tcW w:w="3580" w:type="dxa"/>
            <w:vAlign w:val="bottom"/>
          </w:tcPr>
          <w:p>
            <w:pPr>
              <w:ind w:left="180"/>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360" w:type="dxa"/>
            <w:vAlign w:val="bottom"/>
          </w:tcPr>
          <w:p>
            <w:pPr>
              <w:jc w:val="right"/>
              <w:ind w:right="19"/>
              <w:spacing w:after="0"/>
              <w:rPr>
                <w:sz w:val="20"/>
                <w:szCs w:val="20"/>
                <w:color w:val="auto"/>
              </w:rPr>
            </w:pPr>
            <w:r>
              <w:rPr>
                <w:rFonts w:ascii="Arial" w:cs="Arial" w:eastAsia="Arial" w:hAnsi="Arial"/>
                <w:sz w:val="18"/>
                <w:szCs w:val="18"/>
                <w:color w:val="auto"/>
              </w:rPr>
              <w:t>$1,885,268</w:t>
            </w:r>
          </w:p>
        </w:tc>
        <w:tc>
          <w:tcPr>
            <w:tcW w:w="1060" w:type="dxa"/>
            <w:vAlign w:val="bottom"/>
          </w:tcPr>
          <w:p>
            <w:pPr>
              <w:jc w:val="right"/>
              <w:spacing w:after="0"/>
              <w:rPr>
                <w:sz w:val="20"/>
                <w:szCs w:val="20"/>
                <w:color w:val="auto"/>
              </w:rPr>
            </w:pPr>
            <w:r>
              <w:rPr>
                <w:rFonts w:ascii="Arial" w:cs="Arial" w:eastAsia="Arial" w:hAnsi="Arial"/>
                <w:sz w:val="18"/>
                <w:szCs w:val="18"/>
                <w:color w:val="auto"/>
              </w:rPr>
              <w:t>$1,842,510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28575</wp:posOffset>
            </wp:positionV>
            <wp:extent cx="480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28" w:lineRule="exact"/>
        <w:rPr>
          <w:sz w:val="20"/>
          <w:szCs w:val="20"/>
          <w:color w:val="auto"/>
        </w:rPr>
      </w:pPr>
    </w:p>
    <w:p>
      <w:pPr>
        <w:jc w:val="both"/>
        <w:ind w:left="860" w:right="519" w:hanging="352"/>
        <w:spacing w:after="0" w:line="24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33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Auditor Independence</w:t>
      </w:r>
    </w:p>
    <w:p>
      <w:pPr>
        <w:spacing w:after="0" w:line="104"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In 2025, there were no other professional services provided by Grant Thornton that would have required the Audit and Risk Committee to consider their compatibility with maintaining the independence of Grant Thornton.</w:t>
      </w:r>
    </w:p>
    <w:p>
      <w:pPr>
        <w:spacing w:after="0" w:line="317" w:lineRule="exact"/>
        <w:rPr>
          <w:sz w:val="20"/>
          <w:szCs w:val="20"/>
          <w:color w:val="auto"/>
        </w:rPr>
      </w:pPr>
    </w:p>
    <w:p>
      <w:pPr>
        <w:ind w:left="500" w:right="1159"/>
        <w:spacing w:after="0" w:line="281" w:lineRule="auto"/>
        <w:rPr>
          <w:sz w:val="20"/>
          <w:szCs w:val="20"/>
          <w:color w:val="auto"/>
        </w:rPr>
      </w:pPr>
      <w:r>
        <w:rPr>
          <w:rFonts w:ascii="Arial" w:cs="Arial" w:eastAsia="Arial" w:hAnsi="Arial"/>
          <w:sz w:val="18"/>
          <w:szCs w:val="18"/>
          <w:b w:val="1"/>
          <w:bCs w:val="1"/>
          <w:color w:val="auto"/>
        </w:rPr>
        <w:t>Audit and Risk Committee Policy on Pre-Approval of Audit and Permissible Non-Audit Services of Independent Registered Public Accounting Firm</w:t>
      </w:r>
    </w:p>
    <w:p>
      <w:pPr>
        <w:spacing w:after="0" w:line="28"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Consistent with requirements of the SEC and the Public Company Accounting Oversight Board, or PCAOB, regarding auditor independence, our Audit and Risk Committee is responsible for the appointment, compensation and oversight of the work of our independent registered public accounting firm. In recognition of this responsibility, the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jc w:val="both"/>
        <w:ind w:left="500" w:right="519" w:firstLine="360"/>
        <w:spacing w:after="0" w:line="246"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our Audit and Risk Committee for approval:</w:t>
      </w:r>
    </w:p>
    <w:p>
      <w:pPr>
        <w:spacing w:after="0" w:line="69" w:lineRule="exact"/>
        <w:rPr>
          <w:sz w:val="20"/>
          <w:szCs w:val="20"/>
          <w:color w:val="auto"/>
        </w:rPr>
      </w:pPr>
    </w:p>
    <w:p>
      <w:pPr>
        <w:jc w:val="both"/>
        <w:ind w:left="1220" w:right="519" w:hanging="280"/>
        <w:spacing w:after="0" w:line="225" w:lineRule="auto"/>
        <w:tabs>
          <w:tab w:leader="none" w:pos="122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internal control over financial reporting, the review of financial statements included in our quarterly reports, as well as work that is normally provided by the independent registered public accounting firm in connection with statutory and regulatory filings.</w:t>
      </w:r>
    </w:p>
    <w:p>
      <w:pPr>
        <w:spacing w:after="0" w:line="74"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reasonably related to the performance of the audit or review of our financial statements and are not covered above under “audit services.”</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firm’s tax personnel for tax compliance, tax advice and tax planning.</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Our Audit and Risk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committee before the independent registered public accounting firm is engaged. Pre-approval fee levels or budgeted amounts for all services to be provided by the independent registered public accounting firm are established annually by the committee, and any proposed services exceeding these levels or amounts require specific pre-approval by the committee.</w:t>
      </w:r>
    </w:p>
    <w:p>
      <w:pPr>
        <w:spacing w:after="0" w:line="221" w:lineRule="exact"/>
        <w:rPr>
          <w:sz w:val="20"/>
          <w:szCs w:val="20"/>
          <w:color w:val="auto"/>
        </w:rPr>
      </w:pPr>
    </w:p>
    <w:p>
      <w:pPr>
        <w:jc w:val="center"/>
        <w:ind w:left="500" w:right="559"/>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GRANT THORNTON LLP.</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PROPOSAL NO. 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APPROVAL OF NAMED EXECUTIVE OFFICER COMPENSATION</w:t>
      </w:r>
    </w:p>
    <w:p>
      <w:pPr>
        <w:spacing w:after="0" w:line="19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The Securities Exchange Act of 1934, as amended (the “Exchange Act”), enables our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provide our stockholders with the opportunity to vote on the compensation of our named executive officers every year and expect that the next vote on executive compensation will be at the 2027 Annual Meeting of Stockholders.</w:t>
      </w:r>
    </w:p>
    <w:p>
      <w:pPr>
        <w:spacing w:after="0" w:line="180"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The Say-on-Pay vote is advisory, and therefore is not binding on us, our Compensation and Talent Committee or our board of directors. The Say-on-Pay vote will, however, provide information to us regarding investor sentiment about our executive compensation philosophy, policies and practices, which our Compensation and Talent Committee will be able to consider when determining executive compensation for the remainder of the current fiscal year and beyond. Our board of directors and our Compensation and Talent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and our Compensation and Talent Committee will consider our stockholders’ concerns and evaluate whether any actions are necessary to address those concerns.</w:t>
      </w:r>
    </w:p>
    <w:p>
      <w:pPr>
        <w:spacing w:after="0" w:line="186"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believe that the information provided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and in particular the information discussed in the section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Compensation—Compensation Discussion and Analysis—Philosophy and Objectives</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page </w:t>
      </w:r>
      <w:r>
        <w:rPr>
          <w:rFonts w:ascii="Arial" w:cs="Arial" w:eastAsia="Arial" w:hAnsi="Arial"/>
          <w:sz w:val="18"/>
          <w:szCs w:val="18"/>
          <w:u w:val="single" w:color="auto"/>
          <w:color w:val="0000EE"/>
        </w:rPr>
        <w:t>45</w:t>
      </w:r>
      <w:r>
        <w:rPr>
          <w:rFonts w:ascii="Arial" w:cs="Arial" w:eastAsia="Arial" w:hAnsi="Arial"/>
          <w:sz w:val="18"/>
          <w:szCs w:val="18"/>
          <w:color w:val="auto"/>
        </w:rPr>
        <w:t xml:space="preserve">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85"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214" w:lineRule="exact"/>
        <w:rPr>
          <w:sz w:val="20"/>
          <w:szCs w:val="20"/>
          <w:color w:val="auto"/>
        </w:rPr>
      </w:pPr>
    </w:p>
    <w:p>
      <w:pPr>
        <w:jc w:val="center"/>
        <w:ind w:left="500" w:right="559"/>
        <w:spacing w:after="0" w:line="257"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NAMED EXECUTIVE OFFICER COMPENSATION AS DESCRIBED IN THIS PROXY STATEMENT.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18"/>
          <w:szCs w:val="18"/>
          <w:b w:val="1"/>
          <w:bCs w:val="1"/>
          <w:color w:val="auto"/>
        </w:rPr>
        <w:t>PROPOSAL NO. 4</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APPROVAL OF THE QUALYS, INC. 2012 EQUITY INCENTIVE PLAN,</w:t>
      </w:r>
    </w:p>
    <w:p>
      <w:pPr>
        <w:jc w:val="center"/>
        <w:ind w:right="20"/>
        <w:spacing w:after="0"/>
        <w:rPr>
          <w:sz w:val="20"/>
          <w:szCs w:val="20"/>
          <w:color w:val="auto"/>
        </w:rPr>
      </w:pPr>
      <w:r>
        <w:rPr>
          <w:rFonts w:ascii="Arial" w:cs="Arial" w:eastAsia="Arial" w:hAnsi="Arial"/>
          <w:sz w:val="18"/>
          <w:szCs w:val="18"/>
          <w:b w:val="1"/>
          <w:bCs w:val="1"/>
          <w:color w:val="auto"/>
        </w:rPr>
        <w:t>AS AMENDED AND RESTATED</w:t>
      </w:r>
    </w:p>
    <w:p>
      <w:pPr>
        <w:spacing w:after="0" w:line="194" w:lineRule="exact"/>
        <w:rPr>
          <w:sz w:val="20"/>
          <w:szCs w:val="20"/>
          <w:color w:val="auto"/>
        </w:rPr>
      </w:pPr>
    </w:p>
    <w:p>
      <w:pPr>
        <w:jc w:val="both"/>
        <w:ind w:left="1500" w:right="1520" w:firstLine="360"/>
        <w:spacing w:after="0" w:line="244" w:lineRule="auto"/>
        <w:rPr>
          <w:sz w:val="20"/>
          <w:szCs w:val="20"/>
          <w:color w:val="auto"/>
        </w:rPr>
      </w:pPr>
      <w:r>
        <w:rPr>
          <w:rFonts w:ascii="Arial" w:cs="Arial" w:eastAsia="Arial" w:hAnsi="Arial"/>
          <w:sz w:val="18"/>
          <w:szCs w:val="18"/>
          <w:color w:val="auto"/>
        </w:rPr>
        <w:t>We are asking stockholders to approve an amendment and restatement of our 2012 Equity Incentive Plan (the “2012 Plan”) to increase the number of shares of our common stock reserved for issuance under the 2012 Plan by 1,089,000 shares. Our board of directors has adopted the amended and restated 2012 Plan (the “Restated Plan”), subject to the approval of our stockholders at the Annual Meeting.</w:t>
      </w:r>
    </w:p>
    <w:p>
      <w:pPr>
        <w:spacing w:after="0" w:line="176" w:lineRule="exact"/>
        <w:rPr>
          <w:sz w:val="20"/>
          <w:szCs w:val="20"/>
          <w:color w:val="auto"/>
        </w:rPr>
      </w:pPr>
    </w:p>
    <w:p>
      <w:pPr>
        <w:jc w:val="both"/>
        <w:ind w:left="1500" w:right="1520" w:firstLine="360"/>
        <w:spacing w:after="0"/>
        <w:rPr>
          <w:sz w:val="20"/>
          <w:szCs w:val="20"/>
          <w:color w:val="auto"/>
        </w:rPr>
      </w:pPr>
      <w:r>
        <w:rPr>
          <w:rFonts w:ascii="Arial" w:cs="Arial" w:eastAsia="Arial" w:hAnsi="Arial"/>
          <w:sz w:val="18"/>
          <w:szCs w:val="18"/>
          <w:color w:val="auto"/>
        </w:rPr>
        <w:t>If the Restated Plan is not approved by our stockholders, then the current version of our 2012 Plan will remain in effect without any increase to the number of shares reserved for issuance. In that case, we will be unable to grant additional equity awards in excess of the shares currently approved and set forth in the 2012 Plan. Consequently, without stockholder approval of our Restated Plan, we believe our ability to attract and retain the individuals necessary to drive our performance and increase long-term stockholder value will be impaired. We believe, therefore, that stockholder approval of our Restated Plan is important to our continued success.</w:t>
      </w:r>
    </w:p>
    <w:p>
      <w:pPr>
        <w:spacing w:after="0" w:line="185" w:lineRule="exact"/>
        <w:rPr>
          <w:sz w:val="20"/>
          <w:szCs w:val="20"/>
          <w:color w:val="auto"/>
        </w:rPr>
      </w:pPr>
    </w:p>
    <w:p>
      <w:pPr>
        <w:jc w:val="both"/>
        <w:ind w:left="1500" w:right="1520" w:firstLine="360"/>
        <w:spacing w:after="0" w:line="253" w:lineRule="auto"/>
        <w:rPr>
          <w:sz w:val="20"/>
          <w:szCs w:val="20"/>
          <w:color w:val="auto"/>
        </w:rPr>
      </w:pPr>
      <w:r>
        <w:rPr>
          <w:rFonts w:ascii="Arial" w:cs="Arial" w:eastAsia="Arial" w:hAnsi="Arial"/>
          <w:sz w:val="18"/>
          <w:szCs w:val="18"/>
          <w:color w:val="auto"/>
        </w:rPr>
        <w:t>If stockholders approve the Restated Plan, then the Restated Plan will become effective on the date of the Annual Meeting, and the only material difference from the current version of our 2012 Plan will be the increase to the number of shares reserved for issuance:</w:t>
      </w:r>
    </w:p>
    <w:p>
      <w:pPr>
        <w:spacing w:after="0" w:line="61" w:lineRule="exact"/>
        <w:rPr>
          <w:sz w:val="20"/>
          <w:szCs w:val="20"/>
          <w:color w:val="auto"/>
        </w:rPr>
      </w:pPr>
    </w:p>
    <w:p>
      <w:pPr>
        <w:jc w:val="both"/>
        <w:ind w:left="2220" w:right="1520" w:hanging="280"/>
        <w:spacing w:after="0" w:line="230" w:lineRule="auto"/>
        <w:tabs>
          <w:tab w:leader="none" w:pos="222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Currently, the number of shares of our common stock reserved for issuance pursuant to awards granted under the 2012 Plan after the amendment and restatement of the 2012 Plan that became effective on the date of the 2022 annual meeting of stockholders (such date, the “2022 Restatement Effective Date”) is (i) 4,392,000 shares (which includes 1,092,000 shares added in 2024), plus (ii) any shares subject to awards under the version of our 2012 Plan originally adopted by our board of directors and approved by our stockholders in 2012 (the “Original Plan”) that, on or after the 2022 Restatement Effective Date, expire or otherwise terminate without having been exercised in full, or that are forfeited to or repurchased by us, with the maximum number of shares to be added to the 2012 Plan as a result of clause (ii) equal to 2,712,691 shares, minus (iii) any shares subject to awards granted under the Original Plan after March 31, 2022, but before the 2022 Restatement Effective Date;</w:t>
      </w:r>
    </w:p>
    <w:p>
      <w:pPr>
        <w:spacing w:after="0" w:line="189" w:lineRule="exact"/>
        <w:rPr>
          <w:sz w:val="20"/>
          <w:szCs w:val="20"/>
          <w:color w:val="auto"/>
        </w:rPr>
      </w:pPr>
    </w:p>
    <w:p>
      <w:pPr>
        <w:jc w:val="both"/>
        <w:ind w:left="1500" w:right="1520" w:firstLine="360"/>
        <w:spacing w:after="0" w:line="253" w:lineRule="auto"/>
        <w:rPr>
          <w:sz w:val="20"/>
          <w:szCs w:val="20"/>
          <w:color w:val="auto"/>
        </w:rPr>
      </w:pPr>
      <w:r>
        <w:rPr>
          <w:rFonts w:ascii="Arial" w:cs="Arial" w:eastAsia="Arial" w:hAnsi="Arial"/>
          <w:sz w:val="18"/>
          <w:szCs w:val="18"/>
          <w:color w:val="auto"/>
        </w:rPr>
        <w:t>As of March 31, 2026, 3,059,546 shares of our common stock have been issued under the 2012 Plan since the 2022 Restatement Effective Date, and 1,487,107 shares of our common stock remain available for issuance under the 2012 Plan.</w:t>
      </w:r>
    </w:p>
    <w:p>
      <w:pPr>
        <w:spacing w:after="0" w:line="169" w:lineRule="exact"/>
        <w:rPr>
          <w:sz w:val="20"/>
          <w:szCs w:val="20"/>
          <w:color w:val="auto"/>
        </w:rPr>
      </w:pPr>
    </w:p>
    <w:p>
      <w:pPr>
        <w:jc w:val="both"/>
        <w:ind w:left="1500" w:right="1520" w:firstLine="360"/>
        <w:spacing w:after="0" w:line="271" w:lineRule="auto"/>
        <w:rPr>
          <w:sz w:val="20"/>
          <w:szCs w:val="20"/>
          <w:color w:val="auto"/>
        </w:rPr>
      </w:pPr>
      <w:r>
        <w:rPr>
          <w:rFonts w:ascii="Arial" w:cs="Arial" w:eastAsia="Arial" w:hAnsi="Arial"/>
          <w:sz w:val="18"/>
          <w:szCs w:val="18"/>
          <w:color w:val="auto"/>
        </w:rPr>
        <w:t>In determining and recommending the increase to the share reserve under the Restated Plan, our board of directors considered the following factors.</w:t>
      </w:r>
    </w:p>
    <w:p>
      <w:pPr>
        <w:spacing w:after="0" w:line="194" w:lineRule="exact"/>
        <w:rPr>
          <w:sz w:val="20"/>
          <w:szCs w:val="20"/>
          <w:color w:val="auto"/>
        </w:rPr>
      </w:pPr>
    </w:p>
    <w:p>
      <w:pPr>
        <w:ind w:left="1860"/>
        <w:spacing w:after="0"/>
        <w:rPr>
          <w:sz w:val="20"/>
          <w:szCs w:val="20"/>
          <w:color w:val="auto"/>
        </w:rPr>
      </w:pPr>
      <w:r>
        <w:rPr>
          <w:rFonts w:ascii="Arial" w:cs="Arial" w:eastAsia="Arial" w:hAnsi="Arial"/>
          <w:sz w:val="18"/>
          <w:szCs w:val="18"/>
          <w:u w:val="single" w:color="auto"/>
          <w:color w:val="auto"/>
        </w:rPr>
        <w:t>Available and Outstanding Share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00" w:type="dxa"/>
            <w:vAlign w:val="bottom"/>
          </w:tcPr>
          <w:p>
            <w:pPr>
              <w:spacing w:after="0"/>
              <w:rPr>
                <w:sz w:val="22"/>
                <w:szCs w:val="22"/>
                <w:color w:val="auto"/>
              </w:rPr>
            </w:pPr>
          </w:p>
        </w:tc>
        <w:tc>
          <w:tcPr>
            <w:tcW w:w="1380" w:type="dxa"/>
            <w:vAlign w:val="bottom"/>
            <w:shd w:val="clear" w:color="auto" w:fill="1D3965"/>
          </w:tcPr>
          <w:p>
            <w:pPr>
              <w:spacing w:after="0"/>
              <w:rPr>
                <w:sz w:val="22"/>
                <w:szCs w:val="22"/>
                <w:color w:val="auto"/>
              </w:rPr>
            </w:pPr>
          </w:p>
        </w:tc>
        <w:tc>
          <w:tcPr>
            <w:tcW w:w="1620" w:type="dxa"/>
            <w:vAlign w:val="bottom"/>
            <w:shd w:val="clear" w:color="auto" w:fill="1D3965"/>
          </w:tcPr>
          <w:p>
            <w:pPr>
              <w:jc w:val="center"/>
              <w:ind w:left="165"/>
              <w:spacing w:after="0"/>
              <w:rPr>
                <w:sz w:val="20"/>
                <w:szCs w:val="20"/>
                <w:color w:val="auto"/>
              </w:rPr>
            </w:pPr>
            <w:r>
              <w:rPr>
                <w:rFonts w:ascii="Arial" w:cs="Arial" w:eastAsia="Arial" w:hAnsi="Arial"/>
                <w:sz w:val="14"/>
                <w:szCs w:val="14"/>
                <w:b w:val="1"/>
                <w:bCs w:val="1"/>
                <w:color w:val="FFFFFF"/>
                <w:w w:val="99"/>
              </w:rPr>
              <w:t>Number of</w:t>
            </w:r>
          </w:p>
        </w:tc>
        <w:tc>
          <w:tcPr>
            <w:tcW w:w="1240" w:type="dxa"/>
            <w:vAlign w:val="bottom"/>
            <w:shd w:val="clear" w:color="auto" w:fill="1D3965"/>
          </w:tcPr>
          <w:p>
            <w:pPr>
              <w:spacing w:after="0"/>
              <w:rPr>
                <w:sz w:val="22"/>
                <w:szCs w:val="22"/>
                <w:color w:val="auto"/>
              </w:rPr>
            </w:pPr>
          </w:p>
        </w:tc>
        <w:tc>
          <w:tcPr>
            <w:tcW w:w="1120" w:type="dxa"/>
            <w:vAlign w:val="bottom"/>
            <w:shd w:val="clear" w:color="auto" w:fill="1D3965"/>
          </w:tcPr>
          <w:p>
            <w:pPr>
              <w:spacing w:after="0"/>
              <w:rPr>
                <w:sz w:val="22"/>
                <w:szCs w:val="22"/>
                <w:color w:val="auto"/>
              </w:rPr>
            </w:pPr>
          </w:p>
        </w:tc>
        <w:tc>
          <w:tcPr>
            <w:tcW w:w="1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 Full</w:t>
            </w:r>
          </w:p>
        </w:tc>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c>
          <w:tcPr>
            <w:tcW w:w="1520" w:type="dxa"/>
            <w:vAlign w:val="bottom"/>
          </w:tcPr>
          <w:p>
            <w:pPr>
              <w:spacing w:after="0"/>
              <w:rPr>
                <w:sz w:val="22"/>
                <w:szCs w:val="22"/>
                <w:color w:val="auto"/>
              </w:rPr>
            </w:pPr>
          </w:p>
        </w:tc>
      </w:tr>
      <w:tr>
        <w:trPr>
          <w:trHeight w:val="162"/>
        </w:trPr>
        <w:tc>
          <w:tcPr>
            <w:tcW w:w="1500" w:type="dxa"/>
            <w:vAlign w:val="bottom"/>
          </w:tcPr>
          <w:p>
            <w:pPr>
              <w:spacing w:after="0"/>
              <w:rPr>
                <w:sz w:val="14"/>
                <w:szCs w:val="14"/>
                <w:color w:val="auto"/>
              </w:rPr>
            </w:pPr>
          </w:p>
        </w:tc>
        <w:tc>
          <w:tcPr>
            <w:tcW w:w="1380" w:type="dxa"/>
            <w:vAlign w:val="bottom"/>
            <w:shd w:val="clear" w:color="auto" w:fill="1D3965"/>
          </w:tcPr>
          <w:p>
            <w:pPr>
              <w:spacing w:after="0"/>
              <w:rPr>
                <w:sz w:val="14"/>
                <w:szCs w:val="14"/>
                <w:color w:val="auto"/>
              </w:rPr>
            </w:pPr>
          </w:p>
        </w:tc>
        <w:tc>
          <w:tcPr>
            <w:tcW w:w="1620" w:type="dxa"/>
            <w:vAlign w:val="bottom"/>
            <w:shd w:val="clear" w:color="auto" w:fill="1D3965"/>
          </w:tcPr>
          <w:p>
            <w:pPr>
              <w:jc w:val="center"/>
              <w:ind w:left="165"/>
              <w:spacing w:after="0"/>
              <w:rPr>
                <w:sz w:val="20"/>
                <w:szCs w:val="20"/>
                <w:color w:val="auto"/>
              </w:rPr>
            </w:pPr>
            <w:r>
              <w:rPr>
                <w:rFonts w:ascii="Arial" w:cs="Arial" w:eastAsia="Arial" w:hAnsi="Arial"/>
                <w:sz w:val="14"/>
                <w:szCs w:val="14"/>
                <w:b w:val="1"/>
                <w:bCs w:val="1"/>
                <w:color w:val="FFFFFF"/>
              </w:rPr>
              <w:t>Outstanding</w:t>
            </w:r>
          </w:p>
        </w:tc>
        <w:tc>
          <w:tcPr>
            <w:tcW w:w="1240" w:type="dxa"/>
            <w:vAlign w:val="bottom"/>
            <w:shd w:val="clear" w:color="auto" w:fill="1D3965"/>
          </w:tcPr>
          <w:p>
            <w:pPr>
              <w:spacing w:after="0"/>
              <w:rPr>
                <w:sz w:val="14"/>
                <w:szCs w:val="14"/>
                <w:color w:val="auto"/>
              </w:rPr>
            </w:pPr>
          </w:p>
        </w:tc>
        <w:tc>
          <w:tcPr>
            <w:tcW w:w="1120" w:type="dxa"/>
            <w:vAlign w:val="bottom"/>
            <w:shd w:val="clear" w:color="auto" w:fill="1D3965"/>
          </w:tcPr>
          <w:p>
            <w:pPr>
              <w:spacing w:after="0"/>
              <w:rPr>
                <w:sz w:val="14"/>
                <w:szCs w:val="14"/>
                <w:color w:val="auto"/>
              </w:rPr>
            </w:pPr>
          </w:p>
        </w:tc>
        <w:tc>
          <w:tcPr>
            <w:tcW w:w="1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Value Awards</w:t>
            </w:r>
          </w:p>
        </w:tc>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w:t>
            </w:r>
          </w:p>
        </w:tc>
        <w:tc>
          <w:tcPr>
            <w:tcW w:w="15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1380" w:type="dxa"/>
            <w:vAlign w:val="bottom"/>
            <w:shd w:val="clear" w:color="auto" w:fill="1D3965"/>
          </w:tcPr>
          <w:p>
            <w:pPr>
              <w:spacing w:after="0"/>
              <w:rPr>
                <w:sz w:val="14"/>
                <w:szCs w:val="14"/>
                <w:color w:val="auto"/>
              </w:rPr>
            </w:pPr>
          </w:p>
        </w:tc>
        <w:tc>
          <w:tcPr>
            <w:tcW w:w="1620" w:type="dxa"/>
            <w:vAlign w:val="bottom"/>
            <w:shd w:val="clear" w:color="auto" w:fill="1D3965"/>
          </w:tcPr>
          <w:p>
            <w:pPr>
              <w:jc w:val="center"/>
              <w:ind w:left="165"/>
              <w:spacing w:after="0"/>
              <w:rPr>
                <w:sz w:val="20"/>
                <w:szCs w:val="20"/>
                <w:color w:val="auto"/>
              </w:rPr>
            </w:pPr>
            <w:r>
              <w:rPr>
                <w:rFonts w:ascii="Arial" w:cs="Arial" w:eastAsia="Arial" w:hAnsi="Arial"/>
                <w:sz w:val="14"/>
                <w:szCs w:val="14"/>
                <w:b w:val="1"/>
                <w:bCs w:val="1"/>
                <w:color w:val="FFFFFF"/>
              </w:rPr>
              <w:t>Appreciation</w:t>
            </w:r>
          </w:p>
        </w:tc>
        <w:tc>
          <w:tcPr>
            <w:tcW w:w="1240" w:type="dxa"/>
            <w:vAlign w:val="bottom"/>
            <w:shd w:val="clear" w:color="auto" w:fill="1D3965"/>
          </w:tcPr>
          <w:p>
            <w:pPr>
              <w:spacing w:after="0"/>
              <w:rPr>
                <w:sz w:val="14"/>
                <w:szCs w:val="14"/>
                <w:color w:val="auto"/>
              </w:rPr>
            </w:pP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Weighted-</w:t>
            </w:r>
          </w:p>
        </w:tc>
        <w:tc>
          <w:tcPr>
            <w:tcW w:w="1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Outstanding</w:t>
            </w:r>
          </w:p>
        </w:tc>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Available for</w:t>
            </w:r>
          </w:p>
        </w:tc>
        <w:tc>
          <w:tcPr>
            <w:tcW w:w="15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1380" w:type="dxa"/>
            <w:vAlign w:val="bottom"/>
            <w:shd w:val="clear" w:color="auto" w:fill="1D3965"/>
          </w:tcPr>
          <w:p>
            <w:pPr>
              <w:spacing w:after="0"/>
              <w:rPr>
                <w:sz w:val="14"/>
                <w:szCs w:val="14"/>
                <w:color w:val="auto"/>
              </w:rPr>
            </w:pPr>
          </w:p>
        </w:tc>
        <w:tc>
          <w:tcPr>
            <w:tcW w:w="1620" w:type="dxa"/>
            <w:vAlign w:val="bottom"/>
            <w:shd w:val="clear" w:color="auto" w:fill="1D3965"/>
          </w:tcPr>
          <w:p>
            <w:pPr>
              <w:jc w:val="center"/>
              <w:ind w:left="165"/>
              <w:spacing w:after="0"/>
              <w:rPr>
                <w:sz w:val="20"/>
                <w:szCs w:val="20"/>
                <w:color w:val="auto"/>
              </w:rPr>
            </w:pPr>
            <w:r>
              <w:rPr>
                <w:rFonts w:ascii="Arial" w:cs="Arial" w:eastAsia="Arial" w:hAnsi="Arial"/>
                <w:sz w:val="14"/>
                <w:szCs w:val="14"/>
                <w:b w:val="1"/>
                <w:bCs w:val="1"/>
                <w:color w:val="FFFFFF"/>
              </w:rPr>
              <w:t>Awards Under</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Weighted-</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Average</w:t>
            </w:r>
          </w:p>
        </w:tc>
        <w:tc>
          <w:tcPr>
            <w:tcW w:w="1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Under All</w:t>
            </w:r>
          </w:p>
        </w:tc>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Grant Under All</w:t>
            </w:r>
          </w:p>
        </w:tc>
        <w:tc>
          <w:tcPr>
            <w:tcW w:w="15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1380" w:type="dxa"/>
            <w:vAlign w:val="bottom"/>
            <w:shd w:val="clear" w:color="auto" w:fill="1D3965"/>
          </w:tcPr>
          <w:p>
            <w:pPr>
              <w:spacing w:after="0"/>
              <w:rPr>
                <w:sz w:val="14"/>
                <w:szCs w:val="14"/>
                <w:color w:val="auto"/>
              </w:rPr>
            </w:pPr>
          </w:p>
        </w:tc>
        <w:tc>
          <w:tcPr>
            <w:tcW w:w="1620" w:type="dxa"/>
            <w:vAlign w:val="bottom"/>
            <w:shd w:val="clear" w:color="auto" w:fill="1D3965"/>
          </w:tcPr>
          <w:p>
            <w:pPr>
              <w:jc w:val="center"/>
              <w:ind w:left="165"/>
              <w:spacing w:after="0"/>
              <w:rPr>
                <w:sz w:val="20"/>
                <w:szCs w:val="20"/>
                <w:color w:val="auto"/>
              </w:rPr>
            </w:pPr>
            <w:r>
              <w:rPr>
                <w:rFonts w:ascii="Arial" w:cs="Arial" w:eastAsia="Arial" w:hAnsi="Arial"/>
                <w:sz w:val="14"/>
                <w:szCs w:val="14"/>
                <w:b w:val="1"/>
                <w:bCs w:val="1"/>
                <w:color w:val="FFFFFF"/>
              </w:rPr>
              <w:t>All Equity</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Average</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Remaining</w:t>
            </w:r>
          </w:p>
        </w:tc>
        <w:tc>
          <w:tcPr>
            <w:tcW w:w="13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Equity</w:t>
            </w:r>
          </w:p>
        </w:tc>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Equity</w:t>
            </w:r>
          </w:p>
        </w:tc>
        <w:tc>
          <w:tcPr>
            <w:tcW w:w="1520" w:type="dxa"/>
            <w:vAlign w:val="bottom"/>
          </w:tcPr>
          <w:p>
            <w:pPr>
              <w:spacing w:after="0"/>
              <w:rPr>
                <w:sz w:val="14"/>
                <w:szCs w:val="14"/>
                <w:color w:val="auto"/>
              </w:rPr>
            </w:pPr>
          </w:p>
        </w:tc>
      </w:tr>
      <w:tr>
        <w:trPr>
          <w:trHeight w:val="232"/>
        </w:trPr>
        <w:tc>
          <w:tcPr>
            <w:tcW w:w="1500" w:type="dxa"/>
            <w:vAlign w:val="bottom"/>
          </w:tcPr>
          <w:p>
            <w:pPr>
              <w:spacing w:after="0"/>
              <w:rPr>
                <w:sz w:val="20"/>
                <w:szCs w:val="20"/>
                <w:color w:val="auto"/>
              </w:rPr>
            </w:pPr>
          </w:p>
        </w:tc>
        <w:tc>
          <w:tcPr>
            <w:tcW w:w="1380" w:type="dxa"/>
            <w:vAlign w:val="bottom"/>
            <w:tcBorders>
              <w:bottom w:val="single" w:sz="8" w:color="1D3965"/>
            </w:tcBorders>
            <w:shd w:val="clear" w:color="auto" w:fill="1D3965"/>
          </w:tcPr>
          <w:p>
            <w:pPr>
              <w:ind w:left="160"/>
              <w:spacing w:after="0"/>
              <w:rPr>
                <w:sz w:val="20"/>
                <w:szCs w:val="20"/>
                <w:color w:val="auto"/>
              </w:rPr>
            </w:pPr>
            <w:r>
              <w:rPr>
                <w:rFonts w:ascii="Arial" w:cs="Arial" w:eastAsia="Arial" w:hAnsi="Arial"/>
                <w:sz w:val="14"/>
                <w:szCs w:val="14"/>
                <w:b w:val="1"/>
                <w:bCs w:val="1"/>
                <w:color w:val="FFFFFF"/>
              </w:rPr>
              <w:t>As Of Date</w:t>
            </w:r>
          </w:p>
        </w:tc>
        <w:tc>
          <w:tcPr>
            <w:tcW w:w="1620" w:type="dxa"/>
            <w:vAlign w:val="bottom"/>
            <w:tcBorders>
              <w:bottom w:val="single" w:sz="8" w:color="1D3965"/>
            </w:tcBorders>
            <w:shd w:val="clear" w:color="auto" w:fill="1D3965"/>
          </w:tcPr>
          <w:p>
            <w:pPr>
              <w:jc w:val="center"/>
              <w:ind w:left="205"/>
              <w:spacing w:after="0"/>
              <w:rPr>
                <w:sz w:val="20"/>
                <w:szCs w:val="20"/>
                <w:color w:val="auto"/>
              </w:rPr>
            </w:pPr>
            <w:r>
              <w:rPr>
                <w:rFonts w:ascii="Arial" w:cs="Arial" w:eastAsia="Arial" w:hAnsi="Arial"/>
                <w:sz w:val="14"/>
                <w:szCs w:val="14"/>
                <w:b w:val="1"/>
                <w:bCs w:val="1"/>
                <w:color w:val="FFFFFF"/>
              </w:rPr>
              <w:t>Incentive Plans</w:t>
            </w:r>
          </w:p>
        </w:tc>
        <w:tc>
          <w:tcPr>
            <w:tcW w:w="124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Exercise Price</w:t>
            </w:r>
          </w:p>
        </w:tc>
        <w:tc>
          <w:tcPr>
            <w:tcW w:w="112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Term</w:t>
            </w:r>
          </w:p>
        </w:tc>
        <w:tc>
          <w:tcPr>
            <w:tcW w:w="134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 Plans</w:t>
            </w:r>
          </w:p>
        </w:tc>
        <w:tc>
          <w:tcPr>
            <w:tcW w:w="130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 Plans</w:t>
            </w:r>
          </w:p>
        </w:tc>
        <w:tc>
          <w:tcPr>
            <w:tcW w:w="1520" w:type="dxa"/>
            <w:vAlign w:val="bottom"/>
          </w:tcPr>
          <w:p>
            <w:pPr>
              <w:spacing w:after="0"/>
              <w:rPr>
                <w:sz w:val="20"/>
                <w:szCs w:val="20"/>
                <w:color w:val="auto"/>
              </w:rPr>
            </w:pPr>
          </w:p>
        </w:tc>
      </w:tr>
      <w:tr>
        <w:trPr>
          <w:trHeight w:val="287"/>
        </w:trPr>
        <w:tc>
          <w:tcPr>
            <w:tcW w:w="150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3/31/2026</w:t>
            </w:r>
          </w:p>
        </w:tc>
        <w:tc>
          <w:tcPr>
            <w:tcW w:w="1620" w:type="dxa"/>
            <w:vAlign w:val="bottom"/>
          </w:tcPr>
          <w:p>
            <w:pPr>
              <w:jc w:val="center"/>
              <w:ind w:left="185"/>
              <w:spacing w:after="0"/>
              <w:rPr>
                <w:sz w:val="20"/>
                <w:szCs w:val="20"/>
                <w:color w:val="auto"/>
              </w:rPr>
            </w:pPr>
            <w:r>
              <w:rPr>
                <w:rFonts w:ascii="Arial" w:cs="Arial" w:eastAsia="Arial" w:hAnsi="Arial"/>
                <w:sz w:val="18"/>
                <w:szCs w:val="18"/>
                <w:color w:val="auto"/>
                <w:w w:val="99"/>
              </w:rPr>
              <w:t>1,214,940</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$128.09</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6.87 years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1,121,600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1,487,107</w:t>
            </w:r>
          </w:p>
        </w:tc>
        <w:tc>
          <w:tcPr>
            <w:tcW w:w="1520" w:type="dxa"/>
            <w:vAlign w:val="bottom"/>
          </w:tcPr>
          <w:p>
            <w:pPr>
              <w:spacing w:after="0"/>
              <w:rPr>
                <w:sz w:val="24"/>
                <w:szCs w:val="24"/>
                <w:color w:val="auto"/>
              </w:rPr>
            </w:pPr>
          </w:p>
        </w:tc>
      </w:tr>
      <w:tr>
        <w:trPr>
          <w:trHeight w:val="527"/>
        </w:trPr>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jc w:val="right"/>
              <w:ind w:right="61"/>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21" w:right="439" w:bottom="1440" w:gutter="0" w:footer="0" w:header="0"/>
        </w:sectPr>
      </w:pPr>
    </w:p>
    <w:bookmarkStart w:id="28" w:name="page29"/>
    <w:bookmarkEnd w:id="28"/>
    <w:p>
      <w:pPr>
        <w:jc w:val="both"/>
        <w:ind w:left="500" w:right="519" w:firstLine="360"/>
        <w:spacing w:after="0" w:line="246" w:lineRule="auto"/>
        <w:rPr>
          <w:sz w:val="20"/>
          <w:szCs w:val="20"/>
          <w:color w:val="auto"/>
        </w:rPr>
      </w:pPr>
      <w:r>
        <w:rPr>
          <w:rFonts w:ascii="Arial" w:cs="Arial" w:eastAsia="Arial" w:hAnsi="Arial"/>
          <w:sz w:val="18"/>
          <w:szCs w:val="18"/>
          <w:u w:val="single" w:color="auto"/>
          <w:color w:val="auto"/>
        </w:rPr>
        <w:t>Historical Grant Practices</w:t>
      </w:r>
      <w:r>
        <w:rPr>
          <w:rFonts w:ascii="Arial" w:cs="Arial" w:eastAsia="Arial" w:hAnsi="Arial"/>
          <w:sz w:val="18"/>
          <w:szCs w:val="18"/>
          <w:color w:val="auto"/>
        </w:rPr>
        <w:t>. Our board of directors considered the historical numbers of time-based stock options, time-based restricted stock units (“RSUs”) and performance-based restricted stock units (“PRSUs”) that we have granted in the past three years. The annual share usage, or burn rate, under our equity compensation program for the last three years was as follows:</w:t>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3200" w:type="dxa"/>
            <w:vAlign w:val="bottom"/>
            <w:shd w:val="clear" w:color="auto" w:fill="1D3965"/>
          </w:tcPr>
          <w:p>
            <w:pPr>
              <w:spacing w:after="0"/>
              <w:rPr>
                <w:sz w:val="22"/>
                <w:szCs w:val="22"/>
                <w:color w:val="auto"/>
              </w:rPr>
            </w:pPr>
          </w:p>
        </w:tc>
        <w:tc>
          <w:tcPr>
            <w:tcW w:w="1280" w:type="dxa"/>
            <w:vAlign w:val="bottom"/>
            <w:shd w:val="clear" w:color="auto" w:fill="1D3965"/>
          </w:tcPr>
          <w:p>
            <w:pPr>
              <w:spacing w:after="0"/>
              <w:rPr>
                <w:sz w:val="22"/>
                <w:szCs w:val="22"/>
                <w:color w:val="auto"/>
              </w:rPr>
            </w:pPr>
          </w:p>
        </w:tc>
        <w:tc>
          <w:tcPr>
            <w:tcW w:w="1200" w:type="dxa"/>
            <w:vAlign w:val="bottom"/>
            <w:shd w:val="clear" w:color="auto" w:fill="1D3965"/>
          </w:tcPr>
          <w:p>
            <w:pPr>
              <w:spacing w:after="0"/>
              <w:rPr>
                <w:sz w:val="22"/>
                <w:szCs w:val="22"/>
                <w:color w:val="auto"/>
              </w:rPr>
            </w:pPr>
          </w:p>
        </w:tc>
        <w:tc>
          <w:tcPr>
            <w:tcW w:w="1200" w:type="dxa"/>
            <w:vAlign w:val="bottom"/>
            <w:shd w:val="clear" w:color="auto" w:fill="1D3965"/>
          </w:tcPr>
          <w:p>
            <w:pPr>
              <w:spacing w:after="0"/>
              <w:rPr>
                <w:sz w:val="22"/>
                <w:szCs w:val="22"/>
                <w:color w:val="auto"/>
              </w:rPr>
            </w:pPr>
          </w:p>
        </w:tc>
        <w:tc>
          <w:tcPr>
            <w:tcW w:w="1120" w:type="dxa"/>
            <w:vAlign w:val="bottom"/>
            <w:shd w:val="clear" w:color="auto" w:fill="1D3965"/>
          </w:tcPr>
          <w:p>
            <w:pPr>
              <w:jc w:val="right"/>
              <w:ind w:right="75"/>
              <w:spacing w:after="0"/>
              <w:rPr>
                <w:sz w:val="20"/>
                <w:szCs w:val="20"/>
                <w:color w:val="auto"/>
              </w:rPr>
            </w:pPr>
            <w:r>
              <w:rPr>
                <w:rFonts w:ascii="Arial" w:cs="Arial" w:eastAsia="Arial" w:hAnsi="Arial"/>
                <w:sz w:val="14"/>
                <w:szCs w:val="14"/>
                <w:b w:val="1"/>
                <w:bCs w:val="1"/>
                <w:color w:val="FFFFFF"/>
              </w:rPr>
              <w:t>Three-Year</w:t>
            </w:r>
          </w:p>
        </w:tc>
      </w:tr>
      <w:tr>
        <w:trPr>
          <w:trHeight w:val="232"/>
        </w:trPr>
        <w:tc>
          <w:tcPr>
            <w:tcW w:w="3200" w:type="dxa"/>
            <w:vAlign w:val="bottom"/>
            <w:tcBorders>
              <w:bottom w:val="single" w:sz="8" w:color="1D3965"/>
            </w:tcBorders>
            <w:shd w:val="clear" w:color="auto" w:fill="1D3965"/>
          </w:tcPr>
          <w:p>
            <w:pPr>
              <w:ind w:left="180"/>
              <w:spacing w:after="0"/>
              <w:rPr>
                <w:sz w:val="20"/>
                <w:szCs w:val="20"/>
                <w:color w:val="auto"/>
              </w:rPr>
            </w:pPr>
            <w:r>
              <w:rPr>
                <w:rFonts w:ascii="Arial" w:cs="Arial" w:eastAsia="Arial" w:hAnsi="Arial"/>
                <w:sz w:val="14"/>
                <w:szCs w:val="14"/>
                <w:b w:val="1"/>
                <w:bCs w:val="1"/>
                <w:color w:val="FFFFFF"/>
              </w:rPr>
              <w:t>Annual Share Usage</w:t>
            </w:r>
          </w:p>
        </w:tc>
        <w:tc>
          <w:tcPr>
            <w:tcW w:w="1280" w:type="dxa"/>
            <w:vAlign w:val="bottom"/>
            <w:tcBorders>
              <w:bottom w:val="single" w:sz="8" w:color="1D3965"/>
            </w:tcBorders>
            <w:shd w:val="clear" w:color="auto" w:fill="1D3965"/>
          </w:tcPr>
          <w:p>
            <w:pPr>
              <w:jc w:val="right"/>
              <w:ind w:right="353"/>
              <w:spacing w:after="0"/>
              <w:rPr>
                <w:sz w:val="20"/>
                <w:szCs w:val="20"/>
                <w:color w:val="auto"/>
              </w:rPr>
            </w:pPr>
            <w:r>
              <w:rPr>
                <w:rFonts w:ascii="Arial" w:cs="Arial" w:eastAsia="Arial" w:hAnsi="Arial"/>
                <w:sz w:val="14"/>
                <w:szCs w:val="14"/>
                <w:b w:val="1"/>
                <w:bCs w:val="1"/>
                <w:color w:val="FFFFFF"/>
              </w:rPr>
              <w:t>2023</w:t>
            </w:r>
          </w:p>
        </w:tc>
        <w:tc>
          <w:tcPr>
            <w:tcW w:w="1200" w:type="dxa"/>
            <w:vAlign w:val="bottom"/>
            <w:tcBorders>
              <w:bottom w:val="single" w:sz="8" w:color="1D3965"/>
            </w:tcBorders>
            <w:shd w:val="clear" w:color="auto" w:fill="1D3965"/>
          </w:tcPr>
          <w:p>
            <w:pPr>
              <w:jc w:val="right"/>
              <w:ind w:right="353"/>
              <w:spacing w:after="0"/>
              <w:rPr>
                <w:sz w:val="20"/>
                <w:szCs w:val="20"/>
                <w:color w:val="auto"/>
              </w:rPr>
            </w:pPr>
            <w:r>
              <w:rPr>
                <w:rFonts w:ascii="Arial" w:cs="Arial" w:eastAsia="Arial" w:hAnsi="Arial"/>
                <w:sz w:val="14"/>
                <w:szCs w:val="14"/>
                <w:b w:val="1"/>
                <w:bCs w:val="1"/>
                <w:color w:val="FFFFFF"/>
              </w:rPr>
              <w:t>2024</w:t>
            </w:r>
          </w:p>
        </w:tc>
        <w:tc>
          <w:tcPr>
            <w:tcW w:w="1200" w:type="dxa"/>
            <w:vAlign w:val="bottom"/>
            <w:tcBorders>
              <w:bottom w:val="single" w:sz="8" w:color="1D3965"/>
            </w:tcBorders>
            <w:shd w:val="clear" w:color="auto" w:fill="1D3965"/>
          </w:tcPr>
          <w:p>
            <w:pPr>
              <w:jc w:val="right"/>
              <w:ind w:right="353"/>
              <w:spacing w:after="0"/>
              <w:rPr>
                <w:sz w:val="20"/>
                <w:szCs w:val="20"/>
                <w:color w:val="auto"/>
              </w:rPr>
            </w:pPr>
            <w:r>
              <w:rPr>
                <w:rFonts w:ascii="Arial" w:cs="Arial" w:eastAsia="Arial" w:hAnsi="Arial"/>
                <w:sz w:val="14"/>
                <w:szCs w:val="14"/>
                <w:b w:val="1"/>
                <w:bCs w:val="1"/>
                <w:color w:val="FFFFFF"/>
              </w:rPr>
              <w:t>2025</w:t>
            </w:r>
          </w:p>
        </w:tc>
        <w:tc>
          <w:tcPr>
            <w:tcW w:w="1120" w:type="dxa"/>
            <w:vAlign w:val="bottom"/>
            <w:tcBorders>
              <w:bottom w:val="single" w:sz="8" w:color="1D3965"/>
            </w:tcBorders>
            <w:shd w:val="clear" w:color="auto" w:fill="1D3965"/>
          </w:tcPr>
          <w:p>
            <w:pPr>
              <w:jc w:val="right"/>
              <w:ind w:right="155"/>
              <w:spacing w:after="0"/>
              <w:rPr>
                <w:sz w:val="20"/>
                <w:szCs w:val="20"/>
                <w:color w:val="auto"/>
              </w:rPr>
            </w:pPr>
            <w:r>
              <w:rPr>
                <w:rFonts w:ascii="Arial" w:cs="Arial" w:eastAsia="Arial" w:hAnsi="Arial"/>
                <w:sz w:val="14"/>
                <w:szCs w:val="14"/>
                <w:b w:val="1"/>
                <w:bCs w:val="1"/>
                <w:color w:val="FFFFFF"/>
              </w:rPr>
              <w:t>Average</w:t>
            </w:r>
          </w:p>
        </w:tc>
      </w:tr>
      <w:tr>
        <w:trPr>
          <w:trHeight w:val="288"/>
        </w:trPr>
        <w:tc>
          <w:tcPr>
            <w:tcW w:w="3200" w:type="dxa"/>
            <w:vAlign w:val="bottom"/>
          </w:tcPr>
          <w:p>
            <w:pPr>
              <w:ind w:left="180"/>
              <w:spacing w:after="0"/>
              <w:rPr>
                <w:sz w:val="20"/>
                <w:szCs w:val="20"/>
                <w:color w:val="auto"/>
              </w:rPr>
            </w:pPr>
            <w:r>
              <w:rPr>
                <w:rFonts w:ascii="Arial" w:cs="Arial" w:eastAsia="Arial" w:hAnsi="Arial"/>
                <w:sz w:val="18"/>
                <w:szCs w:val="18"/>
                <w:color w:val="auto"/>
              </w:rPr>
              <w:t>Stock Options Granted</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345,050​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245,000</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245,650</w:t>
            </w:r>
          </w:p>
        </w:tc>
        <w:tc>
          <w:tcPr>
            <w:tcW w:w="1120" w:type="dxa"/>
            <w:vAlign w:val="bottom"/>
          </w:tcPr>
          <w:p>
            <w:pPr>
              <w:jc w:val="right"/>
              <w:spacing w:after="0"/>
              <w:rPr>
                <w:sz w:val="20"/>
                <w:szCs w:val="20"/>
                <w:color w:val="auto"/>
              </w:rPr>
            </w:pPr>
            <w:r>
              <w:rPr>
                <w:rFonts w:ascii="Arial" w:cs="Arial" w:eastAsia="Arial" w:hAnsi="Arial"/>
                <w:sz w:val="18"/>
                <w:szCs w:val="18"/>
                <w:color w:val="auto"/>
              </w:rPr>
              <w:t>278,567</w:t>
            </w:r>
          </w:p>
        </w:tc>
      </w:tr>
      <w:tr>
        <w:trPr>
          <w:trHeight w:val="338"/>
        </w:trPr>
        <w:tc>
          <w:tcPr>
            <w:tcW w:w="320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477,493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512,955</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542,342</w:t>
            </w:r>
          </w:p>
        </w:tc>
        <w:tc>
          <w:tcPr>
            <w:tcW w:w="1120" w:type="dxa"/>
            <w:vAlign w:val="bottom"/>
          </w:tcPr>
          <w:p>
            <w:pPr>
              <w:jc w:val="right"/>
              <w:spacing w:after="0"/>
              <w:rPr>
                <w:sz w:val="20"/>
                <w:szCs w:val="20"/>
                <w:color w:val="auto"/>
              </w:rPr>
            </w:pPr>
            <w:r>
              <w:rPr>
                <w:rFonts w:ascii="Arial" w:cs="Arial" w:eastAsia="Arial" w:hAnsi="Arial"/>
                <w:sz w:val="18"/>
                <w:szCs w:val="18"/>
                <w:color w:val="auto"/>
              </w:rPr>
              <w:t>510,930</w:t>
            </w:r>
          </w:p>
        </w:tc>
      </w:tr>
      <w:tr>
        <w:trPr>
          <w:trHeight w:val="338"/>
        </w:trPr>
        <w:tc>
          <w:tcPr>
            <w:tcW w:w="3200" w:type="dxa"/>
            <w:vAlign w:val="bottom"/>
          </w:tcPr>
          <w:p>
            <w:pPr>
              <w:ind w:left="180"/>
              <w:spacing w:after="0"/>
              <w:rPr>
                <w:sz w:val="20"/>
                <w:szCs w:val="20"/>
                <w:color w:val="auto"/>
              </w:rPr>
            </w:pPr>
            <w:r>
              <w:rPr>
                <w:rFonts w:ascii="Arial" w:cs="Arial" w:eastAsia="Arial" w:hAnsi="Arial"/>
                <w:sz w:val="18"/>
                <w:szCs w:val="18"/>
                <w:color w:val="auto"/>
              </w:rPr>
              <w:t>PRSUs Granted</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10,252</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155,530</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164,050</w:t>
            </w:r>
          </w:p>
        </w:tc>
        <w:tc>
          <w:tcPr>
            <w:tcW w:w="1120" w:type="dxa"/>
            <w:vAlign w:val="bottom"/>
          </w:tcPr>
          <w:p>
            <w:pPr>
              <w:jc w:val="right"/>
              <w:spacing w:after="0"/>
              <w:rPr>
                <w:sz w:val="20"/>
                <w:szCs w:val="20"/>
                <w:color w:val="auto"/>
              </w:rPr>
            </w:pPr>
            <w:r>
              <w:rPr>
                <w:rFonts w:ascii="Arial" w:cs="Arial" w:eastAsia="Arial" w:hAnsi="Arial"/>
                <w:sz w:val="18"/>
                <w:szCs w:val="18"/>
                <w:color w:val="auto"/>
              </w:rPr>
              <w:t>109,944</w:t>
            </w:r>
          </w:p>
        </w:tc>
      </w:tr>
      <w:tr>
        <w:trPr>
          <w:trHeight w:val="338"/>
        </w:trPr>
        <w:tc>
          <w:tcPr>
            <w:tcW w:w="3200" w:type="dxa"/>
            <w:vAlign w:val="bottom"/>
          </w:tcPr>
          <w:p>
            <w:pPr>
              <w:ind w:left="180"/>
              <w:spacing w:after="0"/>
              <w:rPr>
                <w:sz w:val="20"/>
                <w:szCs w:val="20"/>
                <w:color w:val="auto"/>
              </w:rPr>
            </w:pPr>
            <w:r>
              <w:rPr>
                <w:rFonts w:ascii="Arial" w:cs="Arial" w:eastAsia="Arial" w:hAnsi="Arial"/>
                <w:sz w:val="18"/>
                <w:szCs w:val="18"/>
                <w:color w:val="auto"/>
              </w:rPr>
              <w:t>Total Equity Awards Granted</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832,795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913,485</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952,042</w:t>
            </w:r>
          </w:p>
        </w:tc>
        <w:tc>
          <w:tcPr>
            <w:tcW w:w="1120" w:type="dxa"/>
            <w:vAlign w:val="bottom"/>
          </w:tcPr>
          <w:p>
            <w:pPr>
              <w:jc w:val="right"/>
              <w:spacing w:after="0"/>
              <w:rPr>
                <w:sz w:val="20"/>
                <w:szCs w:val="20"/>
                <w:color w:val="auto"/>
              </w:rPr>
            </w:pPr>
            <w:r>
              <w:rPr>
                <w:rFonts w:ascii="Arial" w:cs="Arial" w:eastAsia="Arial" w:hAnsi="Arial"/>
                <w:sz w:val="18"/>
                <w:szCs w:val="18"/>
                <w:color w:val="auto"/>
              </w:rPr>
              <w:t>899,440</w:t>
            </w:r>
          </w:p>
        </w:tc>
      </w:tr>
      <w:tr>
        <w:trPr>
          <w:trHeight w:val="301"/>
        </w:trPr>
        <w:tc>
          <w:tcPr>
            <w:tcW w:w="3200" w:type="dxa"/>
            <w:vAlign w:val="bottom"/>
          </w:tcPr>
          <w:p>
            <w:pPr>
              <w:ind w:left="180"/>
              <w:spacing w:after="0"/>
              <w:rPr>
                <w:sz w:val="20"/>
                <w:szCs w:val="20"/>
                <w:color w:val="auto"/>
              </w:rPr>
            </w:pPr>
            <w:r>
              <w:rPr>
                <w:rFonts w:ascii="Arial" w:cs="Arial" w:eastAsia="Arial" w:hAnsi="Arial"/>
                <w:sz w:val="18"/>
                <w:szCs w:val="18"/>
                <w:color w:val="auto"/>
              </w:rPr>
              <w:t>Basic Weighted Average Shares of</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9"/>
        </w:trPr>
        <w:tc>
          <w:tcPr>
            <w:tcW w:w="3200" w:type="dxa"/>
            <w:vAlign w:val="bottom"/>
          </w:tcPr>
          <w:p>
            <w:pPr>
              <w:ind w:left="360"/>
              <w:spacing w:after="0"/>
              <w:rPr>
                <w:sz w:val="20"/>
                <w:szCs w:val="20"/>
                <w:color w:val="auto"/>
              </w:rPr>
            </w:pPr>
            <w:r>
              <w:rPr>
                <w:rFonts w:ascii="Arial" w:cs="Arial" w:eastAsia="Arial" w:hAnsi="Arial"/>
                <w:sz w:val="18"/>
                <w:szCs w:val="18"/>
                <w:color w:val="auto"/>
              </w:rPr>
              <w:t>Common Stock Outstanding</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36,879,311</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36,799,192</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36,142,157</w:t>
            </w:r>
          </w:p>
        </w:tc>
        <w:tc>
          <w:tcPr>
            <w:tcW w:w="1120" w:type="dxa"/>
            <w:vAlign w:val="bottom"/>
          </w:tcPr>
          <w:p>
            <w:pPr>
              <w:jc w:val="right"/>
              <w:spacing w:after="0"/>
              <w:rPr>
                <w:sz w:val="20"/>
                <w:szCs w:val="20"/>
                <w:color w:val="auto"/>
              </w:rPr>
            </w:pPr>
            <w:r>
              <w:rPr>
                <w:rFonts w:ascii="Arial" w:cs="Arial" w:eastAsia="Arial" w:hAnsi="Arial"/>
                <w:sz w:val="18"/>
                <w:szCs w:val="18"/>
                <w:color w:val="auto"/>
              </w:rPr>
              <w:t>36,606,887</w:t>
            </w:r>
          </w:p>
        </w:tc>
      </w:tr>
      <w:tr>
        <w:trPr>
          <w:trHeight w:val="338"/>
        </w:trPr>
        <w:tc>
          <w:tcPr>
            <w:tcW w:w="3200" w:type="dxa"/>
            <w:vAlign w:val="bottom"/>
          </w:tcPr>
          <w:p>
            <w:pPr>
              <w:ind w:left="180"/>
              <w:spacing w:after="0"/>
              <w:rPr>
                <w:sz w:val="20"/>
                <w:szCs w:val="20"/>
                <w:color w:val="auto"/>
              </w:rPr>
            </w:pPr>
            <w:r>
              <w:rPr>
                <w:rFonts w:ascii="Arial" w:cs="Arial" w:eastAsia="Arial" w:hAnsi="Arial"/>
                <w:sz w:val="18"/>
                <w:szCs w:val="18"/>
                <w:color w:val="auto"/>
              </w:rPr>
              <w:t>Annual Share Usage</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80"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Our three-year burn rate, which we define as the number of shares subject to equity awards granted in a year divided by the weighted average shares of common stock outstanding for that year, is 2.5%, which is within the industry guidelines recommended by Institutional Shareholder Services (“ISS”). Our senior management, our Compensation and Talent Committee, and Compensia, Inc., the independent compensation consultant to our Compensation and Talent Committee, reviewed our burn rate as compared to our industry peer companies.</w:t>
      </w:r>
    </w:p>
    <w:p>
      <w:pPr>
        <w:spacing w:after="0" w:line="17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u w:val="single" w:color="auto"/>
          <w:color w:val="auto"/>
        </w:rPr>
        <w:t>Forecasted Grant Practices</w:t>
      </w:r>
      <w:r>
        <w:rPr>
          <w:rFonts w:ascii="Arial" w:cs="Arial" w:eastAsia="Arial" w:hAnsi="Arial"/>
          <w:sz w:val="18"/>
          <w:szCs w:val="18"/>
          <w:color w:val="auto"/>
        </w:rPr>
        <w:t>. We currently forecast granting equity awards covering approximately 2 to 3 million shares over the next two-year period, which is equal to 6% to 8% of our weighted average common stock outstanding for the quarter ended March 31, 2026. In light of this forecast we believe, and our board of directors considered, that the number of shares that will be added to the share reserve under the Restated Plan will provide a sufficient number of shares to allow us to grant equity awards for the purpose of our expected new hires, focal awards, any special retention needs and employee growth through any opportunistic acquisitions or hiring for the next two years. However, circumstances could alter this projection, such as a change in business conditions, our stock price, competitive pressures for attracting and retaining employees, or our company strategy.</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Awards Outstanding Under Existing Grants</w:t>
      </w:r>
      <w:r>
        <w:rPr>
          <w:rFonts w:ascii="Arial" w:cs="Arial" w:eastAsia="Arial" w:hAnsi="Arial"/>
          <w:sz w:val="18"/>
          <w:szCs w:val="18"/>
          <w:color w:val="auto"/>
        </w:rPr>
        <w:t>. We have outstanding, as of March 31, 2026 time-based stock options covering approximately 1,214,940 shares, approximately 899,995 unvested RSUs, and approximately 221,605 unvested PRSUs (which, in the case of any performance-based awards, reflects the maximum number of shares covered by those awards). Accordingly, the approximately 2,336,540 shares subject to these outstanding equity awards (commonly referred to as the “overhang”) represent approximately 7% of our common stock outstanding as of March 31, 2026.</w:t>
      </w:r>
    </w:p>
    <w:p>
      <w:pPr>
        <w:spacing w:after="0" w:line="185"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Modeling Analysis</w:t>
      </w:r>
      <w:r>
        <w:rPr>
          <w:rFonts w:ascii="Arial" w:cs="Arial" w:eastAsia="Arial" w:hAnsi="Arial"/>
          <w:sz w:val="18"/>
          <w:szCs w:val="18"/>
          <w:color w:val="auto"/>
        </w:rPr>
        <w:t>. We considered various proposed stockholder models for identifying the number of shares that should be added to the Restated Plan so as to set appropriate limits on the awards to be granted under the Restated Plan. While the model we selected only represented one analysis subject to a number of assumptions, we and our board of directors considered the model as the most appropriate benchmark for purposes of determining the number of shares that should be added to the Restated Plan, and the 1,089,000 shares we are seeking to add to the Restated Plan is within the number of shares suggested by the model.</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both"/>
        <w:ind w:left="500" w:right="519" w:firstLine="360"/>
        <w:spacing w:after="0" w:line="246" w:lineRule="auto"/>
        <w:rPr>
          <w:sz w:val="20"/>
          <w:szCs w:val="20"/>
          <w:color w:val="auto"/>
        </w:rPr>
      </w:pPr>
      <w:r>
        <w:rPr>
          <w:rFonts w:ascii="Arial" w:cs="Arial" w:eastAsia="Arial" w:hAnsi="Arial"/>
          <w:sz w:val="18"/>
          <w:szCs w:val="18"/>
          <w:color w:val="auto"/>
        </w:rPr>
        <w:t>Our executive officers and non-employee directors have an interest in the approval of the Restated Plan by our stockholders because they would be eligible to receive awards under the Restated Plan. Our board of directors and the Compensation and Talent Committee have approved the Restated Plan, subject to the approval of our stockholders at the Annual Meeting.</w:t>
      </w: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Summary of the Restated Plan</w:t>
      </w:r>
    </w:p>
    <w:p>
      <w:pPr>
        <w:spacing w:after="0" w:line="104"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 xml:space="preserve">Our Restated Plan was approved by our board of directors on April 8, 2026. The following general description of material features of the Restated Plan is qualified in its entirety by reference to the provisions of the Restated Plan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this proxy statement.</w:t>
      </w:r>
    </w:p>
    <w:p>
      <w:pPr>
        <w:spacing w:after="0" w:line="169"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Our Restated Plan provides for the grant of incentive stock options, within the meaning of Section 422 of the Internal Revenue Code of 1986, as amended (the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As of March 31, 2026, we had six non-employee directors and approximately 2,683 employees (including our one employee director) and 29 consultants.</w:t>
      </w:r>
    </w:p>
    <w:p>
      <w:pPr>
        <w:spacing w:after="0" w:line="185"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Under the Restated Plan, the total number of shares of our common stock reserved for issuance pursuant to awards granted under the 2012 Plan after the amendment and restatement of the 2012 Plan that became effective on the 2022 Restatement Effective Date would be (i) 5,481,000 shares, plus (ii) any shares subject to awards under the 2012 Plan that, on or after the 2022 Restatement Effective Date, expire or otherwise terminate without having been exercised in full, or that are forfeited to or repurchased by us, with the maximum number of shares to be added to the Restated Plan as a result of clause (ii) equal to 2,712,691 shares, minus (iii) any shares subject to awards granted under the Original Plan after March 31, 2022, but before the 2022 Restatement Effective Date. For clarity, shares used to pay the exercise price of an award granted under the Original Plan or to satisfy the tax withholding obligations related to an award granted under the Original Plan will not be added to the Restated Plan. The shares may be authorized, but unissued, or reacquired common stock.</w:t>
      </w:r>
    </w:p>
    <w:p>
      <w:pPr>
        <w:spacing w:after="0" w:line="183"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Generally, if an award expires or becomes unexercisable without having been exercised in full or, with respect to restricted stock, restricted stock units, performance units or performance shares, is forfeited to or repurchased by us due to failure to vest, the unpurchased shares (or for awards other than options or stock appreciation rights, the forfeited or repurchased shares) that were subject to such awards will become available for future grant or sale under the Restated Plan (unless it has terminated). With respect to stock appreciation rights, all shares granted (i.e., the gross shares granted) will cease to be available. Shares used to pay the exercise price of an award or to satisfy the tax withholding obligations related to an award will not become available for future grant or sale. To the extent an award is paid out in cash rather than shares, such cash payment will not reduce the number of shares available for issuance.</w:t>
      </w:r>
    </w:p>
    <w:p>
      <w:pPr>
        <w:spacing w:after="0" w:line="180"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As of March 31, 2026, options to purchase 1,214,940 shares of our common stock and 1,121,600 restricted stock units were outstanding under the 2012 Plan (which, in the case of any performance-based awards, reflect the maximum number of shares covered by those awards). As of the same date, the closing price of a share of our common stock as reported on The Nasdaq Stock Market was $87.85.</w:t>
      </w:r>
    </w:p>
    <w:p>
      <w:pPr>
        <w:spacing w:after="0" w:line="176"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Our board of directors or a committee appointed by our board of directors administers our Restated Plan. Currently, our Compensation and Talent Committee administers our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both"/>
        <w:ind w:left="500" w:right="519"/>
        <w:spacing w:after="0" w:line="252" w:lineRule="auto"/>
        <w:rPr>
          <w:sz w:val="20"/>
          <w:szCs w:val="20"/>
          <w:color w:val="auto"/>
        </w:rPr>
      </w:pPr>
      <w:r>
        <w:rPr>
          <w:rFonts w:ascii="Arial" w:cs="Arial" w:eastAsia="Arial" w:hAnsi="Arial"/>
          <w:sz w:val="18"/>
          <w:szCs w:val="18"/>
          <w:color w:val="auto"/>
        </w:rPr>
        <w:t>Restated Plan. Different committees may administer our Restated Plan with respect to different groups of service providers. To make grants to certain officers and key employees, the members of the committee must qualify as “non-employee directors” under Rule 16b-3 of the Exchange Act.</w:t>
      </w:r>
    </w:p>
    <w:p>
      <w:pPr>
        <w:spacing w:after="0" w:line="171" w:lineRule="exact"/>
        <w:rPr>
          <w:sz w:val="20"/>
          <w:szCs w:val="20"/>
          <w:color w:val="auto"/>
        </w:rPr>
      </w:pPr>
    </w:p>
    <w:p>
      <w:pPr>
        <w:jc w:val="both"/>
        <w:ind w:left="500" w:right="519" w:firstLine="360"/>
        <w:spacing w:after="0" w:line="236" w:lineRule="auto"/>
        <w:rPr>
          <w:sz w:val="20"/>
          <w:szCs w:val="20"/>
          <w:color w:val="auto"/>
        </w:rPr>
      </w:pPr>
      <w:r>
        <w:rPr>
          <w:rFonts w:ascii="Arial" w:cs="Arial" w:eastAsia="Arial" w:hAnsi="Arial"/>
          <w:sz w:val="18"/>
          <w:szCs w:val="18"/>
          <w:color w:val="auto"/>
        </w:rPr>
        <w:t>Subject to the provisions of our Restated Plan, the administrator generally has the power to make all determinations deemed necessary or advisable for administering the Restated Plan. The administrator has the power to select the eligible employees, consultants, and directors to whom awards may be granted and to determine the terms of awards, including the exercise price (if any), the number of shares subject to each such award, the time when awards may vest or be exercised (including the ability to accelerate the vesting and exercisability of awards, except for any discretionary acceleration in a change in control), and the form of consideration payable upon exercise, if applicable. The administrator also has the power to determine the fair market value of our common stock; approve forms of award agreements for use under the Restated Plan; to construe and interpret the terms of the Restated Plan and awards granted under the Restated Plan; prescribe, amend, and rescind rules and regulations relating to the Restated Plan; and modify or amend each award, subject to the provisions of our Restated Plan. The administrator may not institute an exchange program under which (i) outstanding awards are surrendered or cancelled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w:t>
      </w:r>
    </w:p>
    <w:p>
      <w:pPr>
        <w:spacing w:after="0" w:line="1" w:lineRule="exact"/>
        <w:rPr>
          <w:sz w:val="20"/>
          <w:szCs w:val="20"/>
          <w:color w:val="auto"/>
        </w:rPr>
      </w:pPr>
    </w:p>
    <w:p>
      <w:pPr>
        <w:jc w:val="both"/>
        <w:ind w:left="500" w:right="519" w:firstLine="8"/>
        <w:spacing w:after="0" w:line="242" w:lineRule="auto"/>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and/or the exercise price of an outstanding award is increased or reduced. The administrator’s decisions, determinations, and interpretations are final and binding on all participants and any other holders of awards.</w:t>
      </w:r>
    </w:p>
    <w:p>
      <w:pPr>
        <w:spacing w:after="0" w:line="179" w:lineRule="exact"/>
        <w:rPr>
          <w:sz w:val="20"/>
          <w:szCs w:val="20"/>
          <w:color w:val="auto"/>
        </w:rPr>
      </w:pPr>
    </w:p>
    <w:p>
      <w:pPr>
        <w:jc w:val="both"/>
        <w:ind w:left="500" w:right="519" w:firstLine="360"/>
        <w:spacing w:after="0" w:line="236"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Options may be granted under our Restated Plan. Subject to the provisions of our Restated Plan, the administrator determines the terms and conditions of options, including when such options vest and become exercisable (and the administrator has the discretion to accelerate the time at which such options will vest or become exercisable, except for any discretionary acceleration in a change in control).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 generally may exercise the vested portion of his or her option for the period of time stated in his or her option agreement. Generally, our option agreements provide that</w:t>
      </w:r>
    </w:p>
    <w:p>
      <w:pPr>
        <w:spacing w:after="0" w:line="5" w:lineRule="exact"/>
        <w:rPr>
          <w:sz w:val="20"/>
          <w:szCs w:val="20"/>
          <w:color w:val="auto"/>
        </w:rPr>
      </w:pPr>
    </w:p>
    <w:p>
      <w:pPr>
        <w:jc w:val="both"/>
        <w:ind w:left="500" w:right="519" w:firstLine="8"/>
        <w:spacing w:after="0" w:line="242"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termination is due to death or disability, the option will remain exercisable for 12 months, and (ii) in all other cases, the option will remain exercisable for 3 months following the termination of service. However, in no event may an option be exercised later than the expiration of its term.</w:t>
      </w:r>
    </w:p>
    <w:p>
      <w:pPr>
        <w:spacing w:after="0" w:line="179"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Stock appreciation rights may be granted under our Restated Plan. Stock appreciation rights allow the recipient to receive the appreciation in the fair market value of our common stock between the exercise date and the date of grant. Subject to the provisions of our Restated Plan, the administrator determines the terms and conditions of stock appreciation rights, including when such rights vest and become exercisable (and the administrator has the discretion to accelerate the time at which such rights will vest or become exercisable, except for any discretionary acceleration in a change in control) and whether to pay any increased appreciation in cash, shares of our common stock, or a combination of both. The per share exercise price of a stock appreciation right must be at least 100% of the fair market value per share on the date of grant.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both"/>
        <w:ind w:left="500" w:right="519" w:firstLine="360"/>
        <w:spacing w:after="0" w:line="239" w:lineRule="auto"/>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Restricted stock may be granted under our Restated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except for any discretionary acceleration in a change in control. Shares of restricted stock that do not vest are subject to our right of repurchase or forfeiture.</w:t>
      </w:r>
    </w:p>
    <w:p>
      <w:pPr>
        <w:spacing w:after="0" w:line="183"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Restricted stock units may be granted under our Restated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except for any discretionary acceleration in a change in control.</w:t>
      </w:r>
    </w:p>
    <w:p>
      <w:pPr>
        <w:spacing w:after="0" w:line="185"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u w:val="single" w:color="auto"/>
          <w:color w:val="auto"/>
        </w:rPr>
        <w:t>Performance Units and Shares</w:t>
      </w:r>
      <w:r>
        <w:rPr>
          <w:rFonts w:ascii="Arial" w:cs="Arial" w:eastAsia="Arial" w:hAnsi="Arial"/>
          <w:sz w:val="18"/>
          <w:szCs w:val="18"/>
          <w:color w:val="auto"/>
        </w:rPr>
        <w:t>. Performance units and performance shares may be granted under our Restated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except for any discretionary reduction or waiver in a change in control. Performance units will have an initial dollar value established by the administrator on or before to the grant date. Performance shares will have an initial value equal to the fair market value of our common stock on the grant date. The administrator has the discretion to pay earned performance units or performance shares in the form of cash, shares, or in some combination of both.</w:t>
      </w:r>
    </w:p>
    <w:p>
      <w:pPr>
        <w:spacing w:after="0" w:line="180"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the administrator provides otherwise, our Restated Plan generally does not allow for the transfer of awards and only the recipient of an award may exercise an award during his or her lifetime.</w:t>
      </w:r>
    </w:p>
    <w:p>
      <w:pPr>
        <w:spacing w:after="0" w:line="16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u w:val="single" w:color="auto"/>
          <w:color w:val="auto"/>
        </w:rPr>
        <w:t>Outside Directors</w:t>
      </w:r>
      <w:r>
        <w:rPr>
          <w:rFonts w:ascii="Arial" w:cs="Arial" w:eastAsia="Arial" w:hAnsi="Arial"/>
          <w:sz w:val="18"/>
          <w:szCs w:val="18"/>
          <w:color w:val="auto"/>
        </w:rPr>
        <w:t>. Our Restated Plan provides that any outside (non-employee) director, in any fiscal year, may not be granted cash compensation and/or equity awards under our Restated Plan with an aggregate value (determined in accordance with generally accepted accounting principles (“GAAP”)) of more than $1,000,000, except that this limit will be increased to $2,000,000 in our fiscal year of an individual’s initial service as an outside director. Any equity awards granted under our Restated Plan to an outside director for his or her services as an employee, or for his or her services as an employee or as a consultant (other than as a non-employee director), will not count for purposes of the limitation. This limit does not reflect the intended size of any potential compensation or equity awards to our outside (non-employee) directors.</w:t>
      </w:r>
    </w:p>
    <w:p>
      <w:pPr>
        <w:spacing w:after="0" w:line="183"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u w:val="single" w:color="auto"/>
          <w:color w:val="auto"/>
        </w:rPr>
        <w:t>Other Limitations</w:t>
      </w:r>
      <w:r>
        <w:rPr>
          <w:rFonts w:ascii="Arial" w:cs="Arial" w:eastAsia="Arial" w:hAnsi="Arial"/>
          <w:sz w:val="18"/>
          <w:szCs w:val="18"/>
          <w:color w:val="auto"/>
        </w:rPr>
        <w:t>. No dividends or other distributions may be paid with respect to any unvested shares underlying any unvested portion of an award. In addition, the administrator may not provide for any tax gross up payment to any participant, or otherwise provide any participant with a right to indemnification or reimbursement, for any excise tax imposed by Section 4999 of the Code or any similar law.</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both"/>
        <w:ind w:left="500" w:right="519" w:firstLine="360"/>
        <w:spacing w:after="0" w:line="246" w:lineRule="auto"/>
        <w:rPr>
          <w:sz w:val="20"/>
          <w:szCs w:val="20"/>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If there are certain changes in our capitalization, the administrator will adjust the number and class of shares that may be delivered under the Restated Plan; the number, class, and price of shares covered by each outstanding award; and the numerical share limits contained in the Restated Plan.</w:t>
      </w:r>
    </w:p>
    <w:p>
      <w:pPr>
        <w:spacing w:after="0" w:line="17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If there is a proposed liquidation or dissolution of our company, the administrator will notify participants as soon as practicable before the effective date of such event and all awards, to the extent that they have not been previously exercised, will terminate immediately before the consummation of such event.</w:t>
      </w:r>
    </w:p>
    <w:p>
      <w:pPr>
        <w:spacing w:after="0" w:line="17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Our Restated Plan provides that if there is a merger of the company with or into another company or entity or a change in control of our company, each outstanding award will be treated as the administrator determines, except that the administrator may not exercise discretion to accelerate the vesting or lapse of restrictions applicable to an award in a change in control.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except that any already achieved cumulative performance over 100% in prior performance periods will vest at the actual achieved percentage, and the administrator will notify the participant that such award will become fully exercisable, if applicable, for a specified period before the transaction. The award will then terminate upon the expiration of the specified period of time.</w:t>
      </w:r>
    </w:p>
    <w:p>
      <w:pPr>
        <w:spacing w:after="0" w:line="183"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With respect to awards held by a non-employee director that are assumed or substituted for, if such non-employee director’s service as a director of ours or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in the event.</w:t>
      </w:r>
    </w:p>
    <w:p>
      <w:pPr>
        <w:spacing w:after="0" w:line="180"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 Awards granted under the Restated Plan will be subject to recoupment under our current clawback policy and any clawback policy that we are required to adopt under the listing standards of any national securities exchange or association on which our securities are listed or under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w:t>
      </w:r>
    </w:p>
    <w:p>
      <w:pPr>
        <w:spacing w:after="0" w:line="183"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u w:val="single" w:color="auto"/>
          <w:color w:val="auto"/>
        </w:rPr>
        <w:t>Plan Amendments and Termination</w:t>
      </w:r>
      <w:r>
        <w:rPr>
          <w:rFonts w:ascii="Arial" w:cs="Arial" w:eastAsia="Arial" w:hAnsi="Arial"/>
          <w:sz w:val="18"/>
          <w:szCs w:val="18"/>
          <w:color w:val="auto"/>
        </w:rPr>
        <w:t>. Our Restated Plan will automatically terminate in 2032, unless we terminate it sooner. In addition, our board of directors has the authority to amend, suspend, or terminate the Restated Plan, but such action will not impair the rights of any participant without his or her written consent.</w:t>
      </w: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Restated Plan. The summary is based on existing U.S. laws and regulations, and there can be no assurance that those laws and regulations will not change in the future.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both"/>
        <w:ind w:left="500" w:right="539"/>
        <w:spacing w:after="0" w:line="246" w:lineRule="auto"/>
        <w:rPr>
          <w:sz w:val="20"/>
          <w:szCs w:val="20"/>
          <w:color w:val="auto"/>
        </w:rPr>
      </w:pPr>
      <w:r>
        <w:rPr>
          <w:rFonts w:ascii="Arial" w:cs="Arial" w:eastAsia="Arial" w:hAnsi="Arial"/>
          <w:sz w:val="18"/>
          <w:szCs w:val="18"/>
          <w:color w:val="auto"/>
        </w:rPr>
        <w:t>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w:t>
      </w:r>
    </w:p>
    <w:p>
      <w:pPr>
        <w:spacing w:after="0" w:line="176" w:lineRule="exact"/>
        <w:rPr>
          <w:sz w:val="20"/>
          <w:szCs w:val="20"/>
          <w:color w:val="auto"/>
        </w:rPr>
      </w:pPr>
    </w:p>
    <w:p>
      <w:pPr>
        <w:jc w:val="both"/>
        <w:ind w:left="500" w:right="519" w:firstLine="360"/>
        <w:spacing w:after="0" w:line="237" w:lineRule="auto"/>
        <w:rPr>
          <w:sz w:val="20"/>
          <w:szCs w:val="20"/>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86"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85"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u w:val="single" w:color="auto"/>
          <w:color w:val="auto"/>
        </w:rPr>
        <w:t>Nonstatutory Stock Options</w:t>
      </w:r>
      <w:r>
        <w:rPr>
          <w:rFonts w:ascii="Arial" w:cs="Arial" w:eastAsia="Arial" w:hAnsi="Arial"/>
          <w:sz w:val="18"/>
          <w:szCs w:val="18"/>
          <w:color w:val="auto"/>
        </w:rPr>
        <w:t>. 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w:t>
      </w:r>
    </w:p>
    <w:p>
      <w:pPr>
        <w:spacing w:after="0" w:line="18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In general, no taxable income is reportable when a stock appreciation right is granted to a participant. Upon exercise, the participant generally will recognize ordinary income in an amount equal to the fair market value of any shares of our common stock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179"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 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jc w:val="both"/>
        <w:ind w:left="500" w:right="519"/>
        <w:spacing w:after="0" w:line="252" w:lineRule="auto"/>
        <w:rPr>
          <w:sz w:val="20"/>
          <w:szCs w:val="20"/>
          <w:color w:val="auto"/>
        </w:rPr>
      </w:pPr>
      <w:r>
        <w:rPr>
          <w:rFonts w:ascii="Arial" w:cs="Arial" w:eastAsia="Arial" w:hAnsi="Arial"/>
          <w:sz w:val="18"/>
          <w:szCs w:val="18"/>
          <w:color w:val="auto"/>
        </w:rPr>
        <w:t>the date the shares are acquired. Upon the sale of shares acquired through a restricted stock award, any gain or loss, based on the difference between the sale price and the fair market value on the date the ordinary income tax event occurs, will be taxed as capital gain or loss.</w:t>
      </w:r>
    </w:p>
    <w:p>
      <w:pPr>
        <w:spacing w:after="0" w:line="17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There generally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185"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 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80"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Section 409A of the Code provides certain requirements for non-qualified deferred compensation arrangements with respect to an individual’s deferral and distribution elections and permissible distribution events. Awards granted under the Restated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before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180"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u w:val="single" w:color="auto"/>
          <w:color w:val="auto"/>
        </w:rPr>
        <w:t>Medicare Surtax</w:t>
      </w:r>
      <w:r>
        <w:rPr>
          <w:rFonts w:ascii="Arial" w:cs="Arial" w:eastAsia="Arial" w:hAnsi="Arial"/>
          <w:sz w:val="18"/>
          <w:szCs w:val="18"/>
          <w:color w:val="auto"/>
        </w:rPr>
        <w:t>. A participant’s annual “net investment income,” as defined in Section 1411 of the Internal Revenue Code, may be subject to a 3.8% federal surtax (generally referred to as the “Medicare Surtax”). Net investment income may include capital gain and/or loss arising from the disposition of shares subject to a participant’s awards under the Restated Plan. Whether a participant’s net investment income will be subject to the Medicare Surtax will depend on the participant’s level of annual income and other factors.</w:t>
      </w:r>
    </w:p>
    <w:p>
      <w:pPr>
        <w:spacing w:after="0" w:line="179"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u w:val="single" w:color="auto"/>
          <w:color w:val="auto"/>
        </w:rPr>
        <w:t>Tax Effect for the Company</w:t>
      </w:r>
      <w:r>
        <w:rPr>
          <w:rFonts w:ascii="Arial" w:cs="Arial" w:eastAsia="Arial" w:hAnsi="Arial"/>
          <w:sz w:val="18"/>
          <w:szCs w:val="18"/>
          <w:color w:val="auto"/>
        </w:rPr>
        <w:t>. The Company generally will be entitled to a tax deduction in connection with an award under the Restated Plan in an amount equal to the ordinary income realized by a participant and at the time the participant recognizes such income (for example, the exercise of a nonstatutory stock option). Special rules limit the deductibility of compensation paid to our Chief Executive Officer or Chief Financial Officer and other “covered employees” as determined under Section 162(m) and applicable guidance. Under Section 162(m), the annual compensation paid to any of these specified executives will be deductible only to the extent that it does not exceed $1,000,000.</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500"/>
        <w:spacing w:after="0"/>
        <w:rPr>
          <w:sz w:val="20"/>
          <w:szCs w:val="20"/>
          <w:color w:val="auto"/>
        </w:rPr>
      </w:pPr>
      <w:r>
        <w:rPr>
          <w:rFonts w:ascii="Arial" w:cs="Arial" w:eastAsia="Arial" w:hAnsi="Arial"/>
          <w:sz w:val="18"/>
          <w:szCs w:val="18"/>
          <w:b w:val="1"/>
          <w:bCs w:val="1"/>
          <w:color w:val="auto"/>
        </w:rPr>
        <w:t>New Plan Benefits</w:t>
      </w:r>
    </w:p>
    <w:p>
      <w:pPr>
        <w:spacing w:after="0" w:line="103"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The number of awards that an employee, director, or consultant may receive under the Restated Plan is in the discretion of the administrator and therefore cannot be 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 (A) the aggregate number of shares subject to stock options granted under the 2012 Plan during 2025, (B) the average per share exercise price of such options, (C) the aggregate number of restricted stock units (including RSUs and PRSUs at maximum levels) granted under the 2012 Plan during 2025, and (D) the dollar value of such RSUs and PRSUs.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3280" w:type="dxa"/>
            <w:vAlign w:val="bottom"/>
            <w:shd w:val="clear" w:color="auto" w:fill="1D3965"/>
          </w:tcPr>
          <w:p>
            <w:pPr>
              <w:spacing w:after="0"/>
              <w:rPr>
                <w:sz w:val="22"/>
                <w:szCs w:val="22"/>
                <w:color w:val="auto"/>
              </w:rPr>
            </w:pPr>
          </w:p>
        </w:tc>
        <w:tc>
          <w:tcPr>
            <w:tcW w:w="1380" w:type="dxa"/>
            <w:vAlign w:val="bottom"/>
            <w:shd w:val="clear" w:color="auto" w:fill="1D3965"/>
          </w:tcPr>
          <w:p>
            <w:pPr>
              <w:spacing w:after="0"/>
              <w:rPr>
                <w:sz w:val="22"/>
                <w:szCs w:val="22"/>
                <w:color w:val="auto"/>
              </w:rPr>
            </w:pP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Average Per</w:t>
            </w:r>
          </w:p>
        </w:tc>
        <w:tc>
          <w:tcPr>
            <w:tcW w:w="960" w:type="dxa"/>
            <w:vAlign w:val="bottom"/>
            <w:vMerge w:val="restart"/>
            <w:shd w:val="clear" w:color="auto" w:fill="1D3965"/>
          </w:tcPr>
          <w:p>
            <w:pPr>
              <w:jc w:val="center"/>
              <w:spacing w:after="0"/>
              <w:rPr>
                <w:sz w:val="20"/>
                <w:szCs w:val="20"/>
                <w:color w:val="auto"/>
              </w:rPr>
            </w:pPr>
            <w:r>
              <w:rPr>
                <w:rFonts w:ascii="Arial" w:cs="Arial" w:eastAsia="Arial" w:hAnsi="Arial"/>
                <w:sz w:val="14"/>
                <w:szCs w:val="14"/>
                <w:b w:val="1"/>
                <w:bCs w:val="1"/>
                <w:color w:val="FFFFFF"/>
              </w:rPr>
              <w:t>Number</w:t>
            </w:r>
          </w:p>
        </w:tc>
        <w:tc>
          <w:tcPr>
            <w:tcW w:w="220" w:type="dxa"/>
            <w:vAlign w:val="bottom"/>
            <w:shd w:val="clear" w:color="auto" w:fill="1D3965"/>
          </w:tcPr>
          <w:p>
            <w:pPr>
              <w:spacing w:after="0"/>
              <w:rPr>
                <w:sz w:val="22"/>
                <w:szCs w:val="22"/>
                <w:color w:val="auto"/>
              </w:rPr>
            </w:pPr>
          </w:p>
        </w:tc>
        <w:tc>
          <w:tcPr>
            <w:tcW w:w="1000" w:type="dxa"/>
            <w:vAlign w:val="bottom"/>
            <w:shd w:val="clear" w:color="auto" w:fill="1D3965"/>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1D3965"/>
          </w:tcPr>
          <w:p>
            <w:pPr>
              <w:spacing w:after="0"/>
              <w:rPr>
                <w:sz w:val="12"/>
                <w:szCs w:val="12"/>
                <w:color w:val="auto"/>
              </w:rPr>
            </w:pPr>
          </w:p>
        </w:tc>
        <w:tc>
          <w:tcPr>
            <w:tcW w:w="1380" w:type="dxa"/>
            <w:vAlign w:val="bottom"/>
            <w:shd w:val="clear" w:color="auto" w:fill="1D3965"/>
          </w:tcPr>
          <w:p>
            <w:pPr>
              <w:spacing w:after="0"/>
              <w:rPr>
                <w:sz w:val="12"/>
                <w:szCs w:val="12"/>
                <w:color w:val="auto"/>
              </w:rPr>
            </w:pPr>
          </w:p>
        </w:tc>
        <w:tc>
          <w:tcPr>
            <w:tcW w:w="1160" w:type="dxa"/>
            <w:vAlign w:val="bottom"/>
            <w:shd w:val="clear" w:color="auto" w:fill="1D3965"/>
          </w:tcPr>
          <w:p>
            <w:pPr>
              <w:jc w:val="center"/>
              <w:spacing w:after="0" w:line="145" w:lineRule="exact"/>
              <w:rPr>
                <w:sz w:val="20"/>
                <w:szCs w:val="20"/>
                <w:color w:val="auto"/>
              </w:rPr>
            </w:pPr>
            <w:r>
              <w:rPr>
                <w:rFonts w:ascii="Arial" w:cs="Arial" w:eastAsia="Arial" w:hAnsi="Arial"/>
                <w:sz w:val="14"/>
                <w:szCs w:val="14"/>
                <w:b w:val="1"/>
                <w:bCs w:val="1"/>
                <w:color w:val="FFFFFF"/>
              </w:rPr>
              <w:t>Share</w:t>
            </w:r>
          </w:p>
        </w:tc>
        <w:tc>
          <w:tcPr>
            <w:tcW w:w="960" w:type="dxa"/>
            <w:vAlign w:val="bottom"/>
            <w:vMerge w:val="continue"/>
            <w:shd w:val="clear" w:color="auto" w:fill="1D3965"/>
          </w:tcPr>
          <w:p>
            <w:pPr>
              <w:spacing w:after="0"/>
              <w:rPr>
                <w:sz w:val="12"/>
                <w:szCs w:val="12"/>
                <w:color w:val="auto"/>
              </w:rPr>
            </w:pPr>
          </w:p>
        </w:tc>
        <w:tc>
          <w:tcPr>
            <w:tcW w:w="220" w:type="dxa"/>
            <w:vAlign w:val="bottom"/>
            <w:shd w:val="clear" w:color="auto" w:fill="1D3965"/>
          </w:tcPr>
          <w:p>
            <w:pPr>
              <w:spacing w:after="0"/>
              <w:rPr>
                <w:sz w:val="12"/>
                <w:szCs w:val="12"/>
                <w:color w:val="auto"/>
              </w:rPr>
            </w:pPr>
          </w:p>
        </w:tc>
        <w:tc>
          <w:tcPr>
            <w:tcW w:w="1000" w:type="dxa"/>
            <w:vAlign w:val="bottom"/>
            <w:shd w:val="clear" w:color="auto" w:fill="1D396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1D3965"/>
          </w:tcPr>
          <w:p>
            <w:pPr>
              <w:spacing w:after="0"/>
              <w:rPr>
                <w:sz w:val="14"/>
                <w:szCs w:val="14"/>
                <w:color w:val="auto"/>
              </w:rPr>
            </w:pPr>
          </w:p>
        </w:tc>
        <w:tc>
          <w:tcPr>
            <w:tcW w:w="13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of</w:t>
            </w:r>
          </w:p>
        </w:tc>
        <w:tc>
          <w:tcPr>
            <w:tcW w:w="1220" w:type="dxa"/>
            <w:vAlign w:val="bottom"/>
            <w:gridSpan w:val="2"/>
            <w:shd w:val="clear" w:color="auto" w:fill="1D3965"/>
          </w:tcPr>
          <w:p>
            <w:pPr>
              <w:ind w:left="140"/>
              <w:spacing w:after="0"/>
              <w:rPr>
                <w:sz w:val="20"/>
                <w:szCs w:val="20"/>
                <w:color w:val="auto"/>
              </w:rPr>
            </w:pPr>
            <w:r>
              <w:rPr>
                <w:rFonts w:ascii="Arial" w:cs="Arial" w:eastAsia="Arial" w:hAnsi="Arial"/>
                <w:sz w:val="14"/>
                <w:szCs w:val="14"/>
                <w:b w:val="1"/>
                <w:bCs w:val="1"/>
                <w:color w:val="FFFFFF"/>
              </w:rPr>
              <w:t>Dollar Value of</w:t>
            </w:r>
          </w:p>
        </w:tc>
        <w:tc>
          <w:tcPr>
            <w:tcW w:w="0" w:type="dxa"/>
            <w:vAlign w:val="bottom"/>
          </w:tcPr>
          <w:p>
            <w:pPr>
              <w:spacing w:after="0"/>
              <w:rPr>
                <w:sz w:val="1"/>
                <w:szCs w:val="1"/>
                <w:color w:val="auto"/>
              </w:rPr>
            </w:pPr>
          </w:p>
        </w:tc>
      </w:tr>
      <w:tr>
        <w:trPr>
          <w:trHeight w:val="162"/>
        </w:trPr>
        <w:tc>
          <w:tcPr>
            <w:tcW w:w="3280" w:type="dxa"/>
            <w:vAlign w:val="bottom"/>
            <w:shd w:val="clear" w:color="auto" w:fill="1D3965"/>
          </w:tcPr>
          <w:p>
            <w:pPr>
              <w:spacing w:after="0"/>
              <w:rPr>
                <w:sz w:val="14"/>
                <w:szCs w:val="14"/>
                <w:color w:val="auto"/>
              </w:rPr>
            </w:pPr>
          </w:p>
        </w:tc>
        <w:tc>
          <w:tcPr>
            <w:tcW w:w="13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 Subject</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Price of</w:t>
            </w:r>
          </w:p>
        </w:tc>
        <w:tc>
          <w:tcPr>
            <w:tcW w:w="9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RSUs and</w:t>
            </w:r>
          </w:p>
        </w:tc>
        <w:tc>
          <w:tcPr>
            <w:tcW w:w="220" w:type="dxa"/>
            <w:vAlign w:val="bottom"/>
            <w:shd w:val="clear" w:color="auto" w:fill="1D3965"/>
          </w:tcPr>
          <w:p>
            <w:pPr>
              <w:spacing w:after="0"/>
              <w:rPr>
                <w:sz w:val="14"/>
                <w:szCs w:val="14"/>
                <w:color w:val="auto"/>
              </w:rPr>
            </w:pPr>
          </w:p>
        </w:tc>
        <w:tc>
          <w:tcPr>
            <w:tcW w:w="1000" w:type="dxa"/>
            <w:vAlign w:val="bottom"/>
            <w:shd w:val="clear" w:color="auto" w:fill="1D3965"/>
          </w:tcPr>
          <w:p>
            <w:pPr>
              <w:jc w:val="right"/>
              <w:ind w:right="175"/>
              <w:spacing w:after="0"/>
              <w:rPr>
                <w:sz w:val="20"/>
                <w:szCs w:val="20"/>
                <w:color w:val="auto"/>
              </w:rPr>
            </w:pPr>
            <w:r>
              <w:rPr>
                <w:rFonts w:ascii="Arial" w:cs="Arial" w:eastAsia="Arial" w:hAnsi="Arial"/>
                <w:sz w:val="14"/>
                <w:szCs w:val="14"/>
                <w:b w:val="1"/>
                <w:bCs w:val="1"/>
                <w:color w:val="FFFFFF"/>
              </w:rPr>
              <w:t>RSUs and</w:t>
            </w:r>
          </w:p>
        </w:tc>
        <w:tc>
          <w:tcPr>
            <w:tcW w:w="0" w:type="dxa"/>
            <w:vAlign w:val="bottom"/>
          </w:tcPr>
          <w:p>
            <w:pPr>
              <w:spacing w:after="0"/>
              <w:rPr>
                <w:sz w:val="1"/>
                <w:szCs w:val="1"/>
                <w:color w:val="auto"/>
              </w:rPr>
            </w:pPr>
          </w:p>
        </w:tc>
      </w:tr>
      <w:tr>
        <w:trPr>
          <w:trHeight w:val="270"/>
        </w:trPr>
        <w:tc>
          <w:tcPr>
            <w:tcW w:w="3280" w:type="dxa"/>
            <w:vAlign w:val="bottom"/>
            <w:shd w:val="clear" w:color="auto" w:fill="1D3965"/>
          </w:tcPr>
          <w:p>
            <w:pPr>
              <w:spacing w:after="0"/>
              <w:rPr>
                <w:sz w:val="23"/>
                <w:szCs w:val="23"/>
                <w:color w:val="auto"/>
              </w:rPr>
            </w:pPr>
          </w:p>
        </w:tc>
        <w:tc>
          <w:tcPr>
            <w:tcW w:w="13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to Options</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Options</w:t>
            </w:r>
          </w:p>
        </w:tc>
        <w:tc>
          <w:tcPr>
            <w:tcW w:w="9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4"/>
              </w:rPr>
              <w:t>PRSUs</w:t>
            </w:r>
            <w:r>
              <w:rPr>
                <w:rFonts w:ascii="Arial" w:cs="Arial" w:eastAsia="Arial" w:hAnsi="Arial"/>
                <w:sz w:val="23"/>
                <w:szCs w:val="23"/>
                <w:b w:val="1"/>
                <w:bCs w:val="1"/>
                <w:color w:val="FFFFFF"/>
                <w:w w:val="94"/>
                <w:vertAlign w:val="superscript"/>
              </w:rPr>
              <w:t>(1)</w:t>
            </w:r>
          </w:p>
        </w:tc>
        <w:tc>
          <w:tcPr>
            <w:tcW w:w="220" w:type="dxa"/>
            <w:vAlign w:val="bottom"/>
            <w:shd w:val="clear" w:color="auto" w:fill="1D3965"/>
          </w:tcPr>
          <w:p>
            <w:pPr>
              <w:spacing w:after="0"/>
              <w:rPr>
                <w:sz w:val="23"/>
                <w:szCs w:val="23"/>
                <w:color w:val="auto"/>
              </w:rPr>
            </w:pPr>
          </w:p>
        </w:tc>
        <w:tc>
          <w:tcPr>
            <w:tcW w:w="1000" w:type="dxa"/>
            <w:vAlign w:val="bottom"/>
            <w:shd w:val="clear" w:color="auto" w:fill="1D3965"/>
          </w:tcPr>
          <w:p>
            <w:pPr>
              <w:jc w:val="right"/>
              <w:ind w:right="175"/>
              <w:spacing w:after="0"/>
              <w:rPr>
                <w:sz w:val="20"/>
                <w:szCs w:val="20"/>
                <w:color w:val="auto"/>
              </w:rPr>
            </w:pPr>
            <w:r>
              <w:rPr>
                <w:rFonts w:ascii="Arial" w:cs="Arial" w:eastAsia="Arial" w:hAnsi="Arial"/>
                <w:sz w:val="14"/>
                <w:szCs w:val="14"/>
                <w:b w:val="1"/>
                <w:bCs w:val="1"/>
                <w:color w:val="FFFFFF"/>
              </w:rPr>
              <w:t>PRSUs</w:t>
            </w:r>
            <w:r>
              <w:rPr>
                <w:rFonts w:ascii="Arial" w:cs="Arial" w:eastAsia="Arial" w:hAnsi="Arial"/>
                <w:sz w:val="23"/>
                <w:szCs w:val="23"/>
                <w:b w:val="1"/>
                <w:bCs w:val="1"/>
                <w:color w:val="FFFFFF"/>
                <w:vertAlign w:val="superscript"/>
              </w:rPr>
              <w:t>(2)</w:t>
            </w:r>
          </w:p>
        </w:tc>
        <w:tc>
          <w:tcPr>
            <w:tcW w:w="0" w:type="dxa"/>
            <w:vAlign w:val="bottom"/>
          </w:tcPr>
          <w:p>
            <w:pPr>
              <w:spacing w:after="0"/>
              <w:rPr>
                <w:sz w:val="1"/>
                <w:szCs w:val="1"/>
                <w:color w:val="auto"/>
              </w:rPr>
            </w:pPr>
          </w:p>
        </w:tc>
      </w:tr>
      <w:tr>
        <w:trPr>
          <w:trHeight w:val="253"/>
        </w:trPr>
        <w:tc>
          <w:tcPr>
            <w:tcW w:w="3280" w:type="dxa"/>
            <w:vAlign w:val="bottom"/>
          </w:tcPr>
          <w:p>
            <w:pPr>
              <w:ind w:left="180"/>
              <w:spacing w:after="0"/>
              <w:rPr>
                <w:sz w:val="20"/>
                <w:szCs w:val="20"/>
                <w:color w:val="auto"/>
              </w:rPr>
            </w:pPr>
            <w:r>
              <w:rPr>
                <w:rFonts w:ascii="Arial" w:cs="Arial" w:eastAsia="Arial" w:hAnsi="Arial"/>
                <w:sz w:val="18"/>
                <w:szCs w:val="18"/>
                <w:color w:val="auto"/>
              </w:rPr>
              <w:t>Sumedh S. Thakar</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161,786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21,632,551</w:t>
            </w:r>
          </w:p>
        </w:tc>
        <w:tc>
          <w:tcPr>
            <w:tcW w:w="0" w:type="dxa"/>
            <w:vAlign w:val="bottom"/>
          </w:tcPr>
          <w:p>
            <w:pPr>
              <w:spacing w:after="0"/>
              <w:rPr>
                <w:sz w:val="1"/>
                <w:szCs w:val="1"/>
                <w:color w:val="auto"/>
              </w:rPr>
            </w:pPr>
          </w:p>
        </w:tc>
      </w:tr>
      <w:tr>
        <w:trPr>
          <w:trHeight w:val="203"/>
        </w:trPr>
        <w:tc>
          <w:tcPr>
            <w:tcW w:w="3280" w:type="dxa"/>
            <w:vAlign w:val="bottom"/>
          </w:tcPr>
          <w:p>
            <w:pPr>
              <w:ind w:left="360"/>
              <w:spacing w:after="0" w:line="202" w:lineRule="exact"/>
              <w:rPr>
                <w:sz w:val="20"/>
                <w:szCs w:val="20"/>
                <w:color w:val="auto"/>
              </w:rPr>
            </w:pPr>
            <w:r>
              <w:rPr>
                <w:rFonts w:ascii="Arial" w:cs="Arial" w:eastAsia="Arial" w:hAnsi="Arial"/>
                <w:sz w:val="18"/>
                <w:szCs w:val="18"/>
                <w:i w:val="1"/>
                <w:iCs w:val="1"/>
                <w:color w:val="auto"/>
              </w:rPr>
              <w:t>Director, President and Chief</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Arial" w:cs="Arial" w:eastAsia="Arial" w:hAnsi="Arial"/>
                <w:sz w:val="18"/>
                <w:szCs w:val="18"/>
                <w:i w:val="1"/>
                <w:iCs w:val="1"/>
                <w:color w:val="auto"/>
              </w:rPr>
              <w:t>Executive Officer</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8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58,964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7,693,701</w:t>
            </w: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80" w:type="dxa"/>
            <w:vAlign w:val="bottom"/>
          </w:tcPr>
          <w:p>
            <w:pPr>
              <w:ind w:left="180"/>
              <w:spacing w:after="0"/>
              <w:rPr>
                <w:sz w:val="20"/>
                <w:szCs w:val="20"/>
                <w:color w:val="auto"/>
              </w:rPr>
            </w:pPr>
            <w:r>
              <w:rPr>
                <w:rFonts w:ascii="Arial" w:cs="Arial" w:eastAsia="Arial" w:hAnsi="Arial"/>
                <w:sz w:val="18"/>
                <w:szCs w:val="18"/>
                <w:color w:val="auto"/>
              </w:rPr>
              <w:t>Bruce K. Posey</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34,911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4,553,623</w:t>
            </w: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Arial" w:cs="Arial" w:eastAsia="Arial" w:hAnsi="Arial"/>
                <w:sz w:val="18"/>
                <w:szCs w:val="18"/>
                <w:i w:val="1"/>
                <w:iCs w:val="1"/>
                <w:color w:val="auto"/>
              </w:rPr>
              <w:t>Chief Legal Officer</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280" w:type="dxa"/>
            <w:vAlign w:val="bottom"/>
          </w:tcPr>
          <w:p>
            <w:pPr>
              <w:ind w:left="180"/>
              <w:spacing w:after="0"/>
              <w:rPr>
                <w:sz w:val="20"/>
                <w:szCs w:val="20"/>
                <w:color w:val="auto"/>
              </w:rPr>
            </w:pPr>
            <w:r>
              <w:rPr>
                <w:rFonts w:ascii="Arial" w:cs="Arial" w:eastAsia="Arial" w:hAnsi="Arial"/>
                <w:sz w:val="18"/>
                <w:szCs w:val="18"/>
                <w:color w:val="auto"/>
              </w:rPr>
              <w:t>All executive officers, as a group</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255,661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33,879,875</w:t>
            </w:r>
          </w:p>
        </w:tc>
        <w:tc>
          <w:tcPr>
            <w:tcW w:w="0" w:type="dxa"/>
            <w:vAlign w:val="bottom"/>
          </w:tcPr>
          <w:p>
            <w:pPr>
              <w:spacing w:after="0"/>
              <w:rPr>
                <w:sz w:val="1"/>
                <w:szCs w:val="1"/>
                <w:color w:val="auto"/>
              </w:rPr>
            </w:pPr>
          </w:p>
        </w:tc>
      </w:tr>
      <w:tr>
        <w:trPr>
          <w:trHeight w:val="301"/>
        </w:trPr>
        <w:tc>
          <w:tcPr>
            <w:tcW w:w="3280" w:type="dxa"/>
            <w:vAlign w:val="bottom"/>
          </w:tcPr>
          <w:p>
            <w:pPr>
              <w:ind w:left="180"/>
              <w:spacing w:after="0"/>
              <w:rPr>
                <w:sz w:val="20"/>
                <w:szCs w:val="20"/>
                <w:color w:val="auto"/>
              </w:rPr>
            </w:pPr>
            <w:r>
              <w:rPr>
                <w:rFonts w:ascii="Arial" w:cs="Arial" w:eastAsia="Arial" w:hAnsi="Arial"/>
                <w:sz w:val="18"/>
                <w:szCs w:val="18"/>
                <w:color w:val="auto"/>
              </w:rPr>
              <w:t>All directors who are not executive</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12,593</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1,711,274</w:t>
            </w:r>
          </w:p>
        </w:tc>
        <w:tc>
          <w:tcPr>
            <w:tcW w:w="0" w:type="dxa"/>
            <w:vAlign w:val="bottom"/>
          </w:tcPr>
          <w:p>
            <w:pPr>
              <w:spacing w:after="0"/>
              <w:rPr>
                <w:sz w:val="1"/>
                <w:szCs w:val="1"/>
                <w:color w:val="auto"/>
              </w:rPr>
            </w:pPr>
          </w:p>
        </w:tc>
      </w:tr>
      <w:tr>
        <w:trPr>
          <w:trHeight w:val="239"/>
        </w:trPr>
        <w:tc>
          <w:tcPr>
            <w:tcW w:w="3280" w:type="dxa"/>
            <w:vAlign w:val="bottom"/>
          </w:tcPr>
          <w:p>
            <w:pPr>
              <w:ind w:left="360"/>
              <w:spacing w:after="0"/>
              <w:rPr>
                <w:sz w:val="20"/>
                <w:szCs w:val="20"/>
                <w:color w:val="auto"/>
              </w:rPr>
            </w:pPr>
            <w:r>
              <w:rPr>
                <w:rFonts w:ascii="Arial" w:cs="Arial" w:eastAsia="Arial" w:hAnsi="Arial"/>
                <w:sz w:val="18"/>
                <w:szCs w:val="18"/>
                <w:color w:val="auto"/>
              </w:rPr>
              <w:t>officers, as a group</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280" w:type="dxa"/>
            <w:vAlign w:val="bottom"/>
          </w:tcPr>
          <w:p>
            <w:pPr>
              <w:ind w:left="180"/>
              <w:spacing w:after="0"/>
              <w:rPr>
                <w:sz w:val="20"/>
                <w:szCs w:val="20"/>
                <w:color w:val="auto"/>
              </w:rPr>
            </w:pPr>
            <w:r>
              <w:rPr>
                <w:rFonts w:ascii="Arial" w:cs="Arial" w:eastAsia="Arial" w:hAnsi="Arial"/>
                <w:sz w:val="18"/>
                <w:szCs w:val="18"/>
                <w:color w:val="auto"/>
              </w:rPr>
              <w:t>All employees who are not executive</w:t>
            </w:r>
          </w:p>
        </w:tc>
        <w:tc>
          <w:tcPr>
            <w:tcW w:w="1380" w:type="dxa"/>
            <w:vAlign w:val="bottom"/>
          </w:tcPr>
          <w:p>
            <w:pPr>
              <w:jc w:val="right"/>
              <w:ind w:right="256"/>
              <w:spacing w:after="0"/>
              <w:rPr>
                <w:sz w:val="20"/>
                <w:szCs w:val="20"/>
                <w:color w:val="auto"/>
              </w:rPr>
            </w:pPr>
            <w:r>
              <w:rPr>
                <w:rFonts w:ascii="Arial" w:cs="Arial" w:eastAsia="Arial" w:hAnsi="Arial"/>
                <w:sz w:val="18"/>
                <w:szCs w:val="18"/>
                <w:color w:val="auto"/>
              </w:rPr>
              <w:t>245,650</w:t>
            </w:r>
          </w:p>
        </w:tc>
        <w:tc>
          <w:tcPr>
            <w:tcW w:w="1160" w:type="dxa"/>
            <w:vAlign w:val="bottom"/>
          </w:tcPr>
          <w:p>
            <w:pPr>
              <w:jc w:val="right"/>
              <w:ind w:right="158"/>
              <w:spacing w:after="0"/>
              <w:rPr>
                <w:sz w:val="20"/>
                <w:szCs w:val="20"/>
                <w:color w:val="auto"/>
              </w:rPr>
            </w:pPr>
            <w:r>
              <w:rPr>
                <w:rFonts w:ascii="Arial" w:cs="Arial" w:eastAsia="Arial" w:hAnsi="Arial"/>
                <w:sz w:val="18"/>
                <w:szCs w:val="18"/>
                <w:color w:val="auto"/>
              </w:rPr>
              <w:t>$130.74</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438,138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57,014,077</w:t>
            </w:r>
          </w:p>
        </w:tc>
        <w:tc>
          <w:tcPr>
            <w:tcW w:w="0" w:type="dxa"/>
            <w:vAlign w:val="bottom"/>
          </w:tcPr>
          <w:p>
            <w:pPr>
              <w:spacing w:after="0"/>
              <w:rPr>
                <w:sz w:val="1"/>
                <w:szCs w:val="1"/>
                <w:color w:val="auto"/>
              </w:rPr>
            </w:pPr>
          </w:p>
        </w:tc>
      </w:tr>
      <w:tr>
        <w:trPr>
          <w:trHeight w:val="239"/>
        </w:trPr>
        <w:tc>
          <w:tcPr>
            <w:tcW w:w="3280" w:type="dxa"/>
            <w:vAlign w:val="bottom"/>
          </w:tcPr>
          <w:p>
            <w:pPr>
              <w:ind w:left="360"/>
              <w:spacing w:after="0"/>
              <w:rPr>
                <w:sz w:val="20"/>
                <w:szCs w:val="20"/>
                <w:color w:val="auto"/>
              </w:rPr>
            </w:pPr>
            <w:r>
              <w:rPr>
                <w:rFonts w:ascii="Arial" w:cs="Arial" w:eastAsia="Arial" w:hAnsi="Arial"/>
                <w:sz w:val="18"/>
                <w:szCs w:val="18"/>
                <w:color w:val="auto"/>
              </w:rPr>
              <w:t>officers, as a group</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108585</wp:posOffset>
            </wp:positionV>
            <wp:extent cx="4800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54" w:lineRule="exact"/>
        <w:rPr>
          <w:sz w:val="20"/>
          <w:szCs w:val="20"/>
          <w:color w:val="auto"/>
        </w:rPr>
      </w:pPr>
    </w:p>
    <w:p>
      <w:pPr>
        <w:jc w:val="both"/>
        <w:ind w:left="860" w:right="519" w:hanging="352"/>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number of RSUs and PRSUs that were considered to have been granted in 2025 under FASB ASC Topic 718. The PRSU awards approved in October 2025 are not included (since the performance goals for all three tranches of these PRSU awards had not been established in 2025 and as a result, there was no reportable grant date fair value under FASB ASC Topic 718 for such tranches). The number of PRSUs (at maximum levels of performance) approved in 2025 but which will be considered granted in future fiscal years are (i) 122,184 for Mr. Thakar, (ii) 29,324 for Ms. Kim, (iii) 17,450 for Mr. Posey, (iv) 168,958 for all executive officers, as a group, and (v) 87,650 for all employees who are not executive officers, as a group.</w:t>
      </w:r>
    </w:p>
    <w:p>
      <w:pPr>
        <w:spacing w:after="0" w:line="274"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aggregate grant date fair value of the equity awards considered granted in 2025, computed in accordance with FASB ASC Topic 718. Each of the PRSU awards approved in October 2025 are divided into three tranches with one-year performance periods covering calendar year 2026, 2027, and 2028, respectively. One-third of the target number of PRSUs is allocated to each tranche. Each tranche will become eligible to vest based on the annual performance goals to be determined each performance period. The aggregate grant date fair value listed in this column does not include the value associated with these PRSU awards as such awards are not considered granted under FASB ASC Topic 718 until the performance metrics are determined.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ind w:left="5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3" w:lineRule="exact"/>
        <w:rPr>
          <w:sz w:val="20"/>
          <w:szCs w:val="20"/>
          <w:color w:val="auto"/>
        </w:rPr>
      </w:pPr>
    </w:p>
    <w:p>
      <w:pPr>
        <w:ind w:left="500" w:right="539" w:firstLine="360"/>
        <w:spacing w:after="0" w:line="271"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2025. All outstanding awards relate to our common stock.</w:t>
      </w:r>
    </w:p>
    <w:p>
      <w:pPr>
        <w:spacing w:after="0" w:line="105"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3860" w:type="dxa"/>
            <w:vAlign w:val="bottom"/>
            <w:shd w:val="clear" w:color="auto" w:fill="1D3965"/>
          </w:tcPr>
          <w:p>
            <w:pPr>
              <w:spacing w:after="0"/>
              <w:rPr>
                <w:sz w:val="22"/>
                <w:szCs w:val="22"/>
                <w:color w:val="auto"/>
              </w:rPr>
            </w:pPr>
          </w:p>
        </w:tc>
        <w:tc>
          <w:tcPr>
            <w:tcW w:w="1400" w:type="dxa"/>
            <w:vAlign w:val="bottom"/>
            <w:shd w:val="clear" w:color="auto" w:fill="1D3965"/>
          </w:tcPr>
          <w:p>
            <w:pPr>
              <w:spacing w:after="0"/>
              <w:rPr>
                <w:sz w:val="22"/>
                <w:szCs w:val="22"/>
                <w:color w:val="auto"/>
              </w:rPr>
            </w:pPr>
          </w:p>
        </w:tc>
        <w:tc>
          <w:tcPr>
            <w:tcW w:w="460" w:type="dxa"/>
            <w:vAlign w:val="bottom"/>
            <w:shd w:val="clear" w:color="auto" w:fill="1D3965"/>
          </w:tcPr>
          <w:p>
            <w:pPr>
              <w:spacing w:after="0"/>
              <w:rPr>
                <w:sz w:val="22"/>
                <w:szCs w:val="22"/>
                <w:color w:val="auto"/>
              </w:rPr>
            </w:pPr>
          </w:p>
        </w:tc>
        <w:tc>
          <w:tcPr>
            <w:tcW w:w="880" w:type="dxa"/>
            <w:vAlign w:val="bottom"/>
            <w:shd w:val="clear" w:color="auto" w:fill="1D3965"/>
          </w:tcPr>
          <w:p>
            <w:pPr>
              <w:spacing w:after="0"/>
              <w:rPr>
                <w:sz w:val="22"/>
                <w:szCs w:val="22"/>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(c) Number of</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spacing w:after="0"/>
              <w:rPr>
                <w:sz w:val="14"/>
                <w:szCs w:val="14"/>
                <w:color w:val="auto"/>
              </w:rPr>
            </w:pPr>
          </w:p>
        </w:tc>
        <w:tc>
          <w:tcPr>
            <w:tcW w:w="460" w:type="dxa"/>
            <w:vAlign w:val="bottom"/>
            <w:shd w:val="clear" w:color="auto" w:fill="1D3965"/>
          </w:tcPr>
          <w:p>
            <w:pPr>
              <w:spacing w:after="0"/>
              <w:rPr>
                <w:sz w:val="14"/>
                <w:szCs w:val="14"/>
                <w:color w:val="auto"/>
              </w:rPr>
            </w:pPr>
          </w:p>
        </w:tc>
        <w:tc>
          <w:tcPr>
            <w:tcW w:w="88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 Number of</w:t>
            </w:r>
          </w:p>
        </w:tc>
        <w:tc>
          <w:tcPr>
            <w:tcW w:w="460" w:type="dxa"/>
            <w:vAlign w:val="bottom"/>
            <w:shd w:val="clear" w:color="auto" w:fill="1D3965"/>
          </w:tcPr>
          <w:p>
            <w:pPr>
              <w:spacing w:after="0"/>
              <w:rPr>
                <w:sz w:val="14"/>
                <w:szCs w:val="14"/>
                <w:color w:val="auto"/>
              </w:rPr>
            </w:pPr>
          </w:p>
        </w:tc>
        <w:tc>
          <w:tcPr>
            <w:tcW w:w="88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Securities to</w:t>
            </w:r>
          </w:p>
        </w:tc>
        <w:tc>
          <w:tcPr>
            <w:tcW w:w="460" w:type="dxa"/>
            <w:vAlign w:val="bottom"/>
            <w:shd w:val="clear" w:color="auto" w:fill="1D3965"/>
          </w:tcPr>
          <w:p>
            <w:pPr>
              <w:spacing w:after="0"/>
              <w:rPr>
                <w:sz w:val="14"/>
                <w:szCs w:val="14"/>
                <w:color w:val="auto"/>
              </w:rPr>
            </w:pPr>
          </w:p>
        </w:tc>
        <w:tc>
          <w:tcPr>
            <w:tcW w:w="88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7"/>
              </w:rPr>
              <w:t>be</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(b) Weighted-</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Issued Upon</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Average</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Exercise of</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Exercise</w:t>
            </w:r>
          </w:p>
        </w:tc>
        <w:tc>
          <w:tcPr>
            <w:tcW w:w="1400" w:type="dxa"/>
            <w:vAlign w:val="bottom"/>
            <w:shd w:val="clear" w:color="auto" w:fill="1D3965"/>
          </w:tcPr>
          <w:p>
            <w:pPr>
              <w:jc w:val="center"/>
              <w:ind w:left="5"/>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Outstanding</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Price of</w:t>
            </w:r>
          </w:p>
        </w:tc>
        <w:tc>
          <w:tcPr>
            <w:tcW w:w="1400" w:type="dxa"/>
            <w:vAlign w:val="bottom"/>
            <w:shd w:val="clear" w:color="auto" w:fill="1D3965"/>
          </w:tcPr>
          <w:p>
            <w:pPr>
              <w:jc w:val="center"/>
              <w:ind w:left="45"/>
              <w:spacing w:after="0"/>
              <w:rPr>
                <w:sz w:val="20"/>
                <w:szCs w:val="20"/>
                <w:color w:val="auto"/>
              </w:rPr>
            </w:pPr>
            <w:r>
              <w:rPr>
                <w:rFonts w:ascii="Arial" w:cs="Arial" w:eastAsia="Arial" w:hAnsi="Arial"/>
                <w:sz w:val="14"/>
                <w:szCs w:val="14"/>
                <w:b w:val="1"/>
                <w:bCs w:val="1"/>
                <w:color w:val="FFFFFF"/>
              </w:rPr>
              <w:t>Plans (Excluding</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Options,</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Outstanding</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Warrants and</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Options,</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Reflected in</w:t>
            </w:r>
          </w:p>
        </w:tc>
      </w:tr>
      <w:tr>
        <w:trPr>
          <w:trHeight w:val="162"/>
        </w:trPr>
        <w:tc>
          <w:tcPr>
            <w:tcW w:w="3860" w:type="dxa"/>
            <w:vAlign w:val="bottom"/>
            <w:shd w:val="clear" w:color="auto" w:fill="1D3965"/>
          </w:tcPr>
          <w:p>
            <w:pPr>
              <w:spacing w:after="0"/>
              <w:rPr>
                <w:sz w:val="14"/>
                <w:szCs w:val="14"/>
                <w:color w:val="auto"/>
              </w:rPr>
            </w:pP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Rights</w:t>
            </w:r>
          </w:p>
        </w:tc>
        <w:tc>
          <w:tcPr>
            <w:tcW w:w="134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Warrants and</w:t>
            </w:r>
          </w:p>
        </w:tc>
        <w:tc>
          <w:tcPr>
            <w:tcW w:w="1400" w:type="dxa"/>
            <w:vAlign w:val="bottom"/>
            <w:shd w:val="clear" w:color="auto" w:fill="1D3965"/>
          </w:tcPr>
          <w:p>
            <w:pPr>
              <w:jc w:val="center"/>
              <w:ind w:left="45"/>
              <w:spacing w:after="0"/>
              <w:rPr>
                <w:sz w:val="20"/>
                <w:szCs w:val="20"/>
                <w:color w:val="auto"/>
              </w:rPr>
            </w:pPr>
            <w:r>
              <w:rPr>
                <w:rFonts w:ascii="Arial" w:cs="Arial" w:eastAsia="Arial" w:hAnsi="Arial"/>
                <w:sz w:val="14"/>
                <w:szCs w:val="14"/>
                <w:b w:val="1"/>
                <w:bCs w:val="1"/>
                <w:color w:val="FFFFFF"/>
              </w:rPr>
              <w:t>Column (a))</w:t>
            </w:r>
          </w:p>
        </w:tc>
      </w:tr>
      <w:tr>
        <w:trPr>
          <w:trHeight w:val="232"/>
        </w:trPr>
        <w:tc>
          <w:tcPr>
            <w:tcW w:w="3860" w:type="dxa"/>
            <w:vAlign w:val="bottom"/>
            <w:tcBorders>
              <w:bottom w:val="single" w:sz="8" w:color="1D3965"/>
            </w:tcBorders>
            <w:shd w:val="clear" w:color="auto" w:fill="1D3965"/>
          </w:tcPr>
          <w:p>
            <w:pPr>
              <w:ind w:left="180"/>
              <w:spacing w:after="0"/>
              <w:rPr>
                <w:sz w:val="20"/>
                <w:szCs w:val="20"/>
                <w:color w:val="auto"/>
              </w:rPr>
            </w:pPr>
            <w:r>
              <w:rPr>
                <w:rFonts w:ascii="Arial" w:cs="Arial" w:eastAsia="Arial" w:hAnsi="Arial"/>
                <w:sz w:val="14"/>
                <w:szCs w:val="14"/>
                <w:b w:val="1"/>
                <w:bCs w:val="1"/>
                <w:color w:val="FFFFFF"/>
              </w:rPr>
              <w:t>Plan Category</w:t>
            </w:r>
          </w:p>
        </w:tc>
        <w:tc>
          <w:tcPr>
            <w:tcW w:w="140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(in thousands)</w:t>
            </w:r>
          </w:p>
        </w:tc>
        <w:tc>
          <w:tcPr>
            <w:tcW w:w="460" w:type="dxa"/>
            <w:vAlign w:val="bottom"/>
            <w:tcBorders>
              <w:bottom w:val="single" w:sz="8" w:color="1D3965"/>
            </w:tcBorders>
            <w:shd w:val="clear" w:color="auto" w:fill="1D3965"/>
          </w:tcPr>
          <w:p>
            <w:pPr>
              <w:spacing w:after="0"/>
              <w:rPr>
                <w:sz w:val="20"/>
                <w:szCs w:val="20"/>
                <w:color w:val="auto"/>
              </w:rPr>
            </w:pPr>
          </w:p>
        </w:tc>
        <w:tc>
          <w:tcPr>
            <w:tcW w:w="880" w:type="dxa"/>
            <w:vAlign w:val="bottom"/>
            <w:tcBorders>
              <w:bottom w:val="single" w:sz="8" w:color="1D3965"/>
            </w:tcBorders>
            <w:shd w:val="clear" w:color="auto" w:fill="1D3965"/>
          </w:tcPr>
          <w:p>
            <w:pPr>
              <w:jc w:val="center"/>
              <w:ind w:right="356"/>
              <w:spacing w:after="0"/>
              <w:rPr>
                <w:sz w:val="20"/>
                <w:szCs w:val="20"/>
                <w:color w:val="auto"/>
              </w:rPr>
            </w:pPr>
            <w:r>
              <w:rPr>
                <w:rFonts w:ascii="Arial" w:cs="Arial" w:eastAsia="Arial" w:hAnsi="Arial"/>
                <w:sz w:val="14"/>
                <w:szCs w:val="14"/>
                <w:b w:val="1"/>
                <w:bCs w:val="1"/>
                <w:color w:val="FFFFFF"/>
              </w:rPr>
              <w:t>Rights</w:t>
            </w:r>
          </w:p>
        </w:tc>
        <w:tc>
          <w:tcPr>
            <w:tcW w:w="1400" w:type="dxa"/>
            <w:vAlign w:val="bottom"/>
            <w:tcBorders>
              <w:bottom w:val="single" w:sz="8" w:color="1D3965"/>
            </w:tcBorders>
            <w:shd w:val="clear" w:color="auto" w:fill="1D3965"/>
          </w:tcPr>
          <w:p>
            <w:pPr>
              <w:jc w:val="center"/>
              <w:ind w:left="25"/>
              <w:spacing w:after="0"/>
              <w:rPr>
                <w:sz w:val="20"/>
                <w:szCs w:val="20"/>
                <w:color w:val="auto"/>
              </w:rPr>
            </w:pPr>
            <w:r>
              <w:rPr>
                <w:rFonts w:ascii="Arial" w:cs="Arial" w:eastAsia="Arial" w:hAnsi="Arial"/>
                <w:sz w:val="14"/>
                <w:szCs w:val="14"/>
                <w:b w:val="1"/>
                <w:bCs w:val="1"/>
                <w:color w:val="FFFFFF"/>
              </w:rPr>
              <w:t>(in thousands)</w:t>
            </w: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Equity compensation plans approved by</w:t>
            </w:r>
          </w:p>
        </w:tc>
        <w:tc>
          <w:tcPr>
            <w:tcW w:w="1400" w:type="dxa"/>
            <w:vAlign w:val="bottom"/>
          </w:tcPr>
          <w:p>
            <w:pPr>
              <w:jc w:val="right"/>
              <w:ind w:right="205"/>
              <w:spacing w:after="0" w:line="270" w:lineRule="exact"/>
              <w:rPr>
                <w:sz w:val="20"/>
                <w:szCs w:val="20"/>
                <w:color w:val="auto"/>
              </w:rPr>
            </w:pPr>
            <w:r>
              <w:rPr>
                <w:rFonts w:ascii="Arial" w:cs="Arial" w:eastAsia="Arial" w:hAnsi="Arial"/>
                <w:sz w:val="18"/>
                <w:szCs w:val="18"/>
                <w:color w:val="auto"/>
              </w:rPr>
              <w:t>2,334</w:t>
            </w:r>
            <w:r>
              <w:rPr>
                <w:rFonts w:ascii="Arial" w:cs="Arial" w:eastAsia="Arial" w:hAnsi="Arial"/>
                <w:sz w:val="29"/>
                <w:szCs w:val="29"/>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line="270" w:lineRule="exact"/>
              <w:rPr>
                <w:sz w:val="20"/>
                <w:szCs w:val="20"/>
                <w:color w:val="auto"/>
              </w:rPr>
            </w:pPr>
            <w:r>
              <w:rPr>
                <w:rFonts w:ascii="Arial" w:cs="Arial" w:eastAsia="Arial" w:hAnsi="Arial"/>
                <w:sz w:val="18"/>
                <w:szCs w:val="18"/>
                <w:color w:val="auto"/>
                <w:w w:val="88"/>
              </w:rPr>
              <w:t>127.50</w:t>
            </w:r>
            <w:r>
              <w:rPr>
                <w:rFonts w:ascii="Arial" w:cs="Arial" w:eastAsia="Arial" w:hAnsi="Arial"/>
                <w:sz w:val="29"/>
                <w:szCs w:val="29"/>
                <w:color w:val="auto"/>
                <w:w w:val="88"/>
                <w:vertAlign w:val="superscript"/>
              </w:rPr>
              <w:t>(3)</w:t>
            </w:r>
          </w:p>
        </w:tc>
        <w:tc>
          <w:tcPr>
            <w:tcW w:w="1400" w:type="dxa"/>
            <w:vAlign w:val="bottom"/>
          </w:tcPr>
          <w:p>
            <w:pPr>
              <w:jc w:val="right"/>
              <w:ind w:right="165"/>
              <w:spacing w:after="0" w:line="270" w:lineRule="exact"/>
              <w:rPr>
                <w:sz w:val="20"/>
                <w:szCs w:val="20"/>
                <w:color w:val="auto"/>
              </w:rPr>
            </w:pPr>
            <w:r>
              <w:rPr>
                <w:rFonts w:ascii="Arial" w:cs="Arial" w:eastAsia="Arial" w:hAnsi="Arial"/>
                <w:sz w:val="18"/>
                <w:szCs w:val="18"/>
                <w:color w:val="auto"/>
              </w:rPr>
              <w:t>2,052</w:t>
            </w:r>
            <w:r>
              <w:rPr>
                <w:rFonts w:ascii="Arial" w:cs="Arial" w:eastAsia="Arial" w:hAnsi="Arial"/>
                <w:sz w:val="29"/>
                <w:szCs w:val="29"/>
                <w:color w:val="auto"/>
                <w:vertAlign w:val="superscript"/>
              </w:rPr>
              <w:t>(4)</w:t>
            </w:r>
          </w:p>
        </w:tc>
      </w:tr>
      <w:tr>
        <w:trPr>
          <w:trHeight w:val="359"/>
        </w:trPr>
        <w:tc>
          <w:tcPr>
            <w:tcW w:w="3860" w:type="dxa"/>
            <w:vAlign w:val="bottom"/>
          </w:tcPr>
          <w:p>
            <w:pPr>
              <w:ind w:left="360"/>
              <w:spacing w:after="0"/>
              <w:rPr>
                <w:sz w:val="20"/>
                <w:szCs w:val="20"/>
                <w:color w:val="auto"/>
              </w:rPr>
            </w:pPr>
            <w:r>
              <w:rPr>
                <w:rFonts w:ascii="Arial" w:cs="Arial" w:eastAsia="Arial" w:hAnsi="Arial"/>
                <w:sz w:val="18"/>
                <w:szCs w:val="18"/>
                <w:color w:val="auto"/>
              </w:rPr>
              <w:t>security holders</w:t>
            </w:r>
            <w:r>
              <w:rPr>
                <w:rFonts w:ascii="Arial" w:cs="Arial" w:eastAsia="Arial" w:hAnsi="Arial"/>
                <w:sz w:val="29"/>
                <w:szCs w:val="29"/>
                <w:color w:val="auto"/>
                <w:vertAlign w:val="superscript"/>
              </w:rPr>
              <w:t>(1)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3860" w:type="dxa"/>
            <w:vAlign w:val="bottom"/>
          </w:tcPr>
          <w:p>
            <w:pPr>
              <w:ind w:left="180"/>
              <w:spacing w:after="0" w:line="202" w:lineRule="exact"/>
              <w:rPr>
                <w:sz w:val="20"/>
                <w:szCs w:val="20"/>
                <w:color w:val="auto"/>
              </w:rPr>
            </w:pPr>
            <w:r>
              <w:rPr>
                <w:rFonts w:ascii="Arial" w:cs="Arial" w:eastAsia="Arial" w:hAnsi="Arial"/>
                <w:sz w:val="18"/>
                <w:szCs w:val="18"/>
                <w:color w:val="auto"/>
              </w:rPr>
              <w:t>Equity compensation plans not approved by</w:t>
            </w:r>
          </w:p>
        </w:tc>
        <w:tc>
          <w:tcPr>
            <w:tcW w:w="1400" w:type="dxa"/>
            <w:vAlign w:val="bottom"/>
          </w:tcPr>
          <w:p>
            <w:pPr>
              <w:jc w:val="right"/>
              <w:ind w:right="385"/>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45"/>
              <w:spacing w:after="0" w:line="202" w:lineRule="exact"/>
              <w:rPr>
                <w:sz w:val="20"/>
                <w:szCs w:val="20"/>
                <w:color w:val="auto"/>
              </w:rPr>
            </w:pPr>
            <w:r>
              <w:rPr>
                <w:rFonts w:ascii="Arial" w:cs="Arial" w:eastAsia="Arial" w:hAnsi="Arial"/>
                <w:sz w:val="18"/>
                <w:szCs w:val="18"/>
                <w:color w:val="auto"/>
              </w:rPr>
              <w:t>—</w:t>
            </w:r>
          </w:p>
        </w:tc>
      </w:tr>
      <w:tr>
        <w:trPr>
          <w:trHeight w:val="239"/>
        </w:trPr>
        <w:tc>
          <w:tcPr>
            <w:tcW w:w="3860" w:type="dxa"/>
            <w:vAlign w:val="bottom"/>
          </w:tcPr>
          <w:p>
            <w:pPr>
              <w:ind w:left="360"/>
              <w:spacing w:after="0"/>
              <w:rPr>
                <w:sz w:val="20"/>
                <w:szCs w:val="20"/>
                <w:color w:val="auto"/>
              </w:rPr>
            </w:pPr>
            <w:r>
              <w:rPr>
                <w:rFonts w:ascii="Arial" w:cs="Arial" w:eastAsia="Arial" w:hAnsi="Arial"/>
                <w:sz w:val="18"/>
                <w:szCs w:val="18"/>
                <w:color w:val="auto"/>
              </w:rPr>
              <w:t>security holders</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4800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41" w:lineRule="exact"/>
        <w:rPr>
          <w:sz w:val="20"/>
          <w:szCs w:val="20"/>
          <w:color w:val="auto"/>
        </w:rPr>
      </w:pPr>
    </w:p>
    <w:p>
      <w:pPr>
        <w:ind w:left="860" w:right="519" w:hanging="352"/>
        <w:spacing w:after="0" w:line="271"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our Amended and Restated 2012 Equity Incentive Plan (Restated 2012 Plan) and 2021 Employee Stock Purchase Plan (ESPP).</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1,148 thousand restricted stock units and 1,186 thousand shares underlying stock options.</w:t>
      </w:r>
    </w:p>
    <w:p>
      <w:pPr>
        <w:spacing w:after="0" w:line="45" w:lineRule="exact"/>
        <w:rPr>
          <w:rFonts w:ascii="Arial" w:cs="Arial" w:eastAsia="Arial" w:hAnsi="Arial"/>
          <w:sz w:val="18"/>
          <w:szCs w:val="18"/>
          <w:color w:val="auto"/>
        </w:rPr>
      </w:pPr>
    </w:p>
    <w:p>
      <w:pPr>
        <w:ind w:left="860" w:hanging="3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 average exercise price is calculated based solely on outstanding stock options.</w:t>
      </w:r>
    </w:p>
    <w:p>
      <w:pPr>
        <w:spacing w:after="0" w:line="103"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1,681 thousand shares reserved for issuance under our Amended and Restated 2012 Plan and 371 thousand shares reserved for issuance under our ESPP.</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THE BOARD OF DIRECTORS RECOMMENDS A VOTE “FOR” APPROVAL OF THE QUALYS, INC.</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2012 EQUITY INCENTIVE PLAN, AS AMENDED AND RESTATED.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REPORT OF THE AUDIT AND RISK COMMITTEE</w:t>
      </w:r>
    </w:p>
    <w:p>
      <w:pPr>
        <w:spacing w:after="0" w:line="21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Our Audit and Risk Committee is a committee of our board of directors comprised solely of independent directors as required by the Nasdaq Listing Rules and rules of the SEC. Our Audit and Risk Committee operates under a written charter approved by our board of directors, which is available on our website at http://investor.qualys.com. The composition of the committee, the attributes of its members and the responsibilities of the committee, as reflected in its charter, are intended to be in accordance with applicable requirements for corporate audit committees. The committee reviews and assesses the adequacy of its charter and the committee’s performance on an annual basis.</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 Company’s financial statements. It is the responsibility of our Audit and Risk Committee to oversee these activities. It is not the responsibility of the committee to prepare or certify our financial statements or guarantee the audits or reports of Grant Thornton. These are the fundamental responsibilities of management and Grant Thornton. In the performance of its oversight function, our Audit and Risk Committee has:</w:t>
      </w:r>
    </w:p>
    <w:p>
      <w:pPr>
        <w:spacing w:after="0" w:line="72" w:lineRule="exact"/>
        <w:rPr>
          <w:sz w:val="20"/>
          <w:szCs w:val="20"/>
          <w:color w:val="auto"/>
        </w:rPr>
      </w:pPr>
    </w:p>
    <w:p>
      <w:pPr>
        <w:ind w:left="1220" w:right="519" w:hanging="280"/>
        <w:spacing w:after="0" w:line="214" w:lineRule="auto"/>
        <w:tabs>
          <w:tab w:leader="none" w:pos="122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reviewed and discussed the audited financial statements with management and Grant Thornton;</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discussed with Grant Thornton the matters required to be discussed by the applicable requirements of the Public Company Accounting Oversight Board (“PCAOB”) and the SEC; and</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3" w:lineRule="auto"/>
        <w:tabs>
          <w:tab w:leader="none" w:pos="122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received the written disclosures and the letter from Grant Thornton required by applicable requirements of the PCAOB regarding the independent accountant’s communications with our Audit and Risk Committee concerning independence, and has discussed with Grant Thornton its independence.</w:t>
      </w:r>
    </w:p>
    <w:p>
      <w:pPr>
        <w:spacing w:after="0" w:line="182"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Based on its review and discussions with management and Grant Thornton, our Audit and Risk Committee recommended to our board of directors that the audited financial statements be included in our Annual Report on Form 10-K for the fiscal year ended December 31, 2025, for filing with the SEC.</w:t>
      </w:r>
    </w:p>
    <w:p>
      <w:pPr>
        <w:spacing w:after="0" w:line="214"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Respectfully submitted by the members of the Audit and Risk Committee of the board of directors:</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Thomas P. Berquist (Chair)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Wendy M. Pfeiffer</w:t>
      </w:r>
    </w:p>
    <w:p>
      <w:pPr>
        <w:ind w:left="860"/>
        <w:spacing w:after="0"/>
        <w:rPr>
          <w:sz w:val="20"/>
          <w:szCs w:val="20"/>
          <w:color w:val="auto"/>
        </w:rPr>
      </w:pPr>
      <w:r>
        <w:rPr>
          <w:rFonts w:ascii="Arial" w:cs="Arial" w:eastAsia="Arial" w:hAnsi="Arial"/>
          <w:sz w:val="18"/>
          <w:szCs w:val="18"/>
          <w:color w:val="auto"/>
        </w:rPr>
        <w:t>John A. Zangardi</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11"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Our commitment to solid governance, environmental stewardship, and social responsibility is essential to our business strategy and the creation of long-term value for our stakeholders. We believe these commitments to our people, stockholders, communities, and environment further build the trust and support of our customers, partners, employees, and stockholders, enabling us to grow our business profitably and meet the diverse needs of our constituents. Our approach to ESG management and disclosure is further informed by the Sustainability Accounting Standards Board (SASB) (related to the Software and Information Technology Services industry) and the United Nations Sustainable Development Goals (SDGs) relevant to our business activities. We recognize that ESG risks are an important component of overall enterprise risk and we therefore identify and manage such risks accordingly. As such, we have developed our ESG Pillars of focus based on the risks and opportunities we believe are most impactful to our business over multiple time horizons. These pillars are summarized in the table below.</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Qualys’ ESG Pillars</w:t>
      </w:r>
    </w:p>
    <w:p>
      <w:pPr>
        <w:spacing w:after="0" w:line="133" w:lineRule="exact"/>
        <w:rPr>
          <w:sz w:val="20"/>
          <w:szCs w:val="20"/>
          <w:color w:val="auto"/>
        </w:rPr>
      </w:pPr>
    </w:p>
    <w:tbl>
      <w:tblPr>
        <w:tblLayout w:type="fixed"/>
        <w:tblInd w:w="510" w:type="dxa"/>
        <w:tblCellMar>
          <w:top w:w="0" w:type="dxa"/>
          <w:left w:w="0" w:type="dxa"/>
          <w:bottom w:w="0" w:type="dxa"/>
          <w:right w:w="0" w:type="dxa"/>
        </w:tblCellMar>
      </w:tblPr>
      <w:tr>
        <w:trPr>
          <w:trHeight w:val="376"/>
        </w:trPr>
        <w:tc>
          <w:tcPr>
            <w:tcW w:w="2020" w:type="dxa"/>
            <w:vAlign w:val="bottom"/>
            <w:tcBorders>
              <w:left w:val="single" w:sz="8" w:color="1D3965"/>
              <w:right w:val="single" w:sz="8" w:color="1D3965"/>
            </w:tcBorders>
            <w:shd w:val="clear" w:color="auto" w:fill="1D3965"/>
          </w:tcPr>
          <w:p>
            <w:pPr>
              <w:jc w:val="center"/>
              <w:ind w:right="10"/>
              <w:spacing w:after="0"/>
              <w:rPr>
                <w:sz w:val="20"/>
                <w:szCs w:val="20"/>
                <w:color w:val="auto"/>
              </w:rPr>
            </w:pPr>
            <w:r>
              <w:rPr>
                <w:rFonts w:ascii="Arial" w:cs="Arial" w:eastAsia="Arial" w:hAnsi="Arial"/>
                <w:sz w:val="18"/>
                <w:szCs w:val="18"/>
                <w:b w:val="1"/>
                <w:bCs w:val="1"/>
                <w:color w:val="FFFFFF"/>
                <w:w w:val="99"/>
              </w:rPr>
              <w:t>Governance and</w:t>
            </w:r>
          </w:p>
        </w:tc>
        <w:tc>
          <w:tcPr>
            <w:tcW w:w="198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8"/>
                <w:szCs w:val="18"/>
                <w:b w:val="1"/>
                <w:bCs w:val="1"/>
                <w:color w:val="FFFFFF"/>
                <w:w w:val="99"/>
              </w:rPr>
              <w:t>Empowering Our</w:t>
            </w:r>
          </w:p>
        </w:tc>
        <w:tc>
          <w:tcPr>
            <w:tcW w:w="1980" w:type="dxa"/>
            <w:vAlign w:val="bottom"/>
            <w:tcBorders>
              <w:right w:val="single" w:sz="8" w:color="1D3965"/>
            </w:tcBorders>
            <w:shd w:val="clear" w:color="auto" w:fill="1D3965"/>
          </w:tcPr>
          <w:p>
            <w:pPr>
              <w:jc w:val="center"/>
              <w:spacing w:after="0"/>
              <w:rPr>
                <w:sz w:val="20"/>
                <w:szCs w:val="20"/>
                <w:color w:val="auto"/>
              </w:rPr>
            </w:pPr>
            <w:r>
              <w:rPr>
                <w:rFonts w:ascii="Arial" w:cs="Arial" w:eastAsia="Arial" w:hAnsi="Arial"/>
                <w:sz w:val="18"/>
                <w:szCs w:val="18"/>
                <w:b w:val="1"/>
                <w:bCs w:val="1"/>
                <w:color w:val="FFFFFF"/>
                <w:w w:val="99"/>
              </w:rPr>
              <w:t>Supporting Our</w:t>
            </w:r>
          </w:p>
        </w:tc>
        <w:tc>
          <w:tcPr>
            <w:tcW w:w="2020" w:type="dxa"/>
            <w:vAlign w:val="bottom"/>
            <w:tcBorders>
              <w:right w:val="single" w:sz="8" w:color="1D3965"/>
            </w:tcBorders>
            <w:shd w:val="clear" w:color="auto" w:fill="1D3965"/>
          </w:tcPr>
          <w:p>
            <w:pPr>
              <w:ind w:left="500"/>
              <w:spacing w:after="0"/>
              <w:rPr>
                <w:sz w:val="20"/>
                <w:szCs w:val="20"/>
                <w:color w:val="auto"/>
              </w:rPr>
            </w:pPr>
            <w:r>
              <w:rPr>
                <w:rFonts w:ascii="Arial" w:cs="Arial" w:eastAsia="Arial" w:hAnsi="Arial"/>
                <w:sz w:val="18"/>
                <w:szCs w:val="18"/>
                <w:b w:val="1"/>
                <w:bCs w:val="1"/>
                <w:color w:val="FFFFFF"/>
              </w:rPr>
              <w:t>Sustainable</w:t>
            </w:r>
          </w:p>
        </w:tc>
      </w:tr>
      <w:tr>
        <w:trPr>
          <w:trHeight w:val="203"/>
        </w:trPr>
        <w:tc>
          <w:tcPr>
            <w:tcW w:w="2020" w:type="dxa"/>
            <w:vAlign w:val="bottom"/>
            <w:tcBorders>
              <w:left w:val="single" w:sz="8" w:color="1D3965"/>
              <w:right w:val="single" w:sz="8" w:color="1D3965"/>
            </w:tcBorders>
            <w:shd w:val="clear" w:color="auto" w:fill="1D3965"/>
          </w:tcPr>
          <w:p>
            <w:pPr>
              <w:jc w:val="center"/>
              <w:spacing w:after="0" w:line="202" w:lineRule="exact"/>
              <w:rPr>
                <w:sz w:val="20"/>
                <w:szCs w:val="20"/>
                <w:color w:val="auto"/>
              </w:rPr>
            </w:pPr>
            <w:r>
              <w:rPr>
                <w:rFonts w:ascii="Arial" w:cs="Arial" w:eastAsia="Arial" w:hAnsi="Arial"/>
                <w:sz w:val="18"/>
                <w:szCs w:val="18"/>
                <w:b w:val="1"/>
                <w:bCs w:val="1"/>
                <w:color w:val="FFFFFF"/>
                <w:w w:val="98"/>
              </w:rPr>
              <w:t>Responsible</w:t>
            </w:r>
          </w:p>
        </w:tc>
        <w:tc>
          <w:tcPr>
            <w:tcW w:w="1980" w:type="dxa"/>
            <w:vAlign w:val="bottom"/>
            <w:tcBorders>
              <w:right w:val="single" w:sz="8" w:color="1D3965"/>
            </w:tcBorders>
            <w:shd w:val="clear" w:color="auto" w:fill="1D3965"/>
          </w:tcPr>
          <w:p>
            <w:pPr>
              <w:jc w:val="center"/>
              <w:ind w:right="10"/>
              <w:spacing w:after="0" w:line="202" w:lineRule="exact"/>
              <w:rPr>
                <w:sz w:val="20"/>
                <w:szCs w:val="20"/>
                <w:color w:val="auto"/>
              </w:rPr>
            </w:pPr>
            <w:r>
              <w:rPr>
                <w:rFonts w:ascii="Arial" w:cs="Arial" w:eastAsia="Arial" w:hAnsi="Arial"/>
                <w:sz w:val="18"/>
                <w:szCs w:val="18"/>
                <w:b w:val="1"/>
                <w:bCs w:val="1"/>
                <w:color w:val="FFFFFF"/>
                <w:w w:val="99"/>
              </w:rPr>
              <w:t>Business</w:t>
            </w:r>
          </w:p>
        </w:tc>
        <w:tc>
          <w:tcPr>
            <w:tcW w:w="1980" w:type="dxa"/>
            <w:vAlign w:val="bottom"/>
            <w:tcBorders>
              <w:right w:val="single" w:sz="8" w:color="1D3965"/>
            </w:tcBorders>
            <w:shd w:val="clear" w:color="auto" w:fill="1D3965"/>
          </w:tcPr>
          <w:p>
            <w:pPr>
              <w:jc w:val="center"/>
              <w:spacing w:after="0" w:line="202" w:lineRule="exact"/>
              <w:rPr>
                <w:sz w:val="20"/>
                <w:szCs w:val="20"/>
                <w:color w:val="auto"/>
              </w:rPr>
            </w:pPr>
            <w:r>
              <w:rPr>
                <w:rFonts w:ascii="Arial" w:cs="Arial" w:eastAsia="Arial" w:hAnsi="Arial"/>
                <w:sz w:val="18"/>
                <w:szCs w:val="18"/>
                <w:b w:val="1"/>
                <w:bCs w:val="1"/>
                <w:color w:val="FFFFFF"/>
                <w:w w:val="97"/>
              </w:rPr>
              <w:t>Team and</w:t>
            </w:r>
          </w:p>
        </w:tc>
        <w:tc>
          <w:tcPr>
            <w:tcW w:w="2020" w:type="dxa"/>
            <w:vAlign w:val="bottom"/>
            <w:tcBorders>
              <w:right w:val="single" w:sz="8" w:color="1D3965"/>
            </w:tcBorders>
            <w:shd w:val="clear" w:color="auto" w:fill="1D3965"/>
          </w:tcPr>
          <w:p>
            <w:pPr>
              <w:ind w:left="120"/>
              <w:spacing w:after="0" w:line="202" w:lineRule="exact"/>
              <w:rPr>
                <w:sz w:val="20"/>
                <w:szCs w:val="20"/>
                <w:color w:val="auto"/>
              </w:rPr>
            </w:pPr>
            <w:r>
              <w:rPr>
                <w:rFonts w:ascii="Arial" w:cs="Arial" w:eastAsia="Arial" w:hAnsi="Arial"/>
                <w:sz w:val="18"/>
                <w:szCs w:val="18"/>
                <w:b w:val="1"/>
                <w:bCs w:val="1"/>
                <w:color w:val="FFFFFF"/>
              </w:rPr>
              <w:t>Business Operations</w:t>
            </w:r>
          </w:p>
        </w:tc>
      </w:tr>
      <w:tr>
        <w:trPr>
          <w:trHeight w:val="203"/>
        </w:trPr>
        <w:tc>
          <w:tcPr>
            <w:tcW w:w="2020" w:type="dxa"/>
            <w:vAlign w:val="bottom"/>
            <w:tcBorders>
              <w:left w:val="single" w:sz="8" w:color="1D3965"/>
              <w:right w:val="single" w:sz="8" w:color="1D3965"/>
            </w:tcBorders>
            <w:shd w:val="clear" w:color="auto" w:fill="1D3965"/>
          </w:tcPr>
          <w:p>
            <w:pPr>
              <w:jc w:val="center"/>
              <w:ind w:right="10"/>
              <w:spacing w:after="0" w:line="202" w:lineRule="exact"/>
              <w:rPr>
                <w:sz w:val="20"/>
                <w:szCs w:val="20"/>
                <w:color w:val="auto"/>
              </w:rPr>
            </w:pPr>
            <w:r>
              <w:rPr>
                <w:rFonts w:ascii="Arial" w:cs="Arial" w:eastAsia="Arial" w:hAnsi="Arial"/>
                <w:sz w:val="18"/>
                <w:szCs w:val="18"/>
                <w:b w:val="1"/>
                <w:bCs w:val="1"/>
                <w:color w:val="FFFFFF"/>
                <w:w w:val="99"/>
              </w:rPr>
              <w:t>Business</w:t>
            </w:r>
          </w:p>
        </w:tc>
        <w:tc>
          <w:tcPr>
            <w:tcW w:w="1980" w:type="dxa"/>
            <w:vAlign w:val="bottom"/>
            <w:tcBorders>
              <w:right w:val="single" w:sz="8" w:color="1D3965"/>
            </w:tcBorders>
            <w:shd w:val="clear" w:color="auto" w:fill="1D3965"/>
          </w:tcPr>
          <w:p>
            <w:pPr>
              <w:jc w:val="center"/>
              <w:spacing w:after="0" w:line="202" w:lineRule="exact"/>
              <w:rPr>
                <w:sz w:val="20"/>
                <w:szCs w:val="20"/>
                <w:color w:val="auto"/>
              </w:rPr>
            </w:pPr>
            <w:r>
              <w:rPr>
                <w:rFonts w:ascii="Arial" w:cs="Arial" w:eastAsia="Arial" w:hAnsi="Arial"/>
                <w:sz w:val="18"/>
                <w:szCs w:val="18"/>
                <w:b w:val="1"/>
                <w:bCs w:val="1"/>
                <w:color w:val="FFFFFF"/>
              </w:rPr>
              <w:t>and Customers</w:t>
            </w:r>
          </w:p>
        </w:tc>
        <w:tc>
          <w:tcPr>
            <w:tcW w:w="1980" w:type="dxa"/>
            <w:vAlign w:val="bottom"/>
            <w:tcBorders>
              <w:right w:val="single" w:sz="8" w:color="1D3965"/>
            </w:tcBorders>
            <w:shd w:val="clear" w:color="auto" w:fill="1D3965"/>
          </w:tcPr>
          <w:p>
            <w:pPr>
              <w:jc w:val="center"/>
              <w:spacing w:after="0" w:line="202" w:lineRule="exact"/>
              <w:rPr>
                <w:sz w:val="20"/>
                <w:szCs w:val="20"/>
                <w:color w:val="auto"/>
              </w:rPr>
            </w:pPr>
            <w:r>
              <w:rPr>
                <w:rFonts w:ascii="Arial" w:cs="Arial" w:eastAsia="Arial" w:hAnsi="Arial"/>
                <w:sz w:val="18"/>
                <w:szCs w:val="18"/>
                <w:b w:val="1"/>
                <w:bCs w:val="1"/>
                <w:color w:val="FFFFFF"/>
                <w:w w:val="98"/>
              </w:rPr>
              <w:t>Community</w:t>
            </w:r>
          </w:p>
        </w:tc>
        <w:tc>
          <w:tcPr>
            <w:tcW w:w="2020" w:type="dxa"/>
            <w:vAlign w:val="bottom"/>
            <w:tcBorders>
              <w:right w:val="single" w:sz="8" w:color="1D3965"/>
            </w:tcBorders>
            <w:shd w:val="clear" w:color="auto" w:fill="1D3965"/>
          </w:tcPr>
          <w:p>
            <w:pPr>
              <w:spacing w:after="0"/>
              <w:rPr>
                <w:sz w:val="17"/>
                <w:szCs w:val="17"/>
                <w:color w:val="auto"/>
              </w:rPr>
            </w:pPr>
          </w:p>
        </w:tc>
      </w:tr>
      <w:tr>
        <w:trPr>
          <w:trHeight w:val="221"/>
        </w:trPr>
        <w:tc>
          <w:tcPr>
            <w:tcW w:w="2020" w:type="dxa"/>
            <w:vAlign w:val="bottom"/>
            <w:tcBorders>
              <w:left w:val="single" w:sz="8" w:color="1D3965"/>
              <w:right w:val="single" w:sz="8" w:color="1D3965"/>
            </w:tcBorders>
            <w:shd w:val="clear" w:color="auto" w:fill="1D3965"/>
          </w:tcPr>
          <w:p>
            <w:pPr>
              <w:jc w:val="center"/>
              <w:spacing w:after="0"/>
              <w:rPr>
                <w:sz w:val="20"/>
                <w:szCs w:val="20"/>
                <w:color w:val="auto"/>
              </w:rPr>
            </w:pPr>
            <w:r>
              <w:rPr>
                <w:rFonts w:ascii="Arial" w:cs="Arial" w:eastAsia="Arial" w:hAnsi="Arial"/>
                <w:sz w:val="18"/>
                <w:szCs w:val="18"/>
                <w:b w:val="1"/>
                <w:bCs w:val="1"/>
                <w:color w:val="FFFFFF"/>
                <w:w w:val="99"/>
              </w:rPr>
              <w:t>Practices</w:t>
            </w:r>
          </w:p>
        </w:tc>
        <w:tc>
          <w:tcPr>
            <w:tcW w:w="1980" w:type="dxa"/>
            <w:vAlign w:val="bottom"/>
            <w:tcBorders>
              <w:right w:val="single" w:sz="8" w:color="1D3965"/>
            </w:tcBorders>
            <w:shd w:val="clear" w:color="auto" w:fill="1D3965"/>
          </w:tcPr>
          <w:p>
            <w:pPr>
              <w:spacing w:after="0"/>
              <w:rPr>
                <w:sz w:val="19"/>
                <w:szCs w:val="19"/>
                <w:color w:val="auto"/>
              </w:rPr>
            </w:pPr>
          </w:p>
        </w:tc>
        <w:tc>
          <w:tcPr>
            <w:tcW w:w="1980" w:type="dxa"/>
            <w:vAlign w:val="bottom"/>
            <w:tcBorders>
              <w:right w:val="single" w:sz="8" w:color="1D3965"/>
            </w:tcBorders>
            <w:shd w:val="clear" w:color="auto" w:fill="1D3965"/>
          </w:tcPr>
          <w:p>
            <w:pPr>
              <w:spacing w:after="0"/>
              <w:rPr>
                <w:sz w:val="19"/>
                <w:szCs w:val="19"/>
                <w:color w:val="auto"/>
              </w:rPr>
            </w:pPr>
          </w:p>
        </w:tc>
        <w:tc>
          <w:tcPr>
            <w:tcW w:w="2020" w:type="dxa"/>
            <w:vAlign w:val="bottom"/>
            <w:tcBorders>
              <w:right w:val="single" w:sz="8" w:color="1D3965"/>
            </w:tcBorders>
            <w:shd w:val="clear" w:color="auto" w:fill="1D3965"/>
          </w:tcPr>
          <w:p>
            <w:pPr>
              <w:spacing w:after="0"/>
              <w:rPr>
                <w:sz w:val="19"/>
                <w:szCs w:val="19"/>
                <w:color w:val="auto"/>
              </w:rPr>
            </w:pPr>
          </w:p>
        </w:tc>
      </w:tr>
      <w:tr>
        <w:trPr>
          <w:trHeight w:val="84"/>
        </w:trPr>
        <w:tc>
          <w:tcPr>
            <w:tcW w:w="2020" w:type="dxa"/>
            <w:vAlign w:val="bottom"/>
            <w:tcBorders>
              <w:left w:val="single" w:sz="8" w:color="1D3965"/>
              <w:right w:val="single" w:sz="8" w:color="1D3965"/>
            </w:tcBorders>
            <w:shd w:val="clear" w:color="auto" w:fill="1D3965"/>
          </w:tcPr>
          <w:p>
            <w:pPr>
              <w:spacing w:after="0"/>
              <w:rPr>
                <w:sz w:val="7"/>
                <w:szCs w:val="7"/>
                <w:color w:val="auto"/>
              </w:rPr>
            </w:pPr>
          </w:p>
        </w:tc>
        <w:tc>
          <w:tcPr>
            <w:tcW w:w="1980" w:type="dxa"/>
            <w:vAlign w:val="bottom"/>
            <w:tcBorders>
              <w:right w:val="single" w:sz="8" w:color="1D3965"/>
            </w:tcBorders>
            <w:shd w:val="clear" w:color="auto" w:fill="1D3965"/>
          </w:tcPr>
          <w:p>
            <w:pPr>
              <w:spacing w:after="0"/>
              <w:rPr>
                <w:sz w:val="7"/>
                <w:szCs w:val="7"/>
                <w:color w:val="auto"/>
              </w:rPr>
            </w:pPr>
          </w:p>
        </w:tc>
        <w:tc>
          <w:tcPr>
            <w:tcW w:w="1980" w:type="dxa"/>
            <w:vAlign w:val="bottom"/>
            <w:tcBorders>
              <w:right w:val="single" w:sz="8" w:color="1D3965"/>
            </w:tcBorders>
            <w:shd w:val="clear" w:color="auto" w:fill="1D3965"/>
          </w:tcPr>
          <w:p>
            <w:pPr>
              <w:spacing w:after="0"/>
              <w:rPr>
                <w:sz w:val="7"/>
                <w:szCs w:val="7"/>
                <w:color w:val="auto"/>
              </w:rPr>
            </w:pPr>
          </w:p>
        </w:tc>
        <w:tc>
          <w:tcPr>
            <w:tcW w:w="2020" w:type="dxa"/>
            <w:vAlign w:val="bottom"/>
            <w:tcBorders>
              <w:right w:val="single" w:sz="8" w:color="1D3965"/>
            </w:tcBorders>
            <w:shd w:val="clear" w:color="auto" w:fill="1D3965"/>
          </w:tcPr>
          <w:p>
            <w:pPr>
              <w:spacing w:after="0"/>
              <w:rPr>
                <w:sz w:val="7"/>
                <w:szCs w:val="7"/>
                <w:color w:val="auto"/>
              </w:rPr>
            </w:pPr>
          </w:p>
        </w:tc>
      </w:tr>
      <w:tr>
        <w:trPr>
          <w:trHeight w:val="248"/>
        </w:trPr>
        <w:tc>
          <w:tcPr>
            <w:tcW w:w="2020" w:type="dxa"/>
            <w:vAlign w:val="bottom"/>
            <w:tcBorders>
              <w:left w:val="single" w:sz="8" w:color="8FAAD7"/>
              <w:right w:val="single" w:sz="8" w:color="8FAAD7"/>
            </w:tcBorders>
          </w:tcPr>
          <w:p>
            <w:pPr>
              <w:ind w:left="120"/>
              <w:spacing w:after="0"/>
              <w:rPr>
                <w:sz w:val="20"/>
                <w:szCs w:val="20"/>
                <w:color w:val="auto"/>
              </w:rPr>
            </w:pPr>
            <w:r>
              <w:rPr>
                <w:rFonts w:ascii="Arial" w:cs="Arial" w:eastAsia="Arial" w:hAnsi="Arial"/>
                <w:sz w:val="18"/>
                <w:szCs w:val="18"/>
                <w:color w:val="auto"/>
              </w:rPr>
              <w:t>We are committed to</w:t>
            </w:r>
          </w:p>
        </w:tc>
        <w:tc>
          <w:tcPr>
            <w:tcW w:w="1980" w:type="dxa"/>
            <w:vAlign w:val="bottom"/>
            <w:tcBorders>
              <w:right w:val="single" w:sz="8" w:color="8FAAD7"/>
            </w:tcBorders>
          </w:tcPr>
          <w:p>
            <w:pPr>
              <w:ind w:left="40"/>
              <w:spacing w:after="0"/>
              <w:rPr>
                <w:sz w:val="20"/>
                <w:szCs w:val="20"/>
                <w:color w:val="auto"/>
              </w:rPr>
            </w:pPr>
            <w:r>
              <w:rPr>
                <w:rFonts w:ascii="Arial" w:cs="Arial" w:eastAsia="Arial" w:hAnsi="Arial"/>
                <w:sz w:val="18"/>
                <w:szCs w:val="18"/>
                <w:color w:val="auto"/>
              </w:rPr>
              <w:t>Our goal is to delight</w:t>
            </w:r>
          </w:p>
        </w:tc>
        <w:tc>
          <w:tcPr>
            <w:tcW w:w="1980" w:type="dxa"/>
            <w:vAlign w:val="bottom"/>
            <w:tcBorders>
              <w:right w:val="single" w:sz="8" w:color="8FAAD7"/>
            </w:tcBorders>
          </w:tcPr>
          <w:p>
            <w:pPr>
              <w:ind w:left="40"/>
              <w:spacing w:after="0"/>
              <w:rPr>
                <w:sz w:val="20"/>
                <w:szCs w:val="20"/>
                <w:color w:val="auto"/>
              </w:rPr>
            </w:pPr>
            <w:r>
              <w:rPr>
                <w:rFonts w:ascii="Arial" w:cs="Arial" w:eastAsia="Arial" w:hAnsi="Arial"/>
                <w:sz w:val="18"/>
                <w:szCs w:val="18"/>
                <w:color w:val="auto"/>
              </w:rPr>
              <w:t>We believe every</w:t>
            </w:r>
          </w:p>
        </w:tc>
        <w:tc>
          <w:tcPr>
            <w:tcW w:w="2020" w:type="dxa"/>
            <w:vAlign w:val="bottom"/>
            <w:tcBorders>
              <w:right w:val="single" w:sz="8" w:color="8FAAD7"/>
            </w:tcBorders>
          </w:tcPr>
          <w:p>
            <w:pPr>
              <w:ind w:left="40"/>
              <w:spacing w:after="0"/>
              <w:rPr>
                <w:sz w:val="20"/>
                <w:szCs w:val="20"/>
                <w:color w:val="auto"/>
              </w:rPr>
            </w:pPr>
            <w:r>
              <w:rPr>
                <w:rFonts w:ascii="Arial" w:cs="Arial" w:eastAsia="Arial" w:hAnsi="Arial"/>
                <w:sz w:val="18"/>
                <w:szCs w:val="18"/>
                <w:color w:val="auto"/>
              </w:rPr>
              <w:t>We are committed to</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sound corporate</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our customers through</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employee makes a</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reducing the</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governance and</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innovative solutions</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difference, and we</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environmental impact</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ethical business</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that assist in reducing</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strive to empower</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of our operations and</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practices that build</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cyber risk.</w:t>
            </w: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employees in their</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to providing more</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value and trust with all</w:t>
            </w: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roles and support their</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environmentally friendly</w:t>
            </w:r>
          </w:p>
        </w:tc>
      </w:tr>
      <w:tr>
        <w:trPr>
          <w:trHeight w:val="203"/>
        </w:trPr>
        <w:tc>
          <w:tcPr>
            <w:tcW w:w="2020" w:type="dxa"/>
            <w:vAlign w:val="bottom"/>
            <w:tcBorders>
              <w:left w:val="single" w:sz="8" w:color="8FAAD7"/>
              <w:right w:val="single" w:sz="8" w:color="8FAAD7"/>
            </w:tcBorders>
          </w:tcPr>
          <w:p>
            <w:pPr>
              <w:ind w:left="120"/>
              <w:spacing w:after="0" w:line="202" w:lineRule="exact"/>
              <w:rPr>
                <w:sz w:val="20"/>
                <w:szCs w:val="20"/>
                <w:color w:val="auto"/>
              </w:rPr>
            </w:pPr>
            <w:r>
              <w:rPr>
                <w:rFonts w:ascii="Arial" w:cs="Arial" w:eastAsia="Arial" w:hAnsi="Arial"/>
                <w:sz w:val="18"/>
                <w:szCs w:val="18"/>
                <w:color w:val="auto"/>
              </w:rPr>
              <w:t>stakeholders.</w:t>
            </w: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career growth.</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solutions for our</w:t>
            </w:r>
          </w:p>
        </w:tc>
      </w:tr>
      <w:tr>
        <w:trPr>
          <w:trHeight w:val="203"/>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 </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customers through our</w:t>
            </w:r>
          </w:p>
        </w:tc>
      </w:tr>
      <w:tr>
        <w:trPr>
          <w:trHeight w:val="203"/>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We continuously work</w:t>
            </w:r>
          </w:p>
        </w:tc>
        <w:tc>
          <w:tcPr>
            <w:tcW w:w="202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cloud-based platform.</w:t>
            </w:r>
          </w:p>
        </w:tc>
      </w:tr>
      <w:tr>
        <w:trPr>
          <w:trHeight w:val="203"/>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to strengthen our</w:t>
            </w:r>
          </w:p>
        </w:tc>
        <w:tc>
          <w:tcPr>
            <w:tcW w:w="2020" w:type="dxa"/>
            <w:vAlign w:val="bottom"/>
            <w:tcBorders>
              <w:right w:val="single" w:sz="8" w:color="8FAAD7"/>
            </w:tcBorders>
          </w:tcPr>
          <w:p>
            <w:pPr>
              <w:spacing w:after="0"/>
              <w:rPr>
                <w:sz w:val="17"/>
                <w:szCs w:val="17"/>
                <w:color w:val="auto"/>
              </w:rPr>
            </w:pPr>
          </w:p>
        </w:tc>
      </w:tr>
      <w:tr>
        <w:trPr>
          <w:trHeight w:val="202"/>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communities through</w:t>
            </w:r>
          </w:p>
        </w:tc>
        <w:tc>
          <w:tcPr>
            <w:tcW w:w="2020" w:type="dxa"/>
            <w:vAlign w:val="bottom"/>
            <w:tcBorders>
              <w:right w:val="single" w:sz="8" w:color="8FAAD7"/>
            </w:tcBorders>
          </w:tcPr>
          <w:p>
            <w:pPr>
              <w:spacing w:after="0"/>
              <w:rPr>
                <w:sz w:val="17"/>
                <w:szCs w:val="17"/>
                <w:color w:val="auto"/>
              </w:rPr>
            </w:pPr>
          </w:p>
        </w:tc>
      </w:tr>
      <w:tr>
        <w:trPr>
          <w:trHeight w:val="203"/>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volunteer efforts and</w:t>
            </w:r>
          </w:p>
        </w:tc>
        <w:tc>
          <w:tcPr>
            <w:tcW w:w="2020" w:type="dxa"/>
            <w:vAlign w:val="bottom"/>
            <w:tcBorders>
              <w:right w:val="single" w:sz="8" w:color="8FAAD7"/>
            </w:tcBorders>
          </w:tcPr>
          <w:p>
            <w:pPr>
              <w:spacing w:after="0"/>
              <w:rPr>
                <w:sz w:val="17"/>
                <w:szCs w:val="17"/>
                <w:color w:val="auto"/>
              </w:rPr>
            </w:pPr>
          </w:p>
        </w:tc>
      </w:tr>
      <w:tr>
        <w:trPr>
          <w:trHeight w:val="203"/>
        </w:trPr>
        <w:tc>
          <w:tcPr>
            <w:tcW w:w="2020" w:type="dxa"/>
            <w:vAlign w:val="bottom"/>
            <w:tcBorders>
              <w:left w:val="single" w:sz="8" w:color="8FAAD7"/>
              <w:right w:val="single" w:sz="8" w:color="8FAAD7"/>
            </w:tcBorders>
          </w:tcPr>
          <w:p>
            <w:pPr>
              <w:spacing w:after="0"/>
              <w:rPr>
                <w:sz w:val="17"/>
                <w:szCs w:val="17"/>
                <w:color w:val="auto"/>
              </w:rPr>
            </w:pPr>
          </w:p>
        </w:tc>
        <w:tc>
          <w:tcPr>
            <w:tcW w:w="1980" w:type="dxa"/>
            <w:vAlign w:val="bottom"/>
            <w:tcBorders>
              <w:right w:val="single" w:sz="8" w:color="8FAAD7"/>
            </w:tcBorders>
          </w:tcPr>
          <w:p>
            <w:pPr>
              <w:spacing w:after="0"/>
              <w:rPr>
                <w:sz w:val="17"/>
                <w:szCs w:val="17"/>
                <w:color w:val="auto"/>
              </w:rPr>
            </w:pPr>
          </w:p>
        </w:tc>
        <w:tc>
          <w:tcPr>
            <w:tcW w:w="1980" w:type="dxa"/>
            <w:vAlign w:val="bottom"/>
            <w:tcBorders>
              <w:right w:val="single" w:sz="8" w:color="8FAAD7"/>
            </w:tcBorders>
          </w:tcPr>
          <w:p>
            <w:pPr>
              <w:ind w:left="40"/>
              <w:spacing w:after="0" w:line="202" w:lineRule="exact"/>
              <w:rPr>
                <w:sz w:val="20"/>
                <w:szCs w:val="20"/>
                <w:color w:val="auto"/>
              </w:rPr>
            </w:pPr>
            <w:r>
              <w:rPr>
                <w:rFonts w:ascii="Arial" w:cs="Arial" w:eastAsia="Arial" w:hAnsi="Arial"/>
                <w:sz w:val="18"/>
                <w:szCs w:val="18"/>
                <w:color w:val="auto"/>
              </w:rPr>
              <w:t>charitable giving.</w:t>
            </w:r>
          </w:p>
        </w:tc>
        <w:tc>
          <w:tcPr>
            <w:tcW w:w="2020" w:type="dxa"/>
            <w:vAlign w:val="bottom"/>
            <w:tcBorders>
              <w:right w:val="single" w:sz="8" w:color="8FAAD7"/>
            </w:tcBorders>
          </w:tcPr>
          <w:p>
            <w:pPr>
              <w:spacing w:after="0"/>
              <w:rPr>
                <w:sz w:val="17"/>
                <w:szCs w:val="17"/>
                <w:color w:val="auto"/>
              </w:rPr>
            </w:pPr>
          </w:p>
        </w:tc>
      </w:tr>
      <w:tr>
        <w:trPr>
          <w:trHeight w:val="239"/>
        </w:trPr>
        <w:tc>
          <w:tcPr>
            <w:tcW w:w="2020" w:type="dxa"/>
            <w:vAlign w:val="bottom"/>
            <w:tcBorders>
              <w:left w:val="single" w:sz="8" w:color="8FAAD7"/>
              <w:right w:val="single" w:sz="8" w:color="8FAAD7"/>
            </w:tcBorders>
          </w:tcPr>
          <w:p>
            <w:pPr>
              <w:spacing w:after="0"/>
              <w:rPr>
                <w:sz w:val="20"/>
                <w:szCs w:val="20"/>
                <w:color w:val="auto"/>
              </w:rPr>
            </w:pPr>
          </w:p>
        </w:tc>
        <w:tc>
          <w:tcPr>
            <w:tcW w:w="1980" w:type="dxa"/>
            <w:vAlign w:val="bottom"/>
            <w:tcBorders>
              <w:right w:val="single" w:sz="8" w:color="8FAAD7"/>
            </w:tcBorders>
          </w:tcPr>
          <w:p>
            <w:pPr>
              <w:spacing w:after="0"/>
              <w:rPr>
                <w:sz w:val="20"/>
                <w:szCs w:val="20"/>
                <w:color w:val="auto"/>
              </w:rPr>
            </w:pPr>
          </w:p>
        </w:tc>
        <w:tc>
          <w:tcPr>
            <w:tcW w:w="1980" w:type="dxa"/>
            <w:vAlign w:val="bottom"/>
            <w:tcBorders>
              <w:right w:val="single" w:sz="8" w:color="8FAAD7"/>
            </w:tcBorders>
          </w:tcPr>
          <w:p>
            <w:pPr>
              <w:ind w:left="40"/>
              <w:spacing w:after="0"/>
              <w:rPr>
                <w:sz w:val="20"/>
                <w:szCs w:val="20"/>
                <w:color w:val="auto"/>
              </w:rPr>
            </w:pPr>
            <w:r>
              <w:rPr>
                <w:rFonts w:ascii="Arial" w:cs="Arial" w:eastAsia="Arial" w:hAnsi="Arial"/>
                <w:sz w:val="18"/>
                <w:szCs w:val="18"/>
                <w:color w:val="auto"/>
              </w:rPr>
              <w:t> </w:t>
            </w:r>
          </w:p>
        </w:tc>
        <w:tc>
          <w:tcPr>
            <w:tcW w:w="2020" w:type="dxa"/>
            <w:vAlign w:val="bottom"/>
            <w:tcBorders>
              <w:right w:val="single" w:sz="8" w:color="8FAAD7"/>
            </w:tcBorders>
          </w:tcPr>
          <w:p>
            <w:pPr>
              <w:spacing w:after="0"/>
              <w:rPr>
                <w:sz w:val="20"/>
                <w:szCs w:val="20"/>
                <w:color w:val="auto"/>
              </w:rPr>
            </w:pPr>
          </w:p>
        </w:tc>
      </w:tr>
      <w:tr>
        <w:trPr>
          <w:trHeight w:val="33"/>
        </w:trPr>
        <w:tc>
          <w:tcPr>
            <w:tcW w:w="2020" w:type="dxa"/>
            <w:vAlign w:val="bottom"/>
            <w:tcBorders>
              <w:left w:val="single" w:sz="8" w:color="8FAAD7"/>
              <w:bottom w:val="single" w:sz="8" w:color="8FAAD7"/>
              <w:right w:val="single" w:sz="8" w:color="8FAAD7"/>
            </w:tcBorders>
          </w:tcPr>
          <w:p>
            <w:pPr>
              <w:spacing w:after="0"/>
              <w:rPr>
                <w:sz w:val="2"/>
                <w:szCs w:val="2"/>
                <w:color w:val="auto"/>
              </w:rPr>
            </w:pPr>
          </w:p>
        </w:tc>
        <w:tc>
          <w:tcPr>
            <w:tcW w:w="1980" w:type="dxa"/>
            <w:vAlign w:val="bottom"/>
            <w:tcBorders>
              <w:bottom w:val="single" w:sz="8" w:color="8FAAD7"/>
              <w:right w:val="single" w:sz="8" w:color="8FAAD7"/>
            </w:tcBorders>
          </w:tcPr>
          <w:p>
            <w:pPr>
              <w:spacing w:after="0"/>
              <w:rPr>
                <w:sz w:val="2"/>
                <w:szCs w:val="2"/>
                <w:color w:val="auto"/>
              </w:rPr>
            </w:pPr>
          </w:p>
        </w:tc>
        <w:tc>
          <w:tcPr>
            <w:tcW w:w="1980" w:type="dxa"/>
            <w:vAlign w:val="bottom"/>
            <w:tcBorders>
              <w:bottom w:val="single" w:sz="8" w:color="8FAAD7"/>
              <w:right w:val="single" w:sz="8" w:color="8FAAD7"/>
            </w:tcBorders>
          </w:tcPr>
          <w:p>
            <w:pPr>
              <w:spacing w:after="0"/>
              <w:rPr>
                <w:sz w:val="2"/>
                <w:szCs w:val="2"/>
                <w:color w:val="auto"/>
              </w:rPr>
            </w:pPr>
          </w:p>
        </w:tc>
        <w:tc>
          <w:tcPr>
            <w:tcW w:w="2020" w:type="dxa"/>
            <w:vAlign w:val="bottom"/>
            <w:tcBorders>
              <w:bottom w:val="single" w:sz="8" w:color="8FAAD7"/>
              <w:right w:val="single" w:sz="8" w:color="8FAAD7"/>
            </w:tcBorders>
          </w:tcPr>
          <w:p>
            <w:pPr>
              <w:spacing w:after="0"/>
              <w:rPr>
                <w:sz w:val="2"/>
                <w:szCs w:val="2"/>
                <w:color w:val="auto"/>
              </w:rPr>
            </w:pPr>
          </w:p>
        </w:tc>
      </w:tr>
    </w:tbl>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Governance of ESG</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board of directors believes that oversight of ESG issues is a key responsibility of the entire board. Each of our board committees works closely with management to oversee ESG across our business operations in the areas aligned with their respective responsibilities. Our Nominating and Governance Committee oversees our ESG activities, programs, and public disclosures. Our Audit and Risk Committee has oversight responsibility of policies on risk assessment and risk management, including security, data privacy, reliability, business continuity and capacity matters. Our Compensation and Talent Committee oversees a range of human capital management practices, including matters relating to talent acquisition, compensation, benefits, training, and development, as well as employee inclusion.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b w:val="1"/>
          <w:bCs w:val="1"/>
          <w:color w:val="auto"/>
        </w:rPr>
        <w:t>ESG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240030</wp:posOffset>
            </wp:positionV>
            <wp:extent cx="4345940" cy="1449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594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59"/>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Governance and Responsible Business Practices</w:t>
      </w:r>
    </w:p>
    <w:p>
      <w:pPr>
        <w:spacing w:after="0" w:line="104"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are committed to maintaining a strong corporate governance program that complies with regulations, reflects best practices, and continues to evolve as new expectations and opportunities emerge. Notable highlights include:</w:t>
      </w:r>
    </w:p>
    <w:p>
      <w:pPr>
        <w:spacing w:after="0" w:line="61" w:lineRule="exact"/>
        <w:rPr>
          <w:sz w:val="20"/>
          <w:szCs w:val="20"/>
          <w:color w:val="auto"/>
        </w:rPr>
      </w:pPr>
    </w:p>
    <w:p>
      <w:pPr>
        <w:jc w:val="both"/>
        <w:ind w:left="1220" w:right="519" w:hanging="280"/>
        <w:spacing w:after="0" w:line="225" w:lineRule="auto"/>
        <w:tabs>
          <w:tab w:leader="none" w:pos="122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acts in the best interest of our company and our stockholders, and meets or exceeds evolving regulatory, stockholder, business, and other requirements. Our board established our Corporate Governance Guidelines that together with board committee charters and our certificate of incorporation and bylaws, constitute the primary structure for governance of our company.</w:t>
      </w:r>
    </w:p>
    <w:p>
      <w:pPr>
        <w:spacing w:after="0" w:line="74"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Our Code of Business Conduct and Ethics applies to all directors, officers, employees of Qualys and our subsidiaries. Agents and contractors of Qualys are also expected to read, understand and abide by this code.</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8" w:lineRule="auto"/>
        <w:tabs>
          <w:tab w:leader="none" w:pos="122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 terms of responsible sourcing, we are committed to ensuring that no modern slavery or human trafficking is associated with our 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w:t>
      </w:r>
    </w:p>
    <w:p>
      <w:pPr>
        <w:spacing w:after="0" w:line="78" w:lineRule="exact"/>
        <w:rPr>
          <w:rFonts w:ascii="Arial" w:cs="Arial" w:eastAsia="Arial" w:hAnsi="Arial"/>
          <w:sz w:val="25"/>
          <w:szCs w:val="25"/>
          <w:color w:val="auto"/>
          <w:vertAlign w:val="superscript"/>
        </w:rPr>
      </w:pPr>
    </w:p>
    <w:p>
      <w:pPr>
        <w:jc w:val="both"/>
        <w:ind w:left="1220" w:right="519" w:hanging="280"/>
        <w:spacing w:after="0" w:line="230" w:lineRule="auto"/>
        <w:tabs>
          <w:tab w:leader="none" w:pos="122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 Company annually conducts a reasonable country of origin inquiry and additional due diligence designed to conform with the Organization for Economic Co-operation and Development Due Diligence Guidance for Responsible Supply Chains of Minerals from Conflict-Affected and High-Risk Areas, including the related supplements on gold, tin, tantalum and tungsten (the “Framework”), in order to determine whether any “Conflict Minerals” contained in the Company’s products originated from the Democratic Republic of Congo, the Republic of Congo, the Central African Republic, South Sudan, Uganda, Rwanda, Burundi, Tanzania, Zambia or Angola (collectively, the “Covered Countries”), in an effort to ensure that Conflict Minerals are not included in the Company’s products. We also work to prohibit our suppliers from profiting from the sale of “Conflict Minerals” that funds conflict in the “Covered Countries”, and we require that our suppliers source these minerals from socially responsible suppliers.</w:t>
      </w:r>
    </w:p>
    <w:p>
      <w:pPr>
        <w:spacing w:after="0" w:line="189"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color w:val="auto"/>
        </w:rPr>
        <w:t>Please see our Modern Slavery Act Statement, latest Form SD, Form 10-K, and ESG report for more information on these policies and related programs on our website at www.qualys.com.</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0" w:name="page41"/>
    <w:bookmarkEnd w:id="40"/>
    <w:p>
      <w:pPr>
        <w:ind w:left="500"/>
        <w:spacing w:after="0"/>
        <w:rPr>
          <w:sz w:val="20"/>
          <w:szCs w:val="20"/>
          <w:color w:val="auto"/>
        </w:rPr>
      </w:pPr>
      <w:r>
        <w:rPr>
          <w:rFonts w:ascii="Arial" w:cs="Arial" w:eastAsia="Arial" w:hAnsi="Arial"/>
          <w:sz w:val="18"/>
          <w:szCs w:val="18"/>
          <w:b w:val="1"/>
          <w:bCs w:val="1"/>
          <w:color w:val="auto"/>
        </w:rPr>
        <w:t>Empowering Our Business and Customers</w:t>
      </w:r>
    </w:p>
    <w:p>
      <w:pPr>
        <w:spacing w:after="0" w:line="10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Cybersecurity and compliance constitute key parts of our business. Our customers look to Qualys to enable protection of their systems and applications from ever-evolving cyberattacks and to maintain compliance with related cybersecurity policies and regulations. We continually work to enhance the capabilities of our cybersecurity offerings. We hold ourselves to the highest standards regarding data security policies and customer privacy programs. Trust is the foundation of our business, and we take the responsibility to protect our customers’ data and privacy very seriously.</w:t>
      </w:r>
    </w:p>
    <w:p>
      <w:pPr>
        <w:spacing w:after="0" w:line="179"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Oversight of cybersecurity and customer data privacy at Qualys begins with our Board and the direct supervision of the Audit and Risk Committee. Our Chief Information Security Officer (“CISO”) has management oversight of IT, platform, physical infrastructure, and product security, and other department leaders regularly update the Board on cybersecurity and customer privacy.</w:t>
      </w:r>
    </w:p>
    <w:p>
      <w:pPr>
        <w:spacing w:after="0" w:line="17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Consistent with our Board’s and Management’s cybersecurity and customer data privacy oversight, 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w:t>
      </w:r>
    </w:p>
    <w:p>
      <w:pPr>
        <w:spacing w:after="0" w:line="18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79"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CISO who reports to our Chief Executive Officer, to manage the risk assessment and mitigation process.</w:t>
      </w:r>
    </w:p>
    <w:p>
      <w:pPr>
        <w:spacing w:after="0" w:line="17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w:t>
      </w:r>
    </w:p>
    <w:p>
      <w:pPr>
        <w:spacing w:after="0" w:line="17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We have established a Computer Security Incident Response Team (“CSIRT”) that identifies security incidents, characterizes the nature and severity of incidents, and provides diagnostic and corrective actions when appropriate. The CSIRT is responsible for identifying, managing, and responding to security incidents against Qualys’ infrastructure and corporate IT systems. The security measures the CSIRT employs are consistent with relevant requirements of the National Institute of Standards and Technology (“NIST”), Federal Risk and Authorization Management Program (“FedRAMP”), International Organization for Standardization (“ISO”), and Federal Information Security Management Act (“FISMA”). We have also adopted certain guidelines from NIST and the United States Computer Emergency Readiness Team.</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1" w:name="page42"/>
    <w:bookmarkEnd w:id="41"/>
    <w:p>
      <w:pPr>
        <w:jc w:val="both"/>
        <w:ind w:left="500" w:right="519" w:firstLine="360"/>
        <w:spacing w:after="0" w:line="238" w:lineRule="auto"/>
        <w:rPr>
          <w:sz w:val="20"/>
          <w:szCs w:val="20"/>
          <w:color w:val="auto"/>
        </w:rPr>
      </w:pPr>
      <w:r>
        <w:rPr>
          <w:rFonts w:ascii="Arial" w:cs="Arial" w:eastAsia="Arial" w:hAnsi="Arial"/>
          <w:sz w:val="18"/>
          <w:szCs w:val="18"/>
          <w:color w:val="auto"/>
        </w:rPr>
        <w:t>Our Incident Response Program and Plan describes the major phases of an incident management lifecycle which include the preparation, detection and analysis, containment, eradication and recovery, and post-incident activity. Qualys’ 24x7 Cybersecurity Fusion Center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Cybersecurity Fusion Center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w:t>
      </w:r>
    </w:p>
    <w:p>
      <w:pPr>
        <w:spacing w:after="0" w:line="188"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have also established a Product Security Incident Response Team (“PSIRT”) that identifies, assesses, and responds to security incidents, risks, and vulnerabilities associated with Qualys’ commercial products. The Qualys PSIRT investigates vulnerabilities and incidents across the entire Qualys product portfolio. PSIRT coordinates product impact assessments and fixes based on industry standards such as the Common Vulnerabilities and Exposure (“CVE”) and Common Vulnerability Scoring System (“CVSS”). PSIRT operates in alignment with relevant requirements and industry standards and coordinates its activities with the CSIRT.</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routinely evaluate the risks posed by third -party providers and engage with those whom fail to comply with our relevant contract requirements, or when we feel further action is needed to keep our risk levels within approved tolerance levels.</w:t>
      </w:r>
    </w:p>
    <w:p>
      <w:pPr>
        <w:spacing w:after="0" w:line="169"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w:t>
      </w:r>
    </w:p>
    <w:p>
      <w:pPr>
        <w:spacing w:after="0" w:line="176"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Please see our 2025 annual report on Form 10-K, and our ESG report for more information on these policies and related programs on our website at www.qualys.com.</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Supporting Our Team and Community</w:t>
      </w:r>
    </w:p>
    <w:p>
      <w:pPr>
        <w:spacing w:after="0" w:line="10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We take pride in our cultural diversity with offices and employees all over the world. Our objective is to continue to improve our hiring, development, advancement, and retention of diverse talent and to foster an inclusive environment. In addition to having more than 50% of the executive team from underrepresented communities, we are also continuing to improve diversity among our growing workforce, with over half of our US-based employees from underrepresented communities.</w:t>
      </w:r>
    </w:p>
    <w:p>
      <w:pPr>
        <w:spacing w:after="0" w:line="176"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Qualys searches the globe for top talent in an effort to recruit and hire diverse individuals with a variety of skills, experiences, and backgrounds. Our company holiday calendar includes events and festivals from many regions and religions, and we include diverse cultural initiatives throughout the year.</w:t>
      </w:r>
    </w:p>
    <w:p>
      <w:pPr>
        <w:spacing w:after="0" w:line="174"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i w:val="1"/>
          <w:iCs w:val="1"/>
          <w:color w:val="auto"/>
        </w:rPr>
        <w:t>Employee Engagement, Training, and Development</w:t>
      </w:r>
      <w:r>
        <w:rPr>
          <w:rFonts w:ascii="Arial" w:cs="Arial" w:eastAsia="Arial" w:hAnsi="Arial"/>
          <w:sz w:val="18"/>
          <w:szCs w:val="18"/>
          <w:color w:val="auto"/>
        </w:rPr>
        <w:t>. We require our employees and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2" w:name="page43"/>
    <w:bookmarkEnd w:id="42"/>
    <w:p>
      <w:pPr>
        <w:jc w:val="both"/>
        <w:ind w:left="500" w:right="519"/>
        <w:spacing w:after="0" w:line="246" w:lineRule="auto"/>
        <w:rPr>
          <w:sz w:val="20"/>
          <w:szCs w:val="20"/>
          <w:color w:val="auto"/>
        </w:rPr>
      </w:pPr>
      <w:r>
        <w:rPr>
          <w:rFonts w:ascii="Arial" w:cs="Arial" w:eastAsia="Arial" w:hAnsi="Arial"/>
          <w:sz w:val="18"/>
          <w:szCs w:val="18"/>
          <w:color w:val="auto"/>
        </w:rPr>
        <w:t>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77"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Investing in employees is critical to our success. Qualys employees participate in an onboarding program to integrate new hires into role-specific functions and company culture. Qualys offers managers and employees various training courses as needed. To support career growth inside and outside Qualys, we offer free self-paced and instructor-led certified training on core Qualys topics, giving employees an opportunity to achieve certifications and job-related courses. In 2025, we continued to make strategic investments in LinkedIn Learning to provide all employees and managers with a plethora of courses tailored to enhance their skills, broaden their knowledge, fuel their career ambitions, and reach their full potential.</w:t>
      </w:r>
    </w:p>
    <w:p>
      <w:pPr>
        <w:spacing w:after="0" w:line="180"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To allow for open dialogue between employees and managers, we conduct formal employee reviews each year. Corrective action plans are developed for employees who may be struggling to meet their job responsibilities. Employee performance is considered during compensation reviews. In addition to formal reviews, our Human Resources team regularly meets with managers to check in with teams and conducts exit interviews globally.</w:t>
      </w:r>
    </w:p>
    <w:p>
      <w:pPr>
        <w:spacing w:after="0" w:line="176"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i w:val="1"/>
          <w:iCs w:val="1"/>
          <w:color w:val="auto"/>
        </w:rPr>
        <w:t>Benefits and Compensation</w:t>
      </w:r>
      <w:r>
        <w:rPr>
          <w:rFonts w:ascii="Arial" w:cs="Arial" w:eastAsia="Arial" w:hAnsi="Arial"/>
          <w:sz w:val="18"/>
          <w:szCs w:val="18"/>
          <w:color w:val="auto"/>
        </w:rPr>
        <w:t>. We understand that providing competitive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plays a critical role in 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 Qualys aims to maintain a healthy work-life balance and provide resources to support our employees’ mental and physical well-being. Our global employees and their families have access to the Employee Assistance Program (EAP) at no charge, offering counseling sessions on many topics, including mental health, substance abuse, grief and loss, financial or workplace issues, and more.</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Qualys maintains a Compensation and Talent Committee of the Board of Directors to oversee the company’s compensation policies, 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the Company’s chief human resources executive, and any other corporate officers as it deems appropriate.</w:t>
      </w:r>
    </w:p>
    <w:p>
      <w:pPr>
        <w:spacing w:after="0" w:line="185"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i w:val="1"/>
          <w:iCs w:val="1"/>
          <w:color w:val="auto"/>
        </w:rPr>
        <w:t>Community Engagement</w:t>
      </w:r>
      <w:r>
        <w:rPr>
          <w:rFonts w:ascii="Arial" w:cs="Arial" w:eastAsia="Arial" w:hAnsi="Arial"/>
          <w:sz w:val="18"/>
          <w:szCs w:val="18"/>
          <w:color w:val="auto"/>
        </w:rPr>
        <w:t>. We value the communities that support our operations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company and employee-led initiatives to support the communities in which we operate. In 2025, our efforts were centered on advancing education, technology, local communities, and environmental initiatives. For example, we provided training, mobility solutions, and job placements for people with disabilities, established a Clinic on Wheels program and brought doctors, medicines, and essential care to areas where access is limited, partnered with nonprofit organizations to provide back-to-school backpacks and computer cyber labs to educate youth in our community, supported by a coursework developed by our own employees, and donated to food drives and holiday fundraisers to support local families in need, among other initiatives. Our employees further participated in environmental initiatives such as World Environment Day that encourage awareness and action for the protection of the environment, in addition to taking part in local clean-up activities across the world.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3" w:name="page44"/>
    <w:bookmarkEnd w:id="43"/>
    <w:p>
      <w:pPr>
        <w:jc w:val="both"/>
        <w:ind w:left="500" w:right="519" w:firstLine="360"/>
        <w:spacing w:after="0" w:line="246" w:lineRule="auto"/>
        <w:rPr>
          <w:sz w:val="20"/>
          <w:szCs w:val="20"/>
          <w:color w:val="auto"/>
        </w:rPr>
      </w:pPr>
      <w:r>
        <w:rPr>
          <w:rFonts w:ascii="Arial" w:cs="Arial" w:eastAsia="Arial" w:hAnsi="Arial"/>
          <w:sz w:val="18"/>
          <w:szCs w:val="18"/>
          <w:color w:val="auto"/>
        </w:rPr>
        <w:t>Our company culture is one of generosity and empathy, and we are proud of our employees who volunteer their time and resources to make a difference in the communities we serve. We believe that by giving back, we are not only making a positive impact on the world but also creating a better place for our employees, customers, and partners to live and work.</w:t>
      </w:r>
    </w:p>
    <w:p>
      <w:pPr>
        <w:spacing w:after="0" w:line="177"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Please see our 2025 annual report on Form 10-K, and our ESG report for more information on these policies and related programs on our website at www.qualys.com.</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Sustainable Business Operations</w:t>
      </w:r>
    </w:p>
    <w:p>
      <w:pPr>
        <w:spacing w:after="0" w:line="10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Qualys products, delivered via our multi-tenant cloud platform, enable improved environmental sustainability for our 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176"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environmental, health and safety systems, processes and tools in place across our footprint enable Qualys to meet or exceed governmental and industry requirements. We strive to consistently improve how we operate our platforms in energy-efficient networks and data centers as well as pursue sustainability initiatives that reduce energy, waste and materials consumption. We have 15 multi-tenant platforms across the world, six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w:t>
      </w:r>
    </w:p>
    <w:p>
      <w:pPr>
        <w:spacing w:after="0" w:line="183"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Please see our 2025 annual report on Form 10-K, and our ESG report for more information on these policies and related programs on our website at www.qualys.com.</w:t>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 Incorporation by Reference</w:t>
      </w:r>
    </w:p>
    <w:p>
      <w:pPr>
        <w:spacing w:after="0" w:line="104"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This proxy statement includes several website addresses or references to additional company reports or resources found on our corporate website. These website addresses are intended to provide inactive, textual references only. The information on these websites, including the information contained in those reports or resources, is not part of this proxy statement and is not incorporated by reference in this proxy statement.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11"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following table identifies certain information about our executive officers as of April 22, 2026. Officers are elected by our board of directors to hold office until their successors are elected and qualified.</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2600" w:type="dxa"/>
            <w:vAlign w:val="bottom"/>
            <w:shd w:val="clear" w:color="auto" w:fill="1D3965"/>
          </w:tcPr>
          <w:p>
            <w:pPr>
              <w:spacing w:after="0"/>
              <w:rPr>
                <w:sz w:val="20"/>
                <w:szCs w:val="20"/>
                <w:color w:val="auto"/>
              </w:rPr>
            </w:pPr>
            <w:r>
              <w:rPr>
                <w:rFonts w:ascii="Arial" w:cs="Arial" w:eastAsia="Arial" w:hAnsi="Arial"/>
                <w:sz w:val="14"/>
                <w:szCs w:val="14"/>
                <w:b w:val="1"/>
                <w:bCs w:val="1"/>
                <w:color w:val="FFFFFF"/>
              </w:rPr>
              <w:t>Name</w:t>
            </w:r>
          </w:p>
        </w:tc>
        <w:tc>
          <w:tcPr>
            <w:tcW w:w="5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Age</w:t>
            </w:r>
          </w:p>
        </w:tc>
        <w:tc>
          <w:tcPr>
            <w:tcW w:w="4860" w:type="dxa"/>
            <w:vAlign w:val="bottom"/>
            <w:shd w:val="clear" w:color="auto" w:fill="1D3965"/>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261"/>
        </w:trPr>
        <w:tc>
          <w:tcPr>
            <w:tcW w:w="2600" w:type="dxa"/>
            <w:vAlign w:val="bottom"/>
          </w:tcPr>
          <w:p>
            <w:pPr>
              <w:spacing w:after="0"/>
              <w:rPr>
                <w:sz w:val="20"/>
                <w:szCs w:val="20"/>
                <w:color w:val="auto"/>
              </w:rPr>
            </w:pPr>
            <w:r>
              <w:rPr>
                <w:rFonts w:ascii="Arial" w:cs="Arial" w:eastAsia="Arial" w:hAnsi="Arial"/>
                <w:sz w:val="18"/>
                <w:szCs w:val="18"/>
                <w:color w:val="auto"/>
              </w:rPr>
              <w:t>Sumedh S. Thakar</w:t>
            </w:r>
          </w:p>
        </w:tc>
        <w:tc>
          <w:tcPr>
            <w:tcW w:w="540" w:type="dxa"/>
            <w:vAlign w:val="bottom"/>
          </w:tcPr>
          <w:p>
            <w:pPr>
              <w:jc w:val="center"/>
              <w:ind w:left="15"/>
              <w:spacing w:after="0"/>
              <w:rPr>
                <w:sz w:val="20"/>
                <w:szCs w:val="20"/>
                <w:color w:val="auto"/>
              </w:rPr>
            </w:pPr>
            <w:r>
              <w:rPr>
                <w:rFonts w:ascii="Arial" w:cs="Arial" w:eastAsia="Arial" w:hAnsi="Arial"/>
                <w:sz w:val="18"/>
                <w:szCs w:val="18"/>
                <w:color w:val="auto"/>
                <w:w w:val="99"/>
              </w:rPr>
              <w:t>50</w:t>
            </w:r>
          </w:p>
        </w:tc>
        <w:tc>
          <w:tcPr>
            <w:tcW w:w="4860" w:type="dxa"/>
            <w:vAlign w:val="bottom"/>
          </w:tcPr>
          <w:p>
            <w:pPr>
              <w:ind w:left="100"/>
              <w:spacing w:after="0"/>
              <w:rPr>
                <w:sz w:val="20"/>
                <w:szCs w:val="20"/>
                <w:color w:val="auto"/>
              </w:rPr>
            </w:pPr>
            <w:r>
              <w:rPr>
                <w:rFonts w:ascii="Arial" w:cs="Arial" w:eastAsia="Arial" w:hAnsi="Arial"/>
                <w:sz w:val="18"/>
                <w:szCs w:val="18"/>
                <w:color w:val="auto"/>
              </w:rPr>
              <w:t>Director, President and Chief Executive Officer</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Joo Mi Kim</w:t>
            </w:r>
          </w:p>
        </w:tc>
        <w:tc>
          <w:tcPr>
            <w:tcW w:w="540" w:type="dxa"/>
            <w:vAlign w:val="bottom"/>
          </w:tcPr>
          <w:p>
            <w:pPr>
              <w:jc w:val="center"/>
              <w:ind w:left="15"/>
              <w:spacing w:after="0"/>
              <w:rPr>
                <w:sz w:val="20"/>
                <w:szCs w:val="20"/>
                <w:color w:val="auto"/>
              </w:rPr>
            </w:pPr>
            <w:r>
              <w:rPr>
                <w:rFonts w:ascii="Arial" w:cs="Arial" w:eastAsia="Arial" w:hAnsi="Arial"/>
                <w:sz w:val="18"/>
                <w:szCs w:val="18"/>
                <w:color w:val="auto"/>
                <w:w w:val="99"/>
              </w:rPr>
              <w:t>45</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Bruce K. Posey</w:t>
            </w:r>
          </w:p>
        </w:tc>
        <w:tc>
          <w:tcPr>
            <w:tcW w:w="540" w:type="dxa"/>
            <w:vAlign w:val="bottom"/>
          </w:tcPr>
          <w:p>
            <w:pPr>
              <w:jc w:val="center"/>
              <w:ind w:left="15"/>
              <w:spacing w:after="0"/>
              <w:rPr>
                <w:sz w:val="20"/>
                <w:szCs w:val="20"/>
                <w:color w:val="auto"/>
              </w:rPr>
            </w:pPr>
            <w:r>
              <w:rPr>
                <w:rFonts w:ascii="Arial" w:cs="Arial" w:eastAsia="Arial" w:hAnsi="Arial"/>
                <w:sz w:val="18"/>
                <w:szCs w:val="18"/>
                <w:color w:val="auto"/>
                <w:w w:val="99"/>
              </w:rPr>
              <w:t>74</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Legal Officer and Corporate Secretary</w:t>
            </w:r>
          </w:p>
        </w:tc>
      </w:tr>
    </w:tbl>
    <w:p>
      <w:pPr>
        <w:spacing w:after="0" w:line="247"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is also a director of Qualys. Please see the section titled “</w:t>
      </w:r>
      <w:r>
        <w:rPr>
          <w:rFonts w:ascii="Arial" w:cs="Arial" w:eastAsia="Arial" w:hAnsi="Arial"/>
          <w:sz w:val="18"/>
          <w:szCs w:val="18"/>
          <w:i w:val="1"/>
          <w:iCs w:val="1"/>
          <w:color w:val="auto"/>
        </w:rPr>
        <w:t>Board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Directors and Corporate Governance</w:t>
      </w:r>
      <w:r>
        <w:rPr>
          <w:rFonts w:ascii="Arial" w:cs="Arial" w:eastAsia="Arial" w:hAnsi="Arial"/>
          <w:sz w:val="18"/>
          <w:szCs w:val="18"/>
          <w:color w:val="auto"/>
        </w:rPr>
        <w:t>” for his biography.</w:t>
      </w:r>
    </w:p>
    <w:p>
      <w:pPr>
        <w:spacing w:after="0" w:line="15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Joo Mi Kim </w:t>
      </w:r>
      <w:r>
        <w:rPr>
          <w:rFonts w:ascii="Arial" w:cs="Arial" w:eastAsia="Arial" w:hAnsi="Arial"/>
          <w:sz w:val="18"/>
          <w:szCs w:val="18"/>
          <w:color w:val="auto"/>
        </w:rPr>
        <w:t>has served as our Chief Financial Officer since June 2020. Ms. Kim rejoined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Impact, a partnership automation 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Bachelor of Arts degree in Economics from the University of Chicago and Master of Business Administration degree from the Wharton School of the University of Pennsylvania.</w:t>
      </w:r>
    </w:p>
    <w:p>
      <w:pPr>
        <w:spacing w:after="0" w:line="180"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Bruce K. Posey </w:t>
      </w:r>
      <w:r>
        <w:rPr>
          <w:rFonts w:ascii="Arial" w:cs="Arial" w:eastAsia="Arial" w:hAnsi="Arial"/>
          <w:sz w:val="18"/>
          <w:szCs w:val="18"/>
          <w:color w:val="auto"/>
        </w:rPr>
        <w:t>has served as our Chief Legal Officer since October 2021 and our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Secretary since June 2012. Mr. Posey was previously our Vice President and General Counsel from May 2012 to October 2021.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individuals are collectively referred to in this Compensation Discussion and Analysis and the accompanying compensation tables as the “named executive officers” (“NEOs”):</w:t>
      </w: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2380" w:type="dxa"/>
            <w:vAlign w:val="bottom"/>
            <w:shd w:val="clear" w:color="auto" w:fill="1D3965"/>
          </w:tcPr>
          <w:p>
            <w:pPr>
              <w:spacing w:after="0"/>
              <w:rPr>
                <w:sz w:val="20"/>
                <w:szCs w:val="20"/>
                <w:color w:val="auto"/>
              </w:rPr>
            </w:pPr>
            <w:r>
              <w:rPr>
                <w:rFonts w:ascii="Arial" w:cs="Arial" w:eastAsia="Arial" w:hAnsi="Arial"/>
                <w:sz w:val="14"/>
                <w:szCs w:val="14"/>
                <w:b w:val="1"/>
                <w:bCs w:val="1"/>
                <w:color w:val="FFFFFF"/>
              </w:rPr>
              <w:t>Name</w:t>
            </w:r>
          </w:p>
        </w:tc>
        <w:tc>
          <w:tcPr>
            <w:tcW w:w="5620" w:type="dxa"/>
            <w:vAlign w:val="bottom"/>
            <w:shd w:val="clear" w:color="auto" w:fill="1D3965"/>
          </w:tcPr>
          <w:p>
            <w:pPr>
              <w:ind w:left="220"/>
              <w:spacing w:after="0"/>
              <w:rPr>
                <w:sz w:val="20"/>
                <w:szCs w:val="20"/>
                <w:color w:val="auto"/>
              </w:rPr>
            </w:pPr>
            <w:r>
              <w:rPr>
                <w:rFonts w:ascii="Arial" w:cs="Arial" w:eastAsia="Arial" w:hAnsi="Arial"/>
                <w:sz w:val="14"/>
                <w:szCs w:val="14"/>
                <w:b w:val="1"/>
                <w:bCs w:val="1"/>
                <w:color w:val="FFFFFF"/>
              </w:rPr>
              <w:t>Position</w:t>
            </w:r>
          </w:p>
        </w:tc>
      </w:tr>
      <w:tr>
        <w:trPr>
          <w:trHeight w:val="261"/>
        </w:trPr>
        <w:tc>
          <w:tcPr>
            <w:tcW w:w="2380" w:type="dxa"/>
            <w:vAlign w:val="bottom"/>
          </w:tcPr>
          <w:p>
            <w:pPr>
              <w:spacing w:after="0"/>
              <w:rPr>
                <w:sz w:val="20"/>
                <w:szCs w:val="20"/>
                <w:color w:val="auto"/>
              </w:rPr>
            </w:pPr>
            <w:r>
              <w:rPr>
                <w:rFonts w:ascii="Arial" w:cs="Arial" w:eastAsia="Arial" w:hAnsi="Arial"/>
                <w:sz w:val="18"/>
                <w:szCs w:val="18"/>
                <w:color w:val="auto"/>
              </w:rPr>
              <w:t>Sumedh S. Thakar</w:t>
            </w:r>
          </w:p>
        </w:tc>
        <w:tc>
          <w:tcPr>
            <w:tcW w:w="5620" w:type="dxa"/>
            <w:vAlign w:val="bottom"/>
          </w:tcPr>
          <w:p>
            <w:pPr>
              <w:ind w:left="220"/>
              <w:spacing w:after="0"/>
              <w:rPr>
                <w:sz w:val="20"/>
                <w:szCs w:val="20"/>
                <w:color w:val="auto"/>
              </w:rPr>
            </w:pPr>
            <w:r>
              <w:rPr>
                <w:rFonts w:ascii="Arial" w:cs="Arial" w:eastAsia="Arial" w:hAnsi="Arial"/>
                <w:sz w:val="18"/>
                <w:szCs w:val="18"/>
                <w:color w:val="auto"/>
              </w:rPr>
              <w:t>Director, President and Chief Executive Officer (“CEO”)</w:t>
            </w:r>
          </w:p>
        </w:tc>
      </w:t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Joo Mi Kim</w:t>
            </w:r>
          </w:p>
        </w:tc>
        <w:tc>
          <w:tcPr>
            <w:tcW w:w="56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Bruce K. Posey</w:t>
            </w:r>
          </w:p>
        </w:tc>
        <w:tc>
          <w:tcPr>
            <w:tcW w:w="5620" w:type="dxa"/>
            <w:vAlign w:val="bottom"/>
          </w:tcPr>
          <w:p>
            <w:pPr>
              <w:ind w:left="220"/>
              <w:spacing w:after="0"/>
              <w:rPr>
                <w:sz w:val="20"/>
                <w:szCs w:val="20"/>
                <w:color w:val="auto"/>
              </w:rPr>
            </w:pPr>
            <w:r>
              <w:rPr>
                <w:rFonts w:ascii="Arial" w:cs="Arial" w:eastAsia="Arial" w:hAnsi="Arial"/>
                <w:sz w:val="18"/>
                <w:szCs w:val="18"/>
                <w:color w:val="auto"/>
              </w:rPr>
              <w:t>Chief Legal Officer and Corporate Secretary</w:t>
            </w:r>
          </w:p>
        </w:tc>
      </w:tr>
    </w:tbl>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Overview</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are a leading provider of disruptive cloud-based Information Technology (“IT”), security, and compliance solutions enabling organizations to identify security risks to their IT infrastructures, help protect their IT systems and applications from ever-evolving cyber-attacks and achieve compliance with internal policies and external regulations. Our natively integrated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80"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We intend to leverage our innovation, extensive expertise and position as a trusted provider of cloud-based IT, security and compliance solutions to continue to grow our revenues and maintain strong profitability. In 2025,</w:t>
      </w:r>
    </w:p>
    <w:p>
      <w:pPr>
        <w:spacing w:after="0" w:line="12" w:lineRule="exact"/>
        <w:rPr>
          <w:sz w:val="20"/>
          <w:szCs w:val="20"/>
          <w:color w:val="auto"/>
        </w:rPr>
      </w:pPr>
    </w:p>
    <w:p>
      <w:pPr>
        <w:ind w:left="1220" w:hanging="280"/>
        <w:spacing w:after="0"/>
        <w:tabs>
          <w:tab w:leader="none" w:pos="1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Revenues increased by 10% to $669.1 million, as compared to $607.6 million in 2024;</w:t>
      </w:r>
    </w:p>
    <w:p>
      <w:pPr>
        <w:spacing w:after="0" w:line="89" w:lineRule="exact"/>
        <w:rPr>
          <w:rFonts w:ascii="Arial" w:cs="Arial" w:eastAsia="Arial" w:hAnsi="Arial"/>
          <w:sz w:val="25"/>
          <w:szCs w:val="25"/>
          <w:color w:val="auto"/>
          <w:vertAlign w:val="superscript"/>
        </w:rPr>
      </w:pPr>
    </w:p>
    <w:p>
      <w:pPr>
        <w:jc w:val="both"/>
        <w:ind w:left="1220" w:right="519" w:hanging="280"/>
        <w:spacing w:after="0" w:line="214" w:lineRule="auto"/>
        <w:tabs>
          <w:tab w:leader="none" w:pos="1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Net income increased by 14% to $198.3 million, which represents 30% of our 2025 revenues, as compared to $173.7 million in 2024, which represents 29% of our 2024 revenues;</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Adjusted EBITDA* (a non-GAAP financial measure) increased by 11% to $313.4 million, which represents 47% of our 2025 revenues, as compared to $282.8 million in 2024, which represents 47% of our 2024 revenues; and</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Earnings Per Share (“EPS”) increased by 17% to $5.44, as compared to $4.65 in 2024. Non-GAAP EPS* increased by 15% to $7.07, as compared to $6.13 in 2024.</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6" w:name="page47"/>
    <w:bookmarkEnd w:id="46"/>
    <w:p>
      <w:pPr>
        <w:ind w:left="720" w:right="519" w:firstLine="4"/>
        <w:spacing w:after="0" w:line="27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contains a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127000</wp:posOffset>
            </wp:positionV>
            <wp:extent cx="5203190" cy="1363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0319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Consistent with our “pay-for-performance” philosophy, our non-equity incentive plan pays cash compensation based on achievement of bookings, revenue growth and non-GAAP EPS. The Compensation and Talent Committee selected these three metrics, which measure sales growth and profitability, as the corporate performance metrics that best support our annual operating plan and represent drivers of stockholder value creation.</w:t>
      </w:r>
    </w:p>
    <w:p>
      <w:pPr>
        <w:spacing w:after="0" w:line="176"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We grant annually a mix of time-based RSUs and PRSUs, whereby RSUs are set to vest over four years subject to continued service and PRSUs are set to vest annually over three years subject to achievement of respective year’s annual performance targets: revenue growth and adjusted EBITDA margin. The Compensation and Talent Committee selected these metrics as the best drivers of our long-term value creation.</w:t>
      </w: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Philosophy and Objectives</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compensation philosophy is to provide programs that attract and retain the best available personnel for positions of substantial responsibility, provide incentives for such persons to perform to the best of their abilities, and promote the success of our business. We believe that utilization of our equity incentive program aligns the interests of our senior executives and shareholders.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Good Pay and Governance Practices</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154" w:lineRule="exact"/>
        <w:rPr>
          <w:sz w:val="20"/>
          <w:szCs w:val="20"/>
          <w:color w:val="auto"/>
        </w:rPr>
      </w:pPr>
    </w:p>
    <w:p>
      <w:pPr>
        <w:ind w:left="880"/>
        <w:spacing w:after="0" w:line="299" w:lineRule="exact"/>
        <w:rPr>
          <w:sz w:val="20"/>
          <w:szCs w:val="20"/>
          <w:color w:val="auto"/>
        </w:rPr>
      </w:pPr>
      <w:r>
        <w:rPr>
          <w:rFonts w:ascii="Arial" w:cs="Arial" w:eastAsia="Arial" w:hAnsi="Arial"/>
          <w:sz w:val="18"/>
          <w:szCs w:val="18"/>
          <w:b w:val="1"/>
          <w:bCs w:val="1"/>
          <w:color w:val="auto"/>
        </w:rPr>
        <w:t xml:space="preserve">What we do </w:t>
      </w:r>
      <w:r>
        <w:rPr>
          <w:rFonts w:ascii="MS PGothic" w:cs="MS PGothic" w:eastAsia="MS PGothic" w:hAnsi="MS PGothic"/>
          <w:sz w:val="26"/>
          <w:szCs w:val="26"/>
          <w:color w:val="auto"/>
          <w:shd w:val="clear" w:color="auto" w:fill="00B04F"/>
        </w:rPr>
        <w:t>✔</w:t>
      </w:r>
    </w:p>
    <w:p>
      <w:pPr>
        <w:spacing w:after="0" w:line="96" w:lineRule="exact"/>
        <w:rPr>
          <w:sz w:val="20"/>
          <w:szCs w:val="20"/>
          <w:color w:val="auto"/>
        </w:rPr>
      </w:pPr>
    </w:p>
    <w:p>
      <w:pPr>
        <w:ind w:left="1240" w:right="519" w:hanging="368"/>
        <w:spacing w:after="0" w:line="247" w:lineRule="auto"/>
        <w:tabs>
          <w:tab w:leader="none" w:pos="1240" w:val="left"/>
        </w:tabs>
        <w:numPr>
          <w:ilvl w:val="0"/>
          <w:numId w:val="29"/>
        </w:numPr>
        <w:rPr>
          <w:rFonts w:ascii="MS PGothic" w:cs="MS PGothic" w:eastAsia="MS PGothic" w:hAnsi="MS PGothic"/>
          <w:sz w:val="18"/>
          <w:szCs w:val="18"/>
          <w:color w:val="auto"/>
        </w:rPr>
      </w:pPr>
      <w:r>
        <w:rPr>
          <w:rFonts w:ascii="Arial" w:cs="Arial" w:eastAsia="Arial" w:hAnsi="Arial"/>
          <w:sz w:val="18"/>
          <w:szCs w:val="18"/>
          <w:i w:val="1"/>
          <w:iCs w:val="1"/>
          <w:color w:val="auto"/>
        </w:rPr>
        <w:t>We balance near- and long-term strategic objectives by providing a mix of cash and equity incentives</w:t>
      </w:r>
    </w:p>
    <w:p>
      <w:pPr>
        <w:spacing w:after="0" w:line="7" w:lineRule="exact"/>
        <w:rPr>
          <w:rFonts w:ascii="MS PGothic" w:cs="MS PGothic" w:eastAsia="MS PGothic" w:hAnsi="MS PGothic"/>
          <w:sz w:val="18"/>
          <w:szCs w:val="18"/>
          <w:color w:val="auto"/>
        </w:rPr>
      </w:pPr>
    </w:p>
    <w:p>
      <w:pPr>
        <w:ind w:left="1240" w:right="519" w:hanging="368"/>
        <w:spacing w:after="0" w:line="254" w:lineRule="auto"/>
        <w:tabs>
          <w:tab w:leader="none" w:pos="1240" w:val="left"/>
        </w:tabs>
        <w:numPr>
          <w:ilvl w:val="0"/>
          <w:numId w:val="29"/>
        </w:numPr>
        <w:rPr>
          <w:rFonts w:ascii="MS PGothic" w:cs="MS PGothic" w:eastAsia="MS PGothic" w:hAnsi="MS PGothic"/>
          <w:sz w:val="18"/>
          <w:szCs w:val="18"/>
          <w:color w:val="auto"/>
        </w:rPr>
      </w:pPr>
      <w:r>
        <w:rPr>
          <w:rFonts w:ascii="Arial" w:cs="Arial" w:eastAsia="Arial" w:hAnsi="Arial"/>
          <w:sz w:val="18"/>
          <w:szCs w:val="18"/>
          <w:i w:val="1"/>
          <w:iCs w:val="1"/>
          <w:color w:val="auto"/>
        </w:rPr>
        <w:t>We cap non-equity incentive awards at 125% of target for all of our named executive officers, subject to achievement of challenging performance metrics</w:t>
      </w:r>
    </w:p>
    <w:p>
      <w:pPr>
        <w:spacing w:after="0" w:line="7" w:lineRule="exact"/>
        <w:rPr>
          <w:rFonts w:ascii="MS PGothic" w:cs="MS PGothic" w:eastAsia="MS PGothic" w:hAnsi="MS PGothic"/>
          <w:sz w:val="18"/>
          <w:szCs w:val="18"/>
          <w:color w:val="auto"/>
        </w:rPr>
      </w:pPr>
    </w:p>
    <w:p>
      <w:pPr>
        <w:jc w:val="both"/>
        <w:ind w:left="1240" w:right="519" w:hanging="368"/>
        <w:spacing w:after="0" w:line="241" w:lineRule="auto"/>
        <w:tabs>
          <w:tab w:leader="none" w:pos="1240" w:val="left"/>
        </w:tabs>
        <w:numPr>
          <w:ilvl w:val="0"/>
          <w:numId w:val="29"/>
        </w:numPr>
        <w:rPr>
          <w:rFonts w:ascii="MS PGothic" w:cs="MS PGothic" w:eastAsia="MS PGothic" w:hAnsi="MS PGothic"/>
          <w:sz w:val="18"/>
          <w:szCs w:val="18"/>
          <w:color w:val="auto"/>
        </w:rPr>
      </w:pPr>
      <w:r>
        <w:rPr>
          <w:rFonts w:ascii="Arial" w:cs="Arial" w:eastAsia="Arial" w:hAnsi="Arial"/>
          <w:sz w:val="18"/>
          <w:szCs w:val="18"/>
          <w:i w:val="1"/>
          <w:iCs w:val="1"/>
          <w:color w:val="auto"/>
        </w:rPr>
        <w:t>A substantial portion of our named executive officers’ equity awards is performance-based equity with vesting and release of the PRSU awards capped at 100% of target performance for each of the first two years of the performance period. Cumulative achievement over 100% (at up to a maximum of 200%) is vested and released along with the achievement for the third performance period, subject to the continued service by the named executive officer through the date that performance is certified</w:t>
      </w:r>
    </w:p>
    <w:p>
      <w:pPr>
        <w:spacing w:after="0" w:line="8" w:lineRule="exact"/>
        <w:rPr>
          <w:rFonts w:ascii="MS PGothic" w:cs="MS PGothic" w:eastAsia="MS PGothic" w:hAnsi="MS PGothic"/>
          <w:sz w:val="18"/>
          <w:szCs w:val="18"/>
          <w:color w:val="auto"/>
        </w:rPr>
      </w:pPr>
    </w:p>
    <w:p>
      <w:pPr>
        <w:ind w:left="1240" w:hanging="368"/>
        <w:spacing w:after="0"/>
        <w:tabs>
          <w:tab w:leader="none" w:pos="1240" w:val="left"/>
        </w:tabs>
        <w:numPr>
          <w:ilvl w:val="0"/>
          <w:numId w:val="29"/>
        </w:numPr>
        <w:rPr>
          <w:rFonts w:ascii="MS PGothic" w:cs="MS PGothic" w:eastAsia="MS PGothic" w:hAnsi="MS PGothic"/>
          <w:sz w:val="18"/>
          <w:szCs w:val="18"/>
          <w:color w:val="auto"/>
        </w:rPr>
      </w:pPr>
      <w:r>
        <w:rPr>
          <w:rFonts w:ascii="Arial" w:cs="Arial" w:eastAsia="Arial" w:hAnsi="Arial"/>
          <w:sz w:val="18"/>
          <w:szCs w:val="18"/>
          <w:i w:val="1"/>
          <w:iCs w:val="1"/>
          <w:color w:val="auto"/>
        </w:rPr>
        <w:t>We audit our incentive plan processes, results, and payments on a regular basis</w:t>
      </w:r>
    </w:p>
    <w:p>
      <w:pPr>
        <w:spacing w:after="0" w:line="52" w:lineRule="exact"/>
        <w:rPr>
          <w:rFonts w:ascii="MS PGothic" w:cs="MS PGothic" w:eastAsia="MS PGothic" w:hAnsi="MS PGothic"/>
          <w:sz w:val="18"/>
          <w:szCs w:val="18"/>
          <w:color w:val="auto"/>
        </w:rPr>
      </w:pPr>
    </w:p>
    <w:p>
      <w:pPr>
        <w:jc w:val="both"/>
        <w:ind w:left="1240" w:right="519" w:hanging="368"/>
        <w:spacing w:after="0" w:line="242" w:lineRule="auto"/>
        <w:tabs>
          <w:tab w:leader="none" w:pos="1240" w:val="left"/>
        </w:tabs>
        <w:numPr>
          <w:ilvl w:val="0"/>
          <w:numId w:val="29"/>
        </w:numPr>
        <w:rPr>
          <w:rFonts w:ascii="MS PGothic" w:cs="MS PGothic" w:eastAsia="MS PGothic" w:hAnsi="MS PGothic"/>
          <w:sz w:val="18"/>
          <w:szCs w:val="18"/>
          <w:color w:val="auto"/>
        </w:rPr>
      </w:pPr>
      <w:r>
        <w:rPr>
          <w:rFonts w:ascii="Arial" w:cs="Arial" w:eastAsia="Arial" w:hAnsi="Arial"/>
          <w:sz w:val="18"/>
          <w:szCs w:val="18"/>
          <w:i w:val="1"/>
          <w:iCs w:val="1"/>
          <w:color w:val="auto"/>
        </w:rPr>
        <w:t>We hold an annual stockholder advisory vote to approve our named executive officers’ compensation and we engage with stockholders and respond to their feedback on our executive compensation program</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7" w:name="page48"/>
    <w:bookmarkEnd w:id="47"/>
    <w:p>
      <w:pPr>
        <w:ind w:left="1240" w:right="519" w:hanging="368"/>
        <w:spacing w:after="0" w:line="254" w:lineRule="auto"/>
        <w:tabs>
          <w:tab w:leader="none" w:pos="1240" w:val="left"/>
        </w:tabs>
        <w:numPr>
          <w:ilvl w:val="0"/>
          <w:numId w:val="30"/>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stock ownership guidelines for our non-employee directors and executive officers</w:t>
      </w:r>
    </w:p>
    <w:p>
      <w:pPr>
        <w:spacing w:after="0" w:line="7" w:lineRule="exact"/>
        <w:rPr>
          <w:rFonts w:ascii="MS PGothic" w:cs="MS PGothic" w:eastAsia="MS PGothic" w:hAnsi="MS PGothic"/>
          <w:sz w:val="18"/>
          <w:szCs w:val="18"/>
          <w:color w:val="auto"/>
        </w:rPr>
      </w:pPr>
    </w:p>
    <w:p>
      <w:pPr>
        <w:jc w:val="both"/>
        <w:ind w:left="1240" w:right="519" w:hanging="368"/>
        <w:spacing w:after="0" w:line="248" w:lineRule="auto"/>
        <w:tabs>
          <w:tab w:leader="none" w:pos="1240" w:val="left"/>
        </w:tabs>
        <w:numPr>
          <w:ilvl w:val="0"/>
          <w:numId w:val="30"/>
        </w:numPr>
        <w:rPr>
          <w:rFonts w:ascii="MS PGothic" w:cs="MS PGothic" w:eastAsia="MS PGothic" w:hAnsi="MS PGothic"/>
          <w:sz w:val="18"/>
          <w:szCs w:val="18"/>
          <w:color w:val="auto"/>
        </w:rPr>
      </w:pPr>
      <w:r>
        <w:rPr>
          <w:rFonts w:ascii="Arial" w:cs="Arial" w:eastAsia="Arial" w:hAnsi="Arial"/>
          <w:sz w:val="18"/>
          <w:szCs w:val="18"/>
          <w:i w:val="1"/>
          <w:iCs w:val="1"/>
          <w:color w:val="auto"/>
        </w:rPr>
        <w:t>We maintain a severance policy for our named executive officers and certain other executives which provides for severance payments only in the event of an involuntary termination of their employment, including in the event of a change in control.</w:t>
      </w:r>
    </w:p>
    <w:p>
      <w:pPr>
        <w:spacing w:after="0" w:line="6" w:lineRule="exact"/>
        <w:rPr>
          <w:rFonts w:ascii="MS PGothic" w:cs="MS PGothic" w:eastAsia="MS PGothic" w:hAnsi="MS PGothic"/>
          <w:sz w:val="18"/>
          <w:szCs w:val="18"/>
          <w:color w:val="auto"/>
        </w:rPr>
      </w:pPr>
    </w:p>
    <w:p>
      <w:pPr>
        <w:jc w:val="both"/>
        <w:ind w:left="1240" w:right="519" w:hanging="368"/>
        <w:spacing w:after="0" w:line="244" w:lineRule="auto"/>
        <w:tabs>
          <w:tab w:leader="none" w:pos="1240" w:val="left"/>
        </w:tabs>
        <w:numPr>
          <w:ilvl w:val="0"/>
          <w:numId w:val="30"/>
        </w:numPr>
        <w:rPr>
          <w:rFonts w:ascii="MS PGothic" w:cs="MS PGothic" w:eastAsia="MS PGothic" w:hAnsi="MS PGothic"/>
          <w:sz w:val="18"/>
          <w:szCs w:val="18"/>
          <w:color w:val="auto"/>
        </w:rPr>
      </w:pPr>
      <w:r>
        <w:rPr>
          <w:rFonts w:ascii="Arial" w:cs="Arial" w:eastAsia="Arial" w:hAnsi="Arial"/>
          <w:sz w:val="18"/>
          <w:szCs w:val="18"/>
          <w:i w:val="1"/>
          <w:iCs w:val="1"/>
          <w:color w:val="auto"/>
        </w:rPr>
        <w:t>We maintain clawback and compensation recovery policies for our former and current executive officers that comply with Exchange Act Rule 10D-1 and the applicable Nasdaq Listing Rules and also provide the ability to clawback an executive officer’s performance-based compensation in the event of misconduct related to a financial restatement</w:t>
      </w:r>
    </w:p>
    <w:p>
      <w:pPr>
        <w:spacing w:after="0" w:line="8" w:lineRule="exact"/>
        <w:rPr>
          <w:rFonts w:ascii="MS PGothic" w:cs="MS PGothic" w:eastAsia="MS PGothic" w:hAnsi="MS PGothic"/>
          <w:sz w:val="18"/>
          <w:szCs w:val="18"/>
          <w:color w:val="auto"/>
        </w:rPr>
      </w:pPr>
    </w:p>
    <w:p>
      <w:pPr>
        <w:ind w:left="1240" w:right="519" w:hanging="368"/>
        <w:spacing w:after="0" w:line="269" w:lineRule="auto"/>
        <w:tabs>
          <w:tab w:leader="none" w:pos="1240" w:val="left"/>
        </w:tabs>
        <w:numPr>
          <w:ilvl w:val="0"/>
          <w:numId w:val="30"/>
        </w:numPr>
        <w:rPr>
          <w:rFonts w:ascii="MS PGothic" w:cs="MS PGothic" w:eastAsia="MS PGothic" w:hAnsi="MS PGothic"/>
          <w:sz w:val="18"/>
          <w:szCs w:val="18"/>
          <w:color w:val="auto"/>
        </w:rPr>
      </w:pPr>
      <w:r>
        <w:rPr>
          <w:rFonts w:ascii="Arial" w:cs="Arial" w:eastAsia="Arial" w:hAnsi="Arial"/>
          <w:sz w:val="18"/>
          <w:szCs w:val="18"/>
          <w:i w:val="1"/>
          <w:iCs w:val="1"/>
          <w:color w:val="auto"/>
        </w:rPr>
        <w:t>Our Compensation and Talent Committee is made up solely of independent directors and makes all executive compensation decisions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What we are not doing </w:t>
      </w:r>
      <w:r>
        <w:rPr>
          <w:rFonts w:ascii="Arial" w:cs="Arial" w:eastAsia="Arial" w:hAnsi="Arial"/>
          <w:sz w:val="26"/>
          <w:szCs w:val="26"/>
          <w:b w:val="1"/>
          <w:bCs w:val="1"/>
          <w:i w:val="1"/>
          <w:iCs w:val="1"/>
          <w:color w:val="FF0000"/>
        </w:rPr>
        <w:t>X</w:t>
      </w:r>
    </w:p>
    <w:p>
      <w:pPr>
        <w:spacing w:after="0" w:line="36" w:lineRule="exact"/>
        <w:rPr>
          <w:sz w:val="20"/>
          <w:szCs w:val="20"/>
          <w:color w:val="auto"/>
        </w:rPr>
      </w:pPr>
    </w:p>
    <w:p>
      <w:pPr>
        <w:ind w:left="1240" w:hanging="368"/>
        <w:spacing w:after="0"/>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tax “gross-ups” to any of our named executive officers</w:t>
      </w:r>
    </w:p>
    <w:p>
      <w:pPr>
        <w:spacing w:after="0" w:line="21" w:lineRule="exact"/>
        <w:rPr>
          <w:rFonts w:ascii="Arial" w:cs="Arial" w:eastAsia="Arial" w:hAnsi="Arial"/>
          <w:sz w:val="18"/>
          <w:szCs w:val="18"/>
          <w:b w:val="1"/>
          <w:bCs w:val="1"/>
          <w:color w:val="auto"/>
        </w:rPr>
      </w:pPr>
    </w:p>
    <w:p>
      <w:pPr>
        <w:ind w:left="1240" w:hanging="368"/>
        <w:spacing w:after="0"/>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pay dividends on unvested equity awards</w:t>
      </w:r>
    </w:p>
    <w:p>
      <w:pPr>
        <w:spacing w:after="0" w:line="36" w:lineRule="exact"/>
        <w:rPr>
          <w:rFonts w:ascii="Arial" w:cs="Arial" w:eastAsia="Arial" w:hAnsi="Arial"/>
          <w:sz w:val="18"/>
          <w:szCs w:val="18"/>
          <w:b w:val="1"/>
          <w:bCs w:val="1"/>
          <w:color w:val="auto"/>
        </w:rPr>
      </w:pPr>
    </w:p>
    <w:p>
      <w:pPr>
        <w:ind w:left="1240" w:right="519" w:hanging="368"/>
        <w:spacing w:after="0" w:line="256" w:lineRule="auto"/>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special executive retirement plans to our named executive officers or other executives</w:t>
      </w:r>
    </w:p>
    <w:p>
      <w:pPr>
        <w:spacing w:after="0" w:line="2" w:lineRule="exact"/>
        <w:rPr>
          <w:rFonts w:ascii="Arial" w:cs="Arial" w:eastAsia="Arial" w:hAnsi="Arial"/>
          <w:sz w:val="18"/>
          <w:szCs w:val="18"/>
          <w:b w:val="1"/>
          <w:bCs w:val="1"/>
          <w:color w:val="auto"/>
        </w:rPr>
      </w:pPr>
    </w:p>
    <w:p>
      <w:pPr>
        <w:ind w:left="1240" w:hanging="368"/>
        <w:spacing w:after="0"/>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guarantee salary increases for our named executive officers</w:t>
      </w:r>
    </w:p>
    <w:p>
      <w:pPr>
        <w:spacing w:after="0" w:line="37" w:lineRule="exact"/>
        <w:rPr>
          <w:rFonts w:ascii="Arial" w:cs="Arial" w:eastAsia="Arial" w:hAnsi="Arial"/>
          <w:sz w:val="18"/>
          <w:szCs w:val="18"/>
          <w:b w:val="1"/>
          <w:bCs w:val="1"/>
          <w:color w:val="auto"/>
        </w:rPr>
      </w:pPr>
    </w:p>
    <w:p>
      <w:pPr>
        <w:ind w:left="1240" w:hanging="368"/>
        <w:spacing w:after="0"/>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permit repricings or exchange programs without stockholder consent</w:t>
      </w:r>
    </w:p>
    <w:p>
      <w:pPr>
        <w:spacing w:after="0" w:line="36" w:lineRule="exact"/>
        <w:rPr>
          <w:rFonts w:ascii="Arial" w:cs="Arial" w:eastAsia="Arial" w:hAnsi="Arial"/>
          <w:sz w:val="18"/>
          <w:szCs w:val="18"/>
          <w:b w:val="1"/>
          <w:bCs w:val="1"/>
          <w:color w:val="auto"/>
        </w:rPr>
      </w:pPr>
    </w:p>
    <w:p>
      <w:pPr>
        <w:ind w:left="1240" w:right="519" w:hanging="368"/>
        <w:spacing w:after="0" w:line="256" w:lineRule="auto"/>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have a policy to not make severance payments to named executive officers who voluntarily terminate their employment</w:t>
      </w:r>
    </w:p>
    <w:p>
      <w:pPr>
        <w:spacing w:after="0" w:line="2" w:lineRule="exact"/>
        <w:rPr>
          <w:rFonts w:ascii="Arial" w:cs="Arial" w:eastAsia="Arial" w:hAnsi="Arial"/>
          <w:sz w:val="18"/>
          <w:szCs w:val="18"/>
          <w:b w:val="1"/>
          <w:bCs w:val="1"/>
          <w:color w:val="auto"/>
        </w:rPr>
      </w:pPr>
    </w:p>
    <w:p>
      <w:pPr>
        <w:jc w:val="both"/>
        <w:ind w:left="1240" w:right="519" w:hanging="368"/>
        <w:spacing w:after="0" w:line="252" w:lineRule="auto"/>
        <w:tabs>
          <w:tab w:leader="none" w:pos="1240" w:val="left"/>
        </w:tabs>
        <w:numPr>
          <w:ilvl w:val="0"/>
          <w:numId w:val="31"/>
        </w:numPr>
        <w:rPr>
          <w:rFonts w:ascii="Arial" w:cs="Arial" w:eastAsia="Arial" w:hAnsi="Arial"/>
          <w:sz w:val="18"/>
          <w:szCs w:val="18"/>
          <w:b w:val="1"/>
          <w:bCs w:val="1"/>
          <w:color w:val="auto"/>
        </w:rPr>
      </w:pPr>
      <w:r>
        <w:rPr>
          <w:rFonts w:ascii="Arial" w:cs="Arial" w:eastAsia="Arial" w:hAnsi="Arial"/>
          <w:sz w:val="18"/>
          <w:szCs w:val="18"/>
          <w:i w:val="1"/>
          <w:iCs w:val="1"/>
          <w:color w:val="auto"/>
        </w:rPr>
        <w:t>We prohibit hedging and pledging of our common stock by all directors, officers, employees and agents (such as consultants and independent contractors) of the Company as well as related parties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185" w:lineRule="exact"/>
        <w:rPr>
          <w:sz w:val="20"/>
          <w:szCs w:val="20"/>
          <w:color w:val="auto"/>
        </w:rPr>
      </w:pPr>
    </w:p>
    <w:p>
      <w:pPr>
        <w:ind w:left="500"/>
        <w:spacing w:after="0"/>
        <w:tabs>
          <w:tab w:leader="none" w:pos="4960" w:val="left"/>
        </w:tabs>
        <w:rPr>
          <w:sz w:val="20"/>
          <w:szCs w:val="20"/>
          <w:color w:val="auto"/>
        </w:rPr>
      </w:pPr>
      <w:r>
        <w:rPr>
          <w:rFonts w:ascii="Arial" w:cs="Arial" w:eastAsia="Arial" w:hAnsi="Arial"/>
          <w:sz w:val="18"/>
          <w:szCs w:val="18"/>
          <w:color w:val="2B5107"/>
        </w:rPr>
        <w:t>Engagement Prior to Annual Meeting</w:t>
      </w:r>
      <w:r>
        <w:rPr>
          <w:sz w:val="20"/>
          <w:szCs w:val="20"/>
          <w:color w:val="auto"/>
        </w:rPr>
        <w:tab/>
      </w:r>
      <w:r>
        <w:rPr>
          <w:rFonts w:ascii="Arial" w:cs="Arial" w:eastAsia="Arial" w:hAnsi="Arial"/>
          <w:sz w:val="17"/>
          <w:szCs w:val="17"/>
          <w:color w:val="2B5107"/>
        </w:rPr>
        <w:t>Annual Meeting</w:t>
      </w:r>
    </w:p>
    <w:p>
      <w:pPr>
        <w:spacing w:after="0" w:line="32" w:lineRule="exact"/>
        <w:rPr>
          <w:sz w:val="20"/>
          <w:szCs w:val="20"/>
          <w:color w:val="auto"/>
        </w:rPr>
      </w:pPr>
    </w:p>
    <w:p>
      <w:pPr>
        <w:ind w:left="760"/>
        <w:spacing w:after="0" w:line="207" w:lineRule="exact"/>
        <w:tabs>
          <w:tab w:leader="none" w:pos="5240" w:val="left"/>
        </w:tabs>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Publish annual report and proxy</w:t>
      </w:r>
      <w:r>
        <w:rPr>
          <w:sz w:val="20"/>
          <w:szCs w:val="20"/>
          <w:color w:val="auto"/>
        </w:rPr>
        <w:tab/>
      </w:r>
      <w:r>
        <w:rPr>
          <w:rFonts w:ascii="MS PGothic" w:cs="MS PGothic" w:eastAsia="MS PGothic" w:hAnsi="MS PGothic"/>
          <w:sz w:val="17"/>
          <w:szCs w:val="17"/>
          <w:color w:val="2B5107"/>
        </w:rPr>
        <w:t>➢</w:t>
      </w:r>
      <w:r>
        <w:rPr>
          <w:rFonts w:ascii="Arial" w:cs="Arial" w:eastAsia="Arial" w:hAnsi="Arial"/>
          <w:sz w:val="17"/>
          <w:szCs w:val="17"/>
          <w:color w:val="000000"/>
        </w:rPr>
        <w:t xml:space="preserve">   Provide environment for direct</w:t>
      </w:r>
    </w:p>
    <w:p>
      <w:pPr>
        <w:ind w:left="1080"/>
        <w:spacing w:after="0"/>
        <w:tabs>
          <w:tab w:leader="none" w:pos="5560" w:val="left"/>
        </w:tabs>
        <w:rPr>
          <w:sz w:val="20"/>
          <w:szCs w:val="20"/>
          <w:color w:val="auto"/>
        </w:rPr>
      </w:pPr>
      <w:r>
        <w:rPr>
          <w:rFonts w:ascii="Arial" w:cs="Arial" w:eastAsia="Arial" w:hAnsi="Arial"/>
          <w:sz w:val="18"/>
          <w:szCs w:val="18"/>
          <w:color w:val="auto"/>
        </w:rPr>
        <w:t>statement, highlighting recent</w:t>
      </w:r>
      <w:r>
        <w:rPr>
          <w:sz w:val="20"/>
          <w:szCs w:val="20"/>
          <w:color w:val="auto"/>
        </w:rPr>
        <w:tab/>
      </w:r>
      <w:r>
        <w:rPr>
          <w:rFonts w:ascii="Arial" w:cs="Arial" w:eastAsia="Arial" w:hAnsi="Arial"/>
          <w:sz w:val="18"/>
          <w:szCs w:val="18"/>
          <w:color w:val="auto"/>
        </w:rPr>
        <w:t>engagement among Board</w:t>
      </w:r>
    </w:p>
    <w:p>
      <w:pPr>
        <w:ind w:left="1080"/>
        <w:spacing w:after="0" w:line="233" w:lineRule="auto"/>
        <w:tabs>
          <w:tab w:leader="none" w:pos="5560" w:val="left"/>
        </w:tabs>
        <w:rPr>
          <w:sz w:val="20"/>
          <w:szCs w:val="20"/>
          <w:color w:val="auto"/>
        </w:rPr>
      </w:pPr>
      <w:r>
        <w:rPr>
          <w:rFonts w:ascii="Arial" w:cs="Arial" w:eastAsia="Arial" w:hAnsi="Arial"/>
          <w:sz w:val="18"/>
          <w:szCs w:val="18"/>
          <w:color w:val="auto"/>
        </w:rPr>
        <w:t>Board and Company activities</w:t>
      </w:r>
      <w:r>
        <w:rPr>
          <w:sz w:val="20"/>
          <w:szCs w:val="20"/>
          <w:color w:val="auto"/>
        </w:rPr>
        <w:tab/>
      </w:r>
      <w:r>
        <w:rPr>
          <w:rFonts w:ascii="Arial" w:cs="Arial" w:eastAsia="Arial" w:hAnsi="Arial"/>
          <w:sz w:val="17"/>
          <w:szCs w:val="17"/>
          <w:color w:val="auto"/>
        </w:rPr>
        <w:t>members, senior management, and</w:t>
      </w:r>
    </w:p>
    <w:p>
      <w:pPr>
        <w:ind w:left="760"/>
        <w:spacing w:after="0" w:line="207"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Seek feedback on matters for     </w:t>
      </w:r>
      <w:r>
        <w:rPr>
          <w:sz w:val="1"/>
          <w:szCs w:val="1"/>
          <w:color w:val="auto"/>
        </w:rPr>
        <w:drawing>
          <wp:inline distT="0" distB="0" distL="0" distR="0">
            <wp:extent cx="557530" cy="1047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530" cy="104775"/>
                    </a:xfrm>
                    <a:prstGeom prst="rect">
                      <a:avLst/>
                    </a:prstGeom>
                    <a:noFill/>
                    <a:ln>
                      <a:noFill/>
                    </a:ln>
                  </pic:spPr>
                </pic:pic>
              </a:graphicData>
            </a:graphic>
          </wp:inline>
        </w:drawing>
      </w:r>
      <w:r>
        <w:rPr>
          <w:rFonts w:ascii="Arial" w:cs="Arial" w:eastAsia="Arial" w:hAnsi="Arial"/>
          <w:sz w:val="18"/>
          <w:szCs w:val="18"/>
          <w:color w:val="auto"/>
        </w:rPr>
        <w:t xml:space="preserve">         stockholders</w:t>
      </w:r>
    </w:p>
    <w:p>
      <w:pPr>
        <w:spacing w:after="0" w:line="4" w:lineRule="exact"/>
        <w:rPr>
          <w:sz w:val="20"/>
          <w:szCs w:val="20"/>
          <w:color w:val="auto"/>
        </w:rPr>
      </w:pPr>
    </w:p>
    <w:p>
      <w:pPr>
        <w:ind w:left="1080"/>
        <w:spacing w:after="0" w:line="207" w:lineRule="exact"/>
        <w:tabs>
          <w:tab w:leader="none" w:pos="3860" w:val="left"/>
          <w:tab w:leader="none" w:pos="5240" w:val="left"/>
        </w:tabs>
        <w:rPr>
          <w:sz w:val="20"/>
          <w:szCs w:val="20"/>
          <w:color w:val="auto"/>
        </w:rPr>
      </w:pPr>
      <w:r>
        <w:rPr>
          <w:rFonts w:ascii="Arial" w:cs="Arial" w:eastAsia="Arial" w:hAnsi="Arial"/>
          <w:sz w:val="18"/>
          <w:szCs w:val="18"/>
          <w:color w:val="auto"/>
        </w:rPr>
        <w:t>stockholder consideration</w:t>
      </w:r>
      <w:r>
        <w:rPr>
          <w:sz w:val="20"/>
          <w:szCs w:val="20"/>
          <w:color w:val="auto"/>
        </w:rPr>
        <w:tab/>
      </w:r>
      <w:r>
        <w:rPr>
          <w:rFonts w:ascii="Arial" w:cs="Arial" w:eastAsia="Arial" w:hAnsi="Arial"/>
          <w:sz w:val="18"/>
          <w:szCs w:val="18"/>
          <w:color w:val="auto"/>
        </w:rPr>
        <w:t> </w:t>
      </w:r>
      <w:r>
        <w:rPr>
          <w:sz w:val="20"/>
          <w:szCs w:val="20"/>
          <w:color w:val="auto"/>
        </w:rPr>
        <w:tab/>
      </w:r>
      <w:r>
        <w:rPr>
          <w:rFonts w:ascii="MS PGothic" w:cs="MS PGothic" w:eastAsia="MS PGothic" w:hAnsi="MS PGothic"/>
          <w:sz w:val="17"/>
          <w:szCs w:val="17"/>
          <w:color w:val="2B5107"/>
        </w:rPr>
        <w:t>➢</w:t>
      </w:r>
      <w:r>
        <w:rPr>
          <w:rFonts w:ascii="Arial" w:cs="Arial" w:eastAsia="Arial" w:hAnsi="Arial"/>
          <w:sz w:val="17"/>
          <w:szCs w:val="17"/>
          <w:color w:val="000000"/>
        </w:rPr>
        <w:t xml:space="preserve">   Opportunity for stockholders to ask</w:t>
      </w:r>
    </w:p>
    <w:p>
      <w:pPr>
        <w:ind w:left="5580"/>
        <w:spacing w:after="0" w:line="230" w:lineRule="auto"/>
        <w:rPr>
          <w:sz w:val="20"/>
          <w:szCs w:val="20"/>
          <w:color w:val="auto"/>
        </w:rPr>
      </w:pPr>
      <w:r>
        <w:rPr>
          <w:rFonts w:ascii="Arial" w:cs="Arial" w:eastAsia="Arial" w:hAnsi="Arial"/>
          <w:sz w:val="18"/>
          <w:szCs w:val="18"/>
          <w:color w:val="auto"/>
        </w:rPr>
        <w:t>questions about the Company</w:t>
      </w:r>
    </w:p>
    <w:p>
      <w:pPr>
        <w:ind w:left="5260"/>
        <w:spacing w:after="0" w:line="207"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Determine voting results for</w:t>
      </w:r>
    </w:p>
    <w:p>
      <w:pPr>
        <w:jc w:val="right"/>
        <w:ind w:right="519"/>
        <w:spacing w:after="0"/>
        <w:rPr>
          <w:sz w:val="20"/>
          <w:szCs w:val="20"/>
          <w:color w:val="auto"/>
        </w:rPr>
      </w:pPr>
      <w:r>
        <w:rPr>
          <w:rFonts w:ascii="Arial" w:cs="Arial" w:eastAsia="Arial" w:hAnsi="Arial"/>
          <w:sz w:val="18"/>
          <w:szCs w:val="18"/>
          <w:color w:val="auto"/>
        </w:rPr>
        <w:t>Company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146050" cy="334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33401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14605</wp:posOffset>
            </wp:positionV>
            <wp:extent cx="146050" cy="334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33401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760"/>
        <w:spacing w:after="0"/>
        <w:tabs>
          <w:tab w:leader="none" w:pos="52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xml:space="preserve">  </w:t>
      </w:r>
    </w:p>
    <w:p>
      <w:pPr>
        <w:spacing w:after="0" w:line="32" w:lineRule="exact"/>
        <w:rPr>
          <w:sz w:val="20"/>
          <w:szCs w:val="20"/>
          <w:color w:val="auto"/>
        </w:rPr>
      </w:pPr>
    </w:p>
    <w:p>
      <w:pPr>
        <w:ind w:left="500"/>
        <w:spacing w:after="0"/>
        <w:tabs>
          <w:tab w:leader="none" w:pos="4960" w:val="left"/>
        </w:tabs>
        <w:rPr>
          <w:sz w:val="20"/>
          <w:szCs w:val="20"/>
          <w:color w:val="auto"/>
        </w:rPr>
      </w:pPr>
      <w:r>
        <w:rPr>
          <w:rFonts w:ascii="Arial" w:cs="Arial" w:eastAsia="Arial" w:hAnsi="Arial"/>
          <w:sz w:val="18"/>
          <w:szCs w:val="18"/>
          <w:color w:val="2B5107"/>
        </w:rPr>
        <w:t>Off-Season Engagement and</w:t>
      </w:r>
      <w:r>
        <w:rPr>
          <w:sz w:val="20"/>
          <w:szCs w:val="20"/>
          <w:color w:val="auto"/>
        </w:rPr>
        <w:tab/>
      </w:r>
      <w:r>
        <w:rPr>
          <w:rFonts w:ascii="Arial" w:cs="Arial" w:eastAsia="Arial" w:hAnsi="Arial"/>
          <w:sz w:val="17"/>
          <w:szCs w:val="17"/>
          <w:color w:val="2B5107"/>
        </w:rPr>
        <w:t>Post Annual Meeting</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8"/>
          <w:szCs w:val="18"/>
          <w:color w:val="2B5107"/>
        </w:rPr>
        <w:t>Evaluation of Best Practices</w:t>
      </w:r>
    </w:p>
    <w:p>
      <w:pPr>
        <w:sectPr>
          <w:pgSz w:w="11900" w:h="16838" w:orient="portrait"/>
          <w:cols w:equalWidth="0" w:num="1">
            <w:col w:w="9019"/>
          </w:cols>
          <w:pgMar w:left="1440" w:top="190" w:right="1440" w:bottom="1440" w:gutter="0" w:footer="0" w:header="0"/>
        </w:sectPr>
      </w:pPr>
    </w:p>
    <w:p>
      <w:pPr>
        <w:spacing w:after="0" w:line="14" w:lineRule="exact"/>
        <w:rPr>
          <w:sz w:val="20"/>
          <w:szCs w:val="20"/>
          <w:color w:val="auto"/>
        </w:rPr>
      </w:pPr>
    </w:p>
    <w:p>
      <w:pPr>
        <w:ind w:left="1080" w:right="1240" w:hanging="328"/>
        <w:spacing w:after="0" w:line="203"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Engage with stockholders and other stakeholders to better understand their viewpoints and inform discussions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-2540</wp:posOffset>
            </wp:positionV>
            <wp:extent cx="557530" cy="136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530" cy="136525"/>
                    </a:xfrm>
                    <a:prstGeom prst="rect">
                      <a:avLst/>
                    </a:prstGeom>
                    <a:noFill/>
                  </pic:spPr>
                </pic:pic>
              </a:graphicData>
            </a:graphic>
          </wp:anchor>
        </w:drawing>
      </w:r>
    </w:p>
    <w:p>
      <w:pPr>
        <w:ind w:left="760"/>
        <w:spacing w:after="0" w:line="190"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Evaluate potential changes to</w:t>
      </w:r>
    </w:p>
    <w:p>
      <w:pPr>
        <w:ind w:left="1080" w:right="920"/>
        <w:spacing w:after="0" w:line="234" w:lineRule="auto"/>
        <w:rPr>
          <w:sz w:val="20"/>
          <w:szCs w:val="20"/>
          <w:color w:val="auto"/>
        </w:rPr>
      </w:pPr>
      <w:r>
        <w:rPr>
          <w:rFonts w:ascii="Arial" w:cs="Arial" w:eastAsia="Arial" w:hAnsi="Arial"/>
          <w:sz w:val="18"/>
          <w:szCs w:val="18"/>
          <w:color w:val="auto"/>
        </w:rPr>
        <w:t>environmental, social,   governance and executive compensation practices in light of stockholder feedback and</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review of practices</w:t>
      </w:r>
    </w:p>
    <w:p>
      <w:pPr>
        <w:spacing w:after="0" w:line="20" w:lineRule="exact"/>
        <w:rPr>
          <w:sz w:val="20"/>
          <w:szCs w:val="20"/>
          <w:color w:val="auto"/>
        </w:rPr>
      </w:pPr>
      <w:r>
        <w:rPr>
          <w:sz w:val="20"/>
          <w:szCs w:val="20"/>
          <w:color w:val="auto"/>
        </w:rPr>
        <w:br w:type="column"/>
      </w:r>
    </w:p>
    <w:p>
      <w:pPr>
        <w:ind w:right="499" w:hanging="328"/>
        <w:spacing w:after="0" w:line="198"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Discuss vote outcomes in light of existing practices, as well as feedback received from stockholders during the proxy season</w:t>
      </w:r>
    </w:p>
    <w:p>
      <w:pPr>
        <w:ind w:right="559" w:hanging="328"/>
        <w:spacing w:after="0" w:line="202" w:lineRule="exact"/>
        <w:rPr>
          <w:sz w:val="20"/>
          <w:szCs w:val="20"/>
          <w:color w:val="auto"/>
        </w:rPr>
      </w:pPr>
      <w:r>
        <w:rPr>
          <w:rFonts w:ascii="MS PGothic" w:cs="MS PGothic" w:eastAsia="MS PGothic" w:hAnsi="MS PGothic"/>
          <w:sz w:val="17"/>
          <w:szCs w:val="17"/>
          <w:color w:val="2B5107"/>
        </w:rPr>
        <w:t>➢</w:t>
      </w:r>
      <w:r>
        <w:rPr>
          <w:rFonts w:ascii="Arial" w:cs="Arial" w:eastAsia="Arial" w:hAnsi="Arial"/>
          <w:sz w:val="17"/>
          <w:szCs w:val="17"/>
          <w:color w:val="auto"/>
        </w:rPr>
        <w:t xml:space="preserve">  Review corporate governance trends, recent regulatory developments and the Company’s own corporate governance documents, policies and procedures</w:t>
      </w:r>
    </w:p>
    <w:p>
      <w:pPr>
        <w:spacing w:after="0" w:line="3" w:lineRule="exact"/>
        <w:rPr>
          <w:sz w:val="20"/>
          <w:szCs w:val="20"/>
          <w:color w:val="auto"/>
        </w:rPr>
      </w:pPr>
    </w:p>
    <w:p>
      <w:pPr>
        <w:ind w:right="939" w:hanging="328"/>
        <w:spacing w:after="0" w:line="210" w:lineRule="exact"/>
        <w:rPr>
          <w:sz w:val="20"/>
          <w:szCs w:val="20"/>
          <w:color w:val="auto"/>
        </w:rPr>
      </w:pPr>
      <w:r>
        <w:rPr>
          <w:rFonts w:ascii="MS PGothic" w:cs="MS PGothic" w:eastAsia="MS PGothic" w:hAnsi="MS PGothic"/>
          <w:sz w:val="18"/>
          <w:szCs w:val="18"/>
          <w:color w:val="2B5107"/>
        </w:rPr>
        <w:t>➢</w:t>
      </w:r>
      <w:r>
        <w:rPr>
          <w:rFonts w:ascii="Arial" w:cs="Arial" w:eastAsia="Arial" w:hAnsi="Arial"/>
          <w:sz w:val="18"/>
          <w:szCs w:val="18"/>
          <w:color w:val="auto"/>
        </w:rPr>
        <w:t xml:space="preserve">  Determine topics for discussion during off-season stockholder engagement</w:t>
      </w:r>
    </w:p>
    <w:p>
      <w:pPr>
        <w:spacing w:after="0" w:line="200" w:lineRule="exact"/>
        <w:rPr>
          <w:sz w:val="20"/>
          <w:szCs w:val="20"/>
          <w:color w:val="auto"/>
        </w:rPr>
      </w:pPr>
    </w:p>
    <w:p>
      <w:pPr>
        <w:sectPr>
          <w:pgSz w:w="11900" w:h="16838" w:orient="portrait"/>
          <w:cols w:equalWidth="0" w:num="2">
            <w:col w:w="4860" w:space="720"/>
            <w:col w:w="3439"/>
          </w:cols>
          <w:pgMar w:left="1440" w:top="190" w:right="1440" w:bottom="1440" w:gutter="0" w:footer="0" w:header="0"/>
          <w:type w:val="continuous"/>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170815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90" w:right="1440" w:bottom="1440" w:gutter="0" w:footer="0" w:header="0"/>
          <w:type w:val="continuous"/>
        </w:sectPr>
      </w:pPr>
    </w:p>
    <w:bookmarkStart w:id="48" w:name="page49"/>
    <w:bookmarkEnd w:id="48"/>
    <w:p>
      <w:pPr>
        <w:ind w:left="500"/>
        <w:spacing w:after="0"/>
        <w:rPr>
          <w:sz w:val="20"/>
          <w:szCs w:val="20"/>
          <w:color w:val="auto"/>
        </w:rPr>
      </w:pPr>
      <w:r>
        <w:rPr>
          <w:rFonts w:ascii="Arial" w:cs="Arial" w:eastAsia="Arial" w:hAnsi="Arial"/>
          <w:sz w:val="18"/>
          <w:szCs w:val="18"/>
          <w:b w:val="1"/>
          <w:bCs w:val="1"/>
          <w:color w:val="auto"/>
        </w:rPr>
        <w:t>Stockholder Engagement and Advisory Vote on Named Executive Officer Compensation</w:t>
      </w:r>
    </w:p>
    <w:p>
      <w:pPr>
        <w:spacing w:after="0" w:line="103"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Compensation and Talent Committee considers the results of the annual stockholder advisory vote on the compensation of our named executive officers (“Say on Pay”) and stockholder feedback on our executive compensation program as part of its annual executive compensation review. In 2025, our “Say on Pay” proposal received nearly 93% support (excluding abstentions and broker non-votes) and we continued to reach out to our stockholders to discuss our compensation programs. Based on this strong stockholder support and the positive feedback we received during our stockholder outreach, our Compensation and Talent Committee determined to maintain the parameters of our existing executive compensation program and policies. We will continue to incorporate stockholder feedback into our compensation structure in future years as applicable.</w:t>
      </w:r>
    </w:p>
    <w:p>
      <w:pPr>
        <w:spacing w:after="0" w:line="183"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In addition to our ongoing dialogue with our stockholders on our strategy and value proposition, we reached out to 46 of our top stockholders in early 2026 to discuss our executive compensation program and other ESG initiatives. These top 46 stockholders held approximately 79% of our outstanding stock as of December 31, 2025. Seven stockholders, representing approximately 23% of our outstanding stock as of December 31, 2025, accepted our invitation for engagement.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Our outreach included </w:t>
      </w:r>
      <w:r>
        <w:rPr>
          <w:rFonts w:ascii="Arial" w:cs="Arial" w:eastAsia="Arial" w:hAnsi="Arial"/>
          <w:sz w:val="18"/>
          <w:szCs w:val="18"/>
          <w:b w:val="1"/>
          <w:bCs w:val="1"/>
          <w:color w:val="1D3965"/>
        </w:rPr>
        <w:t>46 of our top stockholders</w:t>
      </w:r>
      <w:r>
        <w:rPr>
          <w:rFonts w:ascii="Arial" w:cs="Arial" w:eastAsia="Arial" w:hAnsi="Arial"/>
          <w:sz w:val="18"/>
          <w:szCs w:val="18"/>
          <w:b w:val="1"/>
          <w:bCs w:val="1"/>
          <w:color w:val="auto"/>
        </w:rPr>
        <w:t xml:space="preserve"> who held </w:t>
      </w:r>
      <w:r>
        <w:rPr>
          <w:rFonts w:ascii="Arial" w:cs="Arial" w:eastAsia="Arial" w:hAnsi="Arial"/>
          <w:sz w:val="18"/>
          <w:szCs w:val="18"/>
          <w:b w:val="1"/>
          <w:bCs w:val="1"/>
          <w:color w:val="1D3965"/>
        </w:rPr>
        <w:t>79%</w:t>
      </w:r>
      <w:r>
        <w:rPr>
          <w:rFonts w:ascii="Arial" w:cs="Arial" w:eastAsia="Arial" w:hAnsi="Arial"/>
          <w:sz w:val="18"/>
          <w:szCs w:val="18"/>
          <w:b w:val="1"/>
          <w:bCs w:val="1"/>
          <w:color w:val="auto"/>
        </w:rPr>
        <w:t xml:space="preserve"> of our outstanding stock as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jc w:val="center"/>
        <w:ind w:right="19"/>
        <w:spacing w:after="0"/>
        <w:rPr>
          <w:sz w:val="20"/>
          <w:szCs w:val="20"/>
          <w:color w:val="auto"/>
        </w:rPr>
      </w:pPr>
      <w:r>
        <w:rPr>
          <w:rFonts w:ascii="Arial" w:cs="Arial" w:eastAsia="Arial" w:hAnsi="Arial"/>
          <w:sz w:val="18"/>
          <w:szCs w:val="18"/>
          <w:b w:val="1"/>
          <w:bCs w:val="1"/>
          <w:color w:val="auto"/>
        </w:rPr>
        <w:t>December 31, 2025</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b w:val="1"/>
          <w:bCs w:val="1"/>
          <w:u w:val="single" w:color="auto"/>
          <w:color w:val="auto"/>
        </w:rPr>
        <w:t>% Qualys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248920</wp:posOffset>
            </wp:positionV>
            <wp:extent cx="4808855" cy="1817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885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Compensation-Setting Process</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Role of the Compensation and Talent Committee</w:t>
      </w:r>
    </w:p>
    <w:p>
      <w:pPr>
        <w:spacing w:after="0" w:line="10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Compensation and Talent Committee oversees our overall compensation philosophy, compensation plans, and benefits programs. Our Compensation and Talent Committee is responsible for reviewing, approving, and administering our annual and long-term incentive compensation plans and our employee benefit plans and for administering our equity incentive plans.</w:t>
      </w:r>
    </w:p>
    <w:p>
      <w:pPr>
        <w:spacing w:after="0" w:line="176"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To this end, our Compensation and Talent Committee establishes the performance objectives and certifies the performance achievement under our annual and long-term incentive compensation plans and approves the grant of equity awards under our equity incentive plans. Our Compensation and Talent Committee also reviews on a periodic basis the operations of our executive compensation program to determine whether they are properly coordinated and achieving their intended purposes. If our Compensation and Talent Committee determines that any aspect of our executive compensation program yields payments and benefits that are not reasonably related to executive and corporate performance, the committee may take steps to modify the program.</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9" w:name="page50"/>
    <w:bookmarkEnd w:id="49"/>
    <w:p>
      <w:pPr>
        <w:ind w:left="720"/>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01"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Compensation and Talent Committee has authority to engage independent outside consultants and obtain input from our management team, other employees, and external advisers. In 2025, our Compensation and Talent Committee engaged Compensia, Inc., a national compensation consulting firm to assist us with respect to the compensation of our executive team, including our named executive officers.</w:t>
      </w:r>
    </w:p>
    <w:p>
      <w:pPr>
        <w:spacing w:after="0" w:line="176" w:lineRule="exact"/>
        <w:rPr>
          <w:sz w:val="20"/>
          <w:szCs w:val="20"/>
          <w:color w:val="auto"/>
        </w:rPr>
      </w:pPr>
    </w:p>
    <w:p>
      <w:pPr>
        <w:jc w:val="both"/>
        <w:ind w:left="500" w:right="519" w:firstLine="360"/>
        <w:spacing w:after="0" w:line="237" w:lineRule="auto"/>
        <w:rPr>
          <w:sz w:val="20"/>
          <w:szCs w:val="20"/>
          <w:color w:val="auto"/>
        </w:rPr>
      </w:pPr>
      <w:r>
        <w:rPr>
          <w:rFonts w:ascii="Arial" w:cs="Arial" w:eastAsia="Arial" w:hAnsi="Arial"/>
          <w:sz w:val="18"/>
          <w:szCs w:val="18"/>
          <w:color w:val="auto"/>
        </w:rPr>
        <w:t>Compensia provided a report on regulatory developments, proxy advisory policy changes, and trends in short-term and long-term incentive compensation program design. Compensia further provided data on the compensation provided to executives in our compensation peer group (as described below) and the competitive market in general. This data was considered by our Compensation and Talent Committee in setting executive compensation in 2025. This process involved Compensia analyzing, reviewing and providing guidance to our Compensation and Talent Committee regarding (i) the compensation peer group and (ii) various elements of our executive compensation program based on a comparison of the base salary, target total cash compensation (i.e., base salary plus target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Compensia also provided data on market practices relating to stock ownership guidelines for executives and non-employee directors and data on our compensation peer group’s non-employee director compensation, short-term and long-term incentive compensation program design, and equity utilization, as well as reports on executive compensation trends.</w:t>
      </w:r>
    </w:p>
    <w:p>
      <w:pPr>
        <w:spacing w:after="0" w:line="186"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In 2025, Compensia did not provide any services to us or receive any payments from us, except in its capacity as a consultant to our Compensation and Talent Committee. Based on the consideration of the various factors as set forth in the rules of the SEC and the Nasdaq Stock Market, our Compensation and Talent Committee believes that its relationship with Compensia and its work on behalf of the committee has not raised any conflicts of interest.</w:t>
      </w:r>
    </w:p>
    <w:p>
      <w:pPr>
        <w:spacing w:after="0" w:line="2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During 2025, Mr. Thakar, Ms. Kim, Mr. Posey, and Ms. Rima Touma Bruno, our Chief Human Resources Officer, typically attended our Compensation and Talent Committee’s meetings. Our Compensation and Talent Committee may invite to its meetings any other person that it deems appropriate. No named executive officer attends the portions of a meeting during which decisions regarding his or her compensation are made, and the Compensation and Talent Committee regularly meets in executive sessions without any members of management present.</w:t>
      </w:r>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Peer Companies</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On an annual basis, our Compensation and Talent Committee approves a list of peer companies for the committee to use in conducting a competitive market analysis of executive officer compensation. To represent the market in which we compete for talent, we consider four primary company selection characteristics in determining the peer group each year:</w:t>
      </w:r>
    </w:p>
    <w:p>
      <w:pPr>
        <w:spacing w:after="0" w:line="174" w:lineRule="exact"/>
        <w:rPr>
          <w:sz w:val="20"/>
          <w:szCs w:val="20"/>
          <w:color w:val="auto"/>
        </w:rPr>
      </w:pPr>
    </w:p>
    <w:p>
      <w:pPr>
        <w:ind w:left="1300" w:right="519" w:hanging="360"/>
        <w:spacing w:after="0" w:line="27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revenues and market capitalization.</w:t>
      </w:r>
    </w:p>
    <w:p>
      <w:pPr>
        <w:spacing w:after="0" w:line="45" w:lineRule="exact"/>
        <w:rPr>
          <w:rFonts w:ascii="Arial" w:cs="Arial" w:eastAsia="Arial" w:hAnsi="Arial"/>
          <w:sz w:val="18"/>
          <w:szCs w:val="18"/>
          <w:color w:val="auto"/>
        </w:rPr>
      </w:pPr>
    </w:p>
    <w:p>
      <w:pPr>
        <w:ind w:left="1300" w:hanging="36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Application Software or Systems Software GICS sub-industry.</w:t>
      </w:r>
    </w:p>
    <w:p>
      <w:pPr>
        <w:spacing w:after="0" w:line="103" w:lineRule="exact"/>
        <w:rPr>
          <w:rFonts w:ascii="Arial" w:cs="Arial" w:eastAsia="Arial" w:hAnsi="Arial"/>
          <w:sz w:val="18"/>
          <w:szCs w:val="18"/>
          <w:color w:val="auto"/>
        </w:rPr>
      </w:pPr>
    </w:p>
    <w:p>
      <w:pPr>
        <w:ind w:left="1300" w:right="539" w:hanging="360"/>
        <w:spacing w:after="0" w:line="27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45" w:lineRule="exact"/>
        <w:rPr>
          <w:rFonts w:ascii="Arial" w:cs="Arial" w:eastAsia="Arial" w:hAnsi="Arial"/>
          <w:sz w:val="18"/>
          <w:szCs w:val="18"/>
          <w:color w:val="auto"/>
        </w:rPr>
      </w:pPr>
    </w:p>
    <w:p>
      <w:pPr>
        <w:ind w:left="1300" w:hanging="36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Companies headquartered in Northern California.</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50" w:name="page51"/>
    <w:bookmarkEnd w:id="50"/>
    <w:p>
      <w:pPr>
        <w:jc w:val="both"/>
        <w:ind w:left="500" w:right="519" w:firstLine="360"/>
        <w:spacing w:after="0"/>
        <w:rPr>
          <w:sz w:val="20"/>
          <w:szCs w:val="20"/>
          <w:color w:val="auto"/>
        </w:rPr>
      </w:pPr>
      <w:r>
        <w:rPr>
          <w:rFonts w:ascii="Arial" w:cs="Arial" w:eastAsia="Arial" w:hAnsi="Arial"/>
          <w:sz w:val="18"/>
          <w:szCs w:val="18"/>
          <w:color w:val="auto"/>
        </w:rPr>
        <w:t>In May 2025, with the assistance of Compensia, our Compensation and Talent Committee reviewed our compensation peer group based on our peer group selection criteria. This resulted in adding four new companies (Commvault Systems, Inc., Freshworks, Inc., Intapp, Inc. and LiveRamp Holdings, Inc.) to the peer group and removing four companies from the peer group (Altair Engineering Inc., HashiCorp, Inc., Paycor HCM, Inc., and SecureWorks Corp. each of which are no longer publicly-traded). The following is a list of the public companies that our Compensation and Talent Committee used to set cash and equity compensation beginning in 2025:</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440" w:type="dxa"/>
            <w:vAlign w:val="bottom"/>
            <w:shd w:val="clear" w:color="auto" w:fill="1D3965"/>
          </w:tcPr>
          <w:p>
            <w:pPr>
              <w:spacing w:after="0"/>
              <w:rPr>
                <w:sz w:val="17"/>
                <w:szCs w:val="17"/>
                <w:color w:val="auto"/>
              </w:rPr>
            </w:pPr>
          </w:p>
        </w:tc>
        <w:tc>
          <w:tcPr>
            <w:tcW w:w="2740" w:type="dxa"/>
            <w:vAlign w:val="bottom"/>
            <w:shd w:val="clear" w:color="auto" w:fill="1D3965"/>
          </w:tcPr>
          <w:p>
            <w:pPr>
              <w:ind w:left="640"/>
              <w:spacing w:after="0"/>
              <w:rPr>
                <w:sz w:val="20"/>
                <w:szCs w:val="20"/>
                <w:color w:val="auto"/>
              </w:rPr>
            </w:pPr>
            <w:r>
              <w:rPr>
                <w:rFonts w:ascii="Arial" w:cs="Arial" w:eastAsia="Arial" w:hAnsi="Arial"/>
                <w:sz w:val="14"/>
                <w:szCs w:val="14"/>
                <w:b w:val="1"/>
                <w:bCs w:val="1"/>
                <w:color w:val="FFFFFF"/>
              </w:rPr>
              <w:t>Compensation Peer Group</w:t>
            </w:r>
          </w:p>
        </w:tc>
        <w:tc>
          <w:tcPr>
            <w:tcW w:w="2820" w:type="dxa"/>
            <w:vAlign w:val="bottom"/>
            <w:shd w:val="clear" w:color="auto" w:fill="1D3965"/>
          </w:tcPr>
          <w:p>
            <w:pPr>
              <w:spacing w:after="0"/>
              <w:rPr>
                <w:sz w:val="17"/>
                <w:szCs w:val="17"/>
                <w:color w:val="auto"/>
              </w:rPr>
            </w:pPr>
          </w:p>
        </w:tc>
      </w:tr>
      <w:tr>
        <w:trPr>
          <w:trHeight w:val="108"/>
        </w:trPr>
        <w:tc>
          <w:tcPr>
            <w:tcW w:w="2440" w:type="dxa"/>
            <w:vAlign w:val="bottom"/>
            <w:tcBorders>
              <w:bottom w:val="single" w:sz="8" w:color="auto"/>
            </w:tcBorders>
            <w:shd w:val="clear" w:color="auto" w:fill="1D3965"/>
          </w:tcPr>
          <w:p>
            <w:pPr>
              <w:spacing w:after="0"/>
              <w:rPr>
                <w:sz w:val="9"/>
                <w:szCs w:val="9"/>
                <w:color w:val="auto"/>
              </w:rPr>
            </w:pPr>
          </w:p>
        </w:tc>
        <w:tc>
          <w:tcPr>
            <w:tcW w:w="2740" w:type="dxa"/>
            <w:vAlign w:val="bottom"/>
            <w:tcBorders>
              <w:bottom w:val="single" w:sz="8" w:color="auto"/>
            </w:tcBorders>
            <w:shd w:val="clear" w:color="auto" w:fill="1D3965"/>
          </w:tcPr>
          <w:p>
            <w:pPr>
              <w:ind w:left="1500"/>
              <w:spacing w:after="0" w:line="108" w:lineRule="exact"/>
              <w:rPr>
                <w:sz w:val="20"/>
                <w:szCs w:val="20"/>
                <w:color w:val="auto"/>
              </w:rPr>
            </w:pPr>
            <w:r>
              <w:rPr>
                <w:rFonts w:ascii="Arial" w:cs="Arial" w:eastAsia="Arial" w:hAnsi="Arial"/>
                <w:sz w:val="12"/>
                <w:szCs w:val="12"/>
                <w:b w:val="1"/>
                <w:bCs w:val="1"/>
                <w:color w:val="FFFFFF"/>
              </w:rPr>
              <w:t> </w:t>
            </w:r>
          </w:p>
        </w:tc>
        <w:tc>
          <w:tcPr>
            <w:tcW w:w="2820" w:type="dxa"/>
            <w:vAlign w:val="bottom"/>
            <w:tcBorders>
              <w:bottom w:val="single" w:sz="8" w:color="auto"/>
            </w:tcBorders>
            <w:shd w:val="clear" w:color="auto" w:fill="1D3965"/>
          </w:tcPr>
          <w:p>
            <w:pPr>
              <w:spacing w:after="0"/>
              <w:rPr>
                <w:sz w:val="9"/>
                <w:szCs w:val="9"/>
                <w:color w:val="auto"/>
              </w:rPr>
            </w:pPr>
          </w:p>
        </w:tc>
      </w:tr>
      <w:tr>
        <w:trPr>
          <w:trHeight w:val="231"/>
        </w:trPr>
        <w:tc>
          <w:tcPr>
            <w:tcW w:w="2440" w:type="dxa"/>
            <w:vAlign w:val="bottom"/>
          </w:tcPr>
          <w:p>
            <w:pPr>
              <w:spacing w:after="0"/>
              <w:rPr>
                <w:sz w:val="20"/>
                <w:szCs w:val="20"/>
                <w:color w:val="auto"/>
              </w:rPr>
            </w:pPr>
            <w:r>
              <w:rPr>
                <w:rFonts w:ascii="Arial" w:cs="Arial" w:eastAsia="Arial" w:hAnsi="Arial"/>
                <w:sz w:val="18"/>
                <w:szCs w:val="18"/>
                <w:color w:val="auto"/>
              </w:rPr>
              <w:t>AppFolio, Inc.</w:t>
            </w:r>
          </w:p>
        </w:tc>
        <w:tc>
          <w:tcPr>
            <w:tcW w:w="2740" w:type="dxa"/>
            <w:vAlign w:val="bottom"/>
          </w:tcPr>
          <w:p>
            <w:pPr>
              <w:ind w:left="300"/>
              <w:spacing w:after="0"/>
              <w:rPr>
                <w:sz w:val="20"/>
                <w:szCs w:val="20"/>
                <w:color w:val="auto"/>
              </w:rPr>
            </w:pPr>
            <w:r>
              <w:rPr>
                <w:rFonts w:ascii="Arial" w:cs="Arial" w:eastAsia="Arial" w:hAnsi="Arial"/>
                <w:sz w:val="18"/>
                <w:szCs w:val="18"/>
                <w:color w:val="auto"/>
              </w:rPr>
              <w:t>Freshworks, Inc.</w:t>
            </w:r>
          </w:p>
        </w:tc>
        <w:tc>
          <w:tcPr>
            <w:tcW w:w="2820" w:type="dxa"/>
            <w:vAlign w:val="bottom"/>
          </w:tcPr>
          <w:p>
            <w:pPr>
              <w:ind w:left="280"/>
              <w:spacing w:after="0"/>
              <w:rPr>
                <w:sz w:val="20"/>
                <w:szCs w:val="20"/>
                <w:color w:val="auto"/>
              </w:rPr>
            </w:pPr>
            <w:r>
              <w:rPr>
                <w:rFonts w:ascii="Arial" w:cs="Arial" w:eastAsia="Arial" w:hAnsi="Arial"/>
                <w:sz w:val="18"/>
                <w:szCs w:val="18"/>
                <w:color w:val="auto"/>
              </w:rPr>
              <w:t>PagerDuty, Inc.</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BlackLine, Inc.</w:t>
            </w:r>
          </w:p>
        </w:tc>
        <w:tc>
          <w:tcPr>
            <w:tcW w:w="2740" w:type="dxa"/>
            <w:vAlign w:val="bottom"/>
          </w:tcPr>
          <w:p>
            <w:pPr>
              <w:ind w:left="300"/>
              <w:spacing w:after="0"/>
              <w:rPr>
                <w:sz w:val="20"/>
                <w:szCs w:val="20"/>
                <w:color w:val="auto"/>
              </w:rPr>
            </w:pPr>
            <w:r>
              <w:rPr>
                <w:rFonts w:ascii="Arial" w:cs="Arial" w:eastAsia="Arial" w:hAnsi="Arial"/>
                <w:sz w:val="18"/>
                <w:szCs w:val="18"/>
                <w:color w:val="auto"/>
              </w:rPr>
              <w:t>Five9, Inc.</w:t>
            </w:r>
          </w:p>
        </w:tc>
        <w:tc>
          <w:tcPr>
            <w:tcW w:w="2820" w:type="dxa"/>
            <w:vAlign w:val="bottom"/>
          </w:tcPr>
          <w:p>
            <w:pPr>
              <w:ind w:left="280"/>
              <w:spacing w:after="0"/>
              <w:rPr>
                <w:sz w:val="20"/>
                <w:szCs w:val="20"/>
                <w:color w:val="auto"/>
              </w:rPr>
            </w:pPr>
            <w:r>
              <w:rPr>
                <w:rFonts w:ascii="Arial" w:cs="Arial" w:eastAsia="Arial" w:hAnsi="Arial"/>
                <w:sz w:val="18"/>
                <w:szCs w:val="18"/>
                <w:color w:val="auto"/>
              </w:rPr>
              <w:t>Palo Alto Networks, Inc.</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Commvault Systems, Inc.</w:t>
            </w:r>
          </w:p>
        </w:tc>
        <w:tc>
          <w:tcPr>
            <w:tcW w:w="2740" w:type="dxa"/>
            <w:vAlign w:val="bottom"/>
          </w:tcPr>
          <w:p>
            <w:pPr>
              <w:ind w:left="300"/>
              <w:spacing w:after="0"/>
              <w:rPr>
                <w:sz w:val="20"/>
                <w:szCs w:val="20"/>
                <w:color w:val="auto"/>
              </w:rPr>
            </w:pPr>
            <w:r>
              <w:rPr>
                <w:rFonts w:ascii="Arial" w:cs="Arial" w:eastAsia="Arial" w:hAnsi="Arial"/>
                <w:sz w:val="18"/>
                <w:szCs w:val="18"/>
                <w:color w:val="auto"/>
              </w:rPr>
              <w:t>Gen Digital, Inc.</w:t>
            </w:r>
          </w:p>
        </w:tc>
        <w:tc>
          <w:tcPr>
            <w:tcW w:w="2820" w:type="dxa"/>
            <w:vAlign w:val="bottom"/>
          </w:tcPr>
          <w:p>
            <w:pPr>
              <w:ind w:left="280"/>
              <w:spacing w:after="0"/>
              <w:rPr>
                <w:sz w:val="20"/>
                <w:szCs w:val="20"/>
                <w:color w:val="auto"/>
              </w:rPr>
            </w:pPr>
            <w:r>
              <w:rPr>
                <w:rFonts w:ascii="Arial" w:cs="Arial" w:eastAsia="Arial" w:hAnsi="Arial"/>
                <w:sz w:val="18"/>
                <w:szCs w:val="18"/>
                <w:color w:val="auto"/>
              </w:rPr>
              <w:t>Rapid7, Inc.</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Confluent, Inc.</w:t>
            </w:r>
          </w:p>
        </w:tc>
        <w:tc>
          <w:tcPr>
            <w:tcW w:w="2740" w:type="dxa"/>
            <w:vAlign w:val="bottom"/>
          </w:tcPr>
          <w:p>
            <w:pPr>
              <w:ind w:left="300"/>
              <w:spacing w:after="0"/>
              <w:rPr>
                <w:sz w:val="20"/>
                <w:szCs w:val="20"/>
                <w:color w:val="auto"/>
              </w:rPr>
            </w:pPr>
            <w:r>
              <w:rPr>
                <w:rFonts w:ascii="Arial" w:cs="Arial" w:eastAsia="Arial" w:hAnsi="Arial"/>
                <w:sz w:val="18"/>
                <w:szCs w:val="18"/>
                <w:color w:val="auto"/>
              </w:rPr>
              <w:t>Guidewire Software, Inc.</w:t>
            </w:r>
          </w:p>
        </w:tc>
        <w:tc>
          <w:tcPr>
            <w:tcW w:w="2820" w:type="dxa"/>
            <w:vAlign w:val="bottom"/>
          </w:tcPr>
          <w:p>
            <w:pPr>
              <w:ind w:left="280"/>
              <w:spacing w:after="0"/>
              <w:rPr>
                <w:sz w:val="20"/>
                <w:szCs w:val="20"/>
                <w:color w:val="auto"/>
              </w:rPr>
            </w:pPr>
            <w:r>
              <w:rPr>
                <w:rFonts w:ascii="Arial" w:cs="Arial" w:eastAsia="Arial" w:hAnsi="Arial"/>
                <w:sz w:val="18"/>
                <w:szCs w:val="18"/>
                <w:color w:val="auto"/>
              </w:rPr>
              <w:t>SentinelOne, Inc.</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2740" w:type="dxa"/>
            <w:vAlign w:val="bottom"/>
          </w:tcPr>
          <w:p>
            <w:pPr>
              <w:ind w:left="300"/>
              <w:spacing w:after="0"/>
              <w:rPr>
                <w:sz w:val="20"/>
                <w:szCs w:val="20"/>
                <w:color w:val="auto"/>
              </w:rPr>
            </w:pPr>
            <w:r>
              <w:rPr>
                <w:rFonts w:ascii="Arial" w:cs="Arial" w:eastAsia="Arial" w:hAnsi="Arial"/>
                <w:sz w:val="18"/>
                <w:szCs w:val="18"/>
                <w:color w:val="auto"/>
              </w:rPr>
              <w:t>HubSpot, Inc.</w:t>
            </w:r>
          </w:p>
        </w:tc>
        <w:tc>
          <w:tcPr>
            <w:tcW w:w="2820" w:type="dxa"/>
            <w:vAlign w:val="bottom"/>
          </w:tcPr>
          <w:p>
            <w:pPr>
              <w:ind w:left="280"/>
              <w:spacing w:after="0"/>
              <w:rPr>
                <w:sz w:val="20"/>
                <w:szCs w:val="20"/>
                <w:color w:val="auto"/>
              </w:rPr>
            </w:pPr>
            <w:r>
              <w:rPr>
                <w:rFonts w:ascii="Arial" w:cs="Arial" w:eastAsia="Arial" w:hAnsi="Arial"/>
                <w:sz w:val="18"/>
                <w:szCs w:val="18"/>
                <w:color w:val="auto"/>
              </w:rPr>
              <w:t>Tenable Holdings, Inc.</w:t>
            </w: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Elastic N.V.</w:t>
            </w:r>
          </w:p>
        </w:tc>
        <w:tc>
          <w:tcPr>
            <w:tcW w:w="2740" w:type="dxa"/>
            <w:vAlign w:val="bottom"/>
          </w:tcPr>
          <w:p>
            <w:pPr>
              <w:ind w:left="300"/>
              <w:spacing w:after="0"/>
              <w:rPr>
                <w:sz w:val="20"/>
                <w:szCs w:val="20"/>
                <w:color w:val="auto"/>
              </w:rPr>
            </w:pPr>
            <w:r>
              <w:rPr>
                <w:rFonts w:ascii="Arial" w:cs="Arial" w:eastAsia="Arial" w:hAnsi="Arial"/>
                <w:sz w:val="18"/>
                <w:szCs w:val="18"/>
                <w:color w:val="auto"/>
              </w:rPr>
              <w:t>Intapp, Inc.</w:t>
            </w:r>
          </w:p>
        </w:tc>
        <w:tc>
          <w:tcPr>
            <w:tcW w:w="2820" w:type="dxa"/>
            <w:vAlign w:val="bottom"/>
          </w:tcPr>
          <w:p>
            <w:pPr>
              <w:ind w:left="280"/>
              <w:spacing w:after="0"/>
              <w:rPr>
                <w:sz w:val="20"/>
                <w:szCs w:val="20"/>
                <w:color w:val="auto"/>
              </w:rPr>
            </w:pPr>
            <w:r>
              <w:rPr>
                <w:rFonts w:ascii="Arial" w:cs="Arial" w:eastAsia="Arial" w:hAnsi="Arial"/>
                <w:sz w:val="18"/>
                <w:szCs w:val="18"/>
                <w:color w:val="auto"/>
              </w:rPr>
              <w:t>Varonis Systems, Inc.</w:t>
            </w:r>
          </w:p>
        </w:tc>
      </w:tr>
      <w:tr>
        <w:trPr>
          <w:trHeight w:val="239"/>
        </w:trPr>
        <w:tc>
          <w:tcPr>
            <w:tcW w:w="2440" w:type="dxa"/>
            <w:vAlign w:val="bottom"/>
          </w:tcPr>
          <w:p>
            <w:pPr>
              <w:spacing w:after="0"/>
              <w:rPr>
                <w:sz w:val="20"/>
                <w:szCs w:val="20"/>
                <w:color w:val="auto"/>
              </w:rPr>
            </w:pPr>
            <w:r>
              <w:rPr>
                <w:rFonts w:ascii="Arial" w:cs="Arial" w:eastAsia="Arial" w:hAnsi="Arial"/>
                <w:sz w:val="18"/>
                <w:szCs w:val="18"/>
                <w:color w:val="auto"/>
              </w:rPr>
              <w:t>Fastly, Inc.</w:t>
            </w:r>
          </w:p>
        </w:tc>
        <w:tc>
          <w:tcPr>
            <w:tcW w:w="2740" w:type="dxa"/>
            <w:vAlign w:val="bottom"/>
          </w:tcPr>
          <w:p>
            <w:pPr>
              <w:ind w:left="300"/>
              <w:spacing w:after="0"/>
              <w:rPr>
                <w:sz w:val="20"/>
                <w:szCs w:val="20"/>
                <w:color w:val="auto"/>
              </w:rPr>
            </w:pPr>
            <w:r>
              <w:rPr>
                <w:rFonts w:ascii="Arial" w:cs="Arial" w:eastAsia="Arial" w:hAnsi="Arial"/>
                <w:sz w:val="18"/>
                <w:szCs w:val="18"/>
                <w:color w:val="auto"/>
              </w:rPr>
              <w:t>LiveRamp Holdings, Inc.</w:t>
            </w:r>
          </w:p>
        </w:tc>
        <w:tc>
          <w:tcPr>
            <w:tcW w:w="2820" w:type="dxa"/>
            <w:vAlign w:val="bottom"/>
          </w:tcPr>
          <w:p>
            <w:pPr>
              <w:spacing w:after="0"/>
              <w:rPr>
                <w:sz w:val="20"/>
                <w:szCs w:val="20"/>
                <w:color w:val="auto"/>
              </w:rPr>
            </w:pPr>
          </w:p>
        </w:tc>
      </w:tr>
    </w:tbl>
    <w:p>
      <w:pPr>
        <w:spacing w:after="0" w:line="27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Use of Peer Data</w:t>
      </w:r>
    </w:p>
    <w:p>
      <w:pPr>
        <w:spacing w:after="0" w:line="102"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Our Compensation and Talent Committee uses the compensation peer group and market data provided by Compensia (including custom cuts of survey data from Radford) to obtain a general understanding of compensation practices within our compensation peer group and the competitive market in general. In setting the various elements of compensation for the named executive officers, our Compensation and Talent Committee reviewed base salary, target total cash compensation (i.e., base salary plus target non-equity incentive plan compensation), annual long-term incentive values, and target total direct compensation (i.e., target total cash compensation plus equity awards). We believe that considering peer group compensation data is important because it allows us, alongside other considerations that we detail below for each pay element, to provide compensation that, as a complete package, is appropriate for each named executive officer.</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Pay Mix</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As shown in the charts below, a significant portion of the target total direct compensation (which consists of base salary, target bonus opportunity, the intended value of the time-based RSUs approved by our board of directors in October 2025, and the intended target value of the PRSUs approved by our board of directors in October 2025, as discussed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Program Components</w:t>
      </w:r>
      <w:r>
        <w:rPr>
          <w:rFonts w:ascii="Arial" w:cs="Arial" w:eastAsia="Arial" w:hAnsi="Arial"/>
          <w:sz w:val="18"/>
          <w:szCs w:val="18"/>
          <w:color w:val="auto"/>
        </w:rPr>
        <w:t>” section below) for the named executive officers is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(50% for the CEO, Mr. Thakar, and 31% for Ms. Kim and Mr. Posey, who were the only other named executive officers for 2025). For the chart showing the target total direct compensation of Ms. Kim and Mr. Posey, each figure was separately calculated for each named executive officer, and the percentages shown in the chart represent the average of the figures for the two named executive officers.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1" w:name="page52"/>
    <w:bookmarkEnd w:id="51"/>
    <w:tbl>
      <w:tblPr>
        <w:tblLayout w:type="fixed"/>
        <w:tblInd w:w="19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CEO</w:t>
            </w:r>
          </w:p>
        </w:tc>
        <w:tc>
          <w:tcPr>
            <w:tcW w:w="820" w:type="dxa"/>
            <w:vAlign w:val="bottom"/>
            <w:gridSpan w:val="2"/>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Other NEOs</w:t>
            </w:r>
          </w:p>
        </w:tc>
        <w:tc>
          <w:tcPr>
            <w:tcW w:w="520" w:type="dxa"/>
            <w:vAlign w:val="bottom"/>
            <w:gridSpan w:val="2"/>
          </w:tcPr>
          <w:p>
            <w:pPr>
              <w:spacing w:after="0"/>
              <w:rPr>
                <w:sz w:val="17"/>
                <w:szCs w:val="17"/>
                <w:color w:val="auto"/>
              </w:rPr>
            </w:pPr>
          </w:p>
        </w:tc>
      </w:tr>
      <w:tr>
        <w:trPr>
          <w:trHeight w:val="183"/>
        </w:trPr>
        <w:tc>
          <w:tcPr>
            <w:tcW w:w="520" w:type="dxa"/>
            <w:vAlign w:val="bottom"/>
          </w:tcPr>
          <w:p>
            <w:pPr>
              <w:spacing w:after="0"/>
              <w:rPr>
                <w:sz w:val="15"/>
                <w:szCs w:val="15"/>
                <w:color w:val="auto"/>
              </w:rPr>
            </w:pPr>
          </w:p>
        </w:tc>
        <w:tc>
          <w:tcPr>
            <w:tcW w:w="1040" w:type="dxa"/>
            <w:vAlign w:val="bottom"/>
            <w:tcBorders>
              <w:bottom w:val="single" w:sz="8" w:color="auto"/>
            </w:tcBorders>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w w:val="97"/>
              </w:rPr>
              <w:t>2025 Target</w:t>
            </w:r>
          </w:p>
        </w:tc>
        <w:tc>
          <w:tcPr>
            <w:tcW w:w="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w w:val="98"/>
              </w:rPr>
              <w:t>Average 2025 Target</w:t>
            </w:r>
          </w:p>
        </w:tc>
        <w:tc>
          <w:tcPr>
            <w:tcW w:w="160" w:type="dxa"/>
            <w:vAlign w:val="bottom"/>
          </w:tcPr>
          <w:p>
            <w:pPr>
              <w:spacing w:after="0"/>
              <w:rPr>
                <w:sz w:val="15"/>
                <w:szCs w:val="15"/>
                <w:color w:val="auto"/>
              </w:rPr>
            </w:pPr>
          </w:p>
        </w:tc>
      </w:tr>
      <w:tr>
        <w:trPr>
          <w:trHeight w:val="183"/>
        </w:trPr>
        <w:tc>
          <w:tcPr>
            <w:tcW w:w="2080" w:type="dxa"/>
            <w:vAlign w:val="bottom"/>
            <w:tcBorders>
              <w:bottom w:val="single" w:sz="8" w:color="auto"/>
            </w:tcBorders>
            <w:gridSpan w:val="5"/>
          </w:tcPr>
          <w:p>
            <w:pPr>
              <w:jc w:val="center"/>
              <w:spacing w:after="0" w:line="182" w:lineRule="exact"/>
              <w:rPr>
                <w:sz w:val="20"/>
                <w:szCs w:val="20"/>
                <w:color w:val="auto"/>
              </w:rPr>
            </w:pPr>
            <w:r>
              <w:rPr>
                <w:rFonts w:ascii="Arial" w:cs="Arial" w:eastAsia="Arial" w:hAnsi="Arial"/>
                <w:sz w:val="18"/>
                <w:szCs w:val="18"/>
                <w:b w:val="1"/>
                <w:bCs w:val="1"/>
                <w:color w:val="auto"/>
                <w:w w:val="99"/>
              </w:rPr>
              <w:t>Compensation Structure</w:t>
            </w:r>
          </w:p>
        </w:tc>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85"/>
              </w:rPr>
              <w:t>Compensation Structure</w:t>
            </w:r>
          </w:p>
        </w:tc>
        <w:tc>
          <w:tcPr>
            <w:tcW w:w="16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25400</wp:posOffset>
            </wp:positionV>
            <wp:extent cx="5023485" cy="1808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2348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26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104" w:lineRule="exact"/>
        <w:rPr>
          <w:sz w:val="20"/>
          <w:szCs w:val="20"/>
          <w:color w:val="auto"/>
        </w:rPr>
      </w:pPr>
    </w:p>
    <w:p>
      <w:pPr>
        <w:jc w:val="both"/>
        <w:ind w:left="1500" w:right="1520" w:firstLine="360"/>
        <w:spacing w:after="0" w:line="253" w:lineRule="auto"/>
        <w:rPr>
          <w:sz w:val="20"/>
          <w:szCs w:val="20"/>
          <w:color w:val="auto"/>
        </w:rPr>
      </w:pPr>
      <w:r>
        <w:rPr>
          <w:rFonts w:ascii="Arial" w:cs="Arial" w:eastAsia="Arial" w:hAnsi="Arial"/>
          <w:sz w:val="18"/>
          <w:szCs w:val="18"/>
          <w:color w:val="auto"/>
        </w:rPr>
        <w:t>The following sections describe each component of our executive compensation program as summarized in the table below, provide the rationale for each component, and explain how the compensation amounts and awards were determined for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3900" w:type="dxa"/>
            <w:vAlign w:val="bottom"/>
            <w:shd w:val="clear" w:color="auto" w:fill="1D3965"/>
          </w:tcPr>
          <w:p>
            <w:pPr>
              <w:spacing w:after="0"/>
              <w:rPr>
                <w:sz w:val="20"/>
                <w:szCs w:val="20"/>
                <w:color w:val="auto"/>
              </w:rPr>
            </w:pPr>
            <w:r>
              <w:rPr>
                <w:rFonts w:ascii="Arial" w:cs="Arial" w:eastAsia="Arial" w:hAnsi="Arial"/>
                <w:sz w:val="14"/>
                <w:szCs w:val="14"/>
                <w:b w:val="1"/>
                <w:bCs w:val="1"/>
                <w:color w:val="FFFFFF"/>
              </w:rPr>
              <w:t>Element of Compensation</w:t>
            </w:r>
          </w:p>
        </w:tc>
        <w:tc>
          <w:tcPr>
            <w:tcW w:w="4100" w:type="dxa"/>
            <w:vAlign w:val="bottom"/>
            <w:shd w:val="clear" w:color="auto" w:fill="1D3965"/>
          </w:tcPr>
          <w:p>
            <w:pPr>
              <w:ind w:left="220"/>
              <w:spacing w:after="0"/>
              <w:rPr>
                <w:sz w:val="20"/>
                <w:szCs w:val="20"/>
                <w:color w:val="auto"/>
              </w:rPr>
            </w:pPr>
            <w:r>
              <w:rPr>
                <w:rFonts w:ascii="Arial" w:cs="Arial" w:eastAsia="Arial" w:hAnsi="Arial"/>
                <w:sz w:val="14"/>
                <w:szCs w:val="14"/>
                <w:b w:val="1"/>
                <w:bCs w:val="1"/>
                <w:color w:val="FFFFFF"/>
              </w:rPr>
              <w:t>Basis for Providing Element</w:t>
            </w:r>
          </w:p>
        </w:tc>
        <w:tc>
          <w:tcPr>
            <w:tcW w:w="1520" w:type="dxa"/>
            <w:vAlign w:val="bottom"/>
          </w:tcPr>
          <w:p>
            <w:pPr>
              <w:spacing w:after="0"/>
              <w:rPr>
                <w:sz w:val="19"/>
                <w:szCs w:val="19"/>
                <w:color w:val="auto"/>
              </w:rPr>
            </w:pPr>
          </w:p>
        </w:tc>
      </w:tr>
      <w:tr>
        <w:trPr>
          <w:trHeight w:val="211"/>
        </w:trPr>
        <w:tc>
          <w:tcPr>
            <w:tcW w:w="1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Base Salary</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 provide market competitive compensation to</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our named executive officers for services based</w:t>
            </w:r>
          </w:p>
        </w:tc>
      </w:tr>
      <w:tr>
        <w:trPr>
          <w:trHeight w:val="239"/>
        </w:trPr>
        <w:tc>
          <w:tcPr>
            <w:tcW w:w="1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on their experience and past performance</w:t>
            </w:r>
          </w:p>
        </w:tc>
      </w:tr>
      <w:tr>
        <w:trPr>
          <w:trHeight w:val="409"/>
        </w:trPr>
        <w:tc>
          <w:tcPr>
            <w:tcW w:w="15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Non-Equity Incentive Plan Compensation</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 motivate and reward our named executive</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officers  for  achieving  annual  financial  and</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operational  objectives  that  drive  increased</w:t>
            </w:r>
          </w:p>
        </w:tc>
      </w:tr>
      <w:tr>
        <w:trPr>
          <w:trHeight w:val="239"/>
        </w:trPr>
        <w:tc>
          <w:tcPr>
            <w:tcW w:w="1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stockholder value</w:t>
            </w:r>
          </w:p>
        </w:tc>
      </w:tr>
      <w:tr>
        <w:trPr>
          <w:trHeight w:val="409"/>
        </w:trPr>
        <w:tc>
          <w:tcPr>
            <w:tcW w:w="15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Equity Compensation</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 align our named executive officers’ interests</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with the long-term interests of our stockholders,</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drive long-term performance, and promote the</w:t>
            </w:r>
          </w:p>
        </w:tc>
      </w:tr>
      <w:tr>
        <w:trPr>
          <w:trHeight w:val="239"/>
        </w:trPr>
        <w:tc>
          <w:tcPr>
            <w:tcW w:w="1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retention of our named executive officers</w:t>
            </w:r>
          </w:p>
        </w:tc>
      </w:tr>
      <w:tr>
        <w:trPr>
          <w:trHeight w:val="409"/>
        </w:trPr>
        <w:tc>
          <w:tcPr>
            <w:tcW w:w="15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Non-Cash and Non-Equity Benefits</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 provide for the safety and wellness of our</w:t>
            </w:r>
          </w:p>
        </w:tc>
      </w:tr>
      <w:tr>
        <w:trPr>
          <w:trHeight w:val="239"/>
        </w:trPr>
        <w:tc>
          <w:tcPr>
            <w:tcW w:w="1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named executive officers</w:t>
            </w:r>
          </w:p>
        </w:tc>
      </w:tr>
      <w:tr>
        <w:trPr>
          <w:trHeight w:val="409"/>
        </w:trPr>
        <w:tc>
          <w:tcPr>
            <w:tcW w:w="15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Severance and Change in Control Payments</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 support attraction of top executive talent and</w:t>
            </w:r>
          </w:p>
        </w:tc>
      </w:tr>
      <w:tr>
        <w:trPr>
          <w:trHeight w:val="203"/>
        </w:trPr>
        <w:tc>
          <w:tcPr>
            <w:tcW w:w="1500" w:type="dxa"/>
            <w:vAlign w:val="bottom"/>
          </w:tcPr>
          <w:p>
            <w:pPr>
              <w:spacing w:after="0"/>
              <w:rPr>
                <w:sz w:val="17"/>
                <w:szCs w:val="17"/>
                <w:color w:val="auto"/>
              </w:rPr>
            </w:pPr>
          </w:p>
        </w:tc>
        <w:tc>
          <w:tcPr>
            <w:tcW w:w="3900" w:type="dxa"/>
            <w:vAlign w:val="bottom"/>
          </w:tcPr>
          <w:p>
            <w:pPr>
              <w:ind w:left="180"/>
              <w:spacing w:after="0" w:line="202" w:lineRule="exact"/>
              <w:rPr>
                <w:sz w:val="20"/>
                <w:szCs w:val="20"/>
                <w:color w:val="auto"/>
              </w:rPr>
            </w:pPr>
            <w:r>
              <w:rPr>
                <w:rFonts w:ascii="Arial" w:cs="Arial" w:eastAsia="Arial" w:hAnsi="Arial"/>
                <w:sz w:val="18"/>
                <w:szCs w:val="18"/>
                <w:color w:val="auto"/>
              </w:rPr>
              <w:t>and Benefits</w:t>
            </w: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to promote the retention of our named executive</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officers and, in the case of change in control</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payments  and  benefits,  incentivize  them  to</w:t>
            </w:r>
          </w:p>
        </w:tc>
      </w:tr>
      <w:tr>
        <w:trPr>
          <w:trHeight w:val="203"/>
        </w:trPr>
        <w:tc>
          <w:tcPr>
            <w:tcW w:w="15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identify and execute economic transactions for</w:t>
            </w:r>
          </w:p>
        </w:tc>
      </w:tr>
      <w:tr>
        <w:trPr>
          <w:trHeight w:val="239"/>
        </w:trPr>
        <w:tc>
          <w:tcPr>
            <w:tcW w:w="1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the benefit of our stockholders</w:t>
            </w:r>
          </w:p>
        </w:tc>
      </w:tr>
      <w:tr>
        <w:trPr>
          <w:trHeight w:val="540"/>
        </w:trPr>
        <w:tc>
          <w:tcPr>
            <w:tcW w:w="1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50</w:t>
            </w:r>
          </w:p>
        </w:tc>
        <w:tc>
          <w:tcPr>
            <w:tcW w:w="1520" w:type="dxa"/>
            <w:vAlign w:val="bottom"/>
          </w:tcPr>
          <w:p>
            <w:pPr>
              <w:spacing w:after="0"/>
              <w:rPr>
                <w:sz w:val="24"/>
                <w:szCs w:val="24"/>
                <w:color w:val="auto"/>
              </w:rPr>
            </w:pPr>
          </w:p>
        </w:tc>
      </w:tr>
      <w:tr>
        <w:trPr>
          <w:trHeight w:val="219"/>
        </w:trPr>
        <w:tc>
          <w:tcPr>
            <w:tcW w:w="15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76" w:right="439" w:bottom="1440" w:gutter="0" w:footer="0" w:header="0"/>
        </w:sectPr>
      </w:pPr>
    </w:p>
    <w:bookmarkStart w:id="52" w:name="page53"/>
    <w:bookmarkEnd w:id="52"/>
    <w:p>
      <w:pPr>
        <w:ind w:left="720"/>
        <w:spacing w:after="0"/>
        <w:rPr>
          <w:sz w:val="20"/>
          <w:szCs w:val="20"/>
          <w:color w:val="auto"/>
        </w:rPr>
      </w:pPr>
      <w:r>
        <w:rPr>
          <w:rFonts w:ascii="Arial" w:cs="Arial" w:eastAsia="Arial" w:hAnsi="Arial"/>
          <w:sz w:val="18"/>
          <w:szCs w:val="18"/>
          <w:b w:val="1"/>
          <w:bCs w:val="1"/>
          <w:i w:val="1"/>
          <w:iCs w:val="1"/>
          <w:color w:val="auto"/>
        </w:rPr>
        <w:t>Base Salary</w:t>
      </w:r>
    </w:p>
    <w:p>
      <w:pPr>
        <w:spacing w:after="0" w:line="10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year and to ensure that we remain competitive in attracting and retaining executive talent. A named executive officer’s base salary at hire is determined through arm’s-length negotiation. Our Compensation and Talent Committee typically reviews and considers adjustments to our named executive officers’ base salaries on an annual basis. When doing so, our Compensation and Talent Committee considers factors such as the named executive officer’s experience, skills, knowledge, responsibilities, and performance and the prevailing market conditions.</w:t>
      </w:r>
    </w:p>
    <w:p>
      <w:pPr>
        <w:spacing w:after="0" w:line="180"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Our Compensation and Talent Committee reviewed our executive compensation program, including base salary for our named executive officers. The committee evaluated the peer group compensation data provided by Compensia and determined, based on its judgment, that we were providing salary below current market compensation. The committee approved increases to the base salaries of our named executive officers effective as of November 1, 2025. Each named executive officer’s base salary during 2025 is listed in the table below.</w:t>
      </w:r>
    </w:p>
    <w:p>
      <w:pPr>
        <w:spacing w:after="0" w:line="130" w:lineRule="exact"/>
        <w:rPr>
          <w:sz w:val="20"/>
          <w:szCs w:val="20"/>
          <w:color w:val="auto"/>
        </w:rPr>
      </w:pPr>
    </w:p>
    <w:tbl>
      <w:tblPr>
        <w:tblLayout w:type="fixed"/>
        <w:tblInd w:w="1580" w:type="dxa"/>
        <w:tblCellMar>
          <w:top w:w="0" w:type="dxa"/>
          <w:left w:w="0" w:type="dxa"/>
          <w:bottom w:w="0" w:type="dxa"/>
          <w:right w:w="0" w:type="dxa"/>
        </w:tblCellMar>
      </w:tblPr>
      <w:tr>
        <w:trPr>
          <w:trHeight w:val="261"/>
        </w:trPr>
        <w:tc>
          <w:tcPr>
            <w:tcW w:w="2760" w:type="dxa"/>
            <w:vAlign w:val="bottom"/>
            <w:shd w:val="clear" w:color="auto" w:fill="1D3965"/>
          </w:tcPr>
          <w:p>
            <w:pPr>
              <w:spacing w:after="0"/>
              <w:rPr>
                <w:sz w:val="22"/>
                <w:szCs w:val="22"/>
                <w:color w:val="auto"/>
              </w:rPr>
            </w:pPr>
          </w:p>
        </w:tc>
        <w:tc>
          <w:tcPr>
            <w:tcW w:w="1880" w:type="dxa"/>
            <w:vAlign w:val="bottom"/>
            <w:shd w:val="clear" w:color="auto" w:fill="1D3965"/>
          </w:tcPr>
          <w:p>
            <w:pPr>
              <w:jc w:val="center"/>
              <w:ind w:left="659"/>
              <w:spacing w:after="0"/>
              <w:rPr>
                <w:sz w:val="20"/>
                <w:szCs w:val="20"/>
                <w:color w:val="auto"/>
              </w:rPr>
            </w:pPr>
            <w:r>
              <w:rPr>
                <w:rFonts w:ascii="Arial" w:cs="Arial" w:eastAsia="Arial" w:hAnsi="Arial"/>
                <w:sz w:val="14"/>
                <w:szCs w:val="14"/>
                <w:b w:val="1"/>
                <w:bCs w:val="1"/>
                <w:color w:val="FFFFFF"/>
              </w:rPr>
              <w:t>Base Salary</w:t>
            </w:r>
          </w:p>
        </w:tc>
        <w:tc>
          <w:tcPr>
            <w:tcW w:w="1200" w:type="dxa"/>
            <w:vAlign w:val="bottom"/>
            <w:shd w:val="clear" w:color="auto" w:fill="1D3965"/>
          </w:tcPr>
          <w:p>
            <w:pPr>
              <w:spacing w:after="0"/>
              <w:rPr>
                <w:sz w:val="22"/>
                <w:szCs w:val="22"/>
                <w:color w:val="auto"/>
              </w:rPr>
            </w:pPr>
          </w:p>
        </w:tc>
      </w:tr>
      <w:tr>
        <w:trPr>
          <w:trHeight w:val="162"/>
        </w:trPr>
        <w:tc>
          <w:tcPr>
            <w:tcW w:w="2760" w:type="dxa"/>
            <w:vAlign w:val="bottom"/>
            <w:shd w:val="clear" w:color="auto" w:fill="1D3965"/>
          </w:tcPr>
          <w:p>
            <w:pPr>
              <w:spacing w:after="0"/>
              <w:rPr>
                <w:sz w:val="14"/>
                <w:szCs w:val="14"/>
                <w:color w:val="auto"/>
              </w:rPr>
            </w:pPr>
          </w:p>
        </w:tc>
        <w:tc>
          <w:tcPr>
            <w:tcW w:w="1880" w:type="dxa"/>
            <w:vAlign w:val="bottom"/>
            <w:shd w:val="clear" w:color="auto" w:fill="1D3965"/>
          </w:tcPr>
          <w:p>
            <w:pPr>
              <w:jc w:val="center"/>
              <w:ind w:left="679"/>
              <w:spacing w:after="0"/>
              <w:rPr>
                <w:sz w:val="20"/>
                <w:szCs w:val="20"/>
                <w:color w:val="auto"/>
              </w:rPr>
            </w:pPr>
            <w:r>
              <w:rPr>
                <w:rFonts w:ascii="Arial" w:cs="Arial" w:eastAsia="Arial" w:hAnsi="Arial"/>
                <w:sz w:val="14"/>
                <w:szCs w:val="14"/>
                <w:b w:val="1"/>
                <w:bCs w:val="1"/>
                <w:color w:val="FFFFFF"/>
              </w:rPr>
              <w:t>at Start of</w:t>
            </w:r>
          </w:p>
        </w:tc>
        <w:tc>
          <w:tcPr>
            <w:tcW w:w="120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rPr>
              <w:t>Base Salary at</w:t>
            </w:r>
          </w:p>
        </w:tc>
      </w:tr>
      <w:tr>
        <w:trPr>
          <w:trHeight w:val="212"/>
        </w:trPr>
        <w:tc>
          <w:tcPr>
            <w:tcW w:w="2760" w:type="dxa"/>
            <w:vAlign w:val="bottom"/>
            <w:shd w:val="clear" w:color="auto" w:fill="1D3965"/>
          </w:tcPr>
          <w:p>
            <w:pPr>
              <w:ind w:left="180"/>
              <w:spacing w:after="0"/>
              <w:rPr>
                <w:sz w:val="20"/>
                <w:szCs w:val="20"/>
                <w:color w:val="auto"/>
              </w:rPr>
            </w:pPr>
            <w:r>
              <w:rPr>
                <w:rFonts w:ascii="Arial" w:cs="Arial" w:eastAsia="Arial" w:hAnsi="Arial"/>
                <w:sz w:val="14"/>
                <w:szCs w:val="14"/>
                <w:b w:val="1"/>
                <w:bCs w:val="1"/>
                <w:color w:val="FFFFFF"/>
              </w:rPr>
              <w:t>Named Executive Officer</w:t>
            </w:r>
          </w:p>
        </w:tc>
        <w:tc>
          <w:tcPr>
            <w:tcW w:w="1880" w:type="dxa"/>
            <w:vAlign w:val="bottom"/>
            <w:shd w:val="clear" w:color="auto" w:fill="1D3965"/>
          </w:tcPr>
          <w:p>
            <w:pPr>
              <w:jc w:val="center"/>
              <w:ind w:left="679"/>
              <w:spacing w:after="0"/>
              <w:rPr>
                <w:sz w:val="20"/>
                <w:szCs w:val="20"/>
                <w:color w:val="auto"/>
              </w:rPr>
            </w:pPr>
            <w:r>
              <w:rPr>
                <w:rFonts w:ascii="Arial" w:cs="Arial" w:eastAsia="Arial" w:hAnsi="Arial"/>
                <w:sz w:val="14"/>
                <w:szCs w:val="14"/>
                <w:b w:val="1"/>
                <w:bCs w:val="1"/>
                <w:color w:val="FFFFFF"/>
              </w:rPr>
              <w:t>2025</w:t>
            </w:r>
          </w:p>
        </w:tc>
        <w:tc>
          <w:tcPr>
            <w:tcW w:w="1200" w:type="dxa"/>
            <w:vAlign w:val="bottom"/>
            <w:shd w:val="clear" w:color="auto" w:fill="1D3965"/>
          </w:tcPr>
          <w:p>
            <w:pPr>
              <w:jc w:val="right"/>
              <w:ind w:right="77"/>
              <w:spacing w:after="0"/>
              <w:rPr>
                <w:sz w:val="20"/>
                <w:szCs w:val="20"/>
                <w:color w:val="auto"/>
              </w:rPr>
            </w:pPr>
            <w:r>
              <w:rPr>
                <w:rFonts w:ascii="Arial" w:cs="Arial" w:eastAsia="Arial" w:hAnsi="Arial"/>
                <w:sz w:val="14"/>
                <w:szCs w:val="14"/>
                <w:b w:val="1"/>
                <w:bCs w:val="1"/>
                <w:color w:val="FFFFFF"/>
              </w:rPr>
              <w:t>End of 2025</w:t>
            </w:r>
          </w:p>
        </w:tc>
      </w:tr>
      <w:tr>
        <w:trPr>
          <w:trHeight w:val="261"/>
        </w:trPr>
        <w:tc>
          <w:tcPr>
            <w:tcW w:w="2760" w:type="dxa"/>
            <w:vAlign w:val="bottom"/>
          </w:tcPr>
          <w:p>
            <w:pPr>
              <w:ind w:left="180"/>
              <w:spacing w:after="0"/>
              <w:rPr>
                <w:sz w:val="20"/>
                <w:szCs w:val="20"/>
                <w:color w:val="auto"/>
              </w:rPr>
            </w:pPr>
            <w:r>
              <w:rPr>
                <w:rFonts w:ascii="Arial" w:cs="Arial" w:eastAsia="Arial" w:hAnsi="Arial"/>
                <w:sz w:val="18"/>
                <w:szCs w:val="18"/>
                <w:color w:val="auto"/>
              </w:rPr>
              <w:t>Sumedh S. Thakar</w:t>
            </w:r>
          </w:p>
        </w:tc>
        <w:tc>
          <w:tcPr>
            <w:tcW w:w="1880" w:type="dxa"/>
            <w:vAlign w:val="bottom"/>
          </w:tcPr>
          <w:p>
            <w:pPr>
              <w:jc w:val="right"/>
              <w:ind w:right="99"/>
              <w:spacing w:after="0"/>
              <w:rPr>
                <w:sz w:val="20"/>
                <w:szCs w:val="20"/>
                <w:color w:val="auto"/>
              </w:rPr>
            </w:pPr>
            <w:r>
              <w:rPr>
                <w:rFonts w:ascii="Arial" w:cs="Arial" w:eastAsia="Arial" w:hAnsi="Arial"/>
                <w:sz w:val="18"/>
                <w:szCs w:val="18"/>
                <w:color w:val="auto"/>
              </w:rPr>
              <w:t>$610,000</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$647,000</w:t>
            </w:r>
          </w:p>
        </w:tc>
      </w:tr>
      <w:tr>
        <w:trPr>
          <w:trHeight w:val="270"/>
        </w:trPr>
        <w:tc>
          <w:tcPr>
            <w:tcW w:w="276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1880" w:type="dxa"/>
            <w:vAlign w:val="bottom"/>
          </w:tcPr>
          <w:p>
            <w:pPr>
              <w:jc w:val="right"/>
              <w:ind w:right="99"/>
              <w:spacing w:after="0"/>
              <w:rPr>
                <w:sz w:val="20"/>
                <w:szCs w:val="20"/>
                <w:color w:val="auto"/>
              </w:rPr>
            </w:pPr>
            <w:r>
              <w:rPr>
                <w:rFonts w:ascii="Arial" w:cs="Arial" w:eastAsia="Arial" w:hAnsi="Arial"/>
                <w:sz w:val="18"/>
                <w:szCs w:val="18"/>
                <w:color w:val="auto"/>
              </w:rPr>
              <w:t>460,000</w:t>
            </w:r>
          </w:p>
        </w:tc>
        <w:tc>
          <w:tcPr>
            <w:tcW w:w="1200" w:type="dxa"/>
            <w:vAlign w:val="bottom"/>
          </w:tcPr>
          <w:p>
            <w:pPr>
              <w:jc w:val="right"/>
              <w:ind w:right="117"/>
              <w:spacing w:after="0"/>
              <w:rPr>
                <w:sz w:val="20"/>
                <w:szCs w:val="20"/>
                <w:color w:val="auto"/>
              </w:rPr>
            </w:pPr>
            <w:r>
              <w:rPr>
                <w:rFonts w:ascii="Arial" w:cs="Arial" w:eastAsia="Arial" w:hAnsi="Arial"/>
                <w:sz w:val="18"/>
                <w:szCs w:val="18"/>
                <w:color w:val="auto"/>
              </w:rPr>
              <w:t>488,000</w:t>
            </w:r>
          </w:p>
        </w:tc>
      </w:tr>
      <w:tr>
        <w:trPr>
          <w:trHeight w:val="270"/>
        </w:trPr>
        <w:tc>
          <w:tcPr>
            <w:tcW w:w="2760" w:type="dxa"/>
            <w:vAlign w:val="bottom"/>
          </w:tcPr>
          <w:p>
            <w:pPr>
              <w:ind w:left="180"/>
              <w:spacing w:after="0"/>
              <w:rPr>
                <w:sz w:val="20"/>
                <w:szCs w:val="20"/>
                <w:color w:val="auto"/>
              </w:rPr>
            </w:pPr>
            <w:r>
              <w:rPr>
                <w:rFonts w:ascii="Arial" w:cs="Arial" w:eastAsia="Arial" w:hAnsi="Arial"/>
                <w:sz w:val="18"/>
                <w:szCs w:val="18"/>
                <w:color w:val="auto"/>
              </w:rPr>
              <w:t>Bruce K. Posey</w:t>
            </w:r>
          </w:p>
        </w:tc>
        <w:tc>
          <w:tcPr>
            <w:tcW w:w="1880" w:type="dxa"/>
            <w:vAlign w:val="bottom"/>
          </w:tcPr>
          <w:p>
            <w:pPr>
              <w:jc w:val="right"/>
              <w:ind w:right="99"/>
              <w:spacing w:after="0"/>
              <w:rPr>
                <w:sz w:val="20"/>
                <w:szCs w:val="20"/>
                <w:color w:val="auto"/>
              </w:rPr>
            </w:pPr>
            <w:r>
              <w:rPr>
                <w:rFonts w:ascii="Arial" w:cs="Arial" w:eastAsia="Arial" w:hAnsi="Arial"/>
                <w:sz w:val="18"/>
                <w:szCs w:val="18"/>
                <w:color w:val="auto"/>
              </w:rPr>
              <w:t>390,000</w:t>
            </w:r>
          </w:p>
        </w:tc>
        <w:tc>
          <w:tcPr>
            <w:tcW w:w="1200" w:type="dxa"/>
            <w:vAlign w:val="bottom"/>
          </w:tcPr>
          <w:p>
            <w:pPr>
              <w:jc w:val="right"/>
              <w:ind w:right="117"/>
              <w:spacing w:after="0"/>
              <w:rPr>
                <w:sz w:val="20"/>
                <w:szCs w:val="20"/>
                <w:color w:val="auto"/>
              </w:rPr>
            </w:pPr>
            <w:r>
              <w:rPr>
                <w:rFonts w:ascii="Arial" w:cs="Arial" w:eastAsia="Arial" w:hAnsi="Arial"/>
                <w:sz w:val="18"/>
                <w:szCs w:val="18"/>
                <w:color w:val="auto"/>
              </w:rPr>
              <w:t>413,000</w:t>
            </w:r>
          </w:p>
        </w:tc>
      </w:tr>
    </w:tbl>
    <w:p>
      <w:pPr>
        <w:spacing w:after="0" w:line="180"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 xml:space="preserve">The total base salaries paid to our named executive officers during 2025 are set forth in the section entitled “2025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below.</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2025 Corporate Bonus Plan</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and Talent Committee selects challenging objectives that are achievable only by strong performance.</w:t>
      </w:r>
    </w:p>
    <w:p>
      <w:pPr>
        <w:spacing w:after="0" w:line="179"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named executive officers participated in our 2025 Corporate Bonus Plan, which provided them with an opportunity to receive formula-based incentive amounts on a quarterly basis. Our Compensation and Talent Committee decided this was the most appropriate measure of time to determine achievement of our short-term objectives because it aligns with the time periods for which we give external guidance.</w:t>
      </w:r>
    </w:p>
    <w:p>
      <w:pPr>
        <w:spacing w:after="0" w:line="176"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Our Compensation and Talent Committee typically reviews and considers adjustments to our named executive officers’ target bonus opportunities on an annual basis. When doing so, our Compensation and Talent Committee considers factors such as the prevalent practices among our peer group companies, the mix of our target pay program between fixed vs. variable compensation and cash vs. equity compensation, internal equity among our executive officers, and recent company and individual performance.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53" w:name="page54"/>
    <w:bookmarkEnd w:id="53"/>
    <w:p>
      <w:pPr>
        <w:jc w:val="both"/>
        <w:ind w:left="500" w:right="519" w:firstLine="360"/>
        <w:spacing w:after="0" w:line="246" w:lineRule="auto"/>
        <w:rPr>
          <w:sz w:val="20"/>
          <w:szCs w:val="20"/>
          <w:color w:val="auto"/>
        </w:rPr>
      </w:pPr>
      <w:r>
        <w:rPr>
          <w:rFonts w:ascii="Arial" w:cs="Arial" w:eastAsia="Arial" w:hAnsi="Arial"/>
          <w:sz w:val="18"/>
          <w:szCs w:val="18"/>
          <w:color w:val="auto"/>
        </w:rPr>
        <w:t>The target bonus opportunity under the 2025 Corporate Bonus Plan, expressed as a percentage of each named executive officer’s base salary for that quarter as of the last day of the applicable quarter, of each named executive officer that participated in the 2025 Corporate Bonus Plan is listed in the table below.</w:t>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2540" w:type="dxa"/>
            <w:vAlign w:val="bottom"/>
            <w:shd w:val="clear" w:color="auto" w:fill="1D3965"/>
          </w:tcPr>
          <w:p>
            <w:pPr>
              <w:spacing w:after="0"/>
              <w:rPr>
                <w:sz w:val="22"/>
                <w:szCs w:val="22"/>
                <w:color w:val="auto"/>
              </w:rPr>
            </w:pPr>
          </w:p>
        </w:tc>
        <w:tc>
          <w:tcPr>
            <w:tcW w:w="1740" w:type="dxa"/>
            <w:vAlign w:val="bottom"/>
            <w:shd w:val="clear" w:color="auto" w:fill="1D3965"/>
          </w:tcPr>
          <w:p>
            <w:pPr>
              <w:jc w:val="center"/>
              <w:ind w:left="420"/>
              <w:spacing w:after="0"/>
              <w:rPr>
                <w:sz w:val="20"/>
                <w:szCs w:val="20"/>
                <w:color w:val="auto"/>
              </w:rPr>
            </w:pPr>
            <w:r>
              <w:rPr>
                <w:rFonts w:ascii="Arial" w:cs="Arial" w:eastAsia="Arial" w:hAnsi="Arial"/>
                <w:sz w:val="14"/>
                <w:szCs w:val="14"/>
                <w:b w:val="1"/>
                <w:bCs w:val="1"/>
                <w:color w:val="FFFFFF"/>
              </w:rPr>
              <w:t>Target Bonus</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Target Bonus</w:t>
            </w:r>
          </w:p>
        </w:tc>
        <w:tc>
          <w:tcPr>
            <w:tcW w:w="1280" w:type="dxa"/>
            <w:vAlign w:val="bottom"/>
            <w:shd w:val="clear" w:color="auto" w:fill="1D3965"/>
          </w:tcPr>
          <w:p>
            <w:pPr>
              <w:spacing w:after="0"/>
              <w:rPr>
                <w:sz w:val="22"/>
                <w:szCs w:val="22"/>
                <w:color w:val="auto"/>
              </w:rPr>
            </w:pPr>
          </w:p>
        </w:tc>
        <w:tc>
          <w:tcPr>
            <w:tcW w:w="1200" w:type="dxa"/>
            <w:vAlign w:val="bottom"/>
            <w:shd w:val="clear" w:color="auto" w:fill="1D3965"/>
          </w:tcPr>
          <w:p>
            <w:pPr>
              <w:spacing w:after="0"/>
              <w:rPr>
                <w:sz w:val="22"/>
                <w:szCs w:val="22"/>
                <w:color w:val="auto"/>
              </w:rPr>
            </w:pPr>
          </w:p>
        </w:tc>
      </w:tr>
      <w:tr>
        <w:trPr>
          <w:trHeight w:val="162"/>
        </w:trPr>
        <w:tc>
          <w:tcPr>
            <w:tcW w:w="2540" w:type="dxa"/>
            <w:vAlign w:val="bottom"/>
            <w:shd w:val="clear" w:color="auto" w:fill="1D3965"/>
          </w:tcPr>
          <w:p>
            <w:pPr>
              <w:spacing w:after="0"/>
              <w:rPr>
                <w:sz w:val="14"/>
                <w:szCs w:val="14"/>
                <w:color w:val="auto"/>
              </w:rPr>
            </w:pPr>
          </w:p>
        </w:tc>
        <w:tc>
          <w:tcPr>
            <w:tcW w:w="1740" w:type="dxa"/>
            <w:vAlign w:val="bottom"/>
            <w:shd w:val="clear" w:color="auto" w:fill="1D3965"/>
          </w:tcPr>
          <w:p>
            <w:pPr>
              <w:jc w:val="center"/>
              <w:ind w:left="460"/>
              <w:spacing w:after="0"/>
              <w:rPr>
                <w:sz w:val="20"/>
                <w:szCs w:val="20"/>
                <w:color w:val="auto"/>
              </w:rPr>
            </w:pPr>
            <w:r>
              <w:rPr>
                <w:rFonts w:ascii="Arial" w:cs="Arial" w:eastAsia="Arial" w:hAnsi="Arial"/>
                <w:sz w:val="14"/>
                <w:szCs w:val="14"/>
                <w:b w:val="1"/>
                <w:bCs w:val="1"/>
                <w:color w:val="FFFFFF"/>
              </w:rPr>
              <w:t>Percentage</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Percentage</w:t>
            </w:r>
          </w:p>
        </w:tc>
        <w:tc>
          <w:tcPr>
            <w:tcW w:w="12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Target Bonus</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Target Bonus</w:t>
            </w:r>
          </w:p>
        </w:tc>
      </w:tr>
      <w:tr>
        <w:trPr>
          <w:trHeight w:val="162"/>
        </w:trPr>
        <w:tc>
          <w:tcPr>
            <w:tcW w:w="2540" w:type="dxa"/>
            <w:vAlign w:val="bottom"/>
            <w:shd w:val="clear" w:color="auto" w:fill="1D3965"/>
          </w:tcPr>
          <w:p>
            <w:pPr>
              <w:spacing w:after="0"/>
              <w:rPr>
                <w:sz w:val="14"/>
                <w:szCs w:val="14"/>
                <w:color w:val="auto"/>
              </w:rPr>
            </w:pPr>
          </w:p>
        </w:tc>
        <w:tc>
          <w:tcPr>
            <w:tcW w:w="1740" w:type="dxa"/>
            <w:vAlign w:val="bottom"/>
            <w:shd w:val="clear" w:color="auto" w:fill="1D3965"/>
          </w:tcPr>
          <w:p>
            <w:pPr>
              <w:jc w:val="center"/>
              <w:ind w:left="420"/>
              <w:spacing w:after="0"/>
              <w:rPr>
                <w:sz w:val="20"/>
                <w:szCs w:val="20"/>
                <w:color w:val="auto"/>
              </w:rPr>
            </w:pPr>
            <w:r>
              <w:rPr>
                <w:rFonts w:ascii="Arial" w:cs="Arial" w:eastAsia="Arial" w:hAnsi="Arial"/>
                <w:sz w:val="14"/>
                <w:szCs w:val="14"/>
                <w:b w:val="1"/>
                <w:bCs w:val="1"/>
                <w:color w:val="FFFFFF"/>
              </w:rPr>
              <w:t>for</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for</w:t>
            </w:r>
          </w:p>
        </w:tc>
        <w:tc>
          <w:tcPr>
            <w:tcW w:w="12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Percentage for</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Percentage for</w:t>
            </w:r>
          </w:p>
        </w:tc>
      </w:tr>
      <w:tr>
        <w:trPr>
          <w:trHeight w:val="198"/>
        </w:trPr>
        <w:tc>
          <w:tcPr>
            <w:tcW w:w="2540" w:type="dxa"/>
            <w:vAlign w:val="bottom"/>
            <w:shd w:val="clear" w:color="auto" w:fill="1D3965"/>
          </w:tcPr>
          <w:p>
            <w:pPr>
              <w:ind w:left="180"/>
              <w:spacing w:after="0"/>
              <w:rPr>
                <w:sz w:val="20"/>
                <w:szCs w:val="20"/>
                <w:color w:val="auto"/>
              </w:rPr>
            </w:pPr>
            <w:r>
              <w:rPr>
                <w:rFonts w:ascii="Arial" w:cs="Arial" w:eastAsia="Arial" w:hAnsi="Arial"/>
                <w:sz w:val="14"/>
                <w:szCs w:val="14"/>
                <w:b w:val="1"/>
                <w:bCs w:val="1"/>
                <w:color w:val="FFFFFF"/>
              </w:rPr>
              <w:t>Named Executive Officer</w:t>
            </w:r>
          </w:p>
        </w:tc>
        <w:tc>
          <w:tcPr>
            <w:tcW w:w="1740" w:type="dxa"/>
            <w:vAlign w:val="bottom"/>
            <w:shd w:val="clear" w:color="auto" w:fill="1D3965"/>
          </w:tcPr>
          <w:p>
            <w:pPr>
              <w:jc w:val="center"/>
              <w:ind w:left="460"/>
              <w:spacing w:after="0"/>
              <w:rPr>
                <w:sz w:val="20"/>
                <w:szCs w:val="20"/>
                <w:color w:val="auto"/>
              </w:rPr>
            </w:pPr>
            <w:r>
              <w:rPr>
                <w:rFonts w:ascii="Arial" w:cs="Arial" w:eastAsia="Arial" w:hAnsi="Arial"/>
                <w:sz w:val="14"/>
                <w:szCs w:val="14"/>
                <w:b w:val="1"/>
                <w:bCs w:val="1"/>
                <w:color w:val="FFFFFF"/>
              </w:rPr>
              <w:t>Q1</w:t>
            </w:r>
          </w:p>
        </w:tc>
        <w:tc>
          <w:tcPr>
            <w:tcW w:w="12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Q2</w:t>
            </w:r>
          </w:p>
        </w:tc>
        <w:tc>
          <w:tcPr>
            <w:tcW w:w="12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6"/>
              </w:rPr>
              <w:t>Q3</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6"/>
              </w:rPr>
              <w:t>Q4</w:t>
            </w:r>
          </w:p>
        </w:tc>
      </w:tr>
      <w:tr>
        <w:trPr>
          <w:trHeight w:val="224"/>
        </w:trPr>
        <w:tc>
          <w:tcPr>
            <w:tcW w:w="2540" w:type="dxa"/>
            <w:vAlign w:val="bottom"/>
          </w:tcPr>
          <w:p>
            <w:pPr>
              <w:ind w:left="180"/>
              <w:spacing w:after="0"/>
              <w:rPr>
                <w:sz w:val="20"/>
                <w:szCs w:val="20"/>
                <w:color w:val="auto"/>
              </w:rPr>
            </w:pPr>
            <w:r>
              <w:rPr>
                <w:rFonts w:ascii="Arial" w:cs="Arial" w:eastAsia="Arial" w:hAnsi="Arial"/>
                <w:sz w:val="18"/>
                <w:szCs w:val="18"/>
                <w:color w:val="auto"/>
              </w:rPr>
              <w:t>Sumedh S. Thakar</w:t>
            </w:r>
          </w:p>
        </w:tc>
        <w:tc>
          <w:tcPr>
            <w:tcW w:w="1740" w:type="dxa"/>
            <w:vAlign w:val="bottom"/>
          </w:tcPr>
          <w:p>
            <w:pPr>
              <w:jc w:val="right"/>
              <w:ind w:right="200"/>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200"/>
              <w:spacing w:after="0"/>
              <w:rPr>
                <w:sz w:val="20"/>
                <w:szCs w:val="20"/>
                <w:color w:val="auto"/>
              </w:rPr>
            </w:pPr>
            <w:r>
              <w:rPr>
                <w:rFonts w:ascii="Arial" w:cs="Arial" w:eastAsia="Arial" w:hAnsi="Arial"/>
                <w:sz w:val="18"/>
                <w:szCs w:val="18"/>
                <w:color w:val="auto"/>
              </w:rPr>
              <w:t>100%</w:t>
            </w:r>
          </w:p>
        </w:tc>
        <w:tc>
          <w:tcPr>
            <w:tcW w:w="1280" w:type="dxa"/>
            <w:vAlign w:val="bottom"/>
          </w:tcPr>
          <w:p>
            <w:pPr>
              <w:jc w:val="right"/>
              <w:ind w:right="239"/>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179"/>
              <w:spacing w:after="0"/>
              <w:rPr>
                <w:sz w:val="20"/>
                <w:szCs w:val="20"/>
                <w:color w:val="auto"/>
              </w:rPr>
            </w:pPr>
            <w:r>
              <w:rPr>
                <w:rFonts w:ascii="Arial" w:cs="Arial" w:eastAsia="Arial" w:hAnsi="Arial"/>
                <w:sz w:val="18"/>
                <w:szCs w:val="18"/>
                <w:color w:val="auto"/>
              </w:rPr>
              <w:t>100%</w:t>
            </w: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1740" w:type="dxa"/>
            <w:vAlign w:val="bottom"/>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tcPr>
          <w:p>
            <w:pPr>
              <w:jc w:val="right"/>
              <w:ind w:right="200"/>
              <w:spacing w:after="0"/>
              <w:rPr>
                <w:sz w:val="20"/>
                <w:szCs w:val="20"/>
                <w:color w:val="auto"/>
              </w:rPr>
            </w:pPr>
            <w:r>
              <w:rPr>
                <w:rFonts w:ascii="Arial" w:cs="Arial" w:eastAsia="Arial" w:hAnsi="Arial"/>
                <w:sz w:val="18"/>
                <w:szCs w:val="18"/>
                <w:color w:val="auto"/>
              </w:rPr>
              <w:t>75%</w:t>
            </w:r>
          </w:p>
        </w:tc>
        <w:tc>
          <w:tcPr>
            <w:tcW w:w="1280" w:type="dxa"/>
            <w:vAlign w:val="bottom"/>
          </w:tcPr>
          <w:p>
            <w:pPr>
              <w:jc w:val="right"/>
              <w:ind w:right="239"/>
              <w:spacing w:after="0"/>
              <w:rPr>
                <w:sz w:val="20"/>
                <w:szCs w:val="20"/>
                <w:color w:val="auto"/>
              </w:rPr>
            </w:pPr>
            <w:r>
              <w:rPr>
                <w:rFonts w:ascii="Arial" w:cs="Arial" w:eastAsia="Arial" w:hAnsi="Arial"/>
                <w:sz w:val="18"/>
                <w:szCs w:val="18"/>
                <w:color w:val="auto"/>
              </w:rPr>
              <w:t>75%</w:t>
            </w:r>
          </w:p>
        </w:tc>
        <w:tc>
          <w:tcPr>
            <w:tcW w:w="1200" w:type="dxa"/>
            <w:vAlign w:val="bottom"/>
          </w:tcPr>
          <w:p>
            <w:pPr>
              <w:jc w:val="right"/>
              <w:ind w:right="199"/>
              <w:spacing w:after="0"/>
              <w:rPr>
                <w:sz w:val="20"/>
                <w:szCs w:val="20"/>
                <w:color w:val="auto"/>
              </w:rPr>
            </w:pPr>
            <w:r>
              <w:rPr>
                <w:rFonts w:ascii="Arial" w:cs="Arial" w:eastAsia="Arial" w:hAnsi="Arial"/>
                <w:sz w:val="18"/>
                <w:szCs w:val="18"/>
                <w:color w:val="auto"/>
              </w:rPr>
              <w:t>75%</w:t>
            </w:r>
          </w:p>
        </w:tc>
      </w:tr>
      <w:tr>
        <w:trPr>
          <w:trHeight w:val="239"/>
        </w:trPr>
        <w:tc>
          <w:tcPr>
            <w:tcW w:w="2540" w:type="dxa"/>
            <w:vAlign w:val="bottom"/>
          </w:tcPr>
          <w:p>
            <w:pPr>
              <w:ind w:left="180"/>
              <w:spacing w:after="0"/>
              <w:rPr>
                <w:sz w:val="20"/>
                <w:szCs w:val="20"/>
                <w:color w:val="auto"/>
              </w:rPr>
            </w:pPr>
            <w:r>
              <w:rPr>
                <w:rFonts w:ascii="Arial" w:cs="Arial" w:eastAsia="Arial" w:hAnsi="Arial"/>
                <w:sz w:val="18"/>
                <w:szCs w:val="18"/>
                <w:color w:val="auto"/>
              </w:rPr>
              <w:t>Bruce K. Posey</w:t>
            </w:r>
          </w:p>
        </w:tc>
        <w:tc>
          <w:tcPr>
            <w:tcW w:w="1740" w:type="dxa"/>
            <w:vAlign w:val="bottom"/>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tcPr>
          <w:p>
            <w:pPr>
              <w:jc w:val="right"/>
              <w:ind w:right="200"/>
              <w:spacing w:after="0"/>
              <w:rPr>
                <w:sz w:val="20"/>
                <w:szCs w:val="20"/>
                <w:color w:val="auto"/>
              </w:rPr>
            </w:pPr>
            <w:r>
              <w:rPr>
                <w:rFonts w:ascii="Arial" w:cs="Arial" w:eastAsia="Arial" w:hAnsi="Arial"/>
                <w:sz w:val="18"/>
                <w:szCs w:val="18"/>
                <w:color w:val="auto"/>
              </w:rPr>
              <w:t>60%</w:t>
            </w:r>
          </w:p>
        </w:tc>
        <w:tc>
          <w:tcPr>
            <w:tcW w:w="1280" w:type="dxa"/>
            <w:vAlign w:val="bottom"/>
          </w:tcPr>
          <w:p>
            <w:pPr>
              <w:jc w:val="right"/>
              <w:ind w:right="239"/>
              <w:spacing w:after="0"/>
              <w:rPr>
                <w:sz w:val="20"/>
                <w:szCs w:val="20"/>
                <w:color w:val="auto"/>
              </w:rPr>
            </w:pPr>
            <w:r>
              <w:rPr>
                <w:rFonts w:ascii="Arial" w:cs="Arial" w:eastAsia="Arial" w:hAnsi="Arial"/>
                <w:sz w:val="18"/>
                <w:szCs w:val="18"/>
                <w:color w:val="auto"/>
              </w:rPr>
              <w:t>60%</w:t>
            </w:r>
          </w:p>
        </w:tc>
        <w:tc>
          <w:tcPr>
            <w:tcW w:w="1200" w:type="dxa"/>
            <w:vAlign w:val="bottom"/>
          </w:tcPr>
          <w:p>
            <w:pPr>
              <w:jc w:val="right"/>
              <w:ind w:right="199"/>
              <w:spacing w:after="0"/>
              <w:rPr>
                <w:sz w:val="20"/>
                <w:szCs w:val="20"/>
                <w:color w:val="auto"/>
              </w:rPr>
            </w:pPr>
            <w:r>
              <w:rPr>
                <w:rFonts w:ascii="Arial" w:cs="Arial" w:eastAsia="Arial" w:hAnsi="Arial"/>
                <w:sz w:val="18"/>
                <w:szCs w:val="18"/>
                <w:color w:val="auto"/>
              </w:rPr>
              <w:t>60%</w:t>
            </w:r>
          </w:p>
        </w:tc>
      </w:tr>
    </w:tbl>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For 2025, the performance metrics used to determine bonuses continued to be (i) growth in our bookings for the applicable quarter over the same quarter of the prior year, (ii) growth in revenues over the same quarter in 2024 and (iii) non-GAAP earnings per diluted share, with all three metrics weighted equally. Our Compensation and Talent Committee selected these three metrics, which measure sales growth and profitability, as the corporate performance metrics that best supported our annual operating plan and represent drivers of stockholder value creation. For each of the three equally-weighted metrics, the payout percentage was capped at 125% of target.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These three metrics were calculated as follows:</w:t>
      </w:r>
    </w:p>
    <w:p>
      <w:pPr>
        <w:spacing w:after="0" w:line="104" w:lineRule="exact"/>
        <w:rPr>
          <w:sz w:val="20"/>
          <w:szCs w:val="20"/>
          <w:color w:val="auto"/>
        </w:rPr>
      </w:pPr>
    </w:p>
    <w:p>
      <w:pPr>
        <w:jc w:val="both"/>
        <w:ind w:left="1420" w:right="519" w:hanging="264"/>
        <w:spacing w:after="0" w:line="228" w:lineRule="auto"/>
        <w:tabs>
          <w:tab w:leader="none" w:pos="142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 for which there is no directly comparable GAAP measure.</w:t>
      </w:r>
    </w:p>
    <w:p>
      <w:pPr>
        <w:spacing w:after="0" w:line="72" w:lineRule="exact"/>
        <w:rPr>
          <w:rFonts w:ascii="Arial" w:cs="Arial" w:eastAsia="Arial" w:hAnsi="Arial"/>
          <w:sz w:val="25"/>
          <w:szCs w:val="25"/>
          <w:color w:val="auto"/>
          <w:vertAlign w:val="superscript"/>
        </w:rPr>
      </w:pPr>
    </w:p>
    <w:p>
      <w:pPr>
        <w:ind w:left="1420" w:right="519" w:hanging="264"/>
        <w:spacing w:after="0" w:line="214" w:lineRule="auto"/>
        <w:tabs>
          <w:tab w:leader="none" w:pos="142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Revenues was determined in accordance with GAAP and set forth in our quarterly and annual financial statements.</w:t>
      </w:r>
    </w:p>
    <w:p>
      <w:pPr>
        <w:spacing w:after="0" w:line="72" w:lineRule="exact"/>
        <w:rPr>
          <w:rFonts w:ascii="Arial" w:cs="Arial" w:eastAsia="Arial" w:hAnsi="Arial"/>
          <w:sz w:val="25"/>
          <w:szCs w:val="25"/>
          <w:color w:val="auto"/>
          <w:vertAlign w:val="superscript"/>
        </w:rPr>
      </w:pPr>
    </w:p>
    <w:p>
      <w:pPr>
        <w:jc w:val="both"/>
        <w:ind w:left="1420" w:right="519" w:hanging="264"/>
        <w:spacing w:after="0" w:line="227" w:lineRule="auto"/>
        <w:tabs>
          <w:tab w:leader="none" w:pos="142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 xml:space="preserve">Non-GAAP earnings per diluted share measure was calculated as GAAP net income adjusted for (i) stock-based compensation expense, (ii) amortization of acquired technology, (iii) non-recurring charges such as acquisition related expenses and (iv) the related income tax effects of these adjustments, divided by weighted average shares (diluted) for the applicable quarter.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contains a reconciliation of this non-GAAP financial measure to its most directly comparable GAAP measure.</w:t>
      </w:r>
    </w:p>
    <w:p>
      <w:pPr>
        <w:spacing w:after="0" w:line="180"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and Talent Committee’s forecasts. The Compensation and Talent Committee made no adjustments to any of these metrics in 2025.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4" w:name="page55"/>
    <w:bookmarkEnd w:id="54"/>
    <w:p>
      <w:pPr>
        <w:jc w:val="both"/>
        <w:ind w:left="500" w:right="519" w:firstLine="360"/>
        <w:spacing w:after="0" w:line="270" w:lineRule="auto"/>
        <w:rPr>
          <w:sz w:val="20"/>
          <w:szCs w:val="20"/>
          <w:color w:val="auto"/>
        </w:rPr>
      </w:pPr>
      <w:r>
        <w:rPr>
          <w:rFonts w:ascii="Arial" w:cs="Arial" w:eastAsia="Arial" w:hAnsi="Arial"/>
          <w:sz w:val="18"/>
          <w:szCs w:val="18"/>
          <w:color w:val="auto"/>
        </w:rPr>
        <w:t>The target award amounts for our named executive officers in each quarter of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67310</wp:posOffset>
            </wp:positionV>
            <wp:extent cx="50749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74920" cy="27432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2025 Corporate Bonus Plan Target Awards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2420" w:type="dxa"/>
            <w:vAlign w:val="bottom"/>
            <w:shd w:val="clear" w:color="auto" w:fill="1D3965"/>
          </w:tcPr>
          <w:p>
            <w:pPr>
              <w:spacing w:after="0"/>
              <w:rPr>
                <w:sz w:val="22"/>
                <w:szCs w:val="22"/>
                <w:color w:val="auto"/>
              </w:rPr>
            </w:pPr>
          </w:p>
        </w:tc>
        <w:tc>
          <w:tcPr>
            <w:tcW w:w="1460" w:type="dxa"/>
            <w:vAlign w:val="bottom"/>
            <w:shd w:val="clear" w:color="auto" w:fill="1D3965"/>
          </w:tcPr>
          <w:p>
            <w:pPr>
              <w:jc w:val="right"/>
              <w:ind w:right="357"/>
              <w:spacing w:after="0"/>
              <w:rPr>
                <w:sz w:val="20"/>
                <w:szCs w:val="20"/>
                <w:color w:val="auto"/>
              </w:rPr>
            </w:pPr>
            <w:r>
              <w:rPr>
                <w:rFonts w:ascii="Arial" w:cs="Arial" w:eastAsia="Arial" w:hAnsi="Arial"/>
                <w:sz w:val="14"/>
                <w:szCs w:val="14"/>
                <w:b w:val="1"/>
                <w:bCs w:val="1"/>
                <w:color w:val="FFFFFF"/>
              </w:rPr>
              <w:t>Q1</w:t>
            </w:r>
          </w:p>
        </w:tc>
        <w:tc>
          <w:tcPr>
            <w:tcW w:w="1060" w:type="dxa"/>
            <w:vAlign w:val="bottom"/>
            <w:shd w:val="clear" w:color="auto" w:fill="1D3965"/>
          </w:tcPr>
          <w:p>
            <w:pPr>
              <w:jc w:val="right"/>
              <w:ind w:right="377"/>
              <w:spacing w:after="0"/>
              <w:rPr>
                <w:sz w:val="20"/>
                <w:szCs w:val="20"/>
                <w:color w:val="auto"/>
              </w:rPr>
            </w:pPr>
            <w:r>
              <w:rPr>
                <w:rFonts w:ascii="Arial" w:cs="Arial" w:eastAsia="Arial" w:hAnsi="Arial"/>
                <w:sz w:val="14"/>
                <w:szCs w:val="14"/>
                <w:b w:val="1"/>
                <w:bCs w:val="1"/>
                <w:color w:val="FFFFFF"/>
              </w:rPr>
              <w:t>Q2</w:t>
            </w:r>
          </w:p>
        </w:tc>
        <w:tc>
          <w:tcPr>
            <w:tcW w:w="1040" w:type="dxa"/>
            <w:vAlign w:val="bottom"/>
            <w:shd w:val="clear" w:color="auto" w:fill="1D3965"/>
          </w:tcPr>
          <w:p>
            <w:pPr>
              <w:jc w:val="right"/>
              <w:ind w:right="357"/>
              <w:spacing w:after="0"/>
              <w:rPr>
                <w:sz w:val="20"/>
                <w:szCs w:val="20"/>
                <w:color w:val="auto"/>
              </w:rPr>
            </w:pPr>
            <w:r>
              <w:rPr>
                <w:rFonts w:ascii="Arial" w:cs="Arial" w:eastAsia="Arial" w:hAnsi="Arial"/>
                <w:sz w:val="14"/>
                <w:szCs w:val="14"/>
                <w:b w:val="1"/>
                <w:bCs w:val="1"/>
                <w:color w:val="FFFFFF"/>
              </w:rPr>
              <w:t>Q3</w:t>
            </w:r>
          </w:p>
        </w:tc>
        <w:tc>
          <w:tcPr>
            <w:tcW w:w="1060" w:type="dxa"/>
            <w:vAlign w:val="bottom"/>
            <w:shd w:val="clear" w:color="auto" w:fill="1D3965"/>
          </w:tcPr>
          <w:p>
            <w:pPr>
              <w:jc w:val="right"/>
              <w:ind w:right="357"/>
              <w:spacing w:after="0"/>
              <w:rPr>
                <w:sz w:val="20"/>
                <w:szCs w:val="20"/>
                <w:color w:val="auto"/>
              </w:rPr>
            </w:pPr>
            <w:r>
              <w:rPr>
                <w:rFonts w:ascii="Arial" w:cs="Arial" w:eastAsia="Arial" w:hAnsi="Arial"/>
                <w:sz w:val="14"/>
                <w:szCs w:val="14"/>
                <w:b w:val="1"/>
                <w:bCs w:val="1"/>
                <w:color w:val="FFFFFF"/>
              </w:rPr>
              <w:t>Q4</w:t>
            </w:r>
          </w:p>
        </w:tc>
        <w:tc>
          <w:tcPr>
            <w:tcW w:w="960" w:type="dxa"/>
            <w:vAlign w:val="bottom"/>
            <w:shd w:val="clear" w:color="auto" w:fill="1D3965"/>
          </w:tcPr>
          <w:p>
            <w:pPr>
              <w:jc w:val="right"/>
              <w:ind w:right="197"/>
              <w:spacing w:after="0"/>
              <w:rPr>
                <w:sz w:val="20"/>
                <w:szCs w:val="20"/>
                <w:color w:val="auto"/>
              </w:rPr>
            </w:pPr>
            <w:r>
              <w:rPr>
                <w:rFonts w:ascii="Arial" w:cs="Arial" w:eastAsia="Arial" w:hAnsi="Arial"/>
                <w:sz w:val="14"/>
                <w:szCs w:val="14"/>
                <w:b w:val="1"/>
                <w:bCs w:val="1"/>
                <w:color w:val="FFFFFF"/>
              </w:rPr>
              <w:t>Total</w:t>
            </w:r>
          </w:p>
        </w:tc>
      </w:tr>
      <w:tr>
        <w:trPr>
          <w:trHeight w:val="198"/>
        </w:trPr>
        <w:tc>
          <w:tcPr>
            <w:tcW w:w="2420" w:type="dxa"/>
            <w:vAlign w:val="bottom"/>
            <w:shd w:val="clear" w:color="auto" w:fill="1D3965"/>
          </w:tcPr>
          <w:p>
            <w:pPr>
              <w:ind w:left="160"/>
              <w:spacing w:after="0"/>
              <w:rPr>
                <w:sz w:val="20"/>
                <w:szCs w:val="20"/>
                <w:color w:val="auto"/>
              </w:rPr>
            </w:pPr>
            <w:r>
              <w:rPr>
                <w:rFonts w:ascii="Arial" w:cs="Arial" w:eastAsia="Arial" w:hAnsi="Arial"/>
                <w:sz w:val="14"/>
                <w:szCs w:val="14"/>
                <w:b w:val="1"/>
                <w:bCs w:val="1"/>
                <w:color w:val="FFFFFF"/>
              </w:rPr>
              <w:t>Named Executive Officer</w:t>
            </w:r>
          </w:p>
        </w:tc>
        <w:tc>
          <w:tcPr>
            <w:tcW w:w="1460" w:type="dxa"/>
            <w:vAlign w:val="bottom"/>
            <w:shd w:val="clear" w:color="auto" w:fill="1D3965"/>
          </w:tcPr>
          <w:p>
            <w:pPr>
              <w:jc w:val="right"/>
              <w:ind w:right="217"/>
              <w:spacing w:after="0"/>
              <w:rPr>
                <w:sz w:val="20"/>
                <w:szCs w:val="20"/>
                <w:color w:val="auto"/>
              </w:rPr>
            </w:pPr>
            <w:r>
              <w:rPr>
                <w:rFonts w:ascii="Arial" w:cs="Arial" w:eastAsia="Arial" w:hAnsi="Arial"/>
                <w:sz w:val="14"/>
                <w:szCs w:val="14"/>
                <w:b w:val="1"/>
                <w:bCs w:val="1"/>
                <w:color w:val="FFFFFF"/>
              </w:rPr>
              <w:t>Target</w:t>
            </w:r>
          </w:p>
        </w:tc>
        <w:tc>
          <w:tcPr>
            <w:tcW w:w="1060" w:type="dxa"/>
            <w:vAlign w:val="bottom"/>
            <w:shd w:val="clear" w:color="auto" w:fill="1D3965"/>
          </w:tcPr>
          <w:p>
            <w:pPr>
              <w:jc w:val="right"/>
              <w:ind w:right="237"/>
              <w:spacing w:after="0"/>
              <w:rPr>
                <w:sz w:val="20"/>
                <w:szCs w:val="20"/>
                <w:color w:val="auto"/>
              </w:rPr>
            </w:pPr>
            <w:r>
              <w:rPr>
                <w:rFonts w:ascii="Arial" w:cs="Arial" w:eastAsia="Arial" w:hAnsi="Arial"/>
                <w:sz w:val="14"/>
                <w:szCs w:val="14"/>
                <w:b w:val="1"/>
                <w:bCs w:val="1"/>
                <w:color w:val="FFFFFF"/>
              </w:rPr>
              <w:t>Target</w:t>
            </w:r>
          </w:p>
        </w:tc>
        <w:tc>
          <w:tcPr>
            <w:tcW w:w="1040" w:type="dxa"/>
            <w:vAlign w:val="bottom"/>
            <w:shd w:val="clear" w:color="auto" w:fill="1D3965"/>
          </w:tcPr>
          <w:p>
            <w:pPr>
              <w:jc w:val="right"/>
              <w:ind w:right="217"/>
              <w:spacing w:after="0"/>
              <w:rPr>
                <w:sz w:val="20"/>
                <w:szCs w:val="20"/>
                <w:color w:val="auto"/>
              </w:rPr>
            </w:pPr>
            <w:r>
              <w:rPr>
                <w:rFonts w:ascii="Arial" w:cs="Arial" w:eastAsia="Arial" w:hAnsi="Arial"/>
                <w:sz w:val="14"/>
                <w:szCs w:val="14"/>
                <w:b w:val="1"/>
                <w:bCs w:val="1"/>
                <w:color w:val="FFFFFF"/>
              </w:rPr>
              <w:t>Target</w:t>
            </w:r>
          </w:p>
        </w:tc>
        <w:tc>
          <w:tcPr>
            <w:tcW w:w="1060" w:type="dxa"/>
            <w:vAlign w:val="bottom"/>
            <w:shd w:val="clear" w:color="auto" w:fill="1D3965"/>
          </w:tcPr>
          <w:p>
            <w:pPr>
              <w:jc w:val="right"/>
              <w:ind w:right="237"/>
              <w:spacing w:after="0"/>
              <w:rPr>
                <w:sz w:val="20"/>
                <w:szCs w:val="20"/>
                <w:color w:val="auto"/>
              </w:rPr>
            </w:pPr>
            <w:r>
              <w:rPr>
                <w:rFonts w:ascii="Arial" w:cs="Arial" w:eastAsia="Arial" w:hAnsi="Arial"/>
                <w:sz w:val="14"/>
                <w:szCs w:val="14"/>
                <w:b w:val="1"/>
                <w:bCs w:val="1"/>
                <w:color w:val="FFFFFF"/>
              </w:rPr>
              <w:t>Target</w:t>
            </w:r>
          </w:p>
        </w:tc>
        <w:tc>
          <w:tcPr>
            <w:tcW w:w="960" w:type="dxa"/>
            <w:vAlign w:val="bottom"/>
            <w:shd w:val="clear" w:color="auto" w:fill="1D3965"/>
          </w:tcPr>
          <w:p>
            <w:pPr>
              <w:jc w:val="right"/>
              <w:ind w:right="137"/>
              <w:spacing w:after="0"/>
              <w:rPr>
                <w:sz w:val="20"/>
                <w:szCs w:val="20"/>
                <w:color w:val="auto"/>
              </w:rPr>
            </w:pPr>
            <w:r>
              <w:rPr>
                <w:rFonts w:ascii="Arial" w:cs="Arial" w:eastAsia="Arial" w:hAnsi="Arial"/>
                <w:sz w:val="14"/>
                <w:szCs w:val="14"/>
                <w:b w:val="1"/>
                <w:bCs w:val="1"/>
                <w:color w:val="FFFFFF"/>
              </w:rPr>
              <w:t>Target</w:t>
            </w:r>
          </w:p>
        </w:tc>
      </w:tr>
      <w:tr>
        <w:trPr>
          <w:trHeight w:val="224"/>
        </w:trPr>
        <w:tc>
          <w:tcPr>
            <w:tcW w:w="2420" w:type="dxa"/>
            <w:vAlign w:val="bottom"/>
          </w:tcPr>
          <w:p>
            <w:pPr>
              <w:ind w:left="160"/>
              <w:spacing w:after="0"/>
              <w:rPr>
                <w:sz w:val="20"/>
                <w:szCs w:val="20"/>
                <w:color w:val="auto"/>
              </w:rPr>
            </w:pPr>
            <w:r>
              <w:rPr>
                <w:rFonts w:ascii="Arial" w:cs="Arial" w:eastAsia="Arial" w:hAnsi="Arial"/>
                <w:sz w:val="18"/>
                <w:szCs w:val="18"/>
                <w:color w:val="auto"/>
              </w:rPr>
              <w:t>Sumedh S. Thakar</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$152,500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$152,500</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$152,500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$161,750</w:t>
            </w:r>
          </w:p>
        </w:tc>
        <w:tc>
          <w:tcPr>
            <w:tcW w:w="960" w:type="dxa"/>
            <w:vAlign w:val="bottom"/>
          </w:tcPr>
          <w:p>
            <w:pPr>
              <w:jc w:val="right"/>
              <w:spacing w:after="0"/>
              <w:rPr>
                <w:sz w:val="20"/>
                <w:szCs w:val="20"/>
                <w:color w:val="auto"/>
              </w:rPr>
            </w:pPr>
            <w:r>
              <w:rPr>
                <w:rFonts w:ascii="Arial" w:cs="Arial" w:eastAsia="Arial" w:hAnsi="Arial"/>
                <w:sz w:val="18"/>
                <w:szCs w:val="18"/>
                <w:color w:val="auto"/>
              </w:rPr>
              <w:t>$619,250</w:t>
            </w:r>
          </w:p>
        </w:tc>
      </w:tr>
      <w:tr>
        <w:trPr>
          <w:trHeight w:val="229"/>
        </w:trPr>
        <w:tc>
          <w:tcPr>
            <w:tcW w:w="2420" w:type="dxa"/>
            <w:vAlign w:val="bottom"/>
          </w:tcPr>
          <w:p>
            <w:pPr>
              <w:ind w:left="160"/>
              <w:spacing w:after="0"/>
              <w:rPr>
                <w:sz w:val="20"/>
                <w:szCs w:val="20"/>
                <w:color w:val="auto"/>
              </w:rPr>
            </w:pPr>
            <w:r>
              <w:rPr>
                <w:rFonts w:ascii="Arial" w:cs="Arial" w:eastAsia="Arial" w:hAnsi="Arial"/>
                <w:sz w:val="18"/>
                <w:szCs w:val="18"/>
                <w:color w:val="auto"/>
              </w:rPr>
              <w:t>Joo Mi Kim</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86,250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86,250</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86,250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91,500</w:t>
            </w:r>
          </w:p>
        </w:tc>
        <w:tc>
          <w:tcPr>
            <w:tcW w:w="960" w:type="dxa"/>
            <w:vAlign w:val="bottom"/>
          </w:tcPr>
          <w:p>
            <w:pPr>
              <w:jc w:val="right"/>
              <w:spacing w:after="0"/>
              <w:rPr>
                <w:sz w:val="20"/>
                <w:szCs w:val="20"/>
                <w:color w:val="auto"/>
              </w:rPr>
            </w:pPr>
            <w:r>
              <w:rPr>
                <w:rFonts w:ascii="Arial" w:cs="Arial" w:eastAsia="Arial" w:hAnsi="Arial"/>
                <w:sz w:val="18"/>
                <w:szCs w:val="18"/>
                <w:color w:val="auto"/>
              </w:rPr>
              <w:t>350,250</w:t>
            </w:r>
          </w:p>
        </w:tc>
      </w:tr>
      <w:tr>
        <w:trPr>
          <w:trHeight w:val="239"/>
        </w:trPr>
        <w:tc>
          <w:tcPr>
            <w:tcW w:w="2420" w:type="dxa"/>
            <w:vAlign w:val="bottom"/>
          </w:tcPr>
          <w:p>
            <w:pPr>
              <w:ind w:left="160"/>
              <w:spacing w:after="0"/>
              <w:rPr>
                <w:sz w:val="20"/>
                <w:szCs w:val="20"/>
                <w:color w:val="auto"/>
              </w:rPr>
            </w:pPr>
            <w:r>
              <w:rPr>
                <w:rFonts w:ascii="Arial" w:cs="Arial" w:eastAsia="Arial" w:hAnsi="Arial"/>
                <w:sz w:val="18"/>
                <w:szCs w:val="18"/>
                <w:color w:val="auto"/>
              </w:rPr>
              <w:t>Bruce K. Posey</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58,500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58,500</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58,500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61,950</w:t>
            </w:r>
          </w:p>
        </w:tc>
        <w:tc>
          <w:tcPr>
            <w:tcW w:w="960" w:type="dxa"/>
            <w:vAlign w:val="bottom"/>
          </w:tcPr>
          <w:p>
            <w:pPr>
              <w:jc w:val="right"/>
              <w:spacing w:after="0"/>
              <w:rPr>
                <w:sz w:val="20"/>
                <w:szCs w:val="20"/>
                <w:color w:val="auto"/>
              </w:rPr>
            </w:pPr>
            <w:r>
              <w:rPr>
                <w:rFonts w:ascii="Arial" w:cs="Arial" w:eastAsia="Arial" w:hAnsi="Arial"/>
                <w:sz w:val="18"/>
                <w:szCs w:val="18"/>
                <w:color w:val="auto"/>
              </w:rPr>
              <w:t>237,450</w:t>
            </w:r>
          </w:p>
        </w:tc>
      </w:tr>
    </w:tbl>
    <w:p>
      <w:pPr>
        <w:spacing w:after="0" w:line="180"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Each named executive officer’s bonus is paid as a percentage of his or her target bonus opportunity amount based on the weighted average of the payout percentages for each applicable measure. To be eligible for a quarterly bonus payment under our 2025 Corporate Bonus Plan, an individual must be employed as of the last working day of the quarter.</w:t>
      </w:r>
    </w:p>
    <w:p>
      <w:pPr>
        <w:spacing w:after="0" w:line="174"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For each of the three equally-weighted metrics, the payout percentage was capped at 125% of target. In 2023 and previous years, the payout percentage overall and for each metric was capped at 100% of target. Our Compensation and Talent Committee believed that increasing the maximum payout to 125% of target for achieving the top end of the targets would be sufficiently challenging and incentivize top-end performance, and remains well within common practices among our peer group. Payout could be zero if performance is below minimum levels for all three measures.</w:t>
      </w:r>
    </w:p>
    <w:p>
      <w:pPr>
        <w:spacing w:after="0" w:line="179"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following table shows the level of achievement of each quarterly performance target under our 2025 Corporate Bonus Plan and the corresponding payout for each of these quarterly performance targets: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95"/>
        </w:trPr>
        <w:tc>
          <w:tcPr>
            <w:tcW w:w="1200" w:type="dxa"/>
            <w:vAlign w:val="bottom"/>
            <w:shd w:val="clear" w:color="auto" w:fill="1D3965"/>
          </w:tcPr>
          <w:p>
            <w:pPr>
              <w:spacing w:after="0"/>
              <w:rPr>
                <w:sz w:val="24"/>
                <w:szCs w:val="24"/>
                <w:color w:val="auto"/>
              </w:rPr>
            </w:pPr>
          </w:p>
        </w:tc>
        <w:tc>
          <w:tcPr>
            <w:tcW w:w="560" w:type="dxa"/>
            <w:vAlign w:val="bottom"/>
            <w:shd w:val="clear" w:color="auto" w:fill="1D3965"/>
          </w:tcPr>
          <w:p>
            <w:pPr>
              <w:spacing w:after="0"/>
              <w:rPr>
                <w:sz w:val="24"/>
                <w:szCs w:val="24"/>
                <w:color w:val="auto"/>
              </w:rPr>
            </w:pPr>
          </w:p>
        </w:tc>
        <w:tc>
          <w:tcPr>
            <w:tcW w:w="520" w:type="dxa"/>
            <w:vAlign w:val="bottom"/>
            <w:shd w:val="clear" w:color="auto" w:fill="1D3965"/>
          </w:tcPr>
          <w:p>
            <w:pPr>
              <w:jc w:val="right"/>
              <w:ind w:right="68"/>
              <w:spacing w:after="0"/>
              <w:rPr>
                <w:sz w:val="20"/>
                <w:szCs w:val="20"/>
                <w:color w:val="auto"/>
              </w:rPr>
            </w:pPr>
            <w:r>
              <w:rPr>
                <w:rFonts w:ascii="Arial" w:cs="Arial" w:eastAsia="Arial" w:hAnsi="Arial"/>
                <w:sz w:val="14"/>
                <w:szCs w:val="14"/>
                <w:b w:val="1"/>
                <w:bCs w:val="1"/>
                <w:color w:val="FFFFFF"/>
              </w:rPr>
              <w:t>Q1</w:t>
            </w:r>
          </w:p>
        </w:tc>
        <w:tc>
          <w:tcPr>
            <w:tcW w:w="580" w:type="dxa"/>
            <w:vAlign w:val="bottom"/>
            <w:shd w:val="clear" w:color="auto" w:fill="1D3965"/>
          </w:tcPr>
          <w:p>
            <w:pPr>
              <w:spacing w:after="0"/>
              <w:rPr>
                <w:sz w:val="24"/>
                <w:szCs w:val="24"/>
                <w:color w:val="auto"/>
              </w:rPr>
            </w:pPr>
          </w:p>
        </w:tc>
        <w:tc>
          <w:tcPr>
            <w:tcW w:w="600" w:type="dxa"/>
            <w:vAlign w:val="bottom"/>
            <w:shd w:val="clear" w:color="auto" w:fill="1D3965"/>
          </w:tcPr>
          <w:p>
            <w:pPr>
              <w:spacing w:after="0"/>
              <w:rPr>
                <w:sz w:val="24"/>
                <w:szCs w:val="24"/>
                <w:color w:val="auto"/>
              </w:rPr>
            </w:pPr>
          </w:p>
        </w:tc>
        <w:tc>
          <w:tcPr>
            <w:tcW w:w="560" w:type="dxa"/>
            <w:vAlign w:val="bottom"/>
            <w:shd w:val="clear" w:color="auto" w:fill="1D3965"/>
          </w:tcPr>
          <w:p>
            <w:pPr>
              <w:ind w:left="180"/>
              <w:spacing w:after="0"/>
              <w:rPr>
                <w:sz w:val="20"/>
                <w:szCs w:val="20"/>
                <w:color w:val="auto"/>
              </w:rPr>
            </w:pPr>
            <w:r>
              <w:rPr>
                <w:rFonts w:ascii="Arial" w:cs="Arial" w:eastAsia="Arial" w:hAnsi="Arial"/>
                <w:sz w:val="14"/>
                <w:szCs w:val="14"/>
                <w:b w:val="1"/>
                <w:bCs w:val="1"/>
                <w:color w:val="FFFFFF"/>
              </w:rPr>
              <w:t>Q2</w:t>
            </w:r>
          </w:p>
        </w:tc>
        <w:tc>
          <w:tcPr>
            <w:tcW w:w="580" w:type="dxa"/>
            <w:vAlign w:val="bottom"/>
            <w:shd w:val="clear" w:color="auto" w:fill="1D3965"/>
          </w:tcPr>
          <w:p>
            <w:pPr>
              <w:spacing w:after="0"/>
              <w:rPr>
                <w:sz w:val="24"/>
                <w:szCs w:val="24"/>
                <w:color w:val="auto"/>
              </w:rPr>
            </w:pPr>
          </w:p>
        </w:tc>
        <w:tc>
          <w:tcPr>
            <w:tcW w:w="580" w:type="dxa"/>
            <w:vAlign w:val="bottom"/>
            <w:shd w:val="clear" w:color="auto" w:fill="1D3965"/>
          </w:tcPr>
          <w:p>
            <w:pPr>
              <w:spacing w:after="0"/>
              <w:rPr>
                <w:sz w:val="24"/>
                <w:szCs w:val="24"/>
                <w:color w:val="auto"/>
              </w:rPr>
            </w:pPr>
          </w:p>
        </w:tc>
        <w:tc>
          <w:tcPr>
            <w:tcW w:w="580" w:type="dxa"/>
            <w:vAlign w:val="bottom"/>
            <w:shd w:val="clear" w:color="auto" w:fill="1D3965"/>
          </w:tcPr>
          <w:p>
            <w:pPr>
              <w:jc w:val="right"/>
              <w:ind w:right="128"/>
              <w:spacing w:after="0"/>
              <w:rPr>
                <w:sz w:val="20"/>
                <w:szCs w:val="20"/>
                <w:color w:val="auto"/>
              </w:rPr>
            </w:pPr>
            <w:r>
              <w:rPr>
                <w:rFonts w:ascii="Arial" w:cs="Arial" w:eastAsia="Arial" w:hAnsi="Arial"/>
                <w:sz w:val="14"/>
                <w:szCs w:val="14"/>
                <w:b w:val="1"/>
                <w:bCs w:val="1"/>
                <w:color w:val="FFFFFF"/>
              </w:rPr>
              <w:t>Q3</w:t>
            </w:r>
          </w:p>
        </w:tc>
        <w:tc>
          <w:tcPr>
            <w:tcW w:w="560" w:type="dxa"/>
            <w:vAlign w:val="bottom"/>
            <w:shd w:val="clear" w:color="auto" w:fill="1D3965"/>
          </w:tcPr>
          <w:p>
            <w:pPr>
              <w:spacing w:after="0"/>
              <w:rPr>
                <w:sz w:val="24"/>
                <w:szCs w:val="24"/>
                <w:color w:val="auto"/>
              </w:rPr>
            </w:pPr>
          </w:p>
        </w:tc>
        <w:tc>
          <w:tcPr>
            <w:tcW w:w="540" w:type="dxa"/>
            <w:vAlign w:val="bottom"/>
            <w:shd w:val="clear" w:color="auto" w:fill="1D3965"/>
          </w:tcPr>
          <w:p>
            <w:pPr>
              <w:spacing w:after="0"/>
              <w:rPr>
                <w:sz w:val="24"/>
                <w:szCs w:val="24"/>
                <w:color w:val="auto"/>
              </w:rPr>
            </w:pPr>
          </w:p>
        </w:tc>
        <w:tc>
          <w:tcPr>
            <w:tcW w:w="580" w:type="dxa"/>
            <w:vAlign w:val="bottom"/>
            <w:shd w:val="clear" w:color="auto" w:fill="1D3965"/>
          </w:tcPr>
          <w:p>
            <w:pPr>
              <w:jc w:val="right"/>
              <w:ind w:right="108"/>
              <w:spacing w:after="0"/>
              <w:rPr>
                <w:sz w:val="20"/>
                <w:szCs w:val="20"/>
                <w:color w:val="auto"/>
              </w:rPr>
            </w:pPr>
            <w:r>
              <w:rPr>
                <w:rFonts w:ascii="Arial" w:cs="Arial" w:eastAsia="Arial" w:hAnsi="Arial"/>
                <w:sz w:val="14"/>
                <w:szCs w:val="14"/>
                <w:b w:val="1"/>
                <w:bCs w:val="1"/>
                <w:color w:val="FFFFFF"/>
              </w:rPr>
              <w:t>Q4</w:t>
            </w:r>
          </w:p>
        </w:tc>
        <w:tc>
          <w:tcPr>
            <w:tcW w:w="560" w:type="dxa"/>
            <w:vAlign w:val="bottom"/>
            <w:shd w:val="clear" w:color="auto" w:fill="1D3965"/>
          </w:tcPr>
          <w:p>
            <w:pPr>
              <w:spacing w:after="0"/>
              <w:rPr>
                <w:sz w:val="24"/>
                <w:szCs w:val="24"/>
                <w:color w:val="auto"/>
              </w:rPr>
            </w:pPr>
          </w:p>
        </w:tc>
      </w:tr>
      <w:tr>
        <w:trPr>
          <w:trHeight w:val="272"/>
        </w:trPr>
        <w:tc>
          <w:tcPr>
            <w:tcW w:w="1200" w:type="dxa"/>
            <w:vAlign w:val="bottom"/>
            <w:shd w:val="clear" w:color="auto" w:fill="1D3965"/>
          </w:tcPr>
          <w:p>
            <w:pPr>
              <w:spacing w:after="0"/>
              <w:rPr>
                <w:sz w:val="23"/>
                <w:szCs w:val="23"/>
                <w:color w:val="auto"/>
              </w:rPr>
            </w:pPr>
          </w:p>
        </w:tc>
        <w:tc>
          <w:tcPr>
            <w:tcW w:w="56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shd w:val="clear" w:color="auto" w:fill="1D3965"/>
              </w:rPr>
              <w:t>Target</w:t>
            </w:r>
          </w:p>
        </w:tc>
        <w:tc>
          <w:tcPr>
            <w:tcW w:w="52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shd w:val="clear" w:color="auto" w:fill="1D3965"/>
              </w:rPr>
              <w:t>Actual</w:t>
            </w:r>
          </w:p>
        </w:tc>
        <w:tc>
          <w:tcPr>
            <w:tcW w:w="58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shd w:val="clear" w:color="auto" w:fill="1D3965"/>
              </w:rPr>
              <w:t>Payout</w:t>
            </w:r>
          </w:p>
        </w:tc>
        <w:tc>
          <w:tcPr>
            <w:tcW w:w="600" w:type="dxa"/>
            <w:vAlign w:val="bottom"/>
            <w:shd w:val="clear" w:color="auto" w:fill="1D3965"/>
          </w:tcPr>
          <w:p>
            <w:pPr>
              <w:jc w:val="right"/>
              <w:ind w:right="28"/>
              <w:spacing w:after="0"/>
              <w:rPr>
                <w:sz w:val="20"/>
                <w:szCs w:val="20"/>
                <w:color w:val="auto"/>
              </w:rPr>
            </w:pPr>
            <w:r>
              <w:rPr>
                <w:rFonts w:ascii="Arial" w:cs="Arial" w:eastAsia="Arial" w:hAnsi="Arial"/>
                <w:sz w:val="14"/>
                <w:szCs w:val="14"/>
                <w:b w:val="1"/>
                <w:bCs w:val="1"/>
                <w:color w:val="FFFFFF"/>
              </w:rPr>
              <w:t>Target</w:t>
            </w:r>
          </w:p>
        </w:tc>
        <w:tc>
          <w:tcPr>
            <w:tcW w:w="560" w:type="dxa"/>
            <w:vAlign w:val="bottom"/>
            <w:shd w:val="clear" w:color="auto" w:fill="1D3965"/>
          </w:tcPr>
          <w:p>
            <w:pPr>
              <w:ind w:left="40"/>
              <w:spacing w:after="0"/>
              <w:rPr>
                <w:sz w:val="20"/>
                <w:szCs w:val="20"/>
                <w:color w:val="auto"/>
              </w:rPr>
            </w:pPr>
            <w:r>
              <w:rPr>
                <w:rFonts w:ascii="Arial" w:cs="Arial" w:eastAsia="Arial" w:hAnsi="Arial"/>
                <w:sz w:val="14"/>
                <w:szCs w:val="14"/>
                <w:b w:val="1"/>
                <w:bCs w:val="1"/>
                <w:color w:val="FFFFFF"/>
              </w:rPr>
              <w:t>Actual</w:t>
            </w:r>
          </w:p>
        </w:tc>
        <w:tc>
          <w:tcPr>
            <w:tcW w:w="580" w:type="dxa"/>
            <w:vAlign w:val="bottom"/>
            <w:shd w:val="clear" w:color="auto" w:fill="1D3965"/>
          </w:tcPr>
          <w:p>
            <w:pPr>
              <w:ind w:left="40"/>
              <w:spacing w:after="0"/>
              <w:rPr>
                <w:sz w:val="20"/>
                <w:szCs w:val="20"/>
                <w:color w:val="auto"/>
              </w:rPr>
            </w:pPr>
            <w:r>
              <w:rPr>
                <w:rFonts w:ascii="Arial" w:cs="Arial" w:eastAsia="Arial" w:hAnsi="Arial"/>
                <w:sz w:val="14"/>
                <w:szCs w:val="14"/>
                <w:b w:val="1"/>
                <w:bCs w:val="1"/>
                <w:color w:val="FFFFFF"/>
              </w:rPr>
              <w:t>Payout</w:t>
            </w:r>
          </w:p>
        </w:tc>
        <w:tc>
          <w:tcPr>
            <w:tcW w:w="580" w:type="dxa"/>
            <w:vAlign w:val="bottom"/>
            <w:shd w:val="clear" w:color="auto" w:fill="1D3965"/>
          </w:tcPr>
          <w:p>
            <w:pPr>
              <w:jc w:val="right"/>
              <w:ind w:right="8"/>
              <w:spacing w:after="0"/>
              <w:rPr>
                <w:sz w:val="20"/>
                <w:szCs w:val="20"/>
                <w:color w:val="auto"/>
              </w:rPr>
            </w:pPr>
            <w:r>
              <w:rPr>
                <w:rFonts w:ascii="Arial" w:cs="Arial" w:eastAsia="Arial" w:hAnsi="Arial"/>
                <w:sz w:val="14"/>
                <w:szCs w:val="14"/>
                <w:b w:val="1"/>
                <w:bCs w:val="1"/>
                <w:color w:val="FFFFFF"/>
              </w:rPr>
              <w:t>Target</w:t>
            </w:r>
          </w:p>
        </w:tc>
        <w:tc>
          <w:tcPr>
            <w:tcW w:w="580" w:type="dxa"/>
            <w:vAlign w:val="bottom"/>
            <w:shd w:val="clear" w:color="auto" w:fill="1D3965"/>
          </w:tcPr>
          <w:p>
            <w:pPr>
              <w:jc w:val="right"/>
              <w:ind w:right="8"/>
              <w:spacing w:after="0"/>
              <w:rPr>
                <w:sz w:val="20"/>
                <w:szCs w:val="20"/>
                <w:color w:val="auto"/>
              </w:rPr>
            </w:pPr>
            <w:r>
              <w:rPr>
                <w:rFonts w:ascii="Arial" w:cs="Arial" w:eastAsia="Arial" w:hAnsi="Arial"/>
                <w:sz w:val="14"/>
                <w:szCs w:val="14"/>
                <w:b w:val="1"/>
                <w:bCs w:val="1"/>
                <w:color w:val="FFFFFF"/>
              </w:rPr>
              <w:t>Actual</w:t>
            </w:r>
          </w:p>
        </w:tc>
        <w:tc>
          <w:tcPr>
            <w:tcW w:w="56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rPr>
              <w:t>Payout</w:t>
            </w:r>
          </w:p>
        </w:tc>
        <w:tc>
          <w:tcPr>
            <w:tcW w:w="54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shd w:val="clear" w:color="auto" w:fill="1D3965"/>
              </w:rPr>
              <w:t>Target</w:t>
            </w:r>
          </w:p>
        </w:tc>
        <w:tc>
          <w:tcPr>
            <w:tcW w:w="580" w:type="dxa"/>
            <w:vAlign w:val="bottom"/>
            <w:shd w:val="clear" w:color="auto" w:fill="1D3965"/>
          </w:tcPr>
          <w:p>
            <w:pPr>
              <w:jc w:val="right"/>
              <w:ind w:right="8"/>
              <w:spacing w:after="0"/>
              <w:rPr>
                <w:sz w:val="20"/>
                <w:szCs w:val="20"/>
                <w:color w:val="auto"/>
              </w:rPr>
            </w:pPr>
            <w:r>
              <w:rPr>
                <w:rFonts w:ascii="Arial" w:cs="Arial" w:eastAsia="Arial" w:hAnsi="Arial"/>
                <w:sz w:val="14"/>
                <w:szCs w:val="14"/>
                <w:b w:val="1"/>
                <w:bCs w:val="1"/>
                <w:color w:val="FFFFFF"/>
                <w:shd w:val="clear" w:color="auto" w:fill="1D3965"/>
              </w:rPr>
              <w:t>Actual</w:t>
            </w:r>
          </w:p>
        </w:tc>
        <w:tc>
          <w:tcPr>
            <w:tcW w:w="56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shd w:val="clear" w:color="auto" w:fill="1D3965"/>
              </w:rPr>
              <w:t>Payout</w:t>
            </w:r>
          </w:p>
        </w:tc>
      </w:tr>
      <w:tr>
        <w:trPr>
          <w:trHeight w:val="180"/>
        </w:trPr>
        <w:tc>
          <w:tcPr>
            <w:tcW w:w="1200" w:type="dxa"/>
            <w:vAlign w:val="bottom"/>
          </w:tcPr>
          <w:p>
            <w:pPr>
              <w:ind w:left="100"/>
              <w:spacing w:after="0"/>
              <w:rPr>
                <w:sz w:val="20"/>
                <w:szCs w:val="20"/>
                <w:color w:val="auto"/>
              </w:rPr>
            </w:pPr>
            <w:r>
              <w:rPr>
                <w:rFonts w:ascii="Arial" w:cs="Arial" w:eastAsia="Arial" w:hAnsi="Arial"/>
                <w:sz w:val="14"/>
                <w:szCs w:val="14"/>
                <w:color w:val="auto"/>
              </w:rPr>
              <w:t>Bookings Growth</w:t>
            </w: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ind w:left="160"/>
              <w:spacing w:after="0"/>
              <w:rPr>
                <w:sz w:val="20"/>
                <w:szCs w:val="20"/>
                <w:color w:val="auto"/>
              </w:rPr>
            </w:pPr>
            <w:r>
              <w:rPr>
                <w:rFonts w:ascii="Arial" w:cs="Arial" w:eastAsia="Arial" w:hAnsi="Arial"/>
                <w:sz w:val="14"/>
                <w:szCs w:val="14"/>
                <w:color w:val="auto"/>
              </w:rPr>
              <w:t>125%</w:t>
            </w:r>
          </w:p>
        </w:tc>
        <w:tc>
          <w:tcPr>
            <w:tcW w:w="580" w:type="dxa"/>
            <w:vAlign w:val="bottom"/>
          </w:tcPr>
          <w:p>
            <w:pPr>
              <w:jc w:val="right"/>
              <w:spacing w:after="0"/>
              <w:rPr>
                <w:sz w:val="20"/>
                <w:szCs w:val="20"/>
                <w:color w:val="auto"/>
              </w:rPr>
            </w:pPr>
            <w:r>
              <w:rPr>
                <w:rFonts w:ascii="Arial" w:cs="Arial" w:eastAsia="Arial" w:hAnsi="Arial"/>
                <w:sz w:val="14"/>
                <w:szCs w:val="14"/>
                <w:color w:val="auto"/>
              </w:rPr>
              <w:t>11.4%</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540" w:type="dxa"/>
            <w:vAlign w:val="bottom"/>
          </w:tcPr>
          <w:p>
            <w:pPr>
              <w:jc w:val="right"/>
              <w:spacing w:after="0"/>
              <w:rPr>
                <w:sz w:val="20"/>
                <w:szCs w:val="20"/>
                <w:color w:val="auto"/>
              </w:rPr>
            </w:pPr>
            <w:r>
              <w:rPr>
                <w:rFonts w:ascii="Arial" w:cs="Arial" w:eastAsia="Arial" w:hAnsi="Arial"/>
                <w:sz w:val="14"/>
                <w:szCs w:val="14"/>
                <w:color w:val="auto"/>
              </w:rPr>
              <w:t>9.1%</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75"/>
        </w:trPr>
        <w:tc>
          <w:tcPr>
            <w:tcW w:w="1200" w:type="dxa"/>
            <w:vAlign w:val="bottom"/>
          </w:tcPr>
          <w:p>
            <w:pPr>
              <w:ind w:left="100"/>
              <w:spacing w:after="0"/>
              <w:rPr>
                <w:sz w:val="20"/>
                <w:szCs w:val="20"/>
                <w:color w:val="auto"/>
              </w:rPr>
            </w:pPr>
            <w:r>
              <w:rPr>
                <w:rFonts w:ascii="Arial" w:cs="Arial" w:eastAsia="Arial" w:hAnsi="Arial"/>
                <w:sz w:val="14"/>
                <w:szCs w:val="14"/>
                <w:color w:val="auto"/>
              </w:rPr>
              <w:t>Revenue Growth</w:t>
            </w:r>
          </w:p>
        </w:tc>
        <w:tc>
          <w:tcPr>
            <w:tcW w:w="560" w:type="dxa"/>
            <w:vAlign w:val="bottom"/>
          </w:tcPr>
          <w:p>
            <w:pPr>
              <w:jc w:val="right"/>
              <w:spacing w:after="0"/>
              <w:rPr>
                <w:sz w:val="20"/>
                <w:szCs w:val="20"/>
                <w:color w:val="auto"/>
              </w:rPr>
            </w:pPr>
            <w:r>
              <w:rPr>
                <w:rFonts w:ascii="Arial" w:cs="Arial" w:eastAsia="Arial" w:hAnsi="Arial"/>
                <w:sz w:val="14"/>
                <w:szCs w:val="14"/>
                <w:color w:val="auto"/>
              </w:rPr>
              <w:t>9.1%</w:t>
            </w:r>
          </w:p>
        </w:tc>
        <w:tc>
          <w:tcPr>
            <w:tcW w:w="520" w:type="dxa"/>
            <w:vAlign w:val="bottom"/>
          </w:tcPr>
          <w:p>
            <w:pPr>
              <w:jc w:val="right"/>
              <w:spacing w:after="0"/>
              <w:rPr>
                <w:sz w:val="20"/>
                <w:szCs w:val="20"/>
                <w:color w:val="auto"/>
              </w:rPr>
            </w:pPr>
            <w:r>
              <w:rPr>
                <w:rFonts w:ascii="Arial" w:cs="Arial" w:eastAsia="Arial" w:hAnsi="Arial"/>
                <w:sz w:val="14"/>
                <w:szCs w:val="14"/>
                <w:color w:val="auto"/>
              </w:rPr>
              <w:t>9.7%</w:t>
            </w:r>
          </w:p>
        </w:tc>
        <w:tc>
          <w:tcPr>
            <w:tcW w:w="580" w:type="dxa"/>
            <w:vAlign w:val="bottom"/>
          </w:tcPr>
          <w:p>
            <w:pPr>
              <w:jc w:val="right"/>
              <w:spacing w:after="0"/>
              <w:rPr>
                <w:sz w:val="20"/>
                <w:szCs w:val="20"/>
                <w:color w:val="auto"/>
              </w:rPr>
            </w:pPr>
            <w:r>
              <w:rPr>
                <w:rFonts w:ascii="Arial" w:cs="Arial" w:eastAsia="Arial" w:hAnsi="Arial"/>
                <w:sz w:val="14"/>
                <w:szCs w:val="14"/>
                <w:color w:val="auto"/>
              </w:rPr>
              <w:t>125%</w:t>
            </w: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580" w:type="dxa"/>
            <w:vAlign w:val="bottom"/>
          </w:tcPr>
          <w:p>
            <w:pPr>
              <w:ind w:left="160"/>
              <w:spacing w:after="0"/>
              <w:rPr>
                <w:sz w:val="20"/>
                <w:szCs w:val="20"/>
                <w:color w:val="auto"/>
              </w:rPr>
            </w:pPr>
            <w:r>
              <w:rPr>
                <w:rFonts w:ascii="Arial" w:cs="Arial" w:eastAsia="Arial" w:hAnsi="Arial"/>
                <w:sz w:val="14"/>
                <w:szCs w:val="14"/>
                <w:color w:val="auto"/>
              </w:rPr>
              <w:t>105%</w:t>
            </w: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580" w:type="dxa"/>
            <w:vAlign w:val="bottom"/>
          </w:tcPr>
          <w:p>
            <w:pPr>
              <w:jc w:val="right"/>
              <w:spacing w:after="0"/>
              <w:rPr>
                <w:sz w:val="20"/>
                <w:szCs w:val="20"/>
                <w:color w:val="auto"/>
              </w:rPr>
            </w:pPr>
            <w:r>
              <w:rPr>
                <w:rFonts w:ascii="Arial" w:cs="Arial" w:eastAsia="Arial" w:hAnsi="Arial"/>
                <w:sz w:val="14"/>
                <w:szCs w:val="14"/>
                <w:color w:val="auto"/>
              </w:rPr>
              <w:t>10.4%</w:t>
            </w: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540" w:type="dxa"/>
            <w:vAlign w:val="bottom"/>
          </w:tcPr>
          <w:p>
            <w:pPr>
              <w:jc w:val="right"/>
              <w:spacing w:after="0"/>
              <w:rPr>
                <w:sz w:val="20"/>
                <w:szCs w:val="20"/>
                <w:color w:val="auto"/>
              </w:rPr>
            </w:pPr>
            <w:r>
              <w:rPr>
                <w:rFonts w:ascii="Arial" w:cs="Arial" w:eastAsia="Arial" w:hAnsi="Arial"/>
                <w:sz w:val="14"/>
                <w:szCs w:val="14"/>
                <w:color w:val="auto"/>
              </w:rPr>
              <w:t>9.2%</w:t>
            </w:r>
          </w:p>
        </w:tc>
        <w:tc>
          <w:tcPr>
            <w:tcW w:w="580" w:type="dxa"/>
            <w:vAlign w:val="bottom"/>
          </w:tcPr>
          <w:p>
            <w:pPr>
              <w:jc w:val="right"/>
              <w:spacing w:after="0"/>
              <w:rPr>
                <w:sz w:val="20"/>
                <w:szCs w:val="20"/>
                <w:color w:val="auto"/>
              </w:rPr>
            </w:pPr>
            <w:r>
              <w:rPr>
                <w:rFonts w:ascii="Arial" w:cs="Arial" w:eastAsia="Arial" w:hAnsi="Arial"/>
                <w:sz w:val="14"/>
                <w:szCs w:val="14"/>
                <w:color w:val="auto"/>
              </w:rPr>
              <w:t>10.1%</w:t>
            </w: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75"/>
        </w:trPr>
        <w:tc>
          <w:tcPr>
            <w:tcW w:w="1200" w:type="dxa"/>
            <w:vAlign w:val="bottom"/>
          </w:tcPr>
          <w:p>
            <w:pPr>
              <w:ind w:left="100"/>
              <w:spacing w:after="0"/>
              <w:rPr>
                <w:sz w:val="20"/>
                <w:szCs w:val="20"/>
                <w:color w:val="auto"/>
              </w:rPr>
            </w:pPr>
            <w:r>
              <w:rPr>
                <w:rFonts w:ascii="Arial" w:cs="Arial" w:eastAsia="Arial" w:hAnsi="Arial"/>
                <w:sz w:val="14"/>
                <w:szCs w:val="14"/>
                <w:color w:val="auto"/>
              </w:rPr>
              <w:t>Non-GAAP EPS</w:t>
            </w: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$1.67   125%</w:t>
            </w:r>
          </w:p>
        </w:tc>
        <w:tc>
          <w:tcPr>
            <w:tcW w:w="600" w:type="dxa"/>
            <w:vAlign w:val="bottom"/>
          </w:tcPr>
          <w:p>
            <w:pPr>
              <w:jc w:val="right"/>
              <w:spacing w:after="0"/>
              <w:rPr>
                <w:sz w:val="20"/>
                <w:szCs w:val="20"/>
                <w:color w:val="auto"/>
              </w:rPr>
            </w:pPr>
            <w:r>
              <w:rPr>
                <w:rFonts w:ascii="Arial" w:cs="Arial" w:eastAsia="Arial" w:hAnsi="Arial"/>
                <w:sz w:val="14"/>
                <w:szCs w:val="14"/>
                <w:color w:val="auto"/>
              </w:rPr>
              <w:t>$1.44</w:t>
            </w: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$1.68   125%</w:t>
            </w:r>
          </w:p>
        </w:tc>
        <w:tc>
          <w:tcPr>
            <w:tcW w:w="580" w:type="dxa"/>
            <w:vAlign w:val="bottom"/>
          </w:tcPr>
          <w:p>
            <w:pPr>
              <w:jc w:val="right"/>
              <w:spacing w:after="0"/>
              <w:rPr>
                <w:sz w:val="20"/>
                <w:szCs w:val="20"/>
                <w:color w:val="auto"/>
              </w:rPr>
            </w:pPr>
            <w:r>
              <w:rPr>
                <w:rFonts w:ascii="Arial" w:cs="Arial" w:eastAsia="Arial" w:hAnsi="Arial"/>
                <w:sz w:val="14"/>
                <w:szCs w:val="14"/>
                <w:color w:val="auto"/>
              </w:rPr>
              <w:t>$1.55</w:t>
            </w: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540" w:type="dxa"/>
            <w:vAlign w:val="bottom"/>
          </w:tcPr>
          <w:p>
            <w:pPr>
              <w:jc w:val="right"/>
              <w:spacing w:after="0"/>
              <w:rPr>
                <w:sz w:val="20"/>
                <w:szCs w:val="20"/>
                <w:color w:val="auto"/>
              </w:rPr>
            </w:pPr>
            <w:r>
              <w:rPr>
                <w:rFonts w:ascii="Arial" w:cs="Arial" w:eastAsia="Arial" w:hAnsi="Arial"/>
                <w:sz w:val="14"/>
                <w:szCs w:val="14"/>
                <w:color w:val="auto"/>
              </w:rPr>
              <w:t>$1.60</w:t>
            </w:r>
          </w:p>
        </w:tc>
        <w:tc>
          <w:tcPr>
            <w:tcW w:w="580" w:type="dxa"/>
            <w:vAlign w:val="bottom"/>
          </w:tcPr>
          <w:p>
            <w:pPr>
              <w:jc w:val="right"/>
              <w:spacing w:after="0"/>
              <w:rPr>
                <w:sz w:val="20"/>
                <w:szCs w:val="20"/>
                <w:color w:val="auto"/>
              </w:rPr>
            </w:pPr>
            <w:r>
              <w:rPr>
                <w:rFonts w:ascii="Arial" w:cs="Arial" w:eastAsia="Arial" w:hAnsi="Arial"/>
                <w:sz w:val="14"/>
                <w:szCs w:val="14"/>
                <w:color w:val="auto"/>
              </w:rPr>
              <w:t>$1.87</w:t>
            </w: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90"/>
        </w:trPr>
        <w:tc>
          <w:tcPr>
            <w:tcW w:w="1200" w:type="dxa"/>
            <w:vAlign w:val="bottom"/>
          </w:tcPr>
          <w:p>
            <w:pPr>
              <w:ind w:left="100"/>
              <w:spacing w:after="0"/>
              <w:rPr>
                <w:sz w:val="20"/>
                <w:szCs w:val="20"/>
                <w:color w:val="auto"/>
              </w:rPr>
            </w:pPr>
            <w:r>
              <w:rPr>
                <w:rFonts w:ascii="Arial" w:cs="Arial" w:eastAsia="Arial" w:hAnsi="Arial"/>
                <w:sz w:val="14"/>
                <w:szCs w:val="14"/>
                <w:color w:val="auto"/>
              </w:rPr>
              <w:t>Weighted Payout</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w:t>
            </w: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119%</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-611505</wp:posOffset>
            </wp:positionV>
            <wp:extent cx="4251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5196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107950</wp:posOffset>
            </wp:positionV>
            <wp:extent cx="4800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58" w:lineRule="exact"/>
        <w:rPr>
          <w:sz w:val="20"/>
          <w:szCs w:val="20"/>
          <w:color w:val="auto"/>
        </w:rPr>
      </w:pPr>
    </w:p>
    <w:p>
      <w:pPr>
        <w:jc w:val="both"/>
        <w:ind w:left="860" w:right="519" w:hanging="352"/>
        <w:spacing w:after="0" w:line="244"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w:t>
      </w:r>
    </w:p>
    <w:p>
      <w:pPr>
        <w:spacing w:after="0" w:line="176" w:lineRule="exact"/>
        <w:rPr>
          <w:sz w:val="20"/>
          <w:szCs w:val="20"/>
          <w:color w:val="auto"/>
        </w:rPr>
      </w:pPr>
    </w:p>
    <w:p>
      <w:pPr>
        <w:jc w:val="both"/>
        <w:ind w:left="500" w:right="539" w:firstLine="360"/>
        <w:spacing w:after="0" w:line="253" w:lineRule="auto"/>
        <w:rPr>
          <w:sz w:val="20"/>
          <w:szCs w:val="20"/>
          <w:color w:val="auto"/>
        </w:rPr>
      </w:pPr>
      <w:r>
        <w:rPr>
          <w:rFonts w:ascii="Arial" w:cs="Arial" w:eastAsia="Arial" w:hAnsi="Arial"/>
          <w:sz w:val="18"/>
          <w:szCs w:val="18"/>
          <w:color w:val="auto"/>
        </w:rPr>
        <w:t>Based on the achievement against the applicable performance metrics discussed above, the quarterly and aggregate actual amounts awarded to our named executive officers for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76200</wp:posOffset>
            </wp:positionV>
            <wp:extent cx="50749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74920" cy="274320"/>
                    </a:xfrm>
                    <a:prstGeom prst="rect">
                      <a:avLst/>
                    </a:prstGeom>
                    <a:noFill/>
                  </pic:spPr>
                </pic:pic>
              </a:graphicData>
            </a:graphic>
          </wp:anchor>
        </w:drawing>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2025 Corporate Bonus Plan—Actual Award Amount</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420" w:type="dxa"/>
            <w:vAlign w:val="bottom"/>
            <w:shd w:val="clear" w:color="auto" w:fill="1D3965"/>
          </w:tcPr>
          <w:p>
            <w:pPr>
              <w:spacing w:after="0"/>
              <w:rPr>
                <w:sz w:val="23"/>
                <w:szCs w:val="23"/>
                <w:color w:val="auto"/>
              </w:rPr>
            </w:pPr>
          </w:p>
        </w:tc>
        <w:tc>
          <w:tcPr>
            <w:tcW w:w="1460" w:type="dxa"/>
            <w:vAlign w:val="bottom"/>
            <w:shd w:val="clear" w:color="auto" w:fill="1D3965"/>
          </w:tcPr>
          <w:p>
            <w:pPr>
              <w:jc w:val="right"/>
              <w:ind w:right="117"/>
              <w:spacing w:after="0"/>
              <w:rPr>
                <w:sz w:val="20"/>
                <w:szCs w:val="20"/>
                <w:color w:val="auto"/>
              </w:rPr>
            </w:pPr>
            <w:r>
              <w:rPr>
                <w:rFonts w:ascii="Arial" w:cs="Arial" w:eastAsia="Arial" w:hAnsi="Arial"/>
                <w:sz w:val="14"/>
                <w:szCs w:val="14"/>
                <w:b w:val="1"/>
                <w:bCs w:val="1"/>
                <w:color w:val="FFFFFF"/>
              </w:rPr>
              <w:t>Q1 Award</w:t>
            </w:r>
          </w:p>
        </w:tc>
        <w:tc>
          <w:tcPr>
            <w:tcW w:w="1060" w:type="dxa"/>
            <w:vAlign w:val="bottom"/>
            <w:shd w:val="clear" w:color="auto" w:fill="1D3965"/>
          </w:tcPr>
          <w:p>
            <w:pPr>
              <w:jc w:val="right"/>
              <w:ind w:right="137"/>
              <w:spacing w:after="0"/>
              <w:rPr>
                <w:sz w:val="20"/>
                <w:szCs w:val="20"/>
                <w:color w:val="auto"/>
              </w:rPr>
            </w:pPr>
            <w:r>
              <w:rPr>
                <w:rFonts w:ascii="Arial" w:cs="Arial" w:eastAsia="Arial" w:hAnsi="Arial"/>
                <w:sz w:val="14"/>
                <w:szCs w:val="14"/>
                <w:b w:val="1"/>
                <w:bCs w:val="1"/>
                <w:color w:val="FFFFFF"/>
              </w:rPr>
              <w:t>Q2 Award</w:t>
            </w:r>
          </w:p>
        </w:tc>
        <w:tc>
          <w:tcPr>
            <w:tcW w:w="1040" w:type="dxa"/>
            <w:vAlign w:val="bottom"/>
            <w:shd w:val="clear" w:color="auto" w:fill="1D3965"/>
          </w:tcPr>
          <w:p>
            <w:pPr>
              <w:jc w:val="right"/>
              <w:ind w:right="117"/>
              <w:spacing w:after="0"/>
              <w:rPr>
                <w:sz w:val="20"/>
                <w:szCs w:val="20"/>
                <w:color w:val="auto"/>
              </w:rPr>
            </w:pPr>
            <w:r>
              <w:rPr>
                <w:rFonts w:ascii="Arial" w:cs="Arial" w:eastAsia="Arial" w:hAnsi="Arial"/>
                <w:sz w:val="14"/>
                <w:szCs w:val="14"/>
                <w:b w:val="1"/>
                <w:bCs w:val="1"/>
                <w:color w:val="FFFFFF"/>
              </w:rPr>
              <w:t>Q3 Award</w:t>
            </w:r>
          </w:p>
        </w:tc>
        <w:tc>
          <w:tcPr>
            <w:tcW w:w="1060" w:type="dxa"/>
            <w:vAlign w:val="bottom"/>
            <w:shd w:val="clear" w:color="auto" w:fill="1D3965"/>
          </w:tcPr>
          <w:p>
            <w:pPr>
              <w:jc w:val="right"/>
              <w:ind w:right="137"/>
              <w:spacing w:after="0"/>
              <w:rPr>
                <w:sz w:val="20"/>
                <w:szCs w:val="20"/>
                <w:color w:val="auto"/>
              </w:rPr>
            </w:pPr>
            <w:r>
              <w:rPr>
                <w:rFonts w:ascii="Arial" w:cs="Arial" w:eastAsia="Arial" w:hAnsi="Arial"/>
                <w:sz w:val="14"/>
                <w:szCs w:val="14"/>
                <w:b w:val="1"/>
                <w:bCs w:val="1"/>
                <w:color w:val="FFFFFF"/>
              </w:rPr>
              <w:t>Q4 Award</w:t>
            </w:r>
          </w:p>
        </w:tc>
        <w:tc>
          <w:tcPr>
            <w:tcW w:w="960" w:type="dxa"/>
            <w:vAlign w:val="bottom"/>
            <w:shd w:val="clear" w:color="auto" w:fill="1D3965"/>
          </w:tcPr>
          <w:p>
            <w:pPr>
              <w:jc w:val="right"/>
              <w:ind w:right="197"/>
              <w:spacing w:after="0"/>
              <w:rPr>
                <w:sz w:val="20"/>
                <w:szCs w:val="20"/>
                <w:color w:val="auto"/>
              </w:rPr>
            </w:pPr>
            <w:r>
              <w:rPr>
                <w:rFonts w:ascii="Arial" w:cs="Arial" w:eastAsia="Arial" w:hAnsi="Arial"/>
                <w:sz w:val="14"/>
                <w:szCs w:val="14"/>
                <w:b w:val="1"/>
                <w:bCs w:val="1"/>
                <w:color w:val="FFFFFF"/>
              </w:rPr>
              <w:t>Total</w:t>
            </w:r>
          </w:p>
        </w:tc>
      </w:tr>
      <w:tr>
        <w:trPr>
          <w:trHeight w:val="216"/>
        </w:trPr>
        <w:tc>
          <w:tcPr>
            <w:tcW w:w="2420" w:type="dxa"/>
            <w:vAlign w:val="bottom"/>
            <w:shd w:val="clear" w:color="auto" w:fill="1D3965"/>
          </w:tcPr>
          <w:p>
            <w:pPr>
              <w:ind w:left="160"/>
              <w:spacing w:after="0"/>
              <w:rPr>
                <w:sz w:val="20"/>
                <w:szCs w:val="20"/>
                <w:color w:val="auto"/>
              </w:rPr>
            </w:pPr>
            <w:r>
              <w:rPr>
                <w:rFonts w:ascii="Arial" w:cs="Arial" w:eastAsia="Arial" w:hAnsi="Arial"/>
                <w:sz w:val="14"/>
                <w:szCs w:val="14"/>
                <w:b w:val="1"/>
                <w:bCs w:val="1"/>
                <w:color w:val="FFFFFF"/>
              </w:rPr>
              <w:t>Named Executive Officer</w:t>
            </w:r>
          </w:p>
        </w:tc>
        <w:tc>
          <w:tcPr>
            <w:tcW w:w="1460" w:type="dxa"/>
            <w:vAlign w:val="bottom"/>
            <w:shd w:val="clear" w:color="auto" w:fill="1D3965"/>
          </w:tcPr>
          <w:p>
            <w:pPr>
              <w:jc w:val="right"/>
              <w:ind w:right="177"/>
              <w:spacing w:after="0"/>
              <w:rPr>
                <w:sz w:val="20"/>
                <w:szCs w:val="20"/>
                <w:color w:val="auto"/>
              </w:rPr>
            </w:pPr>
            <w:r>
              <w:rPr>
                <w:rFonts w:ascii="Arial" w:cs="Arial" w:eastAsia="Arial" w:hAnsi="Arial"/>
                <w:sz w:val="14"/>
                <w:szCs w:val="14"/>
                <w:b w:val="1"/>
                <w:bCs w:val="1"/>
                <w:color w:val="FFFFFF"/>
              </w:rPr>
              <w:t>Amount</w:t>
            </w:r>
          </w:p>
        </w:tc>
        <w:tc>
          <w:tcPr>
            <w:tcW w:w="1060" w:type="dxa"/>
            <w:vAlign w:val="bottom"/>
            <w:shd w:val="clear" w:color="auto" w:fill="1D3965"/>
          </w:tcPr>
          <w:p>
            <w:pPr>
              <w:jc w:val="right"/>
              <w:ind w:right="177"/>
              <w:spacing w:after="0"/>
              <w:rPr>
                <w:sz w:val="20"/>
                <w:szCs w:val="20"/>
                <w:color w:val="auto"/>
              </w:rPr>
            </w:pPr>
            <w:r>
              <w:rPr>
                <w:rFonts w:ascii="Arial" w:cs="Arial" w:eastAsia="Arial" w:hAnsi="Arial"/>
                <w:sz w:val="14"/>
                <w:szCs w:val="14"/>
                <w:b w:val="1"/>
                <w:bCs w:val="1"/>
                <w:color w:val="FFFFFF"/>
              </w:rPr>
              <w:t>Amount</w:t>
            </w:r>
          </w:p>
        </w:tc>
        <w:tc>
          <w:tcPr>
            <w:tcW w:w="1040" w:type="dxa"/>
            <w:vAlign w:val="bottom"/>
            <w:shd w:val="clear" w:color="auto" w:fill="1D3965"/>
          </w:tcPr>
          <w:p>
            <w:pPr>
              <w:jc w:val="right"/>
              <w:ind w:right="157"/>
              <w:spacing w:after="0"/>
              <w:rPr>
                <w:sz w:val="20"/>
                <w:szCs w:val="20"/>
                <w:color w:val="auto"/>
              </w:rPr>
            </w:pPr>
            <w:r>
              <w:rPr>
                <w:rFonts w:ascii="Arial" w:cs="Arial" w:eastAsia="Arial" w:hAnsi="Arial"/>
                <w:sz w:val="14"/>
                <w:szCs w:val="14"/>
                <w:b w:val="1"/>
                <w:bCs w:val="1"/>
                <w:color w:val="FFFFFF"/>
              </w:rPr>
              <w:t>Amount</w:t>
            </w:r>
          </w:p>
        </w:tc>
        <w:tc>
          <w:tcPr>
            <w:tcW w:w="1060" w:type="dxa"/>
            <w:vAlign w:val="bottom"/>
            <w:shd w:val="clear" w:color="auto" w:fill="1D3965"/>
          </w:tcPr>
          <w:p>
            <w:pPr>
              <w:jc w:val="right"/>
              <w:ind w:right="177"/>
              <w:spacing w:after="0"/>
              <w:rPr>
                <w:sz w:val="20"/>
                <w:szCs w:val="20"/>
                <w:color w:val="auto"/>
              </w:rPr>
            </w:pPr>
            <w:r>
              <w:rPr>
                <w:rFonts w:ascii="Arial" w:cs="Arial" w:eastAsia="Arial" w:hAnsi="Arial"/>
                <w:sz w:val="14"/>
                <w:szCs w:val="14"/>
                <w:b w:val="1"/>
                <w:bCs w:val="1"/>
                <w:color w:val="FFFFFF"/>
              </w:rPr>
              <w:t>Amount</w:t>
            </w:r>
          </w:p>
        </w:tc>
        <w:tc>
          <w:tcPr>
            <w:tcW w:w="960" w:type="dxa"/>
            <w:vAlign w:val="bottom"/>
            <w:shd w:val="clear" w:color="auto" w:fill="1D3965"/>
          </w:tcPr>
          <w:p>
            <w:pPr>
              <w:jc w:val="right"/>
              <w:spacing w:after="0" w:line="216" w:lineRule="exact"/>
              <w:rPr>
                <w:sz w:val="20"/>
                <w:szCs w:val="20"/>
                <w:color w:val="auto"/>
              </w:rPr>
            </w:pPr>
            <w:r>
              <w:rPr>
                <w:rFonts w:ascii="Arial" w:cs="Arial" w:eastAsia="Arial" w:hAnsi="Arial"/>
                <w:sz w:val="14"/>
                <w:szCs w:val="14"/>
                <w:b w:val="1"/>
                <w:bCs w:val="1"/>
                <w:color w:val="FFFFFF"/>
              </w:rPr>
              <w:t>Amount</w:t>
            </w:r>
            <w:r>
              <w:rPr>
                <w:rFonts w:ascii="Arial" w:cs="Arial" w:eastAsia="Arial" w:hAnsi="Arial"/>
                <w:sz w:val="23"/>
                <w:szCs w:val="23"/>
                <w:b w:val="1"/>
                <w:bCs w:val="1"/>
                <w:color w:val="FFFFFF"/>
                <w:vertAlign w:val="superscript"/>
              </w:rPr>
              <w:t>(1)</w:t>
            </w:r>
          </w:p>
        </w:tc>
      </w:tr>
      <w:tr>
        <w:trPr>
          <w:trHeight w:val="224"/>
        </w:trPr>
        <w:tc>
          <w:tcPr>
            <w:tcW w:w="2420" w:type="dxa"/>
            <w:vAlign w:val="bottom"/>
          </w:tcPr>
          <w:p>
            <w:pPr>
              <w:ind w:left="160"/>
              <w:spacing w:after="0"/>
              <w:rPr>
                <w:sz w:val="20"/>
                <w:szCs w:val="20"/>
                <w:color w:val="auto"/>
              </w:rPr>
            </w:pPr>
            <w:r>
              <w:rPr>
                <w:rFonts w:ascii="Arial" w:cs="Arial" w:eastAsia="Arial" w:hAnsi="Arial"/>
                <w:sz w:val="18"/>
                <w:szCs w:val="18"/>
                <w:color w:val="auto"/>
              </w:rPr>
              <w:t>Sumedh S. Thakar</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$190,625</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$180,713</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$156,160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$195,879</w:t>
            </w:r>
          </w:p>
        </w:tc>
        <w:tc>
          <w:tcPr>
            <w:tcW w:w="960" w:type="dxa"/>
            <w:vAlign w:val="bottom"/>
          </w:tcPr>
          <w:p>
            <w:pPr>
              <w:jc w:val="right"/>
              <w:spacing w:after="0"/>
              <w:rPr>
                <w:sz w:val="20"/>
                <w:szCs w:val="20"/>
                <w:color w:val="auto"/>
              </w:rPr>
            </w:pPr>
            <w:r>
              <w:rPr>
                <w:rFonts w:ascii="Arial" w:cs="Arial" w:eastAsia="Arial" w:hAnsi="Arial"/>
                <w:sz w:val="18"/>
                <w:szCs w:val="18"/>
                <w:color w:val="auto"/>
              </w:rPr>
              <w:t>$723,377</w:t>
            </w:r>
          </w:p>
        </w:tc>
      </w:tr>
      <w:tr>
        <w:trPr>
          <w:trHeight w:val="230"/>
        </w:trPr>
        <w:tc>
          <w:tcPr>
            <w:tcW w:w="2420" w:type="dxa"/>
            <w:vAlign w:val="bottom"/>
          </w:tcPr>
          <w:p>
            <w:pPr>
              <w:ind w:left="160"/>
              <w:spacing w:after="0"/>
              <w:rPr>
                <w:sz w:val="20"/>
                <w:szCs w:val="20"/>
                <w:color w:val="auto"/>
              </w:rPr>
            </w:pPr>
            <w:r>
              <w:rPr>
                <w:rFonts w:ascii="Arial" w:cs="Arial" w:eastAsia="Arial" w:hAnsi="Arial"/>
                <w:sz w:val="18"/>
                <w:szCs w:val="18"/>
                <w:color w:val="auto"/>
              </w:rPr>
              <w:t>Joo Mi Kim</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107,813</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102,206</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88,320</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110,807</w:t>
            </w:r>
          </w:p>
        </w:tc>
        <w:tc>
          <w:tcPr>
            <w:tcW w:w="960" w:type="dxa"/>
            <w:vAlign w:val="bottom"/>
          </w:tcPr>
          <w:p>
            <w:pPr>
              <w:jc w:val="right"/>
              <w:spacing w:after="0"/>
              <w:rPr>
                <w:sz w:val="20"/>
                <w:szCs w:val="20"/>
                <w:color w:val="auto"/>
              </w:rPr>
            </w:pPr>
            <w:r>
              <w:rPr>
                <w:rFonts w:ascii="Arial" w:cs="Arial" w:eastAsia="Arial" w:hAnsi="Arial"/>
                <w:sz w:val="18"/>
                <w:szCs w:val="18"/>
                <w:color w:val="auto"/>
              </w:rPr>
              <w:t>409,146</w:t>
            </w:r>
          </w:p>
        </w:tc>
      </w:tr>
      <w:tr>
        <w:trPr>
          <w:trHeight w:val="239"/>
        </w:trPr>
        <w:tc>
          <w:tcPr>
            <w:tcW w:w="2420" w:type="dxa"/>
            <w:vAlign w:val="bottom"/>
          </w:tcPr>
          <w:p>
            <w:pPr>
              <w:ind w:left="160"/>
              <w:spacing w:after="0"/>
              <w:rPr>
                <w:sz w:val="20"/>
                <w:szCs w:val="20"/>
                <w:color w:val="auto"/>
              </w:rPr>
            </w:pPr>
            <w:r>
              <w:rPr>
                <w:rFonts w:ascii="Arial" w:cs="Arial" w:eastAsia="Arial" w:hAnsi="Arial"/>
                <w:sz w:val="18"/>
                <w:szCs w:val="18"/>
                <w:color w:val="auto"/>
              </w:rPr>
              <w:t>Bruce K. Posey</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73,125</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69,323</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59,904</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75,021</w:t>
            </w:r>
          </w:p>
        </w:tc>
        <w:tc>
          <w:tcPr>
            <w:tcW w:w="960" w:type="dxa"/>
            <w:vAlign w:val="bottom"/>
          </w:tcPr>
          <w:p>
            <w:pPr>
              <w:jc w:val="right"/>
              <w:spacing w:after="0"/>
              <w:rPr>
                <w:sz w:val="20"/>
                <w:szCs w:val="20"/>
                <w:color w:val="auto"/>
              </w:rPr>
            </w:pPr>
            <w:r>
              <w:rPr>
                <w:rFonts w:ascii="Arial" w:cs="Arial" w:eastAsia="Arial" w:hAnsi="Arial"/>
                <w:sz w:val="18"/>
                <w:szCs w:val="18"/>
                <w:color w:val="auto"/>
              </w:rPr>
              <w:t>277,373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108585</wp:posOffset>
            </wp:positionV>
            <wp:extent cx="480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60" w:lineRule="exact"/>
        <w:rPr>
          <w:sz w:val="20"/>
          <w:szCs w:val="20"/>
          <w:color w:val="auto"/>
        </w:rPr>
      </w:pPr>
    </w:p>
    <w:p>
      <w:pPr>
        <w:ind w:left="4400" w:right="1859" w:hanging="3892"/>
        <w:spacing w:after="0" w:line="647" w:lineRule="auto"/>
        <w:tabs>
          <w:tab w:leader="none" w:pos="8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2025, the non-equity incentive plan paid out at approximately 117% of target.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-78740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5" w:name="page56"/>
    <w:bookmarkEnd w:id="55"/>
    <w:p>
      <w:pPr>
        <w:ind w:left="7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1"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Continuing the practice we introduced in 2021 based on feedback from our stockholders, the equity award grants for our named executive officers that were approved in 2025 were a mix of time-based RSU and PRSUs. RSUs serve to retain our named executive officers over the long-term and align with our objective of long-term stockholder value creation. PRSUs drive long-term stockholder value creation and more strongly align our named executive officers’ interests with the interests of the Company and its stockholders. The PRSUs will provide significant value to our named executive officers only if the Company achieves specific operational goals since the PRSUs will vest only if these goals are achieved. As discussed in “Executive Compensation Highlights” above, PRSU performance goals are determined by the Compensation and Talent Committee in the first quarter of the year to which they relate, which impacts the amounts reported in the Summary Compensation Table for 2025.</w:t>
      </w:r>
    </w:p>
    <w:p>
      <w:pPr>
        <w:spacing w:after="0" w:line="183"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w:t>
      </w:r>
    </w:p>
    <w:p>
      <w:pPr>
        <w:spacing w:after="0" w:line="20" w:lineRule="exact"/>
        <w:rPr>
          <w:sz w:val="20"/>
          <w:szCs w:val="20"/>
          <w:color w:val="auto"/>
        </w:rPr>
      </w:pPr>
    </w:p>
    <w:p>
      <w:pPr>
        <w:ind w:left="1220" w:hanging="280"/>
        <w:spacing w:after="0"/>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named executive officer’s performance, contributions, responsibilities, and experience;</w:t>
      </w:r>
    </w:p>
    <w:p>
      <w:pPr>
        <w:spacing w:after="0" w:line="89" w:lineRule="exact"/>
        <w:rPr>
          <w:rFonts w:ascii="Arial" w:cs="Arial" w:eastAsia="Arial" w:hAnsi="Arial"/>
          <w:sz w:val="25"/>
          <w:szCs w:val="25"/>
          <w:color w:val="auto"/>
          <w:vertAlign w:val="superscript"/>
        </w:rPr>
      </w:pPr>
    </w:p>
    <w:p>
      <w:pPr>
        <w:ind w:left="1220" w:right="519" w:hanging="280"/>
        <w:spacing w:after="0" w:line="205" w:lineRule="auto"/>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 compensation analysis performed by our human resources department and/or our independent compensation consultant;</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market data researched from our compensation peer group (as well as custom cuts of survey data from Radford) and a competitive market analysis provided by our independent compensation consultant;</w:t>
      </w:r>
    </w:p>
    <w:p>
      <w:pPr>
        <w:spacing w:after="0" w:line="72" w:lineRule="exact"/>
        <w:rPr>
          <w:rFonts w:ascii="Arial" w:cs="Arial" w:eastAsia="Arial" w:hAnsi="Arial"/>
          <w:sz w:val="25"/>
          <w:szCs w:val="25"/>
          <w:color w:val="auto"/>
          <w:vertAlign w:val="superscript"/>
        </w:rPr>
      </w:pPr>
    </w:p>
    <w:p>
      <w:pPr>
        <w:ind w:left="1220" w:right="519" w:hanging="280"/>
        <w:spacing w:after="0" w:line="214" w:lineRule="auto"/>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equity award recommendations of management (except with respect to their own equity awards); and</w:t>
      </w:r>
    </w:p>
    <w:p>
      <w:pPr>
        <w:spacing w:after="0" w:line="23"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internal equity considerations.</w:t>
      </w:r>
    </w:p>
    <w:p>
      <w:pPr>
        <w:spacing w:after="0" w:line="180"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also periodically grant equity awards to new executive hires or in connection with a promotion and to recognize corporate and individual performance.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competitive market conditions.</w:t>
      </w:r>
    </w:p>
    <w:p>
      <w:pPr>
        <w:spacing w:after="0" w:line="185"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equity awards granted to our named executive officers in 2025 are set forth in the sections entitled “</w:t>
      </w:r>
      <w:r>
        <w:rPr>
          <w:rFonts w:ascii="Arial" w:cs="Arial" w:eastAsia="Arial" w:hAnsi="Arial"/>
          <w:sz w:val="18"/>
          <w:szCs w:val="18"/>
          <w:i w:val="1"/>
          <w:iCs w:val="1"/>
          <w:color w:val="auto"/>
        </w:rPr>
        <w:t>2025 Summary 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2025 Table</w:t>
      </w:r>
      <w:r>
        <w:rPr>
          <w:rFonts w:ascii="Arial" w:cs="Arial" w:eastAsia="Arial" w:hAnsi="Arial"/>
          <w:sz w:val="18"/>
          <w:szCs w:val="18"/>
          <w:color w:val="auto"/>
        </w:rPr>
        <w:t>” below.</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Annual Equity Grants</w:t>
      </w:r>
    </w:p>
    <w:p>
      <w:pPr>
        <w:spacing w:after="0" w:line="102" w:lineRule="exact"/>
        <w:rPr>
          <w:sz w:val="20"/>
          <w:szCs w:val="20"/>
          <w:color w:val="auto"/>
        </w:rPr>
      </w:pPr>
    </w:p>
    <w:p>
      <w:pPr>
        <w:jc w:val="both"/>
        <w:ind w:left="500" w:right="539" w:firstLine="360"/>
        <w:spacing w:after="0" w:line="271" w:lineRule="auto"/>
        <w:rPr>
          <w:sz w:val="20"/>
          <w:szCs w:val="20"/>
          <w:color w:val="auto"/>
        </w:rPr>
      </w:pPr>
      <w:r>
        <w:rPr>
          <w:rFonts w:ascii="Arial" w:cs="Arial" w:eastAsia="Arial" w:hAnsi="Arial"/>
          <w:sz w:val="18"/>
          <w:szCs w:val="18"/>
          <w:color w:val="auto"/>
        </w:rPr>
        <w:t>The annual equity grants for our named executive officers for which the target number of PRSUs were approved in 2025 consisted of a mix of RSUs and PRSUs.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56" w:name="page57"/>
    <w:bookmarkEnd w:id="56"/>
    <w:p>
      <w:pPr>
        <w:jc w:val="both"/>
        <w:ind w:left="500" w:right="519" w:firstLine="360"/>
        <w:spacing w:after="0" w:line="246" w:lineRule="auto"/>
        <w:rPr>
          <w:sz w:val="20"/>
          <w:szCs w:val="20"/>
          <w:color w:val="auto"/>
        </w:rPr>
      </w:pPr>
      <w:r>
        <w:rPr>
          <w:rFonts w:ascii="Arial" w:cs="Arial" w:eastAsia="Arial" w:hAnsi="Arial"/>
          <w:sz w:val="18"/>
          <w:szCs w:val="18"/>
          <w:color w:val="auto"/>
        </w:rPr>
        <w:t>The RSUs granted to our named executive officers vest quarterly over four years and serve to retain our named executive officers over a long-term period and align with our objective of long-term stockholder value creation. The vesting of the RSUs is subject to the applicable named executive officer’s continued service with us as of each vesting date.</w:t>
      </w:r>
    </w:p>
    <w:p>
      <w:pPr>
        <w:spacing w:after="0" w:line="177"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As explained in further detail below, for the PRSUs approved in 2025, the target number of PRSUs were determined in 2025 and divided equally into three tranches with each covering performance periods (fiscal years) 2026, 2027, and 2028. Annual performance goals are established in the first quarter of each performance year based on the Company’s annual operating plan for the applicable year. The goals for each tranche are based on the annual growth rate of the Company’s revenues and adjusted EBITDA margin for the applicable performance period. These two metrics are to be calculated as follows:</w:t>
      </w:r>
    </w:p>
    <w:p>
      <w:pPr>
        <w:spacing w:after="0" w:line="77" w:lineRule="exact"/>
        <w:rPr>
          <w:sz w:val="20"/>
          <w:szCs w:val="20"/>
          <w:color w:val="auto"/>
        </w:rPr>
      </w:pPr>
    </w:p>
    <w:p>
      <w:pPr>
        <w:jc w:val="both"/>
        <w:ind w:left="1220" w:right="519" w:hanging="280"/>
        <w:spacing w:after="0" w:line="220" w:lineRule="auto"/>
        <w:tabs>
          <w:tab w:leader="none" w:pos="122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Revenues are determined in accordance with GAAP in effect on the date of grant, subject to adjustments to exclude the effects of acquisitions and/or dispositions during the performance period.</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8" w:lineRule="auto"/>
        <w:tabs>
          <w:tab w:leader="none" w:pos="122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Adjusted EBITDA margin is calculated as (i) net income (loss) for the performance period before (A) other (income) expense, net, which includes interest income, interest expense and other income and expense, (B) provision for (benefit from) income taxes, (C) depreciation and amortization of property and equipment, (D) amortization of intangible assets, and (E) stock-based compensation, divided by (ii) revenues for the performance period, subject to adjustments to exclude the effects of acquisitions and/or dispositions during the performance period.</w:t>
      </w:r>
    </w:p>
    <w:p>
      <w:pPr>
        <w:spacing w:after="0" w:line="181"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The revenue growth and adjusted EBITDA margin targets for the first tranche are based on the Company’s annual operating plan for 2026. In order to enable more calibrated goal setting, our board of directors did not set the performance goals for this tranche when target number of PRSUs was approved and instead the Compensation and Talent Committee set the goals in February 2026 (after 2025 fiscal year had been completed, which provided the benefit of having a complete view of year end results). The revenue growth and adjusted EBITDA margin targets for the second and third tranches will be based on the Company’s annual operating plan for the applicable year, which is expected to be determined by our board of directors shortly after the beginning of the applicable year.</w:t>
      </w:r>
    </w:p>
    <w:p>
      <w:pPr>
        <w:spacing w:after="0" w:line="18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Up to 200% of the target number of PRSUs allocated to each tranche that become eligible to be earned and vest will be scheduled to vest according to the following schedule, subject to the applicable named executive officer’s continued service through the applicable vesting date:</w:t>
      </w:r>
    </w:p>
    <w:p>
      <w:pPr>
        <w:spacing w:after="0" w:line="61" w:lineRule="exact"/>
        <w:rPr>
          <w:sz w:val="20"/>
          <w:szCs w:val="20"/>
          <w:color w:val="auto"/>
        </w:rPr>
      </w:pPr>
    </w:p>
    <w:p>
      <w:pPr>
        <w:jc w:val="both"/>
        <w:ind w:left="1220" w:right="519" w:hanging="280"/>
        <w:spacing w:after="0" w:line="223" w:lineRule="auto"/>
        <w:tabs>
          <w:tab w:leader="none" w:pos="122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For the first and second tranches, up to 100% of the target number of PRSUs allocated to the tranche will vest on the date that performance is certified for that tranche, and any remaining PRSUs that became eligible to vest (“Overperformance Amount”) will vest on the date that performance is certified for the third tranche.</w:t>
      </w:r>
    </w:p>
    <w:p>
      <w:pPr>
        <w:spacing w:after="0" w:line="73" w:lineRule="exact"/>
        <w:rPr>
          <w:rFonts w:ascii="Arial" w:cs="Arial" w:eastAsia="Arial" w:hAnsi="Arial"/>
          <w:sz w:val="25"/>
          <w:szCs w:val="25"/>
          <w:color w:val="auto"/>
          <w:vertAlign w:val="superscript"/>
        </w:rPr>
      </w:pPr>
    </w:p>
    <w:p>
      <w:pPr>
        <w:ind w:left="1220" w:right="539" w:hanging="280"/>
        <w:spacing w:after="0" w:line="214" w:lineRule="auto"/>
        <w:tabs>
          <w:tab w:leader="none" w:pos="122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For the third tranche, all of the PRSUs that became eligible to vest will vest on the date that performance is certified for that tranche.</w:t>
      </w:r>
    </w:p>
    <w:p>
      <w:pPr>
        <w:spacing w:after="0" w:line="180"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In designing the performance and vesting structure of these PRSUs, our Compensation and Talent Committee sought to balance the short-term and long-term incentive and retention aspects of the PRSUs, by allowing the named executive officers to earn and vest in up to the target number of PRSUs each year but requiring continued service for approximately three years in order to vest in any Overperformance Amount.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7" w:name="page58"/>
    <w:bookmarkEnd w:id="57"/>
    <w:p>
      <w:pPr>
        <w:jc w:val="both"/>
        <w:ind w:left="500" w:right="519" w:firstLine="360"/>
        <w:spacing w:after="0" w:line="252" w:lineRule="auto"/>
        <w:rPr>
          <w:sz w:val="20"/>
          <w:szCs w:val="20"/>
          <w:color w:val="auto"/>
        </w:rPr>
      </w:pPr>
      <w:r>
        <w:rPr>
          <w:rFonts w:ascii="Arial" w:cs="Arial" w:eastAsia="Arial" w:hAnsi="Arial"/>
          <w:sz w:val="18"/>
          <w:szCs w:val="18"/>
          <w:color w:val="auto"/>
        </w:rPr>
        <w:t>In addition, the vesting of these RSUs and PRSUs would accelerate upon the occurrence of certain specified events, as described in the section entitled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 in Control</w:t>
      </w:r>
      <w:r>
        <w:rPr>
          <w:rFonts w:ascii="Arial" w:cs="Arial" w:eastAsia="Arial" w:hAnsi="Arial"/>
          <w:sz w:val="18"/>
          <w:szCs w:val="18"/>
          <w:color w:val="auto"/>
        </w:rPr>
        <w:t>” below.</w:t>
      </w:r>
    </w:p>
    <w:p>
      <w:pPr>
        <w:spacing w:after="0" w:line="171"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The number of shares of our common stock covered by the RSUs and PRSUs and their intended value at the time of grant are listed in the table below.</w:t>
      </w:r>
    </w:p>
    <w:p>
      <w:pPr>
        <w:spacing w:after="0" w:line="105"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1500" w:type="dxa"/>
            <w:vAlign w:val="bottom"/>
            <w:shd w:val="clear" w:color="auto" w:fill="1D3965"/>
          </w:tcPr>
          <w:p>
            <w:pPr>
              <w:spacing w:after="0"/>
              <w:rPr>
                <w:sz w:val="22"/>
                <w:szCs w:val="22"/>
                <w:color w:val="auto"/>
              </w:rPr>
            </w:pPr>
          </w:p>
        </w:tc>
        <w:tc>
          <w:tcPr>
            <w:tcW w:w="960" w:type="dxa"/>
            <w:vAlign w:val="bottom"/>
            <w:shd w:val="clear" w:color="auto" w:fill="1D3965"/>
          </w:tcPr>
          <w:p>
            <w:pPr>
              <w:spacing w:after="0"/>
              <w:rPr>
                <w:sz w:val="22"/>
                <w:szCs w:val="22"/>
                <w:color w:val="auto"/>
              </w:rPr>
            </w:pPr>
          </w:p>
        </w:tc>
        <w:tc>
          <w:tcPr>
            <w:tcW w:w="1020" w:type="dxa"/>
            <w:vAlign w:val="bottom"/>
            <w:shd w:val="clear" w:color="auto" w:fill="1D3965"/>
          </w:tcPr>
          <w:p>
            <w:pPr>
              <w:spacing w:after="0"/>
              <w:rPr>
                <w:sz w:val="22"/>
                <w:szCs w:val="22"/>
                <w:color w:val="auto"/>
              </w:rPr>
            </w:pPr>
          </w:p>
        </w:tc>
        <w:tc>
          <w:tcPr>
            <w:tcW w:w="1180" w:type="dxa"/>
            <w:vAlign w:val="bottom"/>
            <w:vMerge w:val="restart"/>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c>
          <w:tcPr>
            <w:tcW w:w="1120" w:type="dxa"/>
            <w:vAlign w:val="bottom"/>
            <w:shd w:val="clear" w:color="auto" w:fill="1D3965"/>
          </w:tcPr>
          <w:p>
            <w:pPr>
              <w:spacing w:after="0"/>
              <w:rPr>
                <w:sz w:val="22"/>
                <w:szCs w:val="22"/>
                <w:color w:val="auto"/>
              </w:rPr>
            </w:pPr>
          </w:p>
        </w:tc>
        <w:tc>
          <w:tcPr>
            <w:tcW w:w="1100" w:type="dxa"/>
            <w:vAlign w:val="bottom"/>
            <w:vMerge w:val="restart"/>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1D3965"/>
          </w:tcPr>
          <w:p>
            <w:pPr>
              <w:spacing w:after="0"/>
              <w:rPr>
                <w:sz w:val="22"/>
                <w:szCs w:val="22"/>
                <w:color w:val="auto"/>
              </w:rPr>
            </w:pPr>
          </w:p>
        </w:tc>
        <w:tc>
          <w:tcPr>
            <w:tcW w:w="960" w:type="dxa"/>
            <w:vAlign w:val="bottom"/>
            <w:shd w:val="clear" w:color="auto" w:fill="1D3965"/>
          </w:tcPr>
          <w:p>
            <w:pPr>
              <w:jc w:val="center"/>
              <w:ind w:right="121"/>
              <w:spacing w:after="0"/>
              <w:rPr>
                <w:sz w:val="20"/>
                <w:szCs w:val="20"/>
                <w:color w:val="auto"/>
              </w:rPr>
            </w:pPr>
            <w:r>
              <w:rPr>
                <w:rFonts w:ascii="Arial" w:cs="Arial" w:eastAsia="Arial" w:hAnsi="Arial"/>
                <w:sz w:val="14"/>
                <w:szCs w:val="14"/>
                <w:b w:val="1"/>
                <w:bCs w:val="1"/>
                <w:color w:val="FFFFFF"/>
              </w:rPr>
              <w:t>Intended</w:t>
            </w:r>
          </w:p>
        </w:tc>
        <w:tc>
          <w:tcPr>
            <w:tcW w:w="0" w:type="dxa"/>
            <w:vAlign w:val="bottom"/>
          </w:tcPr>
          <w:p>
            <w:pPr>
              <w:spacing w:after="0"/>
              <w:rPr>
                <w:sz w:val="1"/>
                <w:szCs w:val="1"/>
                <w:color w:val="auto"/>
              </w:rPr>
            </w:pPr>
          </w:p>
        </w:tc>
      </w:tr>
      <w:tr>
        <w:trPr>
          <w:trHeight w:val="144"/>
        </w:trPr>
        <w:tc>
          <w:tcPr>
            <w:tcW w:w="1500" w:type="dxa"/>
            <w:vAlign w:val="bottom"/>
            <w:shd w:val="clear" w:color="auto" w:fill="1D3965"/>
          </w:tcPr>
          <w:p>
            <w:pPr>
              <w:spacing w:after="0"/>
              <w:rPr>
                <w:sz w:val="12"/>
                <w:szCs w:val="12"/>
                <w:color w:val="auto"/>
              </w:rPr>
            </w:pPr>
          </w:p>
        </w:tc>
        <w:tc>
          <w:tcPr>
            <w:tcW w:w="960" w:type="dxa"/>
            <w:vAlign w:val="bottom"/>
            <w:shd w:val="clear" w:color="auto" w:fill="1D3965"/>
          </w:tcPr>
          <w:p>
            <w:pPr>
              <w:spacing w:after="0"/>
              <w:rPr>
                <w:sz w:val="12"/>
                <w:szCs w:val="12"/>
                <w:color w:val="auto"/>
              </w:rPr>
            </w:pPr>
          </w:p>
        </w:tc>
        <w:tc>
          <w:tcPr>
            <w:tcW w:w="1020" w:type="dxa"/>
            <w:vAlign w:val="bottom"/>
            <w:shd w:val="clear" w:color="auto" w:fill="1D3965"/>
          </w:tcPr>
          <w:p>
            <w:pPr>
              <w:spacing w:after="0"/>
              <w:rPr>
                <w:sz w:val="12"/>
                <w:szCs w:val="12"/>
                <w:color w:val="auto"/>
              </w:rPr>
            </w:pPr>
          </w:p>
        </w:tc>
        <w:tc>
          <w:tcPr>
            <w:tcW w:w="1180" w:type="dxa"/>
            <w:vAlign w:val="bottom"/>
            <w:vMerge w:val="continue"/>
            <w:shd w:val="clear" w:color="auto" w:fill="1D3965"/>
          </w:tcPr>
          <w:p>
            <w:pPr>
              <w:spacing w:after="0"/>
              <w:rPr>
                <w:sz w:val="12"/>
                <w:szCs w:val="12"/>
                <w:color w:val="auto"/>
              </w:rPr>
            </w:pPr>
          </w:p>
        </w:tc>
        <w:tc>
          <w:tcPr>
            <w:tcW w:w="1120" w:type="dxa"/>
            <w:vAlign w:val="bottom"/>
            <w:shd w:val="clear" w:color="auto" w:fill="1D3965"/>
          </w:tcPr>
          <w:p>
            <w:pPr>
              <w:jc w:val="center"/>
              <w:spacing w:after="0" w:line="145" w:lineRule="exact"/>
              <w:rPr>
                <w:sz w:val="20"/>
                <w:szCs w:val="20"/>
                <w:color w:val="auto"/>
              </w:rPr>
            </w:pPr>
            <w:r>
              <w:rPr>
                <w:rFonts w:ascii="Arial" w:cs="Arial" w:eastAsia="Arial" w:hAnsi="Arial"/>
                <w:sz w:val="14"/>
                <w:szCs w:val="14"/>
                <w:b w:val="1"/>
                <w:bCs w:val="1"/>
                <w:color w:val="FFFFFF"/>
              </w:rPr>
              <w:t>Intended</w:t>
            </w:r>
          </w:p>
        </w:tc>
        <w:tc>
          <w:tcPr>
            <w:tcW w:w="1100" w:type="dxa"/>
            <w:vAlign w:val="bottom"/>
            <w:vMerge w:val="continue"/>
            <w:shd w:val="clear" w:color="auto" w:fill="1D3965"/>
          </w:tcPr>
          <w:p>
            <w:pPr>
              <w:spacing w:after="0"/>
              <w:rPr>
                <w:sz w:val="12"/>
                <w:szCs w:val="12"/>
                <w:color w:val="auto"/>
              </w:rPr>
            </w:pPr>
          </w:p>
        </w:tc>
        <w:tc>
          <w:tcPr>
            <w:tcW w:w="160" w:type="dxa"/>
            <w:vAlign w:val="bottom"/>
            <w:shd w:val="clear" w:color="auto" w:fill="1D3965"/>
          </w:tcPr>
          <w:p>
            <w:pPr>
              <w:spacing w:after="0"/>
              <w:rPr>
                <w:sz w:val="12"/>
                <w:szCs w:val="12"/>
                <w:color w:val="auto"/>
              </w:rPr>
            </w:pPr>
          </w:p>
        </w:tc>
        <w:tc>
          <w:tcPr>
            <w:tcW w:w="960" w:type="dxa"/>
            <w:vAlign w:val="bottom"/>
            <w:shd w:val="clear" w:color="auto" w:fill="1D3965"/>
          </w:tcPr>
          <w:p>
            <w:pPr>
              <w:jc w:val="center"/>
              <w:ind w:right="121"/>
              <w:spacing w:after="0" w:line="145"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2"/>
        </w:trPr>
        <w:tc>
          <w:tcPr>
            <w:tcW w:w="1500" w:type="dxa"/>
            <w:vAlign w:val="bottom"/>
            <w:shd w:val="clear" w:color="auto" w:fill="1D3965"/>
          </w:tcPr>
          <w:p>
            <w:pPr>
              <w:spacing w:after="0"/>
              <w:rPr>
                <w:sz w:val="14"/>
                <w:szCs w:val="14"/>
                <w:color w:val="auto"/>
              </w:rPr>
            </w:pPr>
          </w:p>
        </w:tc>
        <w:tc>
          <w:tcPr>
            <w:tcW w:w="960" w:type="dxa"/>
            <w:vAlign w:val="bottom"/>
            <w:shd w:val="clear" w:color="auto" w:fill="1D3965"/>
          </w:tcPr>
          <w:p>
            <w:pPr>
              <w:spacing w:after="0"/>
              <w:rPr>
                <w:sz w:val="14"/>
                <w:szCs w:val="14"/>
                <w:color w:val="auto"/>
              </w:rPr>
            </w:pPr>
          </w:p>
        </w:tc>
        <w:tc>
          <w:tcPr>
            <w:tcW w:w="10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Intended</w:t>
            </w:r>
          </w:p>
        </w:tc>
        <w:tc>
          <w:tcPr>
            <w:tcW w:w="11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PRSUs at</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Value</w:t>
            </w:r>
          </w:p>
        </w:tc>
        <w:tc>
          <w:tcPr>
            <w:tcW w:w="11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PRSUs at</w:t>
            </w:r>
          </w:p>
        </w:tc>
        <w:tc>
          <w:tcPr>
            <w:tcW w:w="160" w:type="dxa"/>
            <w:vAlign w:val="bottom"/>
            <w:shd w:val="clear" w:color="auto" w:fill="1D3965"/>
          </w:tcPr>
          <w:p>
            <w:pPr>
              <w:spacing w:after="0"/>
              <w:rPr>
                <w:sz w:val="14"/>
                <w:szCs w:val="14"/>
                <w:color w:val="auto"/>
              </w:rPr>
            </w:pPr>
          </w:p>
        </w:tc>
        <w:tc>
          <w:tcPr>
            <w:tcW w:w="960" w:type="dxa"/>
            <w:vAlign w:val="bottom"/>
            <w:shd w:val="clear" w:color="auto" w:fill="1D3965"/>
          </w:tcPr>
          <w:p>
            <w:pPr>
              <w:jc w:val="center"/>
              <w:ind w:right="121"/>
              <w:spacing w:after="0"/>
              <w:rPr>
                <w:sz w:val="20"/>
                <w:szCs w:val="20"/>
                <w:color w:val="auto"/>
              </w:rPr>
            </w:pPr>
            <w:r>
              <w:rPr>
                <w:rFonts w:ascii="Arial" w:cs="Arial" w:eastAsia="Arial" w:hAnsi="Arial"/>
                <w:sz w:val="14"/>
                <w:szCs w:val="14"/>
                <w:b w:val="1"/>
                <w:bCs w:val="1"/>
                <w:color w:val="FFFFFF"/>
              </w:rPr>
              <w:t>PRSUs at</w:t>
            </w:r>
          </w:p>
        </w:tc>
        <w:tc>
          <w:tcPr>
            <w:tcW w:w="0" w:type="dxa"/>
            <w:vAlign w:val="bottom"/>
          </w:tcPr>
          <w:p>
            <w:pPr>
              <w:spacing w:after="0"/>
              <w:rPr>
                <w:sz w:val="1"/>
                <w:szCs w:val="1"/>
                <w:color w:val="auto"/>
              </w:rPr>
            </w:pPr>
          </w:p>
        </w:tc>
      </w:tr>
      <w:tr>
        <w:trPr>
          <w:trHeight w:val="162"/>
        </w:trPr>
        <w:tc>
          <w:tcPr>
            <w:tcW w:w="1500" w:type="dxa"/>
            <w:vAlign w:val="bottom"/>
            <w:shd w:val="clear" w:color="auto" w:fill="1D3965"/>
          </w:tcPr>
          <w:p>
            <w:pPr>
              <w:spacing w:after="0"/>
              <w:rPr>
                <w:sz w:val="14"/>
                <w:szCs w:val="14"/>
                <w:color w:val="auto"/>
              </w:rPr>
            </w:pPr>
          </w:p>
        </w:tc>
        <w:tc>
          <w:tcPr>
            <w:tcW w:w="9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1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Target Level of</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of PRSUs at</w:t>
            </w:r>
          </w:p>
        </w:tc>
        <w:tc>
          <w:tcPr>
            <w:tcW w:w="11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Maximum</w:t>
            </w:r>
          </w:p>
        </w:tc>
        <w:tc>
          <w:tcPr>
            <w:tcW w:w="160" w:type="dxa"/>
            <w:vAlign w:val="bottom"/>
            <w:shd w:val="clear" w:color="auto" w:fill="1D3965"/>
          </w:tcPr>
          <w:p>
            <w:pPr>
              <w:spacing w:after="0"/>
              <w:rPr>
                <w:sz w:val="14"/>
                <w:szCs w:val="14"/>
                <w:color w:val="auto"/>
              </w:rPr>
            </w:pPr>
          </w:p>
        </w:tc>
        <w:tc>
          <w:tcPr>
            <w:tcW w:w="960" w:type="dxa"/>
            <w:vAlign w:val="bottom"/>
            <w:shd w:val="clear" w:color="auto" w:fill="1D3965"/>
          </w:tcPr>
          <w:p>
            <w:pPr>
              <w:jc w:val="center"/>
              <w:ind w:right="121"/>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2"/>
        </w:trPr>
        <w:tc>
          <w:tcPr>
            <w:tcW w:w="1500" w:type="dxa"/>
            <w:vAlign w:val="bottom"/>
            <w:shd w:val="clear" w:color="auto" w:fill="1D3965"/>
          </w:tcPr>
          <w:p>
            <w:pPr>
              <w:spacing w:after="0"/>
              <w:rPr>
                <w:sz w:val="20"/>
                <w:szCs w:val="20"/>
                <w:color w:val="auto"/>
              </w:rPr>
            </w:pPr>
            <w:r>
              <w:rPr>
                <w:rFonts w:ascii="Arial" w:cs="Arial" w:eastAsia="Arial" w:hAnsi="Arial"/>
                <w:sz w:val="14"/>
                <w:szCs w:val="14"/>
                <w:b w:val="1"/>
                <w:bCs w:val="1"/>
                <w:color w:val="FFFFFF"/>
              </w:rPr>
              <w:t>Named Executive</w:t>
            </w:r>
          </w:p>
        </w:tc>
        <w:tc>
          <w:tcPr>
            <w:tcW w:w="9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Time-Based</w:t>
            </w:r>
          </w:p>
        </w:tc>
        <w:tc>
          <w:tcPr>
            <w:tcW w:w="10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Time-Based</w:t>
            </w:r>
          </w:p>
        </w:tc>
        <w:tc>
          <w:tcPr>
            <w:tcW w:w="1180" w:type="dxa"/>
            <w:vAlign w:val="bottom"/>
            <w:shd w:val="clear" w:color="auto" w:fill="1D3965"/>
          </w:tcPr>
          <w:p>
            <w:pPr>
              <w:jc w:val="center"/>
              <w:spacing w:after="0" w:line="162" w:lineRule="exact"/>
              <w:rPr>
                <w:sz w:val="20"/>
                <w:szCs w:val="20"/>
                <w:color w:val="auto"/>
              </w:rPr>
            </w:pPr>
            <w:r>
              <w:rPr>
                <w:rFonts w:ascii="Arial" w:cs="Arial" w:eastAsia="Arial" w:hAnsi="Arial"/>
                <w:sz w:val="12"/>
                <w:szCs w:val="12"/>
                <w:b w:val="1"/>
                <w:bCs w:val="1"/>
                <w:color w:val="FFFFFF"/>
              </w:rPr>
              <w:t>Performance</w:t>
            </w:r>
            <w:r>
              <w:rPr>
                <w:rFonts w:ascii="Arial" w:cs="Arial" w:eastAsia="Arial" w:hAnsi="Arial"/>
                <w:sz w:val="18"/>
                <w:szCs w:val="18"/>
                <w:b w:val="1"/>
                <w:bCs w:val="1"/>
                <w:color w:val="FFFFFF"/>
                <w:vertAlign w:val="superscript"/>
              </w:rPr>
              <w:t>(1)</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Target Level of</w:t>
            </w:r>
          </w:p>
        </w:tc>
        <w:tc>
          <w:tcPr>
            <w:tcW w:w="11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Level of</w:t>
            </w:r>
          </w:p>
        </w:tc>
        <w:tc>
          <w:tcPr>
            <w:tcW w:w="160" w:type="dxa"/>
            <w:vAlign w:val="bottom"/>
            <w:shd w:val="clear" w:color="auto" w:fill="1D3965"/>
          </w:tcPr>
          <w:p>
            <w:pPr>
              <w:spacing w:after="0"/>
              <w:rPr>
                <w:sz w:val="14"/>
                <w:szCs w:val="14"/>
                <w:color w:val="auto"/>
              </w:rPr>
            </w:pPr>
          </w:p>
        </w:tc>
        <w:tc>
          <w:tcPr>
            <w:tcW w:w="960" w:type="dxa"/>
            <w:vAlign w:val="bottom"/>
            <w:shd w:val="clear" w:color="auto" w:fill="1D3965"/>
          </w:tcPr>
          <w:p>
            <w:pPr>
              <w:jc w:val="center"/>
              <w:ind w:right="121"/>
              <w:spacing w:after="0"/>
              <w:rPr>
                <w:sz w:val="20"/>
                <w:szCs w:val="20"/>
                <w:color w:val="auto"/>
              </w:rPr>
            </w:pPr>
            <w:r>
              <w:rPr>
                <w:rFonts w:ascii="Arial" w:cs="Arial" w:eastAsia="Arial" w:hAnsi="Arial"/>
                <w:sz w:val="14"/>
                <w:szCs w:val="14"/>
                <w:b w:val="1"/>
                <w:bCs w:val="1"/>
                <w:color w:val="FFFFFF"/>
              </w:rPr>
              <w:t>Level of</w:t>
            </w:r>
          </w:p>
        </w:tc>
        <w:tc>
          <w:tcPr>
            <w:tcW w:w="0" w:type="dxa"/>
            <w:vAlign w:val="bottom"/>
          </w:tcPr>
          <w:p>
            <w:pPr>
              <w:spacing w:after="0"/>
              <w:rPr>
                <w:sz w:val="1"/>
                <w:szCs w:val="1"/>
                <w:color w:val="auto"/>
              </w:rPr>
            </w:pPr>
          </w:p>
        </w:tc>
      </w:tr>
      <w:tr>
        <w:trPr>
          <w:trHeight w:val="216"/>
        </w:trPr>
        <w:tc>
          <w:tcPr>
            <w:tcW w:w="1500" w:type="dxa"/>
            <w:vAlign w:val="bottom"/>
            <w:shd w:val="clear" w:color="auto" w:fill="1D3965"/>
          </w:tcPr>
          <w:p>
            <w:pPr>
              <w:spacing w:after="0"/>
              <w:rPr>
                <w:sz w:val="20"/>
                <w:szCs w:val="20"/>
                <w:color w:val="auto"/>
              </w:rPr>
            </w:pPr>
            <w:r>
              <w:rPr>
                <w:rFonts w:ascii="Arial" w:cs="Arial" w:eastAsia="Arial" w:hAnsi="Arial"/>
                <w:sz w:val="14"/>
                <w:szCs w:val="14"/>
                <w:b w:val="1"/>
                <w:bCs w:val="1"/>
                <w:color w:val="FFFFFF"/>
              </w:rPr>
              <w:t>Officer</w:t>
            </w:r>
          </w:p>
        </w:tc>
        <w:tc>
          <w:tcPr>
            <w:tcW w:w="960" w:type="dxa"/>
            <w:vAlign w:val="bottom"/>
            <w:shd w:val="clear" w:color="auto" w:fill="1D3965"/>
          </w:tcPr>
          <w:p>
            <w:pPr>
              <w:jc w:val="center"/>
              <w:spacing w:after="0" w:line="216" w:lineRule="exact"/>
              <w:rPr>
                <w:sz w:val="20"/>
                <w:szCs w:val="20"/>
                <w:color w:val="auto"/>
              </w:rPr>
            </w:pPr>
            <w:r>
              <w:rPr>
                <w:rFonts w:ascii="Arial" w:cs="Arial" w:eastAsia="Arial" w:hAnsi="Arial"/>
                <w:sz w:val="14"/>
                <w:szCs w:val="14"/>
                <w:b w:val="1"/>
                <w:bCs w:val="1"/>
                <w:color w:val="FFFFFF"/>
                <w:w w:val="96"/>
              </w:rPr>
              <w:t>RSUs</w:t>
            </w:r>
            <w:r>
              <w:rPr>
                <w:rFonts w:ascii="Arial" w:cs="Arial" w:eastAsia="Arial" w:hAnsi="Arial"/>
                <w:sz w:val="23"/>
                <w:szCs w:val="23"/>
                <w:b w:val="1"/>
                <w:bCs w:val="1"/>
                <w:color w:val="FFFFFF"/>
                <w:w w:val="96"/>
                <w:vertAlign w:val="superscript"/>
              </w:rPr>
              <w:t>(1)</w:t>
            </w:r>
          </w:p>
        </w:tc>
        <w:tc>
          <w:tcPr>
            <w:tcW w:w="10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RSUs</w:t>
            </w:r>
          </w:p>
        </w:tc>
        <w:tc>
          <w:tcPr>
            <w:tcW w:w="1180" w:type="dxa"/>
            <w:vAlign w:val="bottom"/>
            <w:shd w:val="clear" w:color="auto" w:fill="1D3965"/>
          </w:tcPr>
          <w:p>
            <w:pPr>
              <w:jc w:val="center"/>
              <w:spacing w:after="0"/>
              <w:rPr>
                <w:sz w:val="20"/>
                <w:szCs w:val="20"/>
                <w:color w:val="auto"/>
              </w:rPr>
            </w:pPr>
            <w:r>
              <w:rPr>
                <w:rFonts w:ascii="Arial" w:cs="Arial" w:eastAsia="Arial" w:hAnsi="Arial"/>
                <w:sz w:val="12"/>
                <w:szCs w:val="12"/>
                <w:b w:val="1"/>
                <w:bCs w:val="1"/>
                <w:color w:val="FFFFFF"/>
                <w:w w:val="95"/>
              </w:rPr>
              <w:t>(2)</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Performance</w:t>
            </w:r>
          </w:p>
        </w:tc>
        <w:tc>
          <w:tcPr>
            <w:tcW w:w="1100" w:type="dxa"/>
            <w:vAlign w:val="bottom"/>
            <w:shd w:val="clear" w:color="auto" w:fill="1D3965"/>
          </w:tcPr>
          <w:p>
            <w:pPr>
              <w:jc w:val="center"/>
              <w:spacing w:after="0" w:line="216" w:lineRule="exact"/>
              <w:rPr>
                <w:sz w:val="20"/>
                <w:szCs w:val="20"/>
                <w:color w:val="auto"/>
              </w:rPr>
            </w:pPr>
            <w:r>
              <w:rPr>
                <w:rFonts w:ascii="Arial" w:cs="Arial" w:eastAsia="Arial" w:hAnsi="Arial"/>
                <w:sz w:val="14"/>
                <w:szCs w:val="14"/>
                <w:b w:val="1"/>
                <w:bCs w:val="1"/>
                <w:color w:val="FFFFFF"/>
                <w:w w:val="97"/>
              </w:rPr>
              <w:t>Performance</w:t>
            </w:r>
            <w:r>
              <w:rPr>
                <w:rFonts w:ascii="Arial" w:cs="Arial" w:eastAsia="Arial" w:hAnsi="Arial"/>
                <w:sz w:val="23"/>
                <w:szCs w:val="23"/>
                <w:b w:val="1"/>
                <w:bCs w:val="1"/>
                <w:color w:val="FFFFFF"/>
                <w:w w:val="97"/>
                <w:vertAlign w:val="superscript"/>
              </w:rPr>
              <w:t>(1)</w:t>
            </w:r>
          </w:p>
        </w:tc>
        <w:tc>
          <w:tcPr>
            <w:tcW w:w="112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197"/>
        </w:trPr>
        <w:tc>
          <w:tcPr>
            <w:tcW w:w="1500" w:type="dxa"/>
            <w:vAlign w:val="bottom"/>
          </w:tcPr>
          <w:p>
            <w:pPr>
              <w:spacing w:after="0" w:line="197" w:lineRule="exact"/>
              <w:rPr>
                <w:sz w:val="20"/>
                <w:szCs w:val="20"/>
                <w:color w:val="auto"/>
              </w:rPr>
            </w:pPr>
            <w:r>
              <w:rPr>
                <w:rFonts w:ascii="Arial" w:cs="Arial" w:eastAsia="Arial" w:hAnsi="Arial"/>
                <w:sz w:val="18"/>
                <w:szCs w:val="18"/>
                <w:color w:val="auto"/>
              </w:rPr>
              <w:t>Sumedh S.</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Thakar</w:t>
            </w:r>
          </w:p>
        </w:tc>
        <w:tc>
          <w:tcPr>
            <w:tcW w:w="960" w:type="dxa"/>
            <w:vAlign w:val="bottom"/>
          </w:tcPr>
          <w:p>
            <w:pPr>
              <w:jc w:val="center"/>
              <w:spacing w:after="0"/>
              <w:rPr>
                <w:sz w:val="20"/>
                <w:szCs w:val="20"/>
                <w:color w:val="auto"/>
              </w:rPr>
            </w:pPr>
            <w:r>
              <w:rPr>
                <w:rFonts w:ascii="Arial" w:cs="Arial" w:eastAsia="Arial" w:hAnsi="Arial"/>
                <w:sz w:val="18"/>
                <w:szCs w:val="18"/>
                <w:color w:val="auto"/>
              </w:rPr>
              <w:t>61,092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$8,025,000</w:t>
            </w:r>
          </w:p>
        </w:tc>
        <w:tc>
          <w:tcPr>
            <w:tcW w:w="1180" w:type="dxa"/>
            <w:vAlign w:val="bottom"/>
          </w:tcPr>
          <w:p>
            <w:pPr>
              <w:jc w:val="right"/>
              <w:ind w:right="224"/>
              <w:spacing w:after="0"/>
              <w:rPr>
                <w:sz w:val="20"/>
                <w:szCs w:val="20"/>
                <w:color w:val="auto"/>
              </w:rPr>
            </w:pPr>
            <w:r>
              <w:rPr>
                <w:rFonts w:ascii="Arial" w:cs="Arial" w:eastAsia="Arial" w:hAnsi="Arial"/>
                <w:sz w:val="18"/>
                <w:szCs w:val="18"/>
                <w:color w:val="auto"/>
              </w:rPr>
              <w:t>61,092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$8,025,000</w:t>
            </w:r>
          </w:p>
        </w:tc>
        <w:tc>
          <w:tcPr>
            <w:tcW w:w="1100" w:type="dxa"/>
            <w:vAlign w:val="bottom"/>
          </w:tcPr>
          <w:p>
            <w:pPr>
              <w:jc w:val="right"/>
              <w:ind w:right="161"/>
              <w:spacing w:after="0"/>
              <w:rPr>
                <w:sz w:val="20"/>
                <w:szCs w:val="20"/>
                <w:color w:val="auto"/>
              </w:rPr>
            </w:pPr>
            <w:r>
              <w:rPr>
                <w:rFonts w:ascii="Arial" w:cs="Arial" w:eastAsia="Arial" w:hAnsi="Arial"/>
                <w:sz w:val="18"/>
                <w:szCs w:val="18"/>
                <w:color w:val="auto"/>
              </w:rPr>
              <w:t>122,184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16,050,000</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Joo Mi Kim</w:t>
            </w:r>
          </w:p>
        </w:tc>
        <w:tc>
          <w:tcPr>
            <w:tcW w:w="960" w:type="dxa"/>
            <w:vAlign w:val="bottom"/>
          </w:tcPr>
          <w:p>
            <w:pPr>
              <w:jc w:val="center"/>
              <w:spacing w:after="0"/>
              <w:rPr>
                <w:sz w:val="20"/>
                <w:szCs w:val="20"/>
                <w:color w:val="auto"/>
              </w:rPr>
            </w:pPr>
            <w:r>
              <w:rPr>
                <w:rFonts w:ascii="Arial" w:cs="Arial" w:eastAsia="Arial" w:hAnsi="Arial"/>
                <w:sz w:val="18"/>
                <w:szCs w:val="18"/>
                <w:color w:val="auto"/>
              </w:rPr>
              <w:t>34,212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$4,494,000</w:t>
            </w:r>
          </w:p>
        </w:tc>
        <w:tc>
          <w:tcPr>
            <w:tcW w:w="1180" w:type="dxa"/>
            <w:vAlign w:val="bottom"/>
          </w:tcPr>
          <w:p>
            <w:pPr>
              <w:jc w:val="right"/>
              <w:ind w:right="224"/>
              <w:spacing w:after="0"/>
              <w:rPr>
                <w:sz w:val="20"/>
                <w:szCs w:val="20"/>
                <w:color w:val="auto"/>
              </w:rPr>
            </w:pPr>
            <w:r>
              <w:rPr>
                <w:rFonts w:ascii="Arial" w:cs="Arial" w:eastAsia="Arial" w:hAnsi="Arial"/>
                <w:sz w:val="18"/>
                <w:szCs w:val="18"/>
                <w:color w:val="auto"/>
              </w:rPr>
              <w:t>14,662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$1,926,000</w:t>
            </w:r>
          </w:p>
        </w:tc>
        <w:tc>
          <w:tcPr>
            <w:tcW w:w="1100" w:type="dxa"/>
            <w:vAlign w:val="bottom"/>
          </w:tcPr>
          <w:p>
            <w:pPr>
              <w:jc w:val="right"/>
              <w:ind w:right="161"/>
              <w:spacing w:after="0"/>
              <w:rPr>
                <w:sz w:val="20"/>
                <w:szCs w:val="20"/>
                <w:color w:val="auto"/>
              </w:rPr>
            </w:pPr>
            <w:r>
              <w:rPr>
                <w:rFonts w:ascii="Arial" w:cs="Arial" w:eastAsia="Arial" w:hAnsi="Arial"/>
                <w:sz w:val="18"/>
                <w:szCs w:val="18"/>
                <w:color w:val="auto"/>
              </w:rPr>
              <w:t>29,324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3,852,000</w:t>
            </w: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r>
              <w:rPr>
                <w:rFonts w:ascii="Arial" w:cs="Arial" w:eastAsia="Arial" w:hAnsi="Arial"/>
                <w:sz w:val="18"/>
                <w:szCs w:val="18"/>
                <w:color w:val="auto"/>
              </w:rPr>
              <w:t>Bruce K. Posey</w:t>
            </w:r>
          </w:p>
        </w:tc>
        <w:tc>
          <w:tcPr>
            <w:tcW w:w="960" w:type="dxa"/>
            <w:vAlign w:val="bottom"/>
          </w:tcPr>
          <w:p>
            <w:pPr>
              <w:jc w:val="center"/>
              <w:spacing w:after="0"/>
              <w:rPr>
                <w:sz w:val="20"/>
                <w:szCs w:val="20"/>
                <w:color w:val="auto"/>
              </w:rPr>
            </w:pPr>
            <w:r>
              <w:rPr>
                <w:rFonts w:ascii="Arial" w:cs="Arial" w:eastAsia="Arial" w:hAnsi="Arial"/>
                <w:sz w:val="18"/>
                <w:szCs w:val="18"/>
                <w:color w:val="auto"/>
              </w:rPr>
              <w:t>20,357</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$2,674,000</w:t>
            </w:r>
          </w:p>
        </w:tc>
        <w:tc>
          <w:tcPr>
            <w:tcW w:w="1180" w:type="dxa"/>
            <w:vAlign w:val="bottom"/>
          </w:tcPr>
          <w:p>
            <w:pPr>
              <w:jc w:val="right"/>
              <w:ind w:right="244"/>
              <w:spacing w:after="0"/>
              <w:rPr>
                <w:sz w:val="20"/>
                <w:szCs w:val="20"/>
                <w:color w:val="auto"/>
              </w:rPr>
            </w:pPr>
            <w:r>
              <w:rPr>
                <w:rFonts w:ascii="Arial" w:cs="Arial" w:eastAsia="Arial" w:hAnsi="Arial"/>
                <w:sz w:val="18"/>
                <w:szCs w:val="18"/>
                <w:color w:val="auto"/>
              </w:rPr>
              <w:t>8,725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$1,146,000</w:t>
            </w:r>
          </w:p>
        </w:tc>
        <w:tc>
          <w:tcPr>
            <w:tcW w:w="1100" w:type="dxa"/>
            <w:vAlign w:val="bottom"/>
          </w:tcPr>
          <w:p>
            <w:pPr>
              <w:jc w:val="right"/>
              <w:ind w:right="161"/>
              <w:spacing w:after="0"/>
              <w:rPr>
                <w:sz w:val="20"/>
                <w:szCs w:val="20"/>
                <w:color w:val="auto"/>
              </w:rPr>
            </w:pPr>
            <w:r>
              <w:rPr>
                <w:rFonts w:ascii="Arial" w:cs="Arial" w:eastAsia="Arial" w:hAnsi="Arial"/>
                <w:sz w:val="18"/>
                <w:szCs w:val="18"/>
                <w:color w:val="auto"/>
              </w:rPr>
              <w:t>17,450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2,292,000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108585</wp:posOffset>
            </wp:positionV>
            <wp:extent cx="4800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54" w:lineRule="exact"/>
        <w:rPr>
          <w:sz w:val="20"/>
          <w:szCs w:val="20"/>
          <w:color w:val="auto"/>
        </w:rPr>
      </w:pPr>
    </w:p>
    <w:p>
      <w:pPr>
        <w:jc w:val="both"/>
        <w:ind w:left="860" w:right="519" w:hanging="352"/>
        <w:spacing w:after="0" w:line="24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each of these equity awards, the intended value of each equity award was converted into a number of RSUs or PRSUs, as applicable, by dividing the intended value by $131.36 per share, which was the average closing price of our common stock for the 30-trading-day-period ending seven days before the grant date.</w:t>
      </w:r>
    </w:p>
    <w:p>
      <w:pPr>
        <w:spacing w:after="0" w:line="65" w:lineRule="exact"/>
        <w:rPr>
          <w:rFonts w:ascii="Arial" w:cs="Arial" w:eastAsia="Arial" w:hAnsi="Arial"/>
          <w:sz w:val="18"/>
          <w:szCs w:val="18"/>
          <w:color w:val="auto"/>
        </w:rPr>
      </w:pPr>
    </w:p>
    <w:p>
      <w:pPr>
        <w:jc w:val="both"/>
        <w:ind w:left="860" w:right="519" w:hanging="352"/>
        <w:spacing w:after="0" w:line="24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PRSU awards are divided into three tranches with one-year performance periods covering the calendar years 2026, 2027, and 2028, respectively. One-third of the target number of PRSUs is allocated to each tranche. Each tranche will be subject to performance goals to be set shortly after the beginning of applicable performance year.</w:t>
      </w:r>
    </w:p>
    <w:p>
      <w:pPr>
        <w:spacing w:after="0" w:line="95" w:lineRule="exact"/>
        <w:rPr>
          <w:sz w:val="20"/>
          <w:szCs w:val="20"/>
          <w:color w:val="auto"/>
        </w:rPr>
      </w:pPr>
    </w:p>
    <w:p>
      <w:pPr>
        <w:ind w:left="500" w:right="519"/>
        <w:spacing w:after="0" w:line="269" w:lineRule="auto"/>
        <w:rPr>
          <w:sz w:val="20"/>
          <w:szCs w:val="20"/>
          <w:color w:val="auto"/>
        </w:rPr>
      </w:pPr>
      <w:r>
        <w:rPr>
          <w:rFonts w:ascii="Arial" w:cs="Arial" w:eastAsia="Arial" w:hAnsi="Arial"/>
          <w:sz w:val="18"/>
          <w:szCs w:val="18"/>
          <w:i w:val="1"/>
          <w:iCs w:val="1"/>
          <w:color w:val="auto"/>
        </w:rPr>
        <w:t>Understanding the Differences: Reported PRSU Values in the 2025 Summary Compensation Table vs. Target PRSU Values Approved by the Compensation and Talent Committee</w:t>
      </w:r>
    </w:p>
    <w:p>
      <w:pPr>
        <w:spacing w:after="0" w:line="74" w:lineRule="exact"/>
        <w:rPr>
          <w:sz w:val="20"/>
          <w:szCs w:val="20"/>
          <w:color w:val="auto"/>
        </w:rPr>
      </w:pPr>
    </w:p>
    <w:p>
      <w:pPr>
        <w:jc w:val="both"/>
        <w:ind w:left="500" w:right="519" w:firstLine="8"/>
        <w:spacing w:after="0" w:line="295"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Historically, our board of directors or the Compensation and Talent Committee approved both the value and number of underlying shares and our annual performance goals that would be used for PRSU equity award for the next year, in the fourth quarter of the preceding year. During 2023, our board of directors continued this practice of approving the target value of PRSUs for 2024 in October 2023, but decided to move the approval of the performance goals to be used for the PRSUs to February 2024. This change was made so that our board of directors and the Compensation and Talent Committee would have the benefit of a complete view of year end results and a more refined forecast when approving our performance goals, which improves their ability to set appropriately calibrated goals. Consistent with this methodology, which has been used since the change implemented in 2023 and will continue to be applied going forward, our board of directors approved the target values and number of underlying shares of PRSUs for 2025 in October 2025, and the applicable performance goals were approved by the Compensation and Talent Committee in February 2026.</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1433830</wp:posOffset>
            </wp:positionH>
            <wp:positionV relativeFrom="page">
              <wp:posOffset>132080</wp:posOffset>
            </wp:positionV>
            <wp:extent cx="4680585" cy="1705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468058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jc w:val="both"/>
        <w:ind w:left="500" w:right="519" w:firstLine="8"/>
        <w:spacing w:after="0" w:line="320"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As a result, certain tranches of PRSUs will be considered granted in the first quarter of the corresponding performance year during which the applicable performance goals are determined, while our annual RSU awards will continue to be considered granted in the year of approval (generally, October of each year). In 2025 there were three tranches of PRSUs considered granted to NEOs in 2025 for purposes of ASC Topic 718. This is illustrated in the chart below, where each row represents the annual grant approved by our board of directors or Compensation and Talent Committee, and each column represents the year the grant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36195</wp:posOffset>
            </wp:positionV>
            <wp:extent cx="4663440" cy="2674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634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131" w:lineRule="exact"/>
        <w:rPr>
          <w:sz w:val="20"/>
          <w:szCs w:val="20"/>
          <w:color w:val="auto"/>
        </w:rPr>
      </w:pPr>
    </w:p>
    <w:p>
      <w:pPr>
        <w:jc w:val="both"/>
        <w:ind w:left="500" w:right="519" w:firstLine="8"/>
        <w:spacing w:after="0" w:line="299"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The methodology described above results in differences between the reported PRSU award grant date fair value (“GDFV”) in the Summary Compensation Table and the target values of the PRSUs approved by the Compensation and Talent Committee.</w:t>
      </w:r>
    </w:p>
    <w:p>
      <w:pPr>
        <w:spacing w:after="0" w:line="54" w:lineRule="exact"/>
        <w:rPr>
          <w:rFonts w:ascii="Arial" w:cs="Arial" w:eastAsia="Arial" w:hAnsi="Arial"/>
          <w:sz w:val="16"/>
          <w:szCs w:val="16"/>
          <w:color w:val="auto"/>
        </w:rPr>
      </w:pPr>
    </w:p>
    <w:p>
      <w:pPr>
        <w:jc w:val="both"/>
        <w:ind w:left="500" w:right="519" w:firstLine="8"/>
        <w:spacing w:after="0" w:line="320"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The differences between the GDFVs and the target values are due to the SEC requirement that PRSU award values disclosed in the Summary Compensation Table reflect the GDFV of the PRSU as determined under FASB ASC Topic 718, which stipulates that grant date is established when the underlying terms of the award are fixed. Because the performance goals for each tranche of the PRSU awards are set in different fiscal years, the tranches are reported separately in the proxy statements discussing those fiscal years. In addition, the total GDFV of the three tranches for FASB ASC Topic 718 purposes (as reported in the Summary Compensation Table in those proxy statements) may differ from</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jc w:val="both"/>
        <w:ind w:left="500" w:right="519"/>
        <w:spacing w:after="0" w:line="266" w:lineRule="auto"/>
        <w:rPr>
          <w:sz w:val="20"/>
          <w:szCs w:val="20"/>
          <w:color w:val="auto"/>
        </w:rPr>
      </w:pPr>
      <w:r>
        <w:rPr>
          <w:rFonts w:ascii="Arial" w:cs="Arial" w:eastAsia="Arial" w:hAnsi="Arial"/>
          <w:sz w:val="17"/>
          <w:szCs w:val="17"/>
          <w:color w:val="auto"/>
        </w:rPr>
        <w:t>the target value that the Compensation and Talent Committee originally approved. In years when the stock price has declined, the GDFV reported for that tranche in the Summary Compensation Table will be lower than the tranche’s target value. In years when the stock price has increased, the GDFV reported for that tranche in the Summary Compensation Table will exceed the tranche’s target value.</w:t>
      </w:r>
    </w:p>
    <w:p>
      <w:pPr>
        <w:spacing w:after="0" w:line="78" w:lineRule="exact"/>
        <w:rPr>
          <w:sz w:val="20"/>
          <w:szCs w:val="20"/>
          <w:color w:val="auto"/>
        </w:rPr>
      </w:pPr>
    </w:p>
    <w:p>
      <w:pPr>
        <w:jc w:val="both"/>
        <w:ind w:left="500" w:right="519" w:firstLine="8"/>
        <w:spacing w:after="0" w:line="273"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To assist investors in understanding the differences between the GDFV of equity awards in the Summary Compensation Table and the annual target equity award values (inclusive of both RSUs and PRSUs) approved by the Compensation and Talent Committee, the below table shows the current compensation for 2025 (actual base salary + actual short-term incentive + GDFV of RSU awards granted during 2025 + GDFV of PRSU tranches approved in 2022, 2023, and 2024 that associated with 2025 performance period), as disclosed in the Summary Compensation Table, as well as a pro-forma of “intended” compensation for 2025 (actual base salary + actual short-term incentive + the annual intended target equity award values for 2025 and resulting total compensation for 2025). For simplicity, we have omitted “Other Compensation” from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243205</wp:posOffset>
            </wp:positionV>
            <wp:extent cx="5074920" cy="13373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74920" cy="1337310"/>
                    </a:xfrm>
                    <a:prstGeom prst="rect">
                      <a:avLst/>
                    </a:prstGeom>
                    <a:noFill/>
                  </pic:spPr>
                </pic:pic>
              </a:graphicData>
            </a:graphic>
          </wp:anchor>
        </w:drawing>
      </w: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295"/>
        </w:trPr>
        <w:tc>
          <w:tcPr>
            <w:tcW w:w="1360" w:type="dxa"/>
            <w:vAlign w:val="bottom"/>
            <w:shd w:val="clear" w:color="auto" w:fill="1D3965"/>
          </w:tcPr>
          <w:p>
            <w:pPr>
              <w:spacing w:after="0"/>
              <w:rPr>
                <w:sz w:val="24"/>
                <w:szCs w:val="24"/>
                <w:color w:val="auto"/>
              </w:rPr>
            </w:pPr>
          </w:p>
        </w:tc>
        <w:tc>
          <w:tcPr>
            <w:tcW w:w="3160" w:type="dxa"/>
            <w:vAlign w:val="bottom"/>
            <w:gridSpan w:val="3"/>
            <w:shd w:val="clear" w:color="auto" w:fill="1D3965"/>
          </w:tcPr>
          <w:p>
            <w:pPr>
              <w:jc w:val="right"/>
              <w:ind w:right="120"/>
              <w:spacing w:after="0"/>
              <w:rPr>
                <w:sz w:val="20"/>
                <w:szCs w:val="20"/>
                <w:color w:val="auto"/>
              </w:rPr>
            </w:pPr>
            <w:r>
              <w:rPr>
                <w:rFonts w:ascii="Arial" w:cs="Arial" w:eastAsia="Arial" w:hAnsi="Arial"/>
                <w:sz w:val="14"/>
                <w:szCs w:val="14"/>
                <w:b w:val="1"/>
                <w:bCs w:val="1"/>
                <w:color w:val="FFFFFF"/>
              </w:rPr>
              <w:t>2025 Summary Compensation Table Values</w:t>
            </w:r>
          </w:p>
        </w:tc>
        <w:tc>
          <w:tcPr>
            <w:tcW w:w="1200" w:type="dxa"/>
            <w:vAlign w:val="bottom"/>
            <w:shd w:val="clear" w:color="auto" w:fill="1D3965"/>
          </w:tcPr>
          <w:p>
            <w:pPr>
              <w:spacing w:after="0"/>
              <w:rPr>
                <w:sz w:val="24"/>
                <w:szCs w:val="24"/>
                <w:color w:val="auto"/>
              </w:rPr>
            </w:pPr>
          </w:p>
        </w:tc>
        <w:tc>
          <w:tcPr>
            <w:tcW w:w="2280" w:type="dxa"/>
            <w:vAlign w:val="bottom"/>
            <w:gridSpan w:val="2"/>
            <w:shd w:val="clear" w:color="auto" w:fill="1D3965"/>
          </w:tcPr>
          <w:p>
            <w:pPr>
              <w:jc w:val="right"/>
              <w:spacing w:after="0"/>
              <w:rPr>
                <w:sz w:val="20"/>
                <w:szCs w:val="20"/>
                <w:color w:val="auto"/>
              </w:rPr>
            </w:pPr>
            <w:r>
              <w:rPr>
                <w:rFonts w:ascii="Arial" w:cs="Arial" w:eastAsia="Arial" w:hAnsi="Arial"/>
                <w:sz w:val="14"/>
                <w:szCs w:val="14"/>
                <w:b w:val="1"/>
                <w:bCs w:val="1"/>
                <w:color w:val="FFFFFF"/>
              </w:rPr>
              <w:t>2025 “Intended” Compensation</w:t>
            </w:r>
          </w:p>
        </w:tc>
      </w:tr>
      <w:tr>
        <w:trPr>
          <w:trHeight w:val="290"/>
        </w:trPr>
        <w:tc>
          <w:tcPr>
            <w:tcW w:w="1360" w:type="dxa"/>
            <w:vAlign w:val="bottom"/>
            <w:shd w:val="clear" w:color="auto" w:fill="1D3965"/>
          </w:tcPr>
          <w:p>
            <w:pPr>
              <w:spacing w:after="0"/>
              <w:rPr>
                <w:sz w:val="24"/>
                <w:szCs w:val="24"/>
                <w:color w:val="auto"/>
              </w:rPr>
            </w:pPr>
          </w:p>
        </w:tc>
        <w:tc>
          <w:tcPr>
            <w:tcW w:w="1020" w:type="dxa"/>
            <w:vAlign w:val="bottom"/>
            <w:shd w:val="clear" w:color="auto" w:fill="1D3965"/>
          </w:tcPr>
          <w:p>
            <w:pPr>
              <w:spacing w:after="0"/>
              <w:rPr>
                <w:sz w:val="24"/>
                <w:szCs w:val="24"/>
                <w:color w:val="auto"/>
              </w:rPr>
            </w:pPr>
          </w:p>
        </w:tc>
        <w:tc>
          <w:tcPr>
            <w:tcW w:w="1160" w:type="dxa"/>
            <w:vAlign w:val="bottom"/>
            <w:shd w:val="clear" w:color="auto" w:fill="1D3965"/>
          </w:tcPr>
          <w:p>
            <w:pPr>
              <w:ind w:left="140"/>
              <w:spacing w:after="0"/>
              <w:rPr>
                <w:sz w:val="20"/>
                <w:szCs w:val="20"/>
                <w:color w:val="auto"/>
              </w:rPr>
            </w:pPr>
            <w:r>
              <w:rPr>
                <w:rFonts w:ascii="Arial" w:cs="Arial" w:eastAsia="Arial" w:hAnsi="Arial"/>
                <w:sz w:val="14"/>
                <w:szCs w:val="14"/>
                <w:b w:val="1"/>
                <w:bCs w:val="1"/>
                <w:color w:val="FFFFFF"/>
              </w:rPr>
              <w:t>Actual Short-</w:t>
            </w:r>
          </w:p>
        </w:tc>
        <w:tc>
          <w:tcPr>
            <w:tcW w:w="9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Long-Term</w:t>
            </w:r>
          </w:p>
        </w:tc>
        <w:tc>
          <w:tcPr>
            <w:tcW w:w="1200" w:type="dxa"/>
            <w:vAlign w:val="bottom"/>
            <w:shd w:val="clear" w:color="auto" w:fill="1D3965"/>
          </w:tcPr>
          <w:p>
            <w:pPr>
              <w:spacing w:after="0"/>
              <w:rPr>
                <w:sz w:val="24"/>
                <w:szCs w:val="24"/>
                <w:color w:val="auto"/>
              </w:rPr>
            </w:pP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Target Long-</w:t>
            </w:r>
          </w:p>
        </w:tc>
        <w:tc>
          <w:tcPr>
            <w:tcW w:w="1160" w:type="dxa"/>
            <w:vAlign w:val="bottom"/>
            <w:shd w:val="clear" w:color="auto" w:fill="1D3965"/>
          </w:tcPr>
          <w:p>
            <w:pPr>
              <w:spacing w:after="0"/>
              <w:rPr>
                <w:sz w:val="24"/>
                <w:szCs w:val="24"/>
                <w:color w:val="auto"/>
              </w:rPr>
            </w:pPr>
          </w:p>
        </w:tc>
      </w:tr>
      <w:tr>
        <w:trPr>
          <w:trHeight w:val="162"/>
        </w:trPr>
        <w:tc>
          <w:tcPr>
            <w:tcW w:w="1360" w:type="dxa"/>
            <w:vAlign w:val="bottom"/>
            <w:shd w:val="clear" w:color="auto" w:fill="1D3965"/>
          </w:tcPr>
          <w:p>
            <w:pPr>
              <w:spacing w:after="0"/>
              <w:rPr>
                <w:sz w:val="14"/>
                <w:szCs w:val="14"/>
                <w:color w:val="auto"/>
              </w:rPr>
            </w:pPr>
          </w:p>
        </w:tc>
        <w:tc>
          <w:tcPr>
            <w:tcW w:w="1020" w:type="dxa"/>
            <w:vAlign w:val="bottom"/>
            <w:shd w:val="clear" w:color="auto" w:fill="1D3965"/>
          </w:tcPr>
          <w:p>
            <w:pPr>
              <w:spacing w:after="0"/>
              <w:rPr>
                <w:sz w:val="14"/>
                <w:szCs w:val="14"/>
                <w:color w:val="auto"/>
              </w:rPr>
            </w:pP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Term Incentive</w:t>
            </w:r>
          </w:p>
        </w:tc>
        <w:tc>
          <w:tcPr>
            <w:tcW w:w="9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w:t>
            </w:r>
          </w:p>
        </w:tc>
        <w:tc>
          <w:tcPr>
            <w:tcW w:w="1200" w:type="dxa"/>
            <w:vAlign w:val="bottom"/>
            <w:shd w:val="clear" w:color="auto" w:fill="1D3965"/>
          </w:tcPr>
          <w:p>
            <w:pPr>
              <w:spacing w:after="0"/>
              <w:rPr>
                <w:sz w:val="14"/>
                <w:szCs w:val="14"/>
                <w:color w:val="auto"/>
              </w:rPr>
            </w:pP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Term Incentive</w:t>
            </w:r>
          </w:p>
        </w:tc>
        <w:tc>
          <w:tcPr>
            <w:tcW w:w="1160" w:type="dxa"/>
            <w:vAlign w:val="bottom"/>
            <w:shd w:val="clear" w:color="auto" w:fill="1D3965"/>
          </w:tcPr>
          <w:p>
            <w:pPr>
              <w:spacing w:after="0"/>
              <w:rPr>
                <w:sz w:val="14"/>
                <w:szCs w:val="14"/>
                <w:color w:val="auto"/>
              </w:rPr>
            </w:pPr>
          </w:p>
        </w:tc>
      </w:tr>
      <w:tr>
        <w:trPr>
          <w:trHeight w:val="162"/>
        </w:trPr>
        <w:tc>
          <w:tcPr>
            <w:tcW w:w="1360" w:type="dxa"/>
            <w:vAlign w:val="bottom"/>
            <w:shd w:val="clear" w:color="auto" w:fill="1D3965"/>
          </w:tcPr>
          <w:p>
            <w:pPr>
              <w:ind w:left="100"/>
              <w:spacing w:after="0"/>
              <w:rPr>
                <w:sz w:val="20"/>
                <w:szCs w:val="20"/>
                <w:color w:val="auto"/>
              </w:rPr>
            </w:pPr>
            <w:r>
              <w:rPr>
                <w:rFonts w:ascii="Arial" w:cs="Arial" w:eastAsia="Arial" w:hAnsi="Arial"/>
                <w:sz w:val="14"/>
                <w:szCs w:val="14"/>
                <w:b w:val="1"/>
                <w:bCs w:val="1"/>
                <w:color w:val="FFFFFF"/>
              </w:rPr>
              <w:t>Named Executive</w:t>
            </w:r>
          </w:p>
        </w:tc>
        <w:tc>
          <w:tcPr>
            <w:tcW w:w="1020" w:type="dxa"/>
            <w:vAlign w:val="bottom"/>
            <w:shd w:val="clear" w:color="auto" w:fill="1D3965"/>
          </w:tcPr>
          <w:p>
            <w:pPr>
              <w:jc w:val="center"/>
              <w:ind w:left="161"/>
              <w:spacing w:after="0"/>
              <w:rPr>
                <w:sz w:val="20"/>
                <w:szCs w:val="20"/>
                <w:color w:val="auto"/>
              </w:rPr>
            </w:pPr>
            <w:r>
              <w:rPr>
                <w:rFonts w:ascii="Arial" w:cs="Arial" w:eastAsia="Arial" w:hAnsi="Arial"/>
                <w:sz w:val="14"/>
                <w:szCs w:val="14"/>
                <w:b w:val="1"/>
                <w:bCs w:val="1"/>
                <w:color w:val="FFFFFF"/>
              </w:rPr>
              <w:t>Salary ($)</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GDFV ($)</w:t>
            </w:r>
          </w:p>
        </w:tc>
        <w:tc>
          <w:tcPr>
            <w:tcW w:w="1200" w:type="dxa"/>
            <w:vAlign w:val="bottom"/>
            <w:shd w:val="clear" w:color="auto" w:fill="1D3965"/>
          </w:tcPr>
          <w:p>
            <w:pPr>
              <w:jc w:val="right"/>
              <w:ind w:right="37"/>
              <w:spacing w:after="0"/>
              <w:rPr>
                <w:sz w:val="20"/>
                <w:szCs w:val="20"/>
                <w:color w:val="auto"/>
              </w:rPr>
            </w:pPr>
            <w:r>
              <w:rPr>
                <w:rFonts w:ascii="Arial" w:cs="Arial" w:eastAsia="Arial" w:hAnsi="Arial"/>
                <w:sz w:val="14"/>
                <w:szCs w:val="14"/>
                <w:b w:val="1"/>
                <w:bCs w:val="1"/>
                <w:color w:val="FFFFFF"/>
              </w:rPr>
              <w:t>Total Comp. ($)</w:t>
            </w:r>
          </w:p>
        </w:tc>
        <w:tc>
          <w:tcPr>
            <w:tcW w:w="11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Value ($)</w:t>
            </w:r>
          </w:p>
        </w:tc>
        <w:tc>
          <w:tcPr>
            <w:tcW w:w="116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rPr>
              <w:t>Total Comp. ($)</w:t>
            </w:r>
          </w:p>
        </w:tc>
      </w:tr>
      <w:tr>
        <w:trPr>
          <w:trHeight w:val="232"/>
        </w:trPr>
        <w:tc>
          <w:tcPr>
            <w:tcW w:w="1360" w:type="dxa"/>
            <w:vAlign w:val="bottom"/>
            <w:tcBorders>
              <w:bottom w:val="single" w:sz="8" w:color="1D3965"/>
            </w:tcBorders>
            <w:shd w:val="clear" w:color="auto" w:fill="1D3965"/>
          </w:tcPr>
          <w:p>
            <w:pPr>
              <w:ind w:left="100"/>
              <w:spacing w:after="0"/>
              <w:rPr>
                <w:sz w:val="20"/>
                <w:szCs w:val="20"/>
                <w:color w:val="auto"/>
              </w:rPr>
            </w:pPr>
            <w:r>
              <w:rPr>
                <w:rFonts w:ascii="Arial" w:cs="Arial" w:eastAsia="Arial" w:hAnsi="Arial"/>
                <w:sz w:val="14"/>
                <w:szCs w:val="14"/>
                <w:b w:val="1"/>
                <w:bCs w:val="1"/>
                <w:color w:val="FFFFFF"/>
              </w:rPr>
              <w:t>Officer</w:t>
            </w:r>
          </w:p>
        </w:tc>
        <w:tc>
          <w:tcPr>
            <w:tcW w:w="1020" w:type="dxa"/>
            <w:vAlign w:val="bottom"/>
            <w:tcBorders>
              <w:bottom w:val="single" w:sz="8" w:color="1D3965"/>
            </w:tcBorders>
            <w:shd w:val="clear" w:color="auto" w:fill="1D3965"/>
          </w:tcPr>
          <w:p>
            <w:pPr>
              <w:jc w:val="center"/>
              <w:ind w:left="221"/>
              <w:spacing w:after="0"/>
              <w:rPr>
                <w:sz w:val="20"/>
                <w:szCs w:val="20"/>
                <w:color w:val="auto"/>
              </w:rPr>
            </w:pPr>
            <w:r>
              <w:rPr>
                <w:rFonts w:ascii="Arial" w:cs="Arial" w:eastAsia="Arial" w:hAnsi="Arial"/>
                <w:sz w:val="14"/>
                <w:szCs w:val="14"/>
                <w:b w:val="1"/>
                <w:bCs w:val="1"/>
                <w:color w:val="FFFFFF"/>
              </w:rPr>
              <w:t>[A]</w:t>
            </w:r>
          </w:p>
        </w:tc>
        <w:tc>
          <w:tcPr>
            <w:tcW w:w="116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[B]</w:t>
            </w:r>
          </w:p>
        </w:tc>
        <w:tc>
          <w:tcPr>
            <w:tcW w:w="98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[C]</w:t>
            </w:r>
          </w:p>
        </w:tc>
        <w:tc>
          <w:tcPr>
            <w:tcW w:w="1200" w:type="dxa"/>
            <w:vAlign w:val="bottom"/>
            <w:tcBorders>
              <w:bottom w:val="single" w:sz="8" w:color="1D3965"/>
            </w:tcBorders>
            <w:shd w:val="clear" w:color="auto" w:fill="1D3965"/>
          </w:tcPr>
          <w:p>
            <w:pPr>
              <w:jc w:val="right"/>
              <w:ind w:right="117"/>
              <w:spacing w:after="0"/>
              <w:rPr>
                <w:sz w:val="20"/>
                <w:szCs w:val="20"/>
                <w:color w:val="auto"/>
              </w:rPr>
            </w:pPr>
            <w:r>
              <w:rPr>
                <w:rFonts w:ascii="Arial" w:cs="Arial" w:eastAsia="Arial" w:hAnsi="Arial"/>
                <w:sz w:val="14"/>
                <w:szCs w:val="14"/>
                <w:b w:val="1"/>
                <w:bCs w:val="1"/>
                <w:color w:val="FFFFFF"/>
              </w:rPr>
              <w:t>[D = A+B+C]</w:t>
            </w:r>
          </w:p>
        </w:tc>
        <w:tc>
          <w:tcPr>
            <w:tcW w:w="112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6"/>
              </w:rPr>
              <w:t>[E]</w:t>
            </w:r>
          </w:p>
        </w:tc>
        <w:tc>
          <w:tcPr>
            <w:tcW w:w="1160" w:type="dxa"/>
            <w:vAlign w:val="bottom"/>
            <w:tcBorders>
              <w:bottom w:val="single" w:sz="8" w:color="1D3965"/>
            </w:tcBorders>
            <w:shd w:val="clear" w:color="auto" w:fill="1D3965"/>
          </w:tcPr>
          <w:p>
            <w:pPr>
              <w:jc w:val="right"/>
              <w:ind w:right="97"/>
              <w:spacing w:after="0"/>
              <w:rPr>
                <w:sz w:val="20"/>
                <w:szCs w:val="20"/>
                <w:color w:val="auto"/>
              </w:rPr>
            </w:pPr>
            <w:r>
              <w:rPr>
                <w:rFonts w:ascii="Arial" w:cs="Arial" w:eastAsia="Arial" w:hAnsi="Arial"/>
                <w:sz w:val="14"/>
                <w:szCs w:val="14"/>
                <w:b w:val="1"/>
                <w:bCs w:val="1"/>
                <w:color w:val="FFFFFF"/>
              </w:rPr>
              <w:t>[F = A+B+E]</w:t>
            </w:r>
          </w:p>
        </w:tc>
      </w:tr>
      <w:tr>
        <w:trPr>
          <w:trHeight w:val="288"/>
        </w:trPr>
        <w:tc>
          <w:tcPr>
            <w:tcW w:w="2380" w:type="dxa"/>
            <w:vAlign w:val="bottom"/>
            <w:gridSpan w:val="2"/>
          </w:tcPr>
          <w:p>
            <w:pPr>
              <w:ind w:left="100"/>
              <w:spacing w:after="0"/>
              <w:rPr>
                <w:sz w:val="20"/>
                <w:szCs w:val="20"/>
                <w:color w:val="auto"/>
              </w:rPr>
            </w:pPr>
            <w:r>
              <w:rPr>
                <w:rFonts w:ascii="Arial" w:cs="Arial" w:eastAsia="Arial" w:hAnsi="Arial"/>
                <w:sz w:val="18"/>
                <w:szCs w:val="18"/>
                <w:color w:val="auto"/>
              </w:rPr>
              <w:t>Sumedh S. Thakar 616,167</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723,377</w:t>
            </w:r>
          </w:p>
        </w:tc>
        <w:tc>
          <w:tcPr>
            <w:tcW w:w="980" w:type="dxa"/>
            <w:vAlign w:val="bottom"/>
            <w:shd w:val="clear" w:color="auto" w:fill="DAE2F1"/>
          </w:tcPr>
          <w:p>
            <w:pPr>
              <w:jc w:val="right"/>
              <w:spacing w:after="0"/>
              <w:rPr>
                <w:sz w:val="20"/>
                <w:szCs w:val="20"/>
                <w:color w:val="auto"/>
              </w:rPr>
            </w:pPr>
            <w:r>
              <w:rPr>
                <w:rFonts w:ascii="Arial" w:cs="Arial" w:eastAsia="Arial" w:hAnsi="Arial"/>
                <w:sz w:val="18"/>
                <w:szCs w:val="18"/>
                <w:color w:val="auto"/>
                <w:shd w:val="clear" w:color="auto" w:fill="DAE2F1"/>
              </w:rPr>
              <w:t>14,597,565</w:t>
            </w:r>
          </w:p>
        </w:tc>
        <w:tc>
          <w:tcPr>
            <w:tcW w:w="1200" w:type="dxa"/>
            <w:vAlign w:val="bottom"/>
          </w:tcPr>
          <w:p>
            <w:pPr>
              <w:jc w:val="right"/>
              <w:ind w:right="117"/>
              <w:spacing w:after="0"/>
              <w:rPr>
                <w:sz w:val="20"/>
                <w:szCs w:val="20"/>
                <w:color w:val="auto"/>
              </w:rPr>
            </w:pPr>
            <w:r>
              <w:rPr>
                <w:rFonts w:ascii="Arial" w:cs="Arial" w:eastAsia="Arial" w:hAnsi="Arial"/>
                <w:sz w:val="18"/>
                <w:szCs w:val="18"/>
                <w:color w:val="auto"/>
              </w:rPr>
              <w:t>15,937,109</w:t>
            </w:r>
          </w:p>
        </w:tc>
        <w:tc>
          <w:tcPr>
            <w:tcW w:w="1120" w:type="dxa"/>
            <w:vAlign w:val="bottom"/>
            <w:shd w:val="clear" w:color="auto" w:fill="DAE2F1"/>
          </w:tcPr>
          <w:p>
            <w:pPr>
              <w:jc w:val="right"/>
              <w:ind w:right="61"/>
              <w:spacing w:after="0"/>
              <w:rPr>
                <w:sz w:val="20"/>
                <w:szCs w:val="20"/>
                <w:color w:val="auto"/>
              </w:rPr>
            </w:pPr>
            <w:r>
              <w:rPr>
                <w:rFonts w:ascii="Arial" w:cs="Arial" w:eastAsia="Arial" w:hAnsi="Arial"/>
                <w:sz w:val="18"/>
                <w:szCs w:val="18"/>
                <w:color w:val="auto"/>
              </w:rPr>
              <w:t>16,050,000</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17,389,544</w:t>
            </w:r>
          </w:p>
        </w:tc>
      </w:tr>
      <w:tr>
        <w:trPr>
          <w:trHeight w:val="338"/>
        </w:trPr>
        <w:tc>
          <w:tcPr>
            <w:tcW w:w="1360" w:type="dxa"/>
            <w:vAlign w:val="bottom"/>
          </w:tcPr>
          <w:p>
            <w:pPr>
              <w:ind w:left="100"/>
              <w:spacing w:after="0"/>
              <w:rPr>
                <w:sz w:val="20"/>
                <w:szCs w:val="20"/>
                <w:color w:val="auto"/>
              </w:rPr>
            </w:pPr>
            <w:r>
              <w:rPr>
                <w:rFonts w:ascii="Arial" w:cs="Arial" w:eastAsia="Arial" w:hAnsi="Arial"/>
                <w:sz w:val="18"/>
                <w:szCs w:val="18"/>
                <w:color w:val="auto"/>
              </w:rPr>
              <w:t>Joo Mi Kim</w:t>
            </w:r>
          </w:p>
        </w:tc>
        <w:tc>
          <w:tcPr>
            <w:tcW w:w="1020" w:type="dxa"/>
            <w:vAlign w:val="bottom"/>
          </w:tcPr>
          <w:p>
            <w:pPr>
              <w:jc w:val="center"/>
              <w:ind w:left="161"/>
              <w:spacing w:after="0"/>
              <w:rPr>
                <w:sz w:val="20"/>
                <w:szCs w:val="20"/>
                <w:color w:val="auto"/>
              </w:rPr>
            </w:pPr>
            <w:r>
              <w:rPr>
                <w:rFonts w:ascii="Arial" w:cs="Arial" w:eastAsia="Arial" w:hAnsi="Arial"/>
                <w:sz w:val="18"/>
                <w:szCs w:val="18"/>
                <w:color w:val="auto"/>
              </w:rPr>
              <w:t>464,667</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409,146</w:t>
            </w:r>
          </w:p>
        </w:tc>
        <w:tc>
          <w:tcPr>
            <w:tcW w:w="980" w:type="dxa"/>
            <w:vAlign w:val="bottom"/>
            <w:shd w:val="clear" w:color="auto" w:fill="DAE2F1"/>
          </w:tcPr>
          <w:p>
            <w:pPr>
              <w:jc w:val="right"/>
              <w:spacing w:after="0"/>
              <w:rPr>
                <w:sz w:val="20"/>
                <w:szCs w:val="20"/>
                <w:color w:val="auto"/>
              </w:rPr>
            </w:pPr>
            <w:r>
              <w:rPr>
                <w:rFonts w:ascii="Arial" w:cs="Arial" w:eastAsia="Arial" w:hAnsi="Arial"/>
                <w:sz w:val="18"/>
                <w:szCs w:val="18"/>
                <w:color w:val="auto"/>
                <w:shd w:val="clear" w:color="auto" w:fill="DAE2F1"/>
              </w:rPr>
              <w:t>5,964,402</w:t>
            </w:r>
          </w:p>
        </w:tc>
        <w:tc>
          <w:tcPr>
            <w:tcW w:w="1200" w:type="dxa"/>
            <w:vAlign w:val="bottom"/>
          </w:tcPr>
          <w:p>
            <w:pPr>
              <w:jc w:val="right"/>
              <w:ind w:right="117"/>
              <w:spacing w:after="0"/>
              <w:rPr>
                <w:sz w:val="20"/>
                <w:szCs w:val="20"/>
                <w:color w:val="auto"/>
              </w:rPr>
            </w:pPr>
            <w:r>
              <w:rPr>
                <w:rFonts w:ascii="Arial" w:cs="Arial" w:eastAsia="Arial" w:hAnsi="Arial"/>
                <w:sz w:val="18"/>
                <w:szCs w:val="18"/>
                <w:color w:val="auto"/>
              </w:rPr>
              <w:t>6,838,215</w:t>
            </w:r>
          </w:p>
        </w:tc>
        <w:tc>
          <w:tcPr>
            <w:tcW w:w="1120" w:type="dxa"/>
            <w:vAlign w:val="bottom"/>
            <w:shd w:val="clear" w:color="auto" w:fill="DAE2F1"/>
          </w:tcPr>
          <w:p>
            <w:pPr>
              <w:jc w:val="right"/>
              <w:ind w:right="61"/>
              <w:spacing w:after="0"/>
              <w:rPr>
                <w:sz w:val="20"/>
                <w:szCs w:val="20"/>
                <w:color w:val="auto"/>
              </w:rPr>
            </w:pPr>
            <w:r>
              <w:rPr>
                <w:rFonts w:ascii="Arial" w:cs="Arial" w:eastAsia="Arial" w:hAnsi="Arial"/>
                <w:sz w:val="18"/>
                <w:szCs w:val="18"/>
                <w:color w:val="auto"/>
              </w:rPr>
              <w:t>6,420,000</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7,293,813</w:t>
            </w:r>
          </w:p>
        </w:tc>
      </w:tr>
      <w:tr>
        <w:trPr>
          <w:trHeight w:val="320"/>
        </w:trPr>
        <w:tc>
          <w:tcPr>
            <w:tcW w:w="1360" w:type="dxa"/>
            <w:vAlign w:val="bottom"/>
          </w:tcPr>
          <w:p>
            <w:pPr>
              <w:ind w:left="100"/>
              <w:spacing w:after="0"/>
              <w:rPr>
                <w:sz w:val="20"/>
                <w:szCs w:val="20"/>
                <w:color w:val="auto"/>
              </w:rPr>
            </w:pPr>
            <w:r>
              <w:rPr>
                <w:rFonts w:ascii="Arial" w:cs="Arial" w:eastAsia="Arial" w:hAnsi="Arial"/>
                <w:sz w:val="18"/>
                <w:szCs w:val="18"/>
                <w:color w:val="auto"/>
                <w:w w:val="99"/>
              </w:rPr>
              <w:t>Bruce K. Posey</w:t>
            </w:r>
          </w:p>
        </w:tc>
        <w:tc>
          <w:tcPr>
            <w:tcW w:w="1020" w:type="dxa"/>
            <w:vAlign w:val="bottom"/>
          </w:tcPr>
          <w:p>
            <w:pPr>
              <w:jc w:val="center"/>
              <w:ind w:left="161"/>
              <w:spacing w:after="0"/>
              <w:rPr>
                <w:sz w:val="20"/>
                <w:szCs w:val="20"/>
                <w:color w:val="auto"/>
              </w:rPr>
            </w:pPr>
            <w:r>
              <w:rPr>
                <w:rFonts w:ascii="Arial" w:cs="Arial" w:eastAsia="Arial" w:hAnsi="Arial"/>
                <w:sz w:val="18"/>
                <w:szCs w:val="18"/>
                <w:color w:val="auto"/>
              </w:rPr>
              <w:t>393,833</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277,373</w:t>
            </w:r>
          </w:p>
        </w:tc>
        <w:tc>
          <w:tcPr>
            <w:tcW w:w="980" w:type="dxa"/>
            <w:vAlign w:val="bottom"/>
            <w:shd w:val="clear" w:color="auto" w:fill="DAE2F1"/>
          </w:tcPr>
          <w:p>
            <w:pPr>
              <w:jc w:val="right"/>
              <w:spacing w:after="0"/>
              <w:rPr>
                <w:sz w:val="20"/>
                <w:szCs w:val="20"/>
                <w:color w:val="auto"/>
              </w:rPr>
            </w:pPr>
            <w:r>
              <w:rPr>
                <w:rFonts w:ascii="Arial" w:cs="Arial" w:eastAsia="Arial" w:hAnsi="Arial"/>
                <w:sz w:val="18"/>
                <w:szCs w:val="18"/>
                <w:color w:val="auto"/>
              </w:rPr>
              <w:t>3,536,808</w:t>
            </w:r>
          </w:p>
        </w:tc>
        <w:tc>
          <w:tcPr>
            <w:tcW w:w="1200" w:type="dxa"/>
            <w:vAlign w:val="bottom"/>
          </w:tcPr>
          <w:p>
            <w:pPr>
              <w:jc w:val="right"/>
              <w:ind w:right="117"/>
              <w:spacing w:after="0"/>
              <w:rPr>
                <w:sz w:val="20"/>
                <w:szCs w:val="20"/>
                <w:color w:val="auto"/>
              </w:rPr>
            </w:pPr>
            <w:r>
              <w:rPr>
                <w:rFonts w:ascii="Arial" w:cs="Arial" w:eastAsia="Arial" w:hAnsi="Arial"/>
                <w:sz w:val="18"/>
                <w:szCs w:val="18"/>
                <w:color w:val="auto"/>
              </w:rPr>
              <w:t>4,208,014</w:t>
            </w:r>
          </w:p>
        </w:tc>
        <w:tc>
          <w:tcPr>
            <w:tcW w:w="1120" w:type="dxa"/>
            <w:vAlign w:val="bottom"/>
            <w:shd w:val="clear" w:color="auto" w:fill="DAE2F1"/>
          </w:tcPr>
          <w:p>
            <w:pPr>
              <w:jc w:val="right"/>
              <w:ind w:right="61"/>
              <w:spacing w:after="0"/>
              <w:rPr>
                <w:sz w:val="20"/>
                <w:szCs w:val="20"/>
                <w:color w:val="auto"/>
              </w:rPr>
            </w:pPr>
            <w:r>
              <w:rPr>
                <w:rFonts w:ascii="Arial" w:cs="Arial" w:eastAsia="Arial" w:hAnsi="Arial"/>
                <w:sz w:val="18"/>
                <w:szCs w:val="18"/>
                <w:color w:val="auto"/>
              </w:rPr>
              <w:t>3,820,000</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4,491,206</w:t>
            </w:r>
          </w:p>
        </w:tc>
      </w:tr>
    </w:tbl>
    <w:p>
      <w:pPr>
        <w:spacing w:after="0" w:line="34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PRSU Awards Approved in October 2022</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October 2022, our board of directors approved the grant of PRSU awards to our named executive officers. Each named executive officer’s PRSU award was divided into three tranches with one-year performance periods covering the calendar years 2023, 2024, and 2025, respectively. One-third of the target number of PRSUs was allocated to each tranche. Each tranche was and is to become eligible to vest based on the annual growth rate of the Company’s revenues and the Company’s adjusted EBITDA margin for the applicable performance period.</w:t>
      </w:r>
    </w:p>
    <w:p>
      <w:pPr>
        <w:spacing w:after="0" w:line="179"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As a result of the Company achieving revenue growth of 10% and adjusted EBITDA margin of 47% in 2025, the following number of PRSUs were earned and vested for the third tranche of each named executive officer’s PRSUs (which represents approximately 135% of each named executive officer’s target number of PRSUs for that tranche): (i) 20,427 for Mr. Thakar, (ii) 5,280 for Ms. Kim, and (iii) 3,018 for Mr. Posey. Additionally, the following number of PRSUs vested in respect of the Overperformance Amount for 2024 at 103%: (i) 401 for Mr. Thakar, (ii) 104 for Ms. Kim, and (iii) 60 for Mr. Posey.</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PRSU Awards Approved in October 2023</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October 2023, our board of directors approved the intended value of the PRSU awards to our named executive officers. Each named executive officer’s PRSU award was divided into three tranches with one-year performance periods covering the calendar years 2024, 2025, and 2026, respectively. One-third of the target number of PRSUs was allocated to each tranche. Each tranche was and is to become eligible to vest based on the annual growth rate of the Company’s revenues and the Company’s adjusted EBITDA margin for the applicable performance period.</w:t>
      </w:r>
    </w:p>
    <w:p>
      <w:pPr>
        <w:spacing w:after="0" w:line="179"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As a result of the Company achieving revenue growth of 10% and adjusted EBITDA margin of 47% in 2025, the following number of PRSUs became eligible to vest for the second tranche of each named executive officer’s PRSUs (which represents approximately 135% of each named executive officer’s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60" w:name="page61"/>
    <w:bookmarkEnd w:id="60"/>
    <w:p>
      <w:pPr>
        <w:jc w:val="both"/>
        <w:ind w:left="500" w:right="519"/>
        <w:spacing w:after="0"/>
        <w:rPr>
          <w:sz w:val="20"/>
          <w:szCs w:val="20"/>
          <w:color w:val="auto"/>
        </w:rPr>
      </w:pPr>
      <w:r>
        <w:rPr>
          <w:rFonts w:ascii="Arial" w:cs="Arial" w:eastAsia="Arial" w:hAnsi="Arial"/>
          <w:sz w:val="18"/>
          <w:szCs w:val="18"/>
          <w:color w:val="auto"/>
        </w:rPr>
        <w:t>target number of PRSUs for that tranche): (i) 20,434 for Mr. Thakar, (ii) 4,922 for Ms. Kim, and (iii) 2,935 for Mr. Posey. Of these PRSUs, the following number vested immediately upon our board of directors certifying the achievement of the revenue growth and adjusted EBITDA margin goals: (i) 15,184 for Mr. Thakar, (ii) 3,657 for Ms. Kim, and (iii) 2,181 for Mr. Posey. The remaining PRSUs that became eligible to vest are scheduled to vest on the date that performance is certified for the third tranche, subject to the applicable named executive officer’s continued service with us through that date.</w:t>
      </w:r>
    </w:p>
    <w:p>
      <w:pPr>
        <w:spacing w:after="0" w:line="26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PRSU Awards Approved in October 2024</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October 2024, our board of directors approved the intended value of the PRSU awards to our named executive officers. Each named executive officer’s PRSU award was divided into three tranches with one-year performance periods covering the calendar years 2025, 2026, and 2027, respectively. One-third of the target number of PRSUs was allocated to each tranche. Each tranche was and is to become eligible to vest based on the annual growth rate of the Company’s revenues and the Company’s adjusted EBITDA margin for the applicable performance period.</w:t>
      </w:r>
    </w:p>
    <w:p>
      <w:pPr>
        <w:spacing w:after="0" w:line="17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As a result of the Company achieving revenue growth of 10% and adjusted EBITDA margin of 47% in 2025, the following number of PRSUs became eligible to vest for the first tranche of each named executive officer’s PRSUs (which represents approximately 135% of each named executive officer’s target number of PRSUs for that tranche): (i) 26,893 for Mr. Thakar, (ii) 6,454 for Ms. Kim, and (iii) 3,841 for Mr. Posey. Of these PRSUs, the following number vested immediately upon our board of directors certifying the achievement of the revenue growth and adjusted EBITDA margin goals: (i) 19,984 for Mr. Thakar, (ii) 4,796 for Ms. Kim, and (iii) 2,854 for Mr. Posey. The remaining PRSUs that became eligible to vest are scheduled to vest on the date that performance is certified for the third tranche, subject to the applicable named executive officer’s continued service with us through that date</w:t>
      </w:r>
    </w:p>
    <w:p>
      <w:pPr>
        <w:spacing w:after="0" w:line="26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Retirement and Other Benefits</w:t>
      </w:r>
    </w:p>
    <w:p>
      <w:pPr>
        <w:spacing w:after="0" w:line="102"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401(k) plan that provides eligible employees with an opportunity to save for retirement on a tax advantaged basis. All participants’ interests in their deferrals are 100% vested when contributed. We match 100% on the dollar up to the first 6% of eligible compensation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 401(a) of the Code. As a tax-qualified retirement plan, contributions to the 401(k) plan and earnings on those contributions are not taxable to the employees until distributed from the 401(k) plan, and all contributions are deductible by us when made.</w:t>
      </w:r>
    </w:p>
    <w:p>
      <w:pPr>
        <w:spacing w:after="0" w:line="186"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Equity Granting Practices</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We do not grant equity awards on a predetermined schedule, but typically approve equity awards either at regularly scheduled meetings of our board of directors or during an open trading window. We have not granted, nor do we intend to grant, stock options in anticipation of the release of material, nonpublic information that is likely to result in changes to the price of our common stock, such as a significant positive or negative earnings announcement, and, we have not taken, nor do we intend to</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1" w:name="page62"/>
    <w:bookmarkEnd w:id="61"/>
    <w:p>
      <w:pPr>
        <w:jc w:val="both"/>
        <w:ind w:left="500" w:right="519"/>
        <w:spacing w:after="0" w:line="252" w:lineRule="auto"/>
        <w:rPr>
          <w:sz w:val="20"/>
          <w:szCs w:val="20"/>
          <w:color w:val="auto"/>
        </w:rPr>
      </w:pPr>
      <w:r>
        <w:rPr>
          <w:rFonts w:ascii="Arial" w:cs="Arial" w:eastAsia="Arial" w:hAnsi="Arial"/>
          <w:sz w:val="18"/>
          <w:szCs w:val="18"/>
          <w:color w:val="auto"/>
        </w:rPr>
        <w:t>take, material nonpublic information into account when determining the terms of stock options. Similarly, we have not timed, nor do we intend to time, the release of material, nonpublic information for the purpose of affecting the value of executive compensation or for any other purpose.</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and Talent Committee will approve and periodically review all future practices with respect to perquisites or other personal benefits.</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Change in Control and Severance Payments and Benefits</w:t>
      </w:r>
    </w:p>
    <w:p>
      <w:pPr>
        <w:spacing w:after="0" w:line="102"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In October 2025, our Compensation and Talent Committee approved an Executive Severance Policy. Except as otherwise set forth therein, the Executive Severance Policy supersedes any prior agreement or arrangement the named executive officers may have had with us that provided for severance and/or change in control payments or benefits (other than any existing vesting acceleration benefits upon a termination of employment due to death or disability or as set forth in any equity award agreement). We believe that the Executive Severance Policy maximizes stockholder value by minimizing any potential distractions caused by the possibility of an involuntary termination or a potential change in control, which allows our named executive officers to maintain their focus and dedication to their responsibilities. We believe the Executive Severance Policy also provide further retention value by encouraging our named executive officers to continue providing services to us.</w:t>
      </w:r>
    </w:p>
    <w:p>
      <w:pPr>
        <w:spacing w:after="0" w:line="186"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For a summary of the material terms and conditions of the Executive Severance Policy, as well as an estimate of the potential payments and benefits payable thereunder,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Policies</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02"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We maintain an insider trading policy that prohibits directors, officers, employees and agents (such as consultants and independent contractors) of our company as well as related parties from trading in derivative securities (including hedging) with respect to our common stock, pledging company securities as collateral, or holding company securities in a margin account.</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Stock Ownership Guidelines and Equity Holding Policy</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We maintain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executive officer is required to own a number of shares of our common stock with a value equal to a specified multiple of his or her base salary. Only shares of the Company’s common stock (including shares beneficially owned) count towards satisfaction of the stock ownership levels. Consistent with best practices, vested and exercisable stock options do not count towards satisfying the guidelines.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2" w:name="page63"/>
    <w:bookmarkEnd w:id="62"/>
    <w:p>
      <w:pPr>
        <w:jc w:val="both"/>
        <w:ind w:left="500" w:right="519" w:firstLine="360"/>
        <w:spacing w:after="0" w:line="239" w:lineRule="auto"/>
        <w:rPr>
          <w:sz w:val="20"/>
          <w:szCs w:val="20"/>
          <w:color w:val="auto"/>
        </w:rPr>
      </w:pPr>
      <w:r>
        <w:rPr>
          <w:rFonts w:ascii="Arial" w:cs="Arial" w:eastAsia="Arial" w:hAnsi="Arial"/>
          <w:sz w:val="18"/>
          <w:szCs w:val="18"/>
          <w:color w:val="auto"/>
        </w:rPr>
        <w:t>Each executive officer must satisfy his or her applicable ownership level within five years of becoming an executive officer. Compliance with these guidelines is measured based on the executive officer’s annual base salary and the closing market price of our common stock, in each case as of December 31 of each year (or the next trading day if December 31 is not a trading day). Unless and until an executive officer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w:t>
      </w:r>
    </w:p>
    <w:p>
      <w:pPr>
        <w:spacing w:after="0" w:line="134" w:lineRule="exact"/>
        <w:rPr>
          <w:sz w:val="20"/>
          <w:szCs w:val="20"/>
          <w:color w:val="auto"/>
        </w:rPr>
      </w:pPr>
    </w:p>
    <w:tbl>
      <w:tblPr>
        <w:tblLayout w:type="fixed"/>
        <w:tblInd w:w="1580" w:type="dxa"/>
        <w:tblCellMar>
          <w:top w:w="0" w:type="dxa"/>
          <w:left w:w="0" w:type="dxa"/>
          <w:bottom w:w="0" w:type="dxa"/>
          <w:right w:w="0" w:type="dxa"/>
        </w:tblCellMar>
      </w:tblPr>
      <w:tr>
        <w:trPr>
          <w:trHeight w:val="261"/>
        </w:trPr>
        <w:tc>
          <w:tcPr>
            <w:tcW w:w="2180" w:type="dxa"/>
            <w:vAlign w:val="bottom"/>
            <w:shd w:val="clear" w:color="auto" w:fill="1D3965"/>
          </w:tcPr>
          <w:p>
            <w:pPr>
              <w:spacing w:after="0"/>
              <w:rPr>
                <w:sz w:val="22"/>
                <w:szCs w:val="22"/>
                <w:color w:val="auto"/>
              </w:rPr>
            </w:pPr>
          </w:p>
        </w:tc>
        <w:tc>
          <w:tcPr>
            <w:tcW w:w="2500" w:type="dxa"/>
            <w:vAlign w:val="bottom"/>
            <w:shd w:val="clear" w:color="auto" w:fill="1D3965"/>
          </w:tcPr>
          <w:p>
            <w:pPr>
              <w:jc w:val="center"/>
              <w:ind w:left="137"/>
              <w:spacing w:after="0"/>
              <w:rPr>
                <w:sz w:val="20"/>
                <w:szCs w:val="20"/>
                <w:color w:val="auto"/>
              </w:rPr>
            </w:pPr>
            <w:r>
              <w:rPr>
                <w:rFonts w:ascii="Arial" w:cs="Arial" w:eastAsia="Arial" w:hAnsi="Arial"/>
                <w:sz w:val="14"/>
                <w:szCs w:val="14"/>
                <w:b w:val="1"/>
                <w:bCs w:val="1"/>
                <w:color w:val="FFFFFF"/>
              </w:rPr>
              <w:t>Stock Ownership Requirement</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 Compliance</w:t>
            </w:r>
          </w:p>
        </w:tc>
      </w:tr>
      <w:tr>
        <w:trPr>
          <w:trHeight w:val="232"/>
        </w:trPr>
        <w:tc>
          <w:tcPr>
            <w:tcW w:w="2180" w:type="dxa"/>
            <w:vAlign w:val="bottom"/>
            <w:tcBorders>
              <w:bottom w:val="single" w:sz="8" w:color="1D3965"/>
            </w:tcBorders>
            <w:shd w:val="clear" w:color="auto" w:fill="1D3965"/>
          </w:tcPr>
          <w:p>
            <w:pPr>
              <w:ind w:left="180"/>
              <w:spacing w:after="0"/>
              <w:rPr>
                <w:sz w:val="20"/>
                <w:szCs w:val="20"/>
                <w:color w:val="auto"/>
              </w:rPr>
            </w:pPr>
            <w:r>
              <w:rPr>
                <w:rFonts w:ascii="Arial" w:cs="Arial" w:eastAsia="Arial" w:hAnsi="Arial"/>
                <w:sz w:val="14"/>
                <w:szCs w:val="14"/>
                <w:b w:val="1"/>
                <w:bCs w:val="1"/>
                <w:color w:val="FFFFFF"/>
              </w:rPr>
              <w:t>Named Executive Officer</w:t>
            </w:r>
          </w:p>
        </w:tc>
        <w:tc>
          <w:tcPr>
            <w:tcW w:w="2500" w:type="dxa"/>
            <w:vAlign w:val="bottom"/>
            <w:tcBorders>
              <w:bottom w:val="single" w:sz="8" w:color="1D3965"/>
            </w:tcBorders>
            <w:shd w:val="clear" w:color="auto" w:fill="1D3965"/>
          </w:tcPr>
          <w:p>
            <w:pPr>
              <w:jc w:val="center"/>
              <w:ind w:left="137"/>
              <w:spacing w:after="0"/>
              <w:rPr>
                <w:sz w:val="20"/>
                <w:szCs w:val="20"/>
                <w:color w:val="auto"/>
              </w:rPr>
            </w:pPr>
            <w:r>
              <w:rPr>
                <w:rFonts w:ascii="Arial" w:cs="Arial" w:eastAsia="Arial" w:hAnsi="Arial"/>
                <w:sz w:val="14"/>
                <w:szCs w:val="14"/>
                <w:b w:val="1"/>
                <w:bCs w:val="1"/>
                <w:color w:val="FFFFFF"/>
              </w:rPr>
              <w:t>as a Multiple of Base Salary</w:t>
            </w:r>
          </w:p>
        </w:tc>
        <w:tc>
          <w:tcPr>
            <w:tcW w:w="1160" w:type="dxa"/>
            <w:vAlign w:val="bottom"/>
            <w:tcBorders>
              <w:bottom w:val="single" w:sz="8" w:color="1D3965"/>
            </w:tcBorders>
            <w:shd w:val="clear" w:color="auto" w:fill="1D3965"/>
          </w:tcPr>
          <w:p>
            <w:pPr>
              <w:jc w:val="center"/>
              <w:spacing w:after="0"/>
              <w:rPr>
                <w:sz w:val="20"/>
                <w:szCs w:val="20"/>
                <w:color w:val="auto"/>
              </w:rPr>
            </w:pPr>
            <w:r>
              <w:rPr>
                <w:rFonts w:ascii="Arial" w:cs="Arial" w:eastAsia="Arial" w:hAnsi="Arial"/>
                <w:sz w:val="14"/>
                <w:szCs w:val="14"/>
                <w:b w:val="1"/>
                <w:bCs w:val="1"/>
                <w:color w:val="FFFFFF"/>
                <w:w w:val="98"/>
              </w:rPr>
              <w:t>(Yes/No)</w:t>
            </w:r>
          </w:p>
        </w:tc>
      </w:tr>
      <w:tr>
        <w:trPr>
          <w:trHeight w:val="288"/>
        </w:trPr>
        <w:tc>
          <w:tcPr>
            <w:tcW w:w="2180" w:type="dxa"/>
            <w:vAlign w:val="bottom"/>
          </w:tcPr>
          <w:p>
            <w:pPr>
              <w:ind w:left="180"/>
              <w:spacing w:after="0"/>
              <w:rPr>
                <w:sz w:val="20"/>
                <w:szCs w:val="20"/>
                <w:color w:val="auto"/>
              </w:rPr>
            </w:pPr>
            <w:r>
              <w:rPr>
                <w:rFonts w:ascii="Arial" w:cs="Arial" w:eastAsia="Arial" w:hAnsi="Arial"/>
                <w:sz w:val="18"/>
                <w:szCs w:val="18"/>
                <w:color w:val="auto"/>
              </w:rPr>
              <w:t>Sumedh S. Thakar</w:t>
            </w:r>
          </w:p>
        </w:tc>
        <w:tc>
          <w:tcPr>
            <w:tcW w:w="2500" w:type="dxa"/>
            <w:vAlign w:val="bottom"/>
          </w:tcPr>
          <w:p>
            <w:pPr>
              <w:jc w:val="center"/>
              <w:ind w:left="117"/>
              <w:spacing w:after="0"/>
              <w:rPr>
                <w:sz w:val="20"/>
                <w:szCs w:val="20"/>
                <w:color w:val="auto"/>
              </w:rPr>
            </w:pPr>
            <w:r>
              <w:rPr>
                <w:rFonts w:ascii="Arial" w:cs="Arial" w:eastAsia="Arial" w:hAnsi="Arial"/>
                <w:sz w:val="18"/>
                <w:szCs w:val="18"/>
                <w:color w:val="auto"/>
              </w:rPr>
              <w:t>5.0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Yes</w:t>
            </w:r>
          </w:p>
        </w:tc>
      </w:tr>
      <w:tr>
        <w:trPr>
          <w:trHeight w:val="338"/>
        </w:trPr>
        <w:tc>
          <w:tcPr>
            <w:tcW w:w="218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2500" w:type="dxa"/>
            <w:vAlign w:val="bottom"/>
          </w:tcPr>
          <w:p>
            <w:pPr>
              <w:jc w:val="center"/>
              <w:ind w:left="117"/>
              <w:spacing w:after="0"/>
              <w:rPr>
                <w:sz w:val="20"/>
                <w:szCs w:val="20"/>
                <w:color w:val="auto"/>
              </w:rPr>
            </w:pPr>
            <w:r>
              <w:rPr>
                <w:rFonts w:ascii="Arial" w:cs="Arial" w:eastAsia="Arial" w:hAnsi="Arial"/>
                <w:sz w:val="18"/>
                <w:szCs w:val="18"/>
                <w:color w:val="auto"/>
              </w:rPr>
              <w:t>3.0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Yes</w:t>
            </w:r>
          </w:p>
        </w:tc>
      </w:tr>
      <w:tr>
        <w:trPr>
          <w:trHeight w:val="338"/>
        </w:trPr>
        <w:tc>
          <w:tcPr>
            <w:tcW w:w="2180" w:type="dxa"/>
            <w:vAlign w:val="bottom"/>
          </w:tcPr>
          <w:p>
            <w:pPr>
              <w:ind w:left="180"/>
              <w:spacing w:after="0"/>
              <w:rPr>
                <w:sz w:val="20"/>
                <w:szCs w:val="20"/>
                <w:color w:val="auto"/>
              </w:rPr>
            </w:pPr>
            <w:r>
              <w:rPr>
                <w:rFonts w:ascii="Arial" w:cs="Arial" w:eastAsia="Arial" w:hAnsi="Arial"/>
                <w:sz w:val="18"/>
                <w:szCs w:val="18"/>
                <w:color w:val="auto"/>
              </w:rPr>
              <w:t>Bruce K. Posey</w:t>
            </w:r>
          </w:p>
        </w:tc>
        <w:tc>
          <w:tcPr>
            <w:tcW w:w="2500" w:type="dxa"/>
            <w:vAlign w:val="bottom"/>
          </w:tcPr>
          <w:p>
            <w:pPr>
              <w:jc w:val="center"/>
              <w:ind w:left="117"/>
              <w:spacing w:after="0"/>
              <w:rPr>
                <w:sz w:val="20"/>
                <w:szCs w:val="20"/>
                <w:color w:val="auto"/>
              </w:rPr>
            </w:pPr>
            <w:r>
              <w:rPr>
                <w:rFonts w:ascii="Arial" w:cs="Arial" w:eastAsia="Arial" w:hAnsi="Arial"/>
                <w:sz w:val="18"/>
                <w:szCs w:val="18"/>
                <w:color w:val="auto"/>
              </w:rPr>
              <w:t>3.0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Clawback Policies</w:t>
      </w:r>
    </w:p>
    <w:p>
      <w:pPr>
        <w:spacing w:after="0" w:line="102"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We previously adopted a clawback policy that prevents an executive officer from benefiting from cash-based incentive compensation or performance-based equity compensation that was paid based on the achievement of performance results that were subsequently restated as a result of the executive officer’s misconduct. This policy helps foster and maintain a culture that emphasizes integrity and accountability. Our clawback policy permits us to require that any of our current or former executive officers who is (or was) subject to Section 16 of the Exchange Act, repay certain cash-based incentive compensation or performance-based equity compensation to us if our Compensation and Talent Committee determines that such executive officer’s actions caused or partially caused us to materially restate all or a portion of our financial statements.</w:t>
      </w:r>
    </w:p>
    <w:p>
      <w:pPr>
        <w:spacing w:after="0" w:line="18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October 2023, we adopted a new compensation recovery policy in accordance with the Exchange Act Rule 10D-1 and the applicable Nasdaq Listing Rules, which supplements our existing clawback policy. This policy provides for the non-discretionary recovery of excess incentive-based compensation from current and former executive officers in the event of an accounting restatement, whether or not the executive officer was at fault for the restatement, in accordance with Exchange Act Rule 10D-1 and the applicable Nasdaq Listing Standards.</w:t>
      </w:r>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Tax and Accounting Considerations</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02"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our Chief Financial Officer, and certain of our other executive officers in any taxable year to $1 million per person.</w:t>
      </w:r>
    </w:p>
    <w:p>
      <w:pPr>
        <w:spacing w:after="0" w:line="169"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 officers generally will not be deductible in 2025 or future years, to the extent that it exceeds $1 million.</w:t>
      </w:r>
    </w:p>
    <w:p>
      <w:pPr>
        <w:spacing w:after="0" w:line="180"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While our Compensation and Talent Committee is mindful of the benefit of being able to fully deduct the compensation paid to our executive officers, the committee believes that we should retain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3" w:name="page64"/>
    <w:bookmarkEnd w:id="63"/>
    <w:p>
      <w:pPr>
        <w:jc w:val="both"/>
        <w:ind w:left="500" w:right="519"/>
        <w:spacing w:after="0" w:line="246" w:lineRule="auto"/>
        <w:rPr>
          <w:sz w:val="20"/>
          <w:szCs w:val="20"/>
          <w:color w:val="auto"/>
        </w:rPr>
      </w:pPr>
      <w:r>
        <w:rPr>
          <w:rFonts w:ascii="Arial" w:cs="Arial" w:eastAsia="Arial" w:hAnsi="Arial"/>
          <w:sz w:val="18"/>
          <w:szCs w:val="18"/>
          <w:color w:val="auto"/>
        </w:rPr>
        <w:t>the flexibility to compensate our executive officers in a manner that can best promote our business objectives. Therefore, our Compensation and Talent Committee intends to continue to compensate our executive officers in a manner consistent with the best interests of our company and our stockholders, even if such compensation is not fully deductible.</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“Parachute Payments” and Deferred Compensation</w:t>
      </w:r>
    </w:p>
    <w:p>
      <w:pPr>
        <w:spacing w:after="0" w:line="102"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Under Sections 280G and 4999 of the Code, certain service providers, which may include our named executive officers, may be subject to an excise tax if they receive payments or benefits in connection with a change in control of the Company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 In 2025,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6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02"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w:t>
      </w:r>
    </w:p>
    <w:p>
      <w:pPr>
        <w:spacing w:after="0" w:line="26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Risk Considerations</w:t>
      </w:r>
    </w:p>
    <w:p>
      <w:pPr>
        <w:spacing w:after="0" w:line="102"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Our Compensation and Talent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2025, our Compensation and Talent Committee had engaged Compensia to independently review our executive compensation program. Our Compensation and Talent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29" w:lineRule="exact"/>
        <w:rPr>
          <w:sz w:val="20"/>
          <w:szCs w:val="20"/>
          <w:color w:val="auto"/>
        </w:rPr>
      </w:pPr>
    </w:p>
    <w:p>
      <w:pPr>
        <w:ind w:left="1220" w:hanging="280"/>
        <w:spacing w:after="0"/>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Balance among short- and long-term incentives, cash and equity, fixed and variable pay</w:t>
      </w:r>
    </w:p>
    <w:p>
      <w:pPr>
        <w:spacing w:after="0" w:line="89"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Multiple performance metrics as targets</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Multiple vesting and performance periods</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Caps on pay</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Clawback policies</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Stock ownership guidelines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4" w:name="page65"/>
    <w:bookmarkEnd w:id="64"/>
    <w:p>
      <w:pPr>
        <w:ind w:left="1220" w:right="519" w:hanging="280"/>
        <w:spacing w:after="0" w:line="213" w:lineRule="auto"/>
        <w:tabs>
          <w:tab w:leader="none" w:pos="122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Service-based requirements for earned performance-based equity awards in excess of target achievement</w:t>
      </w:r>
    </w:p>
    <w:p>
      <w:pPr>
        <w:spacing w:after="0" w:line="24" w:lineRule="exact"/>
        <w:rPr>
          <w:rFonts w:ascii="Arial" w:cs="Arial" w:eastAsia="Arial" w:hAnsi="Arial"/>
          <w:sz w:val="25"/>
          <w:szCs w:val="25"/>
          <w:color w:val="auto"/>
          <w:vertAlign w:val="superscript"/>
        </w:rPr>
      </w:pPr>
    </w:p>
    <w:p>
      <w:pPr>
        <w:ind w:left="1220" w:hanging="280"/>
        <w:spacing w:after="0"/>
        <w:tabs>
          <w:tab w:leader="none" w:pos="122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Anti-hedging policies</w:t>
      </w:r>
    </w:p>
    <w:p>
      <w:pPr>
        <w:spacing w:after="0" w:line="89"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Double-trigger change in control arrangements</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and Talent Committee Report</w:t>
      </w:r>
    </w:p>
    <w:p>
      <w:pPr>
        <w:spacing w:after="0" w:line="106" w:lineRule="exact"/>
        <w:rPr>
          <w:sz w:val="20"/>
          <w:szCs w:val="20"/>
          <w:color w:val="auto"/>
        </w:rPr>
      </w:pPr>
    </w:p>
    <w:p>
      <w:pPr>
        <w:jc w:val="both"/>
        <w:ind w:left="500" w:right="519" w:firstLine="360"/>
        <w:spacing w:after="0" w:line="246" w:lineRule="auto"/>
        <w:rPr>
          <w:sz w:val="20"/>
          <w:szCs w:val="20"/>
          <w:color w:val="auto"/>
        </w:rPr>
      </w:pPr>
      <w:r>
        <w:rPr>
          <w:rFonts w:ascii="Arial" w:cs="Arial" w:eastAsia="Arial" w:hAnsi="Arial"/>
          <w:sz w:val="18"/>
          <w:szCs w:val="18"/>
          <w:i w:val="1"/>
          <w:iCs w:val="1"/>
          <w:color w:val="auto"/>
        </w:rPr>
        <w:t>The following Compensation and Talent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75"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Our Compensation and Talent Committee has reviewed and discussed with management the Compensation Discussion and Analysis provided above. Based on its review and discussions, the committee recommended to our board of directors that the Compensation Discussion and Analysis be included in this proxy statement and the Company’s Annual Report on Form 10-K for the fiscal year ended December 31, 2025, filed with the SEC on February 20, 2026.</w:t>
      </w:r>
    </w:p>
    <w:p>
      <w:pPr>
        <w:spacing w:after="0" w:line="176" w:lineRule="exact"/>
        <w:rPr>
          <w:sz w:val="20"/>
          <w:szCs w:val="20"/>
          <w:color w:val="auto"/>
        </w:rPr>
      </w:pPr>
    </w:p>
    <w:p>
      <w:pPr>
        <w:jc w:val="both"/>
        <w:ind w:left="500" w:right="539" w:firstLine="360"/>
        <w:spacing w:after="0" w:line="271" w:lineRule="auto"/>
        <w:rPr>
          <w:sz w:val="20"/>
          <w:szCs w:val="20"/>
          <w:color w:val="auto"/>
        </w:rPr>
      </w:pPr>
      <w:r>
        <w:rPr>
          <w:rFonts w:ascii="Arial" w:cs="Arial" w:eastAsia="Arial" w:hAnsi="Arial"/>
          <w:sz w:val="18"/>
          <w:szCs w:val="18"/>
          <w:color w:val="auto"/>
        </w:rPr>
        <w:t>Respectfully submitted by the members of the Compensation and Talent Committee of the board of directors: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John A. Zangardi (Chair)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P. Berquist</w:t>
      </w:r>
    </w:p>
    <w:p>
      <w:pPr>
        <w:ind w:left="720"/>
        <w:spacing w:after="0"/>
        <w:rPr>
          <w:sz w:val="20"/>
          <w:szCs w:val="20"/>
          <w:color w:val="auto"/>
        </w:rPr>
      </w:pPr>
      <w:r>
        <w:rPr>
          <w:rFonts w:ascii="Arial" w:cs="Arial" w:eastAsia="Arial" w:hAnsi="Arial"/>
          <w:sz w:val="18"/>
          <w:szCs w:val="18"/>
          <w:color w:val="auto"/>
        </w:rPr>
        <w:t>Kristi M. Rogers</w:t>
      </w:r>
    </w:p>
    <w:p>
      <w:pPr>
        <w:spacing w:after="0" w:line="3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2025 Summary Compensation Table</w:t>
      </w:r>
    </w:p>
    <w:p>
      <w:pPr>
        <w:spacing w:after="0" w:line="104"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years 2025, 2024 and 2023.</w:t>
      </w:r>
    </w:p>
    <w:p>
      <w:pPr>
        <w:spacing w:after="0" w:line="105" w:lineRule="exact"/>
        <w:rPr>
          <w:sz w:val="20"/>
          <w:szCs w:val="20"/>
          <w:color w:val="auto"/>
        </w:rPr>
      </w:pPr>
    </w:p>
    <w:tbl>
      <w:tblPr>
        <w:tblLayout w:type="fixed"/>
        <w:tblInd w:w="500" w:type="dxa"/>
        <w:tblCellMar>
          <w:top w:w="0" w:type="dxa"/>
          <w:left w:w="0" w:type="dxa"/>
          <w:bottom w:w="0" w:type="dxa"/>
          <w:right w:w="0" w:type="dxa"/>
        </w:tblCellMar>
      </w:tblPr>
      <w:tr>
        <w:trPr>
          <w:trHeight w:val="261"/>
        </w:trPr>
        <w:tc>
          <w:tcPr>
            <w:tcW w:w="80" w:type="dxa"/>
            <w:vAlign w:val="bottom"/>
            <w:shd w:val="clear" w:color="auto" w:fill="1D3965"/>
          </w:tcPr>
          <w:p>
            <w:pPr>
              <w:spacing w:after="0"/>
              <w:rPr>
                <w:sz w:val="22"/>
                <w:szCs w:val="22"/>
                <w:color w:val="auto"/>
              </w:rPr>
            </w:pPr>
          </w:p>
        </w:tc>
        <w:tc>
          <w:tcPr>
            <w:tcW w:w="2120" w:type="dxa"/>
            <w:vAlign w:val="bottom"/>
            <w:shd w:val="clear" w:color="auto" w:fill="1D3965"/>
          </w:tcPr>
          <w:p>
            <w:pPr>
              <w:spacing w:after="0"/>
              <w:rPr>
                <w:sz w:val="22"/>
                <w:szCs w:val="22"/>
                <w:color w:val="auto"/>
              </w:rPr>
            </w:pPr>
          </w:p>
        </w:tc>
        <w:tc>
          <w:tcPr>
            <w:tcW w:w="500" w:type="dxa"/>
            <w:vAlign w:val="bottom"/>
            <w:shd w:val="clear" w:color="auto" w:fill="1D3965"/>
          </w:tcPr>
          <w:p>
            <w:pPr>
              <w:spacing w:after="0"/>
              <w:rPr>
                <w:sz w:val="22"/>
                <w:szCs w:val="22"/>
                <w:color w:val="auto"/>
              </w:rPr>
            </w:pPr>
          </w:p>
        </w:tc>
        <w:tc>
          <w:tcPr>
            <w:tcW w:w="660" w:type="dxa"/>
            <w:vAlign w:val="bottom"/>
            <w:shd w:val="clear" w:color="auto" w:fill="1D3965"/>
          </w:tcPr>
          <w:p>
            <w:pPr>
              <w:spacing w:after="0"/>
              <w:rPr>
                <w:sz w:val="22"/>
                <w:szCs w:val="22"/>
                <w:color w:val="auto"/>
              </w:rPr>
            </w:pPr>
          </w:p>
        </w:tc>
        <w:tc>
          <w:tcPr>
            <w:tcW w:w="1300" w:type="dxa"/>
            <w:vAlign w:val="bottom"/>
            <w:shd w:val="clear" w:color="auto" w:fill="1D3965"/>
          </w:tcPr>
          <w:p>
            <w:pPr>
              <w:spacing w:after="0"/>
              <w:rPr>
                <w:sz w:val="22"/>
                <w:szCs w:val="22"/>
                <w:color w:val="auto"/>
              </w:rPr>
            </w:pPr>
          </w:p>
        </w:tc>
        <w:tc>
          <w:tcPr>
            <w:tcW w:w="12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1D3965"/>
          </w:tcPr>
          <w:p>
            <w:pPr>
              <w:spacing w:after="0"/>
              <w:rPr>
                <w:sz w:val="22"/>
                <w:szCs w:val="22"/>
                <w:color w:val="auto"/>
              </w:rPr>
            </w:pPr>
          </w:p>
        </w:tc>
        <w:tc>
          <w:tcPr>
            <w:tcW w:w="880" w:type="dxa"/>
            <w:vAlign w:val="bottom"/>
            <w:shd w:val="clear" w:color="auto" w:fill="1D3965"/>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80" w:type="dxa"/>
            <w:vAlign w:val="bottom"/>
            <w:shd w:val="clear" w:color="auto" w:fill="1D3965"/>
          </w:tcPr>
          <w:p>
            <w:pPr>
              <w:spacing w:after="0"/>
              <w:rPr>
                <w:sz w:val="14"/>
                <w:szCs w:val="14"/>
                <w:color w:val="auto"/>
              </w:rPr>
            </w:pPr>
          </w:p>
        </w:tc>
        <w:tc>
          <w:tcPr>
            <w:tcW w:w="2120" w:type="dxa"/>
            <w:vAlign w:val="bottom"/>
            <w:shd w:val="clear" w:color="auto" w:fill="1D3965"/>
          </w:tcPr>
          <w:p>
            <w:pPr>
              <w:spacing w:after="0"/>
              <w:rPr>
                <w:sz w:val="14"/>
                <w:szCs w:val="14"/>
                <w:color w:val="auto"/>
              </w:rPr>
            </w:pPr>
          </w:p>
        </w:tc>
        <w:tc>
          <w:tcPr>
            <w:tcW w:w="500" w:type="dxa"/>
            <w:vAlign w:val="bottom"/>
            <w:shd w:val="clear" w:color="auto" w:fill="1D3965"/>
          </w:tcPr>
          <w:p>
            <w:pPr>
              <w:spacing w:after="0"/>
              <w:rPr>
                <w:sz w:val="14"/>
                <w:szCs w:val="14"/>
                <w:color w:val="auto"/>
              </w:rPr>
            </w:pPr>
          </w:p>
        </w:tc>
        <w:tc>
          <w:tcPr>
            <w:tcW w:w="660" w:type="dxa"/>
            <w:vAlign w:val="bottom"/>
            <w:shd w:val="clear" w:color="auto" w:fill="1D3965"/>
          </w:tcPr>
          <w:p>
            <w:pPr>
              <w:spacing w:after="0"/>
              <w:rPr>
                <w:sz w:val="14"/>
                <w:szCs w:val="14"/>
                <w:color w:val="auto"/>
              </w:rPr>
            </w:pPr>
          </w:p>
        </w:tc>
        <w:tc>
          <w:tcPr>
            <w:tcW w:w="1300" w:type="dxa"/>
            <w:vAlign w:val="bottom"/>
            <w:shd w:val="clear" w:color="auto" w:fill="1D3965"/>
          </w:tcPr>
          <w:p>
            <w:pPr>
              <w:jc w:val="center"/>
              <w:ind w:right="30"/>
              <w:spacing w:after="0"/>
              <w:rPr>
                <w:sz w:val="20"/>
                <w:szCs w:val="20"/>
                <w:color w:val="auto"/>
              </w:rPr>
            </w:pPr>
            <w:r>
              <w:rPr>
                <w:rFonts w:ascii="Arial" w:cs="Arial" w:eastAsia="Arial" w:hAnsi="Arial"/>
                <w:sz w:val="14"/>
                <w:szCs w:val="14"/>
                <w:b w:val="1"/>
                <w:bCs w:val="1"/>
                <w:color w:val="FFFFFF"/>
              </w:rPr>
              <w:t>Stock</w:t>
            </w:r>
          </w:p>
        </w:tc>
        <w:tc>
          <w:tcPr>
            <w:tcW w:w="12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All Other</w:t>
            </w:r>
          </w:p>
        </w:tc>
        <w:tc>
          <w:tcPr>
            <w:tcW w:w="880" w:type="dxa"/>
            <w:vAlign w:val="bottom"/>
            <w:shd w:val="clear" w:color="auto" w:fill="1D396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1D3965"/>
          </w:tcPr>
          <w:p>
            <w:pPr>
              <w:spacing w:after="0"/>
              <w:rPr>
                <w:sz w:val="14"/>
                <w:szCs w:val="14"/>
                <w:color w:val="auto"/>
              </w:rPr>
            </w:pPr>
          </w:p>
        </w:tc>
        <w:tc>
          <w:tcPr>
            <w:tcW w:w="2120" w:type="dxa"/>
            <w:vAlign w:val="bottom"/>
            <w:shd w:val="clear" w:color="auto" w:fill="1D3965"/>
          </w:tcPr>
          <w:p>
            <w:pPr>
              <w:spacing w:after="0"/>
              <w:rPr>
                <w:sz w:val="14"/>
                <w:szCs w:val="14"/>
                <w:color w:val="auto"/>
              </w:rPr>
            </w:pPr>
          </w:p>
        </w:tc>
        <w:tc>
          <w:tcPr>
            <w:tcW w:w="500" w:type="dxa"/>
            <w:vAlign w:val="bottom"/>
            <w:shd w:val="clear" w:color="auto" w:fill="1D3965"/>
          </w:tcPr>
          <w:p>
            <w:pPr>
              <w:spacing w:after="0"/>
              <w:rPr>
                <w:sz w:val="14"/>
                <w:szCs w:val="14"/>
                <w:color w:val="auto"/>
              </w:rPr>
            </w:pPr>
          </w:p>
        </w:tc>
        <w:tc>
          <w:tcPr>
            <w:tcW w:w="660" w:type="dxa"/>
            <w:vAlign w:val="bottom"/>
            <w:shd w:val="clear" w:color="auto" w:fill="1D3965"/>
          </w:tcPr>
          <w:p>
            <w:pPr>
              <w:ind w:left="100"/>
              <w:spacing w:after="0"/>
              <w:rPr>
                <w:sz w:val="20"/>
                <w:szCs w:val="20"/>
                <w:color w:val="auto"/>
              </w:rPr>
            </w:pPr>
            <w:r>
              <w:rPr>
                <w:rFonts w:ascii="Arial" w:cs="Arial" w:eastAsia="Arial" w:hAnsi="Arial"/>
                <w:sz w:val="14"/>
                <w:szCs w:val="14"/>
                <w:b w:val="1"/>
                <w:bCs w:val="1"/>
                <w:color w:val="FFFFFF"/>
              </w:rPr>
              <w:t>Salary</w:t>
            </w:r>
          </w:p>
        </w:tc>
        <w:tc>
          <w:tcPr>
            <w:tcW w:w="1300" w:type="dxa"/>
            <w:vAlign w:val="bottom"/>
            <w:shd w:val="clear" w:color="auto" w:fill="1D3965"/>
          </w:tcPr>
          <w:p>
            <w:pPr>
              <w:jc w:val="center"/>
              <w:ind w:right="30"/>
              <w:spacing w:after="0"/>
              <w:rPr>
                <w:sz w:val="20"/>
                <w:szCs w:val="20"/>
                <w:color w:val="auto"/>
              </w:rPr>
            </w:pPr>
            <w:r>
              <w:rPr>
                <w:rFonts w:ascii="Arial" w:cs="Arial" w:eastAsia="Arial" w:hAnsi="Arial"/>
                <w:sz w:val="14"/>
                <w:szCs w:val="14"/>
                <w:b w:val="1"/>
                <w:bCs w:val="1"/>
                <w:color w:val="FFFFFF"/>
              </w:rPr>
              <w:t>Awards</w:t>
            </w:r>
          </w:p>
        </w:tc>
        <w:tc>
          <w:tcPr>
            <w:tcW w:w="12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Compensation</w:t>
            </w:r>
          </w:p>
        </w:tc>
        <w:tc>
          <w:tcPr>
            <w:tcW w:w="88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3"/>
        </w:trPr>
        <w:tc>
          <w:tcPr>
            <w:tcW w:w="80" w:type="dxa"/>
            <w:vAlign w:val="bottom"/>
            <w:shd w:val="clear" w:color="auto" w:fill="1D3965"/>
          </w:tcPr>
          <w:p>
            <w:pPr>
              <w:spacing w:after="0"/>
              <w:rPr>
                <w:sz w:val="17"/>
                <w:szCs w:val="17"/>
                <w:color w:val="auto"/>
              </w:rPr>
            </w:pPr>
          </w:p>
        </w:tc>
        <w:tc>
          <w:tcPr>
            <w:tcW w:w="2120" w:type="dxa"/>
            <w:vAlign w:val="bottom"/>
            <w:shd w:val="clear" w:color="auto" w:fill="1D3965"/>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500" w:type="dxa"/>
            <w:vAlign w:val="bottom"/>
            <w:shd w:val="clear" w:color="auto" w:fill="1D3965"/>
          </w:tcPr>
          <w:p>
            <w:pPr>
              <w:jc w:val="right"/>
              <w:spacing w:after="0"/>
              <w:rPr>
                <w:sz w:val="20"/>
                <w:szCs w:val="20"/>
                <w:color w:val="auto"/>
              </w:rPr>
            </w:pPr>
            <w:r>
              <w:rPr>
                <w:rFonts w:ascii="Arial" w:cs="Arial" w:eastAsia="Arial" w:hAnsi="Arial"/>
                <w:sz w:val="14"/>
                <w:szCs w:val="14"/>
                <w:b w:val="1"/>
                <w:bCs w:val="1"/>
                <w:color w:val="FFFFFF"/>
              </w:rPr>
              <w:t>Year</w:t>
            </w:r>
          </w:p>
        </w:tc>
        <w:tc>
          <w:tcPr>
            <w:tcW w:w="6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3"/>
              </w:rPr>
              <w:t>($)</w:t>
            </w:r>
          </w:p>
        </w:tc>
        <w:tc>
          <w:tcPr>
            <w:tcW w:w="1300" w:type="dxa"/>
            <w:vAlign w:val="bottom"/>
            <w:shd w:val="clear" w:color="auto" w:fill="1D3965"/>
          </w:tcPr>
          <w:p>
            <w:pPr>
              <w:jc w:val="center"/>
              <w:spacing w:after="0" w:line="202"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260" w:type="dxa"/>
            <w:vAlign w:val="bottom"/>
            <w:shd w:val="clear" w:color="auto" w:fill="1D3965"/>
          </w:tcPr>
          <w:p>
            <w:pPr>
              <w:jc w:val="center"/>
              <w:ind w:left="28"/>
              <w:spacing w:after="0" w:line="202"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1D3965"/>
          </w:tcPr>
          <w:p>
            <w:pPr>
              <w:jc w:val="right"/>
              <w:ind w:right="2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Sumedh S. Thakar</w:t>
            </w:r>
          </w:p>
        </w:tc>
        <w:tc>
          <w:tcPr>
            <w:tcW w:w="500" w:type="dxa"/>
            <w:vAlign w:val="bottom"/>
          </w:tcPr>
          <w:p>
            <w:pPr>
              <w:jc w:val="right"/>
              <w:spacing w:after="0"/>
              <w:rPr>
                <w:sz w:val="20"/>
                <w:szCs w:val="20"/>
                <w:color w:val="auto"/>
              </w:rPr>
            </w:pPr>
            <w:r>
              <w:rPr>
                <w:rFonts w:ascii="Arial" w:cs="Arial" w:eastAsia="Arial" w:hAnsi="Arial"/>
                <w:sz w:val="14"/>
                <w:szCs w:val="14"/>
                <w:color w:val="auto"/>
              </w:rPr>
              <w:t>2025</w:t>
            </w:r>
          </w:p>
        </w:tc>
        <w:tc>
          <w:tcPr>
            <w:tcW w:w="660" w:type="dxa"/>
            <w:vAlign w:val="bottom"/>
          </w:tcPr>
          <w:p>
            <w:pPr>
              <w:jc w:val="center"/>
              <w:spacing w:after="0"/>
              <w:rPr>
                <w:sz w:val="20"/>
                <w:szCs w:val="20"/>
                <w:color w:val="auto"/>
              </w:rPr>
            </w:pPr>
            <w:r>
              <w:rPr>
                <w:rFonts w:ascii="Arial" w:cs="Arial" w:eastAsia="Arial" w:hAnsi="Arial"/>
                <w:sz w:val="14"/>
                <w:szCs w:val="14"/>
                <w:color w:val="auto"/>
              </w:rPr>
              <w:t>616,167</w:t>
            </w:r>
          </w:p>
        </w:tc>
        <w:tc>
          <w:tcPr>
            <w:tcW w:w="1300" w:type="dxa"/>
            <w:vAlign w:val="bottom"/>
          </w:tcPr>
          <w:p>
            <w:pPr>
              <w:jc w:val="center"/>
              <w:ind w:right="70"/>
              <w:spacing w:after="0" w:line="176" w:lineRule="exact"/>
              <w:rPr>
                <w:sz w:val="20"/>
                <w:szCs w:val="20"/>
                <w:color w:val="auto"/>
              </w:rPr>
            </w:pPr>
            <w:r>
              <w:rPr>
                <w:rFonts w:ascii="Arial" w:cs="Arial" w:eastAsia="Arial" w:hAnsi="Arial"/>
                <w:sz w:val="13"/>
                <w:szCs w:val="13"/>
                <w:color w:val="auto"/>
              </w:rPr>
              <w:t>14,597,565</w:t>
            </w:r>
            <w:r>
              <w:rPr>
                <w:rFonts w:ascii="Arial" w:cs="Arial" w:eastAsia="Arial" w:hAnsi="Arial"/>
                <w:sz w:val="20"/>
                <w:szCs w:val="20"/>
                <w:color w:val="auto"/>
                <w:vertAlign w:val="superscript"/>
              </w:rPr>
              <w:t>(3)(4)</w:t>
            </w:r>
          </w:p>
        </w:tc>
        <w:tc>
          <w:tcPr>
            <w:tcW w:w="1260" w:type="dxa"/>
            <w:vAlign w:val="bottom"/>
          </w:tcPr>
          <w:p>
            <w:pPr>
              <w:jc w:val="center"/>
              <w:spacing w:after="0"/>
              <w:rPr>
                <w:sz w:val="20"/>
                <w:szCs w:val="20"/>
                <w:color w:val="auto"/>
              </w:rPr>
            </w:pPr>
            <w:r>
              <w:rPr>
                <w:rFonts w:ascii="Arial" w:cs="Arial" w:eastAsia="Arial" w:hAnsi="Arial"/>
                <w:sz w:val="14"/>
                <w:szCs w:val="14"/>
                <w:color w:val="auto"/>
              </w:rPr>
              <w:t>723,377</w:t>
            </w:r>
          </w:p>
        </w:tc>
        <w:tc>
          <w:tcPr>
            <w:tcW w:w="1200" w:type="dxa"/>
            <w:vAlign w:val="bottom"/>
          </w:tcPr>
          <w:p>
            <w:pPr>
              <w:jc w:val="right"/>
              <w:ind w:right="170"/>
              <w:spacing w:after="0" w:line="176" w:lineRule="exact"/>
              <w:rPr>
                <w:sz w:val="20"/>
                <w:szCs w:val="20"/>
                <w:color w:val="auto"/>
              </w:rPr>
            </w:pPr>
            <w:r>
              <w:rPr>
                <w:rFonts w:ascii="Arial" w:cs="Arial" w:eastAsia="Arial" w:hAnsi="Arial"/>
                <w:sz w:val="13"/>
                <w:szCs w:val="13"/>
                <w:color w:val="auto"/>
              </w:rPr>
              <w:t>10,049</w:t>
            </w:r>
            <w:r>
              <w:rPr>
                <w:rFonts w:ascii="Arial" w:cs="Arial" w:eastAsia="Arial" w:hAnsi="Arial"/>
                <w:sz w:val="20"/>
                <w:szCs w:val="20"/>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4"/>
                <w:szCs w:val="14"/>
                <w:color w:val="auto"/>
              </w:rPr>
              <w:t>15,947,158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4"/>
                <w:szCs w:val="14"/>
                <w:color w:val="auto"/>
              </w:rPr>
              <w:t>Director, President and</w:t>
            </w:r>
          </w:p>
        </w:tc>
        <w:tc>
          <w:tcPr>
            <w:tcW w:w="500" w:type="dxa"/>
            <w:vAlign w:val="bottom"/>
          </w:tcPr>
          <w:p>
            <w:pPr>
              <w:jc w:val="right"/>
              <w:spacing w:after="0"/>
              <w:rPr>
                <w:sz w:val="20"/>
                <w:szCs w:val="20"/>
                <w:color w:val="auto"/>
              </w:rPr>
            </w:pPr>
            <w:r>
              <w:rPr>
                <w:rFonts w:ascii="Arial" w:cs="Arial" w:eastAsia="Arial" w:hAnsi="Arial"/>
                <w:sz w:val="14"/>
                <w:szCs w:val="14"/>
                <w:color w:val="auto"/>
              </w:rPr>
              <w:t>2024</w:t>
            </w:r>
          </w:p>
        </w:tc>
        <w:tc>
          <w:tcPr>
            <w:tcW w:w="660" w:type="dxa"/>
            <w:vAlign w:val="bottom"/>
          </w:tcPr>
          <w:p>
            <w:pPr>
              <w:jc w:val="center"/>
              <w:spacing w:after="0"/>
              <w:rPr>
                <w:sz w:val="20"/>
                <w:szCs w:val="20"/>
                <w:color w:val="auto"/>
              </w:rPr>
            </w:pPr>
            <w:r>
              <w:rPr>
                <w:rFonts w:ascii="Arial" w:cs="Arial" w:eastAsia="Arial" w:hAnsi="Arial"/>
                <w:sz w:val="14"/>
                <w:szCs w:val="14"/>
                <w:color w:val="auto"/>
              </w:rPr>
              <w:t>601,667</w:t>
            </w:r>
          </w:p>
        </w:tc>
        <w:tc>
          <w:tcPr>
            <w:tcW w:w="1300" w:type="dxa"/>
            <w:vAlign w:val="bottom"/>
          </w:tcPr>
          <w:p>
            <w:pPr>
              <w:jc w:val="center"/>
              <w:ind w:right="70"/>
              <w:spacing w:after="0" w:line="216" w:lineRule="exact"/>
              <w:rPr>
                <w:sz w:val="20"/>
                <w:szCs w:val="20"/>
                <w:color w:val="auto"/>
              </w:rPr>
            </w:pPr>
            <w:r>
              <w:rPr>
                <w:rFonts w:ascii="Arial" w:cs="Arial" w:eastAsia="Arial" w:hAnsi="Arial"/>
                <w:sz w:val="14"/>
                <w:szCs w:val="14"/>
                <w:color w:val="auto"/>
                <w:w w:val="92"/>
              </w:rPr>
              <w:t>14,549,332</w:t>
            </w:r>
            <w:r>
              <w:rPr>
                <w:rFonts w:ascii="Arial" w:cs="Arial" w:eastAsia="Arial" w:hAnsi="Arial"/>
                <w:sz w:val="23"/>
                <w:szCs w:val="23"/>
                <w:color w:val="auto"/>
                <w:w w:val="92"/>
                <w:vertAlign w:val="superscript"/>
              </w:rPr>
              <w:t>(3)(6)</w:t>
            </w:r>
          </w:p>
        </w:tc>
        <w:tc>
          <w:tcPr>
            <w:tcW w:w="1260" w:type="dxa"/>
            <w:vAlign w:val="bottom"/>
          </w:tcPr>
          <w:p>
            <w:pPr>
              <w:jc w:val="center"/>
              <w:spacing w:after="0"/>
              <w:rPr>
                <w:sz w:val="20"/>
                <w:szCs w:val="20"/>
                <w:color w:val="auto"/>
              </w:rPr>
            </w:pPr>
            <w:r>
              <w:rPr>
                <w:rFonts w:ascii="Arial" w:cs="Arial" w:eastAsia="Arial" w:hAnsi="Arial"/>
                <w:sz w:val="14"/>
                <w:szCs w:val="14"/>
                <w:color w:val="auto"/>
              </w:rPr>
              <w:t>488,923</w:t>
            </w:r>
          </w:p>
        </w:tc>
        <w:tc>
          <w:tcPr>
            <w:tcW w:w="1200" w:type="dxa"/>
            <w:vAlign w:val="bottom"/>
          </w:tcPr>
          <w:p>
            <w:pPr>
              <w:jc w:val="right"/>
              <w:ind w:right="170"/>
              <w:spacing w:after="0" w:line="216" w:lineRule="exact"/>
              <w:rPr>
                <w:sz w:val="20"/>
                <w:szCs w:val="20"/>
                <w:color w:val="auto"/>
              </w:rPr>
            </w:pPr>
            <w:r>
              <w:rPr>
                <w:rFonts w:ascii="Arial" w:cs="Arial" w:eastAsia="Arial" w:hAnsi="Arial"/>
                <w:sz w:val="14"/>
                <w:szCs w:val="14"/>
                <w:color w:val="auto"/>
              </w:rPr>
              <w:t>10,350</w:t>
            </w:r>
            <w:r>
              <w:rPr>
                <w:rFonts w:ascii="Arial" w:cs="Arial" w:eastAsia="Arial" w:hAnsi="Arial"/>
                <w:sz w:val="23"/>
                <w:szCs w:val="23"/>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15,650,272</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120" w:type="dxa"/>
            <w:vAlign w:val="bottom"/>
          </w:tcPr>
          <w:p>
            <w:pPr>
              <w:ind w:left="220"/>
              <w:spacing w:after="0"/>
              <w:rPr>
                <w:sz w:val="20"/>
                <w:szCs w:val="20"/>
                <w:color w:val="auto"/>
              </w:rPr>
            </w:pPr>
            <w:r>
              <w:rPr>
                <w:rFonts w:ascii="Arial" w:cs="Arial" w:eastAsia="Arial" w:hAnsi="Arial"/>
                <w:sz w:val="14"/>
                <w:szCs w:val="14"/>
                <w:color w:val="auto"/>
              </w:rPr>
              <w:t>Chief Executive Officer</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558,333</w:t>
            </w:r>
          </w:p>
        </w:tc>
        <w:tc>
          <w:tcPr>
            <w:tcW w:w="1300" w:type="dxa"/>
            <w:vAlign w:val="bottom"/>
            <w:vMerge w:val="restart"/>
          </w:tcPr>
          <w:p>
            <w:pPr>
              <w:ind w:left="140"/>
              <w:spacing w:after="0" w:line="243" w:lineRule="exact"/>
              <w:rPr>
                <w:sz w:val="20"/>
                <w:szCs w:val="20"/>
                <w:color w:val="auto"/>
              </w:rPr>
            </w:pPr>
            <w:r>
              <w:rPr>
                <w:rFonts w:ascii="Arial" w:cs="Arial" w:eastAsia="Arial" w:hAnsi="Arial"/>
                <w:sz w:val="14"/>
                <w:szCs w:val="14"/>
                <w:color w:val="auto"/>
              </w:rPr>
              <w:t>6,931,496</w:t>
            </w:r>
            <w:r>
              <w:rPr>
                <w:rFonts w:ascii="Arial" w:cs="Arial" w:eastAsia="Arial" w:hAnsi="Arial"/>
                <w:sz w:val="23"/>
                <w:szCs w:val="23"/>
                <w:color w:val="auto"/>
                <w:vertAlign w:val="superscript"/>
              </w:rPr>
              <w:t>(3)(8)</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283,796</w:t>
            </w:r>
          </w:p>
        </w:tc>
        <w:tc>
          <w:tcPr>
            <w:tcW w:w="1200" w:type="dxa"/>
            <w:vAlign w:val="bottom"/>
            <w:vMerge w:val="restart"/>
          </w:tcPr>
          <w:p>
            <w:pPr>
              <w:jc w:val="center"/>
              <w:ind w:right="170"/>
              <w:spacing w:after="0" w:line="243" w:lineRule="exact"/>
              <w:rPr>
                <w:sz w:val="20"/>
                <w:szCs w:val="20"/>
                <w:color w:val="auto"/>
              </w:rPr>
            </w:pPr>
            <w:r>
              <w:rPr>
                <w:rFonts w:ascii="Arial" w:cs="Arial" w:eastAsia="Arial" w:hAnsi="Arial"/>
                <w:sz w:val="14"/>
                <w:szCs w:val="14"/>
                <w:color w:val="auto"/>
              </w:rPr>
              <w:t>9,607</w:t>
            </w:r>
            <w:r>
              <w:rPr>
                <w:rFonts w:ascii="Arial" w:cs="Arial" w:eastAsia="Arial" w:hAnsi="Arial"/>
                <w:sz w:val="23"/>
                <w:szCs w:val="23"/>
                <w:color w:val="auto"/>
                <w:vertAlign w:val="superscript"/>
              </w:rPr>
              <w:t>(9)</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7,783,232</w:t>
            </w:r>
          </w:p>
        </w:tc>
        <w:tc>
          <w:tcPr>
            <w:tcW w:w="0" w:type="dxa"/>
            <w:vAlign w:val="bottom"/>
          </w:tcPr>
          <w:p>
            <w:pPr>
              <w:spacing w:after="0"/>
              <w:rPr>
                <w:sz w:val="1"/>
                <w:szCs w:val="1"/>
                <w:color w:val="auto"/>
              </w:rPr>
            </w:pPr>
          </w:p>
        </w:tc>
      </w:tr>
      <w:tr>
        <w:trPr>
          <w:trHeight w:val="53"/>
        </w:trPr>
        <w:tc>
          <w:tcPr>
            <w:tcW w:w="80" w:type="dxa"/>
            <w:vAlign w:val="bottom"/>
            <w:tcBorders>
              <w:bottom w:val="single" w:sz="8" w:color="8FAAD7"/>
            </w:tcBorders>
          </w:tcPr>
          <w:p>
            <w:pPr>
              <w:spacing w:after="0"/>
              <w:rPr>
                <w:sz w:val="4"/>
                <w:szCs w:val="4"/>
                <w:color w:val="auto"/>
              </w:rPr>
            </w:pPr>
          </w:p>
        </w:tc>
        <w:tc>
          <w:tcPr>
            <w:tcW w:w="2120" w:type="dxa"/>
            <w:vAlign w:val="bottom"/>
            <w:tcBorders>
              <w:bottom w:val="single" w:sz="8" w:color="8FAAD7"/>
            </w:tcBorders>
          </w:tcPr>
          <w:p>
            <w:pPr>
              <w:spacing w:after="0"/>
              <w:rPr>
                <w:sz w:val="4"/>
                <w:szCs w:val="4"/>
                <w:color w:val="auto"/>
              </w:rPr>
            </w:pPr>
          </w:p>
        </w:tc>
        <w:tc>
          <w:tcPr>
            <w:tcW w:w="500" w:type="dxa"/>
            <w:vAlign w:val="bottom"/>
            <w:tcBorders>
              <w:bottom w:val="single" w:sz="8" w:color="8FAAD7"/>
            </w:tcBorders>
            <w:vMerge w:val="continue"/>
          </w:tcPr>
          <w:p>
            <w:pPr>
              <w:spacing w:after="0"/>
              <w:rPr>
                <w:sz w:val="4"/>
                <w:szCs w:val="4"/>
                <w:color w:val="auto"/>
              </w:rPr>
            </w:pPr>
          </w:p>
        </w:tc>
        <w:tc>
          <w:tcPr>
            <w:tcW w:w="660" w:type="dxa"/>
            <w:vAlign w:val="bottom"/>
            <w:tcBorders>
              <w:bottom w:val="single" w:sz="8" w:color="8FAAD7"/>
            </w:tcBorders>
            <w:vMerge w:val="continue"/>
          </w:tcPr>
          <w:p>
            <w:pPr>
              <w:spacing w:after="0"/>
              <w:rPr>
                <w:sz w:val="4"/>
                <w:szCs w:val="4"/>
                <w:color w:val="auto"/>
              </w:rPr>
            </w:pPr>
          </w:p>
        </w:tc>
        <w:tc>
          <w:tcPr>
            <w:tcW w:w="1300" w:type="dxa"/>
            <w:vAlign w:val="bottom"/>
            <w:tcBorders>
              <w:bottom w:val="single" w:sz="8" w:color="8FAAD7"/>
            </w:tcBorders>
            <w:vMerge w:val="continue"/>
          </w:tcPr>
          <w:p>
            <w:pPr>
              <w:spacing w:after="0"/>
              <w:rPr>
                <w:sz w:val="4"/>
                <w:szCs w:val="4"/>
                <w:color w:val="auto"/>
              </w:rPr>
            </w:pPr>
          </w:p>
        </w:tc>
        <w:tc>
          <w:tcPr>
            <w:tcW w:w="1260" w:type="dxa"/>
            <w:vAlign w:val="bottom"/>
            <w:tcBorders>
              <w:bottom w:val="single" w:sz="8" w:color="8FAAD7"/>
            </w:tcBorders>
            <w:vMerge w:val="continue"/>
          </w:tcPr>
          <w:p>
            <w:pPr>
              <w:spacing w:after="0"/>
              <w:rPr>
                <w:sz w:val="4"/>
                <w:szCs w:val="4"/>
                <w:color w:val="auto"/>
              </w:rPr>
            </w:pPr>
          </w:p>
        </w:tc>
        <w:tc>
          <w:tcPr>
            <w:tcW w:w="1200" w:type="dxa"/>
            <w:vAlign w:val="bottom"/>
            <w:tcBorders>
              <w:bottom w:val="single" w:sz="8" w:color="8FAAD7"/>
            </w:tcBorders>
            <w:vMerge w:val="continue"/>
          </w:tcPr>
          <w:p>
            <w:pPr>
              <w:spacing w:after="0"/>
              <w:rPr>
                <w:sz w:val="4"/>
                <w:szCs w:val="4"/>
                <w:color w:val="auto"/>
              </w:rPr>
            </w:pPr>
          </w:p>
        </w:tc>
        <w:tc>
          <w:tcPr>
            <w:tcW w:w="880" w:type="dxa"/>
            <w:vAlign w:val="bottom"/>
            <w:tcBorders>
              <w:bottom w:val="single" w:sz="8" w:color="8FAAD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Joo Mi Kim</w:t>
            </w:r>
          </w:p>
        </w:tc>
        <w:tc>
          <w:tcPr>
            <w:tcW w:w="500" w:type="dxa"/>
            <w:vAlign w:val="bottom"/>
          </w:tcPr>
          <w:p>
            <w:pPr>
              <w:jc w:val="right"/>
              <w:spacing w:after="0"/>
              <w:rPr>
                <w:sz w:val="20"/>
                <w:szCs w:val="20"/>
                <w:color w:val="auto"/>
              </w:rPr>
            </w:pPr>
            <w:r>
              <w:rPr>
                <w:rFonts w:ascii="Arial" w:cs="Arial" w:eastAsia="Arial" w:hAnsi="Arial"/>
                <w:sz w:val="14"/>
                <w:szCs w:val="14"/>
                <w:color w:val="auto"/>
              </w:rPr>
              <w:t>2025</w:t>
            </w:r>
          </w:p>
        </w:tc>
        <w:tc>
          <w:tcPr>
            <w:tcW w:w="660" w:type="dxa"/>
            <w:vAlign w:val="bottom"/>
          </w:tcPr>
          <w:p>
            <w:pPr>
              <w:jc w:val="center"/>
              <w:spacing w:after="0"/>
              <w:rPr>
                <w:sz w:val="20"/>
                <w:szCs w:val="20"/>
                <w:color w:val="auto"/>
              </w:rPr>
            </w:pPr>
            <w:r>
              <w:rPr>
                <w:rFonts w:ascii="Arial" w:cs="Arial" w:eastAsia="Arial" w:hAnsi="Arial"/>
                <w:sz w:val="14"/>
                <w:szCs w:val="14"/>
                <w:color w:val="auto"/>
              </w:rPr>
              <w:t>464,667</w:t>
            </w:r>
          </w:p>
        </w:tc>
        <w:tc>
          <w:tcPr>
            <w:tcW w:w="1300" w:type="dxa"/>
            <w:vAlign w:val="bottom"/>
          </w:tcPr>
          <w:p>
            <w:pPr>
              <w:ind w:left="140"/>
              <w:spacing w:after="0" w:line="183" w:lineRule="exact"/>
              <w:rPr>
                <w:sz w:val="20"/>
                <w:szCs w:val="20"/>
                <w:color w:val="auto"/>
              </w:rPr>
            </w:pPr>
            <w:r>
              <w:rPr>
                <w:rFonts w:ascii="Arial" w:cs="Arial" w:eastAsia="Arial" w:hAnsi="Arial"/>
                <w:sz w:val="13"/>
                <w:szCs w:val="13"/>
                <w:color w:val="auto"/>
              </w:rPr>
              <w:t>5,964,402</w:t>
            </w:r>
            <w:r>
              <w:rPr>
                <w:rFonts w:ascii="Arial" w:cs="Arial" w:eastAsia="Arial" w:hAnsi="Arial"/>
                <w:sz w:val="21"/>
                <w:szCs w:val="21"/>
                <w:color w:val="auto"/>
                <w:vertAlign w:val="superscript"/>
              </w:rPr>
              <w:t>(3)(10)</w:t>
            </w:r>
          </w:p>
        </w:tc>
        <w:tc>
          <w:tcPr>
            <w:tcW w:w="1260" w:type="dxa"/>
            <w:vAlign w:val="bottom"/>
          </w:tcPr>
          <w:p>
            <w:pPr>
              <w:jc w:val="center"/>
              <w:spacing w:after="0"/>
              <w:rPr>
                <w:sz w:val="20"/>
                <w:szCs w:val="20"/>
                <w:color w:val="auto"/>
              </w:rPr>
            </w:pPr>
            <w:r>
              <w:rPr>
                <w:rFonts w:ascii="Arial" w:cs="Arial" w:eastAsia="Arial" w:hAnsi="Arial"/>
                <w:sz w:val="14"/>
                <w:szCs w:val="14"/>
                <w:color w:val="auto"/>
              </w:rPr>
              <w:t>409,146</w:t>
            </w:r>
          </w:p>
        </w:tc>
        <w:tc>
          <w:tcPr>
            <w:tcW w:w="1200" w:type="dxa"/>
            <w:vAlign w:val="bottom"/>
          </w:tcPr>
          <w:p>
            <w:pPr>
              <w:jc w:val="center"/>
              <w:ind w:right="90"/>
              <w:spacing w:after="0" w:line="183" w:lineRule="exact"/>
              <w:rPr>
                <w:sz w:val="20"/>
                <w:szCs w:val="20"/>
                <w:color w:val="auto"/>
              </w:rPr>
            </w:pPr>
            <w:r>
              <w:rPr>
                <w:rFonts w:ascii="Arial" w:cs="Arial" w:eastAsia="Arial" w:hAnsi="Arial"/>
                <w:sz w:val="13"/>
                <w:szCs w:val="13"/>
                <w:color w:val="auto"/>
              </w:rPr>
              <w:t>22,350</w:t>
            </w:r>
            <w:r>
              <w:rPr>
                <w:rFonts w:ascii="Arial" w:cs="Arial" w:eastAsia="Arial" w:hAnsi="Arial"/>
                <w:sz w:val="21"/>
                <w:szCs w:val="21"/>
                <w:color w:val="auto"/>
                <w:vertAlign w:val="superscript"/>
              </w:rPr>
              <w:t>(11)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6,860,565</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120" w:type="dxa"/>
            <w:vAlign w:val="bottom"/>
          </w:tcPr>
          <w:p>
            <w:pPr>
              <w:ind w:left="220"/>
              <w:spacing w:after="0"/>
              <w:rPr>
                <w:sz w:val="20"/>
                <w:szCs w:val="20"/>
                <w:color w:val="auto"/>
              </w:rPr>
            </w:pPr>
            <w:r>
              <w:rPr>
                <w:rFonts w:ascii="Arial" w:cs="Arial" w:eastAsia="Arial" w:hAnsi="Arial"/>
                <w:sz w:val="14"/>
                <w:szCs w:val="14"/>
                <w:color w:val="auto"/>
              </w:rPr>
              <w:t>Chief Financial Officer</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451,667</w:t>
            </w:r>
          </w:p>
        </w:tc>
        <w:tc>
          <w:tcPr>
            <w:tcW w:w="1300" w:type="dxa"/>
            <w:vAlign w:val="bottom"/>
            <w:vMerge w:val="restart"/>
          </w:tcPr>
          <w:p>
            <w:pPr>
              <w:ind w:left="140"/>
              <w:spacing w:after="0" w:line="244" w:lineRule="exact"/>
              <w:rPr>
                <w:sz w:val="20"/>
                <w:szCs w:val="20"/>
                <w:color w:val="auto"/>
              </w:rPr>
            </w:pPr>
            <w:r>
              <w:rPr>
                <w:rFonts w:ascii="Arial" w:cs="Arial" w:eastAsia="Arial" w:hAnsi="Arial"/>
                <w:sz w:val="14"/>
                <w:szCs w:val="14"/>
                <w:color w:val="auto"/>
              </w:rPr>
              <w:t>6,124,256</w:t>
            </w:r>
            <w:r>
              <w:rPr>
                <w:rFonts w:ascii="Arial" w:cs="Arial" w:eastAsia="Arial" w:hAnsi="Arial"/>
                <w:sz w:val="23"/>
                <w:szCs w:val="23"/>
                <w:color w:val="auto"/>
                <w:vertAlign w:val="superscript"/>
              </w:rPr>
              <w:t>(3)(12)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208,601</w:t>
            </w:r>
          </w:p>
        </w:tc>
        <w:tc>
          <w:tcPr>
            <w:tcW w:w="1200" w:type="dxa"/>
            <w:vAlign w:val="bottom"/>
            <w:vMerge w:val="restart"/>
          </w:tcPr>
          <w:p>
            <w:pPr>
              <w:jc w:val="center"/>
              <w:ind w:right="90"/>
              <w:spacing w:after="0" w:line="244" w:lineRule="exact"/>
              <w:rPr>
                <w:sz w:val="20"/>
                <w:szCs w:val="20"/>
                <w:color w:val="auto"/>
              </w:rPr>
            </w:pPr>
            <w:r>
              <w:rPr>
                <w:rFonts w:ascii="Arial" w:cs="Arial" w:eastAsia="Arial" w:hAnsi="Arial"/>
                <w:sz w:val="14"/>
                <w:szCs w:val="14"/>
                <w:color w:val="auto"/>
              </w:rPr>
              <w:t>21,600</w:t>
            </w:r>
            <w:r>
              <w:rPr>
                <w:rFonts w:ascii="Arial" w:cs="Arial" w:eastAsia="Arial" w:hAnsi="Arial"/>
                <w:sz w:val="23"/>
                <w:szCs w:val="23"/>
                <w:color w:val="auto"/>
                <w:vertAlign w:val="superscript"/>
              </w:rPr>
              <w:t>(13)</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6,806,124</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0" w:type="dxa"/>
            <w:vAlign w:val="bottom"/>
            <w:tcBorders>
              <w:bottom w:val="single" w:sz="8" w:color="8FAAD7"/>
            </w:tcBorders>
          </w:tcPr>
          <w:p>
            <w:pPr>
              <w:spacing w:after="0"/>
              <w:rPr>
                <w:sz w:val="18"/>
                <w:szCs w:val="18"/>
                <w:color w:val="auto"/>
              </w:rPr>
            </w:pPr>
          </w:p>
        </w:tc>
        <w:tc>
          <w:tcPr>
            <w:tcW w:w="2120" w:type="dxa"/>
            <w:vAlign w:val="bottom"/>
            <w:tcBorders>
              <w:bottom w:val="single" w:sz="8" w:color="8FAAD7"/>
            </w:tcBorders>
          </w:tcPr>
          <w:p>
            <w:pPr>
              <w:spacing w:after="0"/>
              <w:rPr>
                <w:sz w:val="18"/>
                <w:szCs w:val="18"/>
                <w:color w:val="auto"/>
              </w:rPr>
            </w:pPr>
          </w:p>
        </w:tc>
        <w:tc>
          <w:tcPr>
            <w:tcW w:w="500" w:type="dxa"/>
            <w:vAlign w:val="bottom"/>
            <w:tcBorders>
              <w:bottom w:val="single" w:sz="8" w:color="8FAAD7"/>
            </w:tcBorders>
          </w:tcPr>
          <w:p>
            <w:pPr>
              <w:jc w:val="right"/>
              <w:spacing w:after="0"/>
              <w:rPr>
                <w:sz w:val="20"/>
                <w:szCs w:val="20"/>
                <w:color w:val="auto"/>
              </w:rPr>
            </w:pPr>
            <w:r>
              <w:rPr>
                <w:rFonts w:ascii="Arial" w:cs="Arial" w:eastAsia="Arial" w:hAnsi="Arial"/>
                <w:sz w:val="14"/>
                <w:szCs w:val="14"/>
                <w:color w:val="auto"/>
              </w:rPr>
              <w:t>2023</w:t>
            </w:r>
          </w:p>
        </w:tc>
        <w:tc>
          <w:tcPr>
            <w:tcW w:w="660" w:type="dxa"/>
            <w:vAlign w:val="bottom"/>
            <w:tcBorders>
              <w:bottom w:val="single" w:sz="8" w:color="8FAAD7"/>
            </w:tcBorders>
          </w:tcPr>
          <w:p>
            <w:pPr>
              <w:jc w:val="center"/>
              <w:spacing w:after="0"/>
              <w:rPr>
                <w:sz w:val="20"/>
                <w:szCs w:val="20"/>
                <w:color w:val="auto"/>
              </w:rPr>
            </w:pPr>
            <w:r>
              <w:rPr>
                <w:rFonts w:ascii="Arial" w:cs="Arial" w:eastAsia="Arial" w:hAnsi="Arial"/>
                <w:sz w:val="14"/>
                <w:szCs w:val="14"/>
                <w:color w:val="auto"/>
              </w:rPr>
              <w:t>416,667</w:t>
            </w:r>
          </w:p>
        </w:tc>
        <w:tc>
          <w:tcPr>
            <w:tcW w:w="1300" w:type="dxa"/>
            <w:vAlign w:val="bottom"/>
            <w:tcBorders>
              <w:bottom w:val="single" w:sz="8" w:color="8FAAD7"/>
            </w:tcBorders>
          </w:tcPr>
          <w:p>
            <w:pPr>
              <w:ind w:left="140"/>
              <w:spacing w:after="0" w:line="215" w:lineRule="exact"/>
              <w:rPr>
                <w:sz w:val="20"/>
                <w:szCs w:val="20"/>
                <w:color w:val="auto"/>
              </w:rPr>
            </w:pPr>
            <w:r>
              <w:rPr>
                <w:rFonts w:ascii="Arial" w:cs="Arial" w:eastAsia="Arial" w:hAnsi="Arial"/>
                <w:sz w:val="14"/>
                <w:szCs w:val="14"/>
                <w:color w:val="auto"/>
              </w:rPr>
              <w:t>3,895,400</w:t>
            </w:r>
            <w:r>
              <w:rPr>
                <w:rFonts w:ascii="Arial" w:cs="Arial" w:eastAsia="Arial" w:hAnsi="Arial"/>
                <w:sz w:val="23"/>
                <w:szCs w:val="23"/>
                <w:color w:val="auto"/>
                <w:vertAlign w:val="superscript"/>
              </w:rPr>
              <w:t>(3)(14)</w:t>
            </w:r>
          </w:p>
        </w:tc>
        <w:tc>
          <w:tcPr>
            <w:tcW w:w="1260" w:type="dxa"/>
            <w:vAlign w:val="bottom"/>
            <w:tcBorders>
              <w:bottom w:val="single" w:sz="8" w:color="8FAAD7"/>
            </w:tcBorders>
          </w:tcPr>
          <w:p>
            <w:pPr>
              <w:jc w:val="center"/>
              <w:spacing w:after="0"/>
              <w:rPr>
                <w:sz w:val="20"/>
                <w:szCs w:val="20"/>
                <w:color w:val="auto"/>
              </w:rPr>
            </w:pPr>
            <w:r>
              <w:rPr>
                <w:rFonts w:ascii="Arial" w:cs="Arial" w:eastAsia="Arial" w:hAnsi="Arial"/>
                <w:sz w:val="14"/>
                <w:szCs w:val="14"/>
                <w:color w:val="auto"/>
              </w:rPr>
              <w:t>106,006</w:t>
            </w:r>
          </w:p>
        </w:tc>
        <w:tc>
          <w:tcPr>
            <w:tcW w:w="1200" w:type="dxa"/>
            <w:vAlign w:val="bottom"/>
            <w:tcBorders>
              <w:bottom w:val="single" w:sz="8" w:color="8FAAD7"/>
            </w:tcBorders>
          </w:tcPr>
          <w:p>
            <w:pPr>
              <w:jc w:val="center"/>
              <w:ind w:right="90"/>
              <w:spacing w:after="0" w:line="215" w:lineRule="exact"/>
              <w:rPr>
                <w:sz w:val="20"/>
                <w:szCs w:val="20"/>
                <w:color w:val="auto"/>
              </w:rPr>
            </w:pPr>
            <w:r>
              <w:rPr>
                <w:rFonts w:ascii="Arial" w:cs="Arial" w:eastAsia="Arial" w:hAnsi="Arial"/>
                <w:sz w:val="14"/>
                <w:szCs w:val="14"/>
                <w:color w:val="auto"/>
              </w:rPr>
              <w:t>18,752</w:t>
            </w:r>
            <w:r>
              <w:rPr>
                <w:rFonts w:ascii="Arial" w:cs="Arial" w:eastAsia="Arial" w:hAnsi="Arial"/>
                <w:sz w:val="23"/>
                <w:szCs w:val="23"/>
                <w:color w:val="auto"/>
                <w:vertAlign w:val="superscript"/>
              </w:rPr>
              <w:t>(15)</w:t>
            </w:r>
          </w:p>
        </w:tc>
        <w:tc>
          <w:tcPr>
            <w:tcW w:w="880" w:type="dxa"/>
            <w:vAlign w:val="bottom"/>
            <w:tcBorders>
              <w:bottom w:val="single" w:sz="8" w:color="8FAAD7"/>
            </w:tcBorders>
          </w:tcPr>
          <w:p>
            <w:pPr>
              <w:jc w:val="right"/>
              <w:ind w:right="8"/>
              <w:spacing w:after="0"/>
              <w:rPr>
                <w:sz w:val="20"/>
                <w:szCs w:val="20"/>
                <w:color w:val="auto"/>
              </w:rPr>
            </w:pPr>
            <w:r>
              <w:rPr>
                <w:rFonts w:ascii="Arial" w:cs="Arial" w:eastAsia="Arial" w:hAnsi="Arial"/>
                <w:sz w:val="14"/>
                <w:szCs w:val="14"/>
                <w:color w:val="auto"/>
              </w:rPr>
              <w:t>4,436,825</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Bruce K. Posey</w:t>
            </w:r>
          </w:p>
        </w:tc>
        <w:tc>
          <w:tcPr>
            <w:tcW w:w="500" w:type="dxa"/>
            <w:vAlign w:val="bottom"/>
          </w:tcPr>
          <w:p>
            <w:pPr>
              <w:jc w:val="right"/>
              <w:spacing w:after="0"/>
              <w:rPr>
                <w:sz w:val="20"/>
                <w:szCs w:val="20"/>
                <w:color w:val="auto"/>
              </w:rPr>
            </w:pPr>
            <w:r>
              <w:rPr>
                <w:rFonts w:ascii="Arial" w:cs="Arial" w:eastAsia="Arial" w:hAnsi="Arial"/>
                <w:sz w:val="14"/>
                <w:szCs w:val="14"/>
                <w:color w:val="auto"/>
              </w:rPr>
              <w:t>2025</w:t>
            </w:r>
          </w:p>
        </w:tc>
        <w:tc>
          <w:tcPr>
            <w:tcW w:w="660" w:type="dxa"/>
            <w:vAlign w:val="bottom"/>
          </w:tcPr>
          <w:p>
            <w:pPr>
              <w:jc w:val="center"/>
              <w:spacing w:after="0"/>
              <w:rPr>
                <w:sz w:val="20"/>
                <w:szCs w:val="20"/>
                <w:color w:val="auto"/>
              </w:rPr>
            </w:pPr>
            <w:r>
              <w:rPr>
                <w:rFonts w:ascii="Arial" w:cs="Arial" w:eastAsia="Arial" w:hAnsi="Arial"/>
                <w:sz w:val="14"/>
                <w:szCs w:val="14"/>
                <w:color w:val="auto"/>
              </w:rPr>
              <w:t>393,833</w:t>
            </w:r>
          </w:p>
        </w:tc>
        <w:tc>
          <w:tcPr>
            <w:tcW w:w="1300" w:type="dxa"/>
            <w:vAlign w:val="bottom"/>
          </w:tcPr>
          <w:p>
            <w:pPr>
              <w:ind w:left="140"/>
              <w:spacing w:after="0" w:line="183" w:lineRule="exact"/>
              <w:rPr>
                <w:sz w:val="20"/>
                <w:szCs w:val="20"/>
                <w:color w:val="auto"/>
              </w:rPr>
            </w:pPr>
            <w:r>
              <w:rPr>
                <w:rFonts w:ascii="Arial" w:cs="Arial" w:eastAsia="Arial" w:hAnsi="Arial"/>
                <w:sz w:val="13"/>
                <w:szCs w:val="13"/>
                <w:color w:val="auto"/>
              </w:rPr>
              <w:t>3,536,808</w:t>
            </w:r>
            <w:r>
              <w:rPr>
                <w:rFonts w:ascii="Arial" w:cs="Arial" w:eastAsia="Arial" w:hAnsi="Arial"/>
                <w:sz w:val="21"/>
                <w:szCs w:val="21"/>
                <w:color w:val="auto"/>
                <w:vertAlign w:val="superscript"/>
              </w:rPr>
              <w:t>(3)(16)</w:t>
            </w:r>
          </w:p>
        </w:tc>
        <w:tc>
          <w:tcPr>
            <w:tcW w:w="1260" w:type="dxa"/>
            <w:vAlign w:val="bottom"/>
          </w:tcPr>
          <w:p>
            <w:pPr>
              <w:jc w:val="center"/>
              <w:spacing w:after="0"/>
              <w:rPr>
                <w:sz w:val="20"/>
                <w:szCs w:val="20"/>
                <w:color w:val="auto"/>
              </w:rPr>
            </w:pPr>
            <w:r>
              <w:rPr>
                <w:rFonts w:ascii="Arial" w:cs="Arial" w:eastAsia="Arial" w:hAnsi="Arial"/>
                <w:sz w:val="14"/>
                <w:szCs w:val="14"/>
                <w:color w:val="auto"/>
              </w:rPr>
              <w:t>277,373</w:t>
            </w:r>
          </w:p>
        </w:tc>
        <w:tc>
          <w:tcPr>
            <w:tcW w:w="1200" w:type="dxa"/>
            <w:vAlign w:val="bottom"/>
          </w:tcPr>
          <w:p>
            <w:pPr>
              <w:jc w:val="center"/>
              <w:ind w:right="90"/>
              <w:spacing w:after="0" w:line="183" w:lineRule="exact"/>
              <w:rPr>
                <w:sz w:val="20"/>
                <w:szCs w:val="20"/>
                <w:color w:val="auto"/>
              </w:rPr>
            </w:pPr>
            <w:r>
              <w:rPr>
                <w:rFonts w:ascii="Arial" w:cs="Arial" w:eastAsia="Arial" w:hAnsi="Arial"/>
                <w:sz w:val="13"/>
                <w:szCs w:val="13"/>
                <w:color w:val="auto"/>
              </w:rPr>
              <w:t>20,360</w:t>
            </w:r>
            <w:r>
              <w:rPr>
                <w:rFonts w:ascii="Arial" w:cs="Arial" w:eastAsia="Arial" w:hAnsi="Arial"/>
                <w:sz w:val="21"/>
                <w:szCs w:val="21"/>
                <w:color w:val="auto"/>
                <w:vertAlign w:val="superscript"/>
              </w:rPr>
              <w:t>(17)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4,228,374</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2120" w:type="dxa"/>
            <w:vAlign w:val="bottom"/>
          </w:tcPr>
          <w:p>
            <w:pPr>
              <w:ind w:left="220"/>
              <w:spacing w:after="0" w:line="126" w:lineRule="exact"/>
              <w:rPr>
                <w:sz w:val="20"/>
                <w:szCs w:val="20"/>
                <w:color w:val="auto"/>
              </w:rPr>
            </w:pPr>
            <w:r>
              <w:rPr>
                <w:rFonts w:ascii="Arial" w:cs="Arial" w:eastAsia="Arial" w:hAnsi="Arial"/>
                <w:sz w:val="14"/>
                <w:szCs w:val="14"/>
                <w:color w:val="auto"/>
              </w:rPr>
              <w:t>Chief Legal Officer and</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381,667</w:t>
            </w:r>
          </w:p>
        </w:tc>
        <w:tc>
          <w:tcPr>
            <w:tcW w:w="1300" w:type="dxa"/>
            <w:vAlign w:val="bottom"/>
            <w:vMerge w:val="restart"/>
          </w:tcPr>
          <w:p>
            <w:pPr>
              <w:ind w:left="140"/>
              <w:spacing w:after="0" w:line="244" w:lineRule="exact"/>
              <w:rPr>
                <w:sz w:val="20"/>
                <w:szCs w:val="20"/>
                <w:color w:val="auto"/>
              </w:rPr>
            </w:pPr>
            <w:r>
              <w:rPr>
                <w:rFonts w:ascii="Arial" w:cs="Arial" w:eastAsia="Arial" w:hAnsi="Arial"/>
                <w:sz w:val="14"/>
                <w:szCs w:val="14"/>
                <w:color w:val="auto"/>
              </w:rPr>
              <w:t>3,655,453</w:t>
            </w:r>
            <w:r>
              <w:rPr>
                <w:rFonts w:ascii="Arial" w:cs="Arial" w:eastAsia="Arial" w:hAnsi="Arial"/>
                <w:sz w:val="23"/>
                <w:szCs w:val="23"/>
                <w:color w:val="auto"/>
                <w:vertAlign w:val="superscript"/>
              </w:rPr>
              <w:t>(3)(18)</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163,698</w:t>
            </w:r>
          </w:p>
        </w:tc>
        <w:tc>
          <w:tcPr>
            <w:tcW w:w="1200" w:type="dxa"/>
            <w:vAlign w:val="bottom"/>
            <w:vMerge w:val="restart"/>
          </w:tcPr>
          <w:p>
            <w:pPr>
              <w:jc w:val="center"/>
              <w:ind w:right="90"/>
              <w:spacing w:after="0" w:line="244" w:lineRule="exact"/>
              <w:rPr>
                <w:sz w:val="20"/>
                <w:szCs w:val="20"/>
                <w:color w:val="auto"/>
              </w:rPr>
            </w:pPr>
            <w:r>
              <w:rPr>
                <w:rFonts w:ascii="Arial" w:cs="Arial" w:eastAsia="Arial" w:hAnsi="Arial"/>
                <w:sz w:val="14"/>
                <w:szCs w:val="14"/>
                <w:color w:val="auto"/>
              </w:rPr>
              <w:t>21,710</w:t>
            </w:r>
            <w:r>
              <w:rPr>
                <w:rFonts w:ascii="Arial" w:cs="Arial" w:eastAsia="Arial" w:hAnsi="Arial"/>
                <w:sz w:val="23"/>
                <w:szCs w:val="23"/>
                <w:color w:val="auto"/>
                <w:vertAlign w:val="superscript"/>
              </w:rPr>
              <w:t>(19)</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4,222,528</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120" w:type="dxa"/>
            <w:vAlign w:val="bottom"/>
            <w:vMerge w:val="restart"/>
          </w:tcPr>
          <w:p>
            <w:pPr>
              <w:ind w:left="220"/>
              <w:spacing w:after="0"/>
              <w:rPr>
                <w:sz w:val="20"/>
                <w:szCs w:val="20"/>
                <w:color w:val="auto"/>
              </w:rPr>
            </w:pPr>
            <w:r>
              <w:rPr>
                <w:rFonts w:ascii="Arial" w:cs="Arial" w:eastAsia="Arial" w:hAnsi="Arial"/>
                <w:sz w:val="14"/>
                <w:szCs w:val="14"/>
                <w:color w:val="auto"/>
              </w:rPr>
              <w:t>Corporate Secretary</w:t>
            </w:r>
          </w:p>
        </w:tc>
        <w:tc>
          <w:tcPr>
            <w:tcW w:w="5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363,333</w:t>
            </w:r>
          </w:p>
        </w:tc>
        <w:tc>
          <w:tcPr>
            <w:tcW w:w="1300" w:type="dxa"/>
            <w:vAlign w:val="bottom"/>
            <w:vMerge w:val="restart"/>
          </w:tcPr>
          <w:p>
            <w:pPr>
              <w:ind w:left="140"/>
              <w:spacing w:after="0" w:line="201" w:lineRule="exact"/>
              <w:rPr>
                <w:sz w:val="20"/>
                <w:szCs w:val="20"/>
                <w:color w:val="auto"/>
              </w:rPr>
            </w:pPr>
            <w:r>
              <w:rPr>
                <w:rFonts w:ascii="Arial" w:cs="Arial" w:eastAsia="Arial" w:hAnsi="Arial"/>
                <w:sz w:val="14"/>
                <w:szCs w:val="14"/>
                <w:color w:val="auto"/>
              </w:rPr>
              <w:t>2,323,636</w:t>
            </w:r>
            <w:r>
              <w:rPr>
                <w:rFonts w:ascii="Arial" w:cs="Arial" w:eastAsia="Arial" w:hAnsi="Arial"/>
                <w:sz w:val="23"/>
                <w:szCs w:val="23"/>
                <w:color w:val="auto"/>
                <w:vertAlign w:val="superscript"/>
              </w:rPr>
              <w:t>(3)(20)</w:t>
            </w:r>
          </w:p>
        </w:tc>
        <w:tc>
          <w:tcPr>
            <w:tcW w:w="1260" w:type="dxa"/>
            <w:vAlign w:val="bottom"/>
            <w:vMerge w:val="restart"/>
          </w:tcPr>
          <w:p>
            <w:pPr>
              <w:jc w:val="right"/>
              <w:ind w:right="288"/>
              <w:spacing w:after="0"/>
              <w:rPr>
                <w:sz w:val="20"/>
                <w:szCs w:val="20"/>
                <w:color w:val="auto"/>
              </w:rPr>
            </w:pPr>
            <w:r>
              <w:rPr>
                <w:rFonts w:ascii="Arial" w:cs="Arial" w:eastAsia="Arial" w:hAnsi="Arial"/>
                <w:sz w:val="14"/>
                <w:szCs w:val="14"/>
                <w:color w:val="auto"/>
              </w:rPr>
              <w:t>91,818</w:t>
            </w:r>
          </w:p>
        </w:tc>
        <w:tc>
          <w:tcPr>
            <w:tcW w:w="1200" w:type="dxa"/>
            <w:vAlign w:val="bottom"/>
            <w:vMerge w:val="restart"/>
          </w:tcPr>
          <w:p>
            <w:pPr>
              <w:jc w:val="center"/>
              <w:ind w:right="90"/>
              <w:spacing w:after="0" w:line="201" w:lineRule="exact"/>
              <w:rPr>
                <w:sz w:val="20"/>
                <w:szCs w:val="20"/>
                <w:color w:val="auto"/>
              </w:rPr>
            </w:pPr>
            <w:r>
              <w:rPr>
                <w:rFonts w:ascii="Arial" w:cs="Arial" w:eastAsia="Arial" w:hAnsi="Arial"/>
                <w:sz w:val="14"/>
                <w:szCs w:val="14"/>
                <w:color w:val="auto"/>
              </w:rPr>
              <w:t>23,182</w:t>
            </w:r>
            <w:r>
              <w:rPr>
                <w:rFonts w:ascii="Arial" w:cs="Arial" w:eastAsia="Arial" w:hAnsi="Arial"/>
                <w:sz w:val="23"/>
                <w:szCs w:val="23"/>
                <w:color w:val="auto"/>
                <w:vertAlign w:val="superscript"/>
              </w:rPr>
              <w:t>(21)</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2,801,969</w:t>
            </w:r>
          </w:p>
        </w:tc>
        <w:tc>
          <w:tcPr>
            <w:tcW w:w="0" w:type="dxa"/>
            <w:vAlign w:val="bottom"/>
          </w:tcPr>
          <w:p>
            <w:pPr>
              <w:spacing w:after="0"/>
              <w:rPr>
                <w:sz w:val="1"/>
                <w:szCs w:val="1"/>
                <w:color w:val="auto"/>
              </w:rPr>
            </w:pPr>
          </w:p>
        </w:tc>
      </w:tr>
      <w:tr>
        <w:trPr>
          <w:trHeight w:val="130"/>
        </w:trPr>
        <w:tc>
          <w:tcPr>
            <w:tcW w:w="80" w:type="dxa"/>
            <w:vAlign w:val="bottom"/>
            <w:tcBorders>
              <w:bottom w:val="single" w:sz="8" w:color="8FAAD7"/>
            </w:tcBorders>
          </w:tcPr>
          <w:p>
            <w:pPr>
              <w:spacing w:after="0"/>
              <w:rPr>
                <w:sz w:val="11"/>
                <w:szCs w:val="11"/>
                <w:color w:val="auto"/>
              </w:rPr>
            </w:pPr>
          </w:p>
        </w:tc>
        <w:tc>
          <w:tcPr>
            <w:tcW w:w="2120" w:type="dxa"/>
            <w:vAlign w:val="bottom"/>
            <w:tcBorders>
              <w:bottom w:val="single" w:sz="8" w:color="8FAAD7"/>
            </w:tcBorders>
          </w:tcPr>
          <w:p>
            <w:pPr>
              <w:spacing w:after="0"/>
              <w:rPr>
                <w:sz w:val="11"/>
                <w:szCs w:val="11"/>
                <w:color w:val="auto"/>
              </w:rPr>
            </w:pPr>
          </w:p>
        </w:tc>
        <w:tc>
          <w:tcPr>
            <w:tcW w:w="500" w:type="dxa"/>
            <w:vAlign w:val="bottom"/>
            <w:tcBorders>
              <w:bottom w:val="single" w:sz="8" w:color="8FAAD7"/>
            </w:tcBorders>
            <w:vMerge w:val="continue"/>
          </w:tcPr>
          <w:p>
            <w:pPr>
              <w:spacing w:after="0"/>
              <w:rPr>
                <w:sz w:val="11"/>
                <w:szCs w:val="11"/>
                <w:color w:val="auto"/>
              </w:rPr>
            </w:pPr>
          </w:p>
        </w:tc>
        <w:tc>
          <w:tcPr>
            <w:tcW w:w="660" w:type="dxa"/>
            <w:vAlign w:val="bottom"/>
            <w:tcBorders>
              <w:bottom w:val="single" w:sz="8" w:color="8FAAD7"/>
            </w:tcBorders>
            <w:vMerge w:val="continue"/>
          </w:tcPr>
          <w:p>
            <w:pPr>
              <w:spacing w:after="0"/>
              <w:rPr>
                <w:sz w:val="11"/>
                <w:szCs w:val="11"/>
                <w:color w:val="auto"/>
              </w:rPr>
            </w:pPr>
          </w:p>
        </w:tc>
        <w:tc>
          <w:tcPr>
            <w:tcW w:w="1300" w:type="dxa"/>
            <w:vAlign w:val="bottom"/>
            <w:tcBorders>
              <w:bottom w:val="single" w:sz="8" w:color="8FAAD7"/>
            </w:tcBorders>
            <w:vMerge w:val="continue"/>
          </w:tcPr>
          <w:p>
            <w:pPr>
              <w:spacing w:after="0"/>
              <w:rPr>
                <w:sz w:val="11"/>
                <w:szCs w:val="11"/>
                <w:color w:val="auto"/>
              </w:rPr>
            </w:pPr>
          </w:p>
        </w:tc>
        <w:tc>
          <w:tcPr>
            <w:tcW w:w="1260" w:type="dxa"/>
            <w:vAlign w:val="bottom"/>
            <w:tcBorders>
              <w:bottom w:val="single" w:sz="8" w:color="8FAAD7"/>
            </w:tcBorders>
            <w:vMerge w:val="continue"/>
          </w:tcPr>
          <w:p>
            <w:pPr>
              <w:spacing w:after="0"/>
              <w:rPr>
                <w:sz w:val="11"/>
                <w:szCs w:val="11"/>
                <w:color w:val="auto"/>
              </w:rPr>
            </w:pPr>
          </w:p>
        </w:tc>
        <w:tc>
          <w:tcPr>
            <w:tcW w:w="1200" w:type="dxa"/>
            <w:vAlign w:val="bottom"/>
            <w:tcBorders>
              <w:bottom w:val="single" w:sz="8" w:color="8FAAD7"/>
            </w:tcBorders>
            <w:vMerge w:val="continue"/>
          </w:tcPr>
          <w:p>
            <w:pPr>
              <w:spacing w:after="0"/>
              <w:rPr>
                <w:sz w:val="11"/>
                <w:szCs w:val="11"/>
                <w:color w:val="auto"/>
              </w:rPr>
            </w:pPr>
          </w:p>
        </w:tc>
        <w:tc>
          <w:tcPr>
            <w:tcW w:w="880" w:type="dxa"/>
            <w:vAlign w:val="bottom"/>
            <w:tcBorders>
              <w:bottom w:val="single" w:sz="8" w:color="8FAAD7"/>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120015</wp:posOffset>
            </wp:positionV>
            <wp:extent cx="480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72" w:lineRule="exact"/>
        <w:rPr>
          <w:sz w:val="20"/>
          <w:szCs w:val="20"/>
          <w:color w:val="auto"/>
        </w:rPr>
      </w:pPr>
    </w:p>
    <w:p>
      <w:pPr>
        <w:jc w:val="both"/>
        <w:ind w:left="860" w:right="519" w:hanging="352"/>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RSU awards and PRSU awards are shown at their aggregate grant date fair value as determined in accordance with FASB ASC Topic 718. The fair value of each RSU award and PRSU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2025, filed with the SEC on February 20, 2026.</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5" w:name="page66"/>
    <w:bookmarkEnd w:id="65"/>
    <w:p>
      <w:pPr>
        <w:ind w:left="860" w:right="519" w:hanging="352"/>
        <w:spacing w:after="0" w:line="270"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 this column reflect cash incentives earned under our Corporate Bonus Plan for the applicable year.</w:t>
      </w:r>
    </w:p>
    <w:p>
      <w:pPr>
        <w:spacing w:after="0" w:line="46"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PRSU awards granted to the named executive officers in October 2024, 2023, and 2022 are divided into three tranches with one-year performance periods. One-third of the target number of PRSUs is allocated to each tranche. Each tranche will become eligible to be earned and vest based on the annual performance goals approved by our board of directors for the applicable performance period before or shortly after the start of the performance year. Pursuant to FASB ASC Topic 718, the accounting grant date for each PRSU tranche is the date the performance goals are approved by the Compensation and Talent Committee and communicated to the employee.</w:t>
      </w:r>
    </w:p>
    <w:p>
      <w:pPr>
        <w:spacing w:after="0" w:line="75" w:lineRule="exact"/>
        <w:rPr>
          <w:rFonts w:ascii="Arial" w:cs="Arial" w:eastAsia="Arial" w:hAnsi="Arial"/>
          <w:sz w:val="18"/>
          <w:szCs w:val="18"/>
          <w:color w:val="auto"/>
        </w:rPr>
      </w:pPr>
    </w:p>
    <w:p>
      <w:pPr>
        <w:jc w:val="both"/>
        <w:ind w:left="860" w:right="519" w:hanging="352"/>
        <w:spacing w:after="0" w:line="242"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19,984 PRSUs), second tranche (representing 15,184 PRSUs), and third tranche (representing 15,179 PRSUs) of the PRSU awards approved in October 2024, October 2023 and 2022 totaling $7,034,986 based upon the probable outcome of performance conditions for 2025 performance year (if maximum performance is achieved, the aggregate grant date fair value of such award is $14,069,972).</w:t>
      </w:r>
    </w:p>
    <w:p>
      <w:pPr>
        <w:spacing w:after="0" w:line="70"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401(k) matching contributions by Qualys ($8,699) and (b) a premium paid by Qualys for life insurance ($1,350).</w:t>
      </w:r>
    </w:p>
    <w:p>
      <w:pPr>
        <w:spacing w:after="0" w:line="45" w:lineRule="exact"/>
        <w:rPr>
          <w:rFonts w:ascii="Arial" w:cs="Arial" w:eastAsia="Arial" w:hAnsi="Arial"/>
          <w:sz w:val="18"/>
          <w:szCs w:val="18"/>
          <w:color w:val="auto"/>
        </w:rPr>
      </w:pPr>
    </w:p>
    <w:p>
      <w:pPr>
        <w:jc w:val="both"/>
        <w:ind w:left="860" w:right="519" w:hanging="352"/>
        <w:spacing w:after="0" w:line="242"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15,183 PRSUs), second tranche (representing 15,178 PRSUs), and third tranche (representing 13,096 PRSUs) of the PRSU awards approved in October 2023, October 2022 and 2021 totaling $7,311,206 based upon the probable outcome of performance conditions for 2024 performance year (if maximum performance is achieved, the aggregate grant date fair value of such award is $14,622,412).</w:t>
      </w:r>
    </w:p>
    <w:p>
      <w:pPr>
        <w:spacing w:after="0" w:line="70"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401(k) matching contributions by Qualys ($9,000) and (b) a premium paid by Qualys for life insurance ($1,350).</w:t>
      </w:r>
    </w:p>
    <w:p>
      <w:pPr>
        <w:spacing w:after="0" w:line="45"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Due to the change in the timing of approval of the performance goals for the 2024 performance period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performance metrics for the third tranche of the PRSU award approved to Mr. Thakar in October 2021, the second tranche of the PRSU award approved to Mr. Thakar in October 2022, and the first tranche of the PRSU award approved to Mr. Thakar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$7,311,206, which is included in the 2024 compensation that is presented in this table.</w:t>
      </w:r>
    </w:p>
    <w:p>
      <w:pPr>
        <w:spacing w:after="0" w:line="71"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401(k) matching contributions by Qualys ($8,257) and (b) a premium paid by Qualys for life insurance ($1,350).</w:t>
      </w:r>
    </w:p>
    <w:p>
      <w:pPr>
        <w:spacing w:after="0" w:line="45" w:lineRule="exact"/>
        <w:rPr>
          <w:rFonts w:ascii="Arial" w:cs="Arial" w:eastAsia="Arial" w:hAnsi="Arial"/>
          <w:sz w:val="18"/>
          <w:szCs w:val="18"/>
          <w:color w:val="auto"/>
        </w:rPr>
      </w:pPr>
    </w:p>
    <w:p>
      <w:pPr>
        <w:jc w:val="both"/>
        <w:ind w:left="860" w:right="519" w:hanging="352"/>
        <w:spacing w:after="0" w:line="24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4,796 PRSUs), second tranche (representing 3,657 PRSUs), and third tranche (representing 3,923 PRSUs) of the PRSU awards approved in October 2024, October 2023 and 2022 totaling $1,729,299 based upon the probable outcome of performance conditions (if maximum performance is achieved, the aggregate grant date fair value of such award is $3,458,598).</w:t>
      </w:r>
    </w:p>
    <w:p>
      <w:pPr>
        <w:spacing w:after="0" w:line="68"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401(k) matching contributions by Qualys ($21,000) and (b) a premium paid by Qualys for life insurance ($1,350).</w:t>
      </w:r>
    </w:p>
    <w:p>
      <w:pPr>
        <w:spacing w:after="0" w:line="45" w:lineRule="exact"/>
        <w:rPr>
          <w:rFonts w:ascii="Arial" w:cs="Arial" w:eastAsia="Arial" w:hAnsi="Arial"/>
          <w:sz w:val="18"/>
          <w:szCs w:val="18"/>
          <w:color w:val="auto"/>
        </w:rPr>
      </w:pPr>
    </w:p>
    <w:p>
      <w:pPr>
        <w:jc w:val="both"/>
        <w:ind w:left="860" w:right="519" w:hanging="352"/>
        <w:spacing w:after="0" w:line="24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3,657 PRSUs), second tranche (representing 3,923 PRSUs), and third tranche (representing 4,729 PRSUs) of the PRSU awards approved in October 2023, October 2022 and 2021 totaling $2,070,867 based upon the probable outcome of performance conditions (if maximum performance is achieved, the aggregate grant date fair value of such award is $4,141,734).</w:t>
      </w:r>
    </w:p>
    <w:p>
      <w:pPr>
        <w:spacing w:after="0" w:line="68"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401(k) matching contributions by Qualys ($20,700) and (b) a premium paid by Qualys for life insurance ($900).</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6" w:name="page67"/>
    <w:bookmarkEnd w:id="66"/>
    <w:p>
      <w:pPr>
        <w:jc w:val="both"/>
        <w:ind w:left="860" w:right="519" w:hanging="352"/>
        <w:spacing w:after="0" w:line="238"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Due to the change in the timing of approval of the performance goals for the 2024 performance period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performance metrics for the third tranche of the PRSU award granted to Ms. Kim in October 2021, the second tranche of the PRSU award granted to Ms. Kim in October 2022, and the first tranche of the PRSU award granted to Ms. Kim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$2,070,867, which is included in the 2024 compensation that is presented in this table.</w:t>
      </w:r>
    </w:p>
    <w:p>
      <w:pPr>
        <w:spacing w:after="0" w:line="79"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(a) 401(k) matching contributions by Qualys ($17,852) and (b) a premium paid by Qualys for life insurance ($900).</w:t>
      </w:r>
    </w:p>
    <w:p>
      <w:pPr>
        <w:spacing w:after="0" w:line="45" w:lineRule="exact"/>
        <w:rPr>
          <w:rFonts w:ascii="Arial" w:cs="Arial" w:eastAsia="Arial" w:hAnsi="Arial"/>
          <w:sz w:val="18"/>
          <w:szCs w:val="18"/>
          <w:color w:val="auto"/>
        </w:rPr>
      </w:pPr>
    </w:p>
    <w:p>
      <w:pPr>
        <w:jc w:val="both"/>
        <w:ind w:left="860" w:right="519" w:hanging="352"/>
        <w:spacing w:after="0" w:line="24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2,854 PRSUs), second tranche (representing 2,181 PRSUs), and third tranche (representing 2,242 PRSUs) of the PRSU awards approved in October 2024, October 2023 and 2022 totaling $1,016,815 based upon the probable outcome of performance conditions (if maximum performance is achieved, the aggregate grant date fair value of such award is $2,033,630).</w:t>
      </w:r>
    </w:p>
    <w:p>
      <w:pPr>
        <w:spacing w:after="0" w:line="68"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(a) 401(k) matching contributions by Qualys ($13,562) and (b) a premium paid by Qualys for life insurance ($6,798).</w:t>
      </w:r>
    </w:p>
    <w:p>
      <w:pPr>
        <w:spacing w:after="0" w:line="45" w:lineRule="exact"/>
        <w:rPr>
          <w:rFonts w:ascii="Arial" w:cs="Arial" w:eastAsia="Arial" w:hAnsi="Arial"/>
          <w:sz w:val="18"/>
          <w:szCs w:val="18"/>
          <w:color w:val="auto"/>
        </w:rPr>
      </w:pPr>
    </w:p>
    <w:p>
      <w:pPr>
        <w:jc w:val="both"/>
        <w:ind w:left="860" w:right="519" w:hanging="352"/>
        <w:spacing w:after="0" w:line="24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includes the grant date fair value of the first tranche (representing 2,181 PRSUs), second tranche (representing 2,242 PRSUs), and third tranche (representing 2,969 PRSUs) of the PRSU awards granted in February 2024, October 2022 and 2021 totaling $1,243,630 based upon the probable outcome of performance conditions (if maximum performance is achieved, the aggregate grant date fair value of such award is $2,487,260).</w:t>
      </w:r>
    </w:p>
    <w:p>
      <w:pPr>
        <w:spacing w:after="0" w:line="68"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(a) 401(k) matching contributions by Qualys ($14,912) and (b) a premium paid by Qualys for life insurance ($6,798).</w:t>
      </w:r>
    </w:p>
    <w:p>
      <w:pPr>
        <w:spacing w:after="0" w:line="45"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Due to the change in the timing of approval of the performance goals for the 2024 performance period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performance metrics for the third tranche of the PRSU award approved to Mr. Posey in October 2021, the second tranche of the PRSU award approved to Mr. Posey in October 2022, and the first tranche of the PRSU award approved to Mr. Posey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$1,243,630, which is included in the 2024 compensation that is presented in this table.</w:t>
      </w:r>
    </w:p>
    <w:p>
      <w:pPr>
        <w:spacing w:after="0" w:line="71"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(a) 401(k) matching contributions by Qualys ($15,781) and (b) a premium paid by Qualys for life insurance ($7,401).</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7" w:name="page68"/>
    <w:bookmarkEnd w:id="67"/>
    <w:p>
      <w:pPr>
        <w:ind w:left="740"/>
        <w:spacing w:after="0"/>
        <w:rPr>
          <w:sz w:val="20"/>
          <w:szCs w:val="20"/>
          <w:color w:val="auto"/>
        </w:rPr>
      </w:pPr>
      <w:r>
        <w:rPr>
          <w:rFonts w:ascii="Arial" w:cs="Arial" w:eastAsia="Arial" w:hAnsi="Arial"/>
          <w:sz w:val="18"/>
          <w:szCs w:val="18"/>
          <w:b w:val="1"/>
          <w:bCs w:val="1"/>
          <w:color w:val="auto"/>
        </w:rPr>
        <w:t>Grants of Plan-Based Awards in 2025 Table</w:t>
      </w:r>
    </w:p>
    <w:p>
      <w:pPr>
        <w:spacing w:after="0" w:line="103" w:lineRule="exact"/>
        <w:rPr>
          <w:sz w:val="20"/>
          <w:szCs w:val="20"/>
          <w:color w:val="auto"/>
        </w:rPr>
      </w:pPr>
    </w:p>
    <w:p>
      <w:pPr>
        <w:ind w:left="740" w:right="760" w:firstLine="360"/>
        <w:spacing w:after="0" w:line="271"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40" w:type="dxa"/>
            <w:vAlign w:val="bottom"/>
            <w:tcBorders>
              <w:top w:val="single" w:sz="8" w:color="auto"/>
            </w:tcBorders>
            <w:shd w:val="clear" w:color="auto" w:fill="1D3965"/>
          </w:tcPr>
          <w:p>
            <w:pPr>
              <w:spacing w:after="0"/>
              <w:rPr>
                <w:sz w:val="23"/>
                <w:szCs w:val="23"/>
                <w:color w:val="auto"/>
              </w:rPr>
            </w:pPr>
          </w:p>
        </w:tc>
        <w:tc>
          <w:tcPr>
            <w:tcW w:w="460" w:type="dxa"/>
            <w:vAlign w:val="bottom"/>
            <w:tcBorders>
              <w:top w:val="single" w:sz="8" w:color="auto"/>
            </w:tcBorders>
            <w:shd w:val="clear" w:color="auto" w:fill="1D3965"/>
          </w:tcPr>
          <w:p>
            <w:pPr>
              <w:spacing w:after="0"/>
              <w:rPr>
                <w:sz w:val="23"/>
                <w:szCs w:val="23"/>
                <w:color w:val="auto"/>
              </w:rPr>
            </w:pPr>
          </w:p>
        </w:tc>
        <w:tc>
          <w:tcPr>
            <w:tcW w:w="300" w:type="dxa"/>
            <w:vAlign w:val="bottom"/>
            <w:tcBorders>
              <w:top w:val="single" w:sz="8" w:color="auto"/>
            </w:tcBorders>
            <w:shd w:val="clear" w:color="auto" w:fill="1D3965"/>
          </w:tcPr>
          <w:p>
            <w:pPr>
              <w:spacing w:after="0"/>
              <w:rPr>
                <w:sz w:val="23"/>
                <w:szCs w:val="23"/>
                <w:color w:val="auto"/>
              </w:rPr>
            </w:pPr>
          </w:p>
        </w:tc>
        <w:tc>
          <w:tcPr>
            <w:tcW w:w="380" w:type="dxa"/>
            <w:vAlign w:val="bottom"/>
            <w:tcBorders>
              <w:top w:val="single" w:sz="8" w:color="auto"/>
            </w:tcBorders>
            <w:shd w:val="clear" w:color="auto" w:fill="1D3965"/>
          </w:tcPr>
          <w:p>
            <w:pPr>
              <w:spacing w:after="0"/>
              <w:rPr>
                <w:sz w:val="23"/>
                <w:szCs w:val="23"/>
                <w:color w:val="auto"/>
              </w:rPr>
            </w:pPr>
          </w:p>
        </w:tc>
        <w:tc>
          <w:tcPr>
            <w:tcW w:w="780" w:type="dxa"/>
            <w:vAlign w:val="bottom"/>
            <w:tcBorders>
              <w:top w:val="single" w:sz="8" w:color="auto"/>
            </w:tcBorders>
            <w:shd w:val="clear" w:color="auto" w:fill="1D3965"/>
          </w:tcPr>
          <w:p>
            <w:pPr>
              <w:spacing w:after="0"/>
              <w:rPr>
                <w:sz w:val="23"/>
                <w:szCs w:val="23"/>
                <w:color w:val="auto"/>
              </w:rPr>
            </w:pPr>
          </w:p>
        </w:tc>
        <w:tc>
          <w:tcPr>
            <w:tcW w:w="1160" w:type="dxa"/>
            <w:vAlign w:val="bottom"/>
            <w:tcBorders>
              <w:top w:val="single" w:sz="8" w:color="auto"/>
            </w:tcBorders>
            <w:shd w:val="clear" w:color="auto" w:fill="1D3965"/>
          </w:tcPr>
          <w:p>
            <w:pPr>
              <w:spacing w:after="0"/>
              <w:rPr>
                <w:sz w:val="23"/>
                <w:szCs w:val="23"/>
                <w:color w:val="auto"/>
              </w:rPr>
            </w:pPr>
          </w:p>
        </w:tc>
        <w:tc>
          <w:tcPr>
            <w:tcW w:w="2060" w:type="dxa"/>
            <w:vAlign w:val="bottom"/>
            <w:tcBorders>
              <w:top w:val="single" w:sz="8" w:color="auto"/>
            </w:tcBorders>
            <w:gridSpan w:val="3"/>
            <w:vMerge w:val="restart"/>
            <w:shd w:val="clear" w:color="auto" w:fill="1D3965"/>
          </w:tcPr>
          <w:p>
            <w:pPr>
              <w:jc w:val="center"/>
              <w:ind w:right="57"/>
              <w:spacing w:after="0"/>
              <w:rPr>
                <w:sz w:val="20"/>
                <w:szCs w:val="20"/>
                <w:color w:val="auto"/>
              </w:rPr>
            </w:pPr>
            <w:r>
              <w:rPr>
                <w:rFonts w:ascii="Arial" w:cs="Arial" w:eastAsia="Arial" w:hAnsi="Arial"/>
                <w:sz w:val="14"/>
                <w:szCs w:val="14"/>
                <w:b w:val="1"/>
                <w:bCs w:val="1"/>
                <w:color w:val="FFFFFF"/>
              </w:rPr>
              <w:t>Estimated Future</w:t>
            </w:r>
          </w:p>
        </w:tc>
        <w:tc>
          <w:tcPr>
            <w:tcW w:w="2000" w:type="dxa"/>
            <w:vAlign w:val="bottom"/>
            <w:tcBorders>
              <w:top w:val="single" w:sz="8" w:color="auto"/>
            </w:tcBorders>
            <w:gridSpan w:val="3"/>
            <w:vMerge w:val="restart"/>
            <w:shd w:val="clear" w:color="auto" w:fill="1D3965"/>
          </w:tcPr>
          <w:p>
            <w:pPr>
              <w:jc w:val="center"/>
              <w:ind w:right="36"/>
              <w:spacing w:after="0"/>
              <w:rPr>
                <w:sz w:val="20"/>
                <w:szCs w:val="20"/>
                <w:color w:val="auto"/>
              </w:rPr>
            </w:pPr>
            <w:r>
              <w:rPr>
                <w:rFonts w:ascii="Arial" w:cs="Arial" w:eastAsia="Arial" w:hAnsi="Arial"/>
                <w:sz w:val="14"/>
                <w:szCs w:val="14"/>
                <w:b w:val="1"/>
                <w:bCs w:val="1"/>
                <w:color w:val="FFFFFF"/>
              </w:rPr>
              <w:t>Estimated Future</w:t>
            </w:r>
          </w:p>
        </w:tc>
        <w:tc>
          <w:tcPr>
            <w:tcW w:w="760" w:type="dxa"/>
            <w:vAlign w:val="bottom"/>
            <w:tcBorders>
              <w:top w:val="single" w:sz="8" w:color="auto"/>
            </w:tcBorders>
            <w:shd w:val="clear" w:color="auto" w:fill="1D3965"/>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tcBorders>
              <w:top w:val="single" w:sz="8" w:color="auto"/>
            </w:tcBorders>
            <w:vMerge w:val="restart"/>
            <w:shd w:val="clear" w:color="auto" w:fill="1D3965"/>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95"/>
        </w:trPr>
        <w:tc>
          <w:tcPr>
            <w:tcW w:w="740" w:type="dxa"/>
            <w:vAlign w:val="bottom"/>
            <w:shd w:val="clear" w:color="auto" w:fill="1D3965"/>
          </w:tcPr>
          <w:p>
            <w:pPr>
              <w:spacing w:after="0"/>
              <w:rPr>
                <w:sz w:val="8"/>
                <w:szCs w:val="8"/>
                <w:color w:val="auto"/>
              </w:rPr>
            </w:pPr>
          </w:p>
        </w:tc>
        <w:tc>
          <w:tcPr>
            <w:tcW w:w="460" w:type="dxa"/>
            <w:vAlign w:val="bottom"/>
            <w:shd w:val="clear" w:color="auto" w:fill="1D3965"/>
          </w:tcPr>
          <w:p>
            <w:pPr>
              <w:spacing w:after="0"/>
              <w:rPr>
                <w:sz w:val="8"/>
                <w:szCs w:val="8"/>
                <w:color w:val="auto"/>
              </w:rPr>
            </w:pPr>
          </w:p>
        </w:tc>
        <w:tc>
          <w:tcPr>
            <w:tcW w:w="300" w:type="dxa"/>
            <w:vAlign w:val="bottom"/>
            <w:shd w:val="clear" w:color="auto" w:fill="1D3965"/>
          </w:tcPr>
          <w:p>
            <w:pPr>
              <w:spacing w:after="0"/>
              <w:rPr>
                <w:sz w:val="8"/>
                <w:szCs w:val="8"/>
                <w:color w:val="auto"/>
              </w:rPr>
            </w:pPr>
          </w:p>
        </w:tc>
        <w:tc>
          <w:tcPr>
            <w:tcW w:w="380" w:type="dxa"/>
            <w:vAlign w:val="bottom"/>
            <w:shd w:val="clear" w:color="auto" w:fill="1D3965"/>
          </w:tcPr>
          <w:p>
            <w:pPr>
              <w:spacing w:after="0"/>
              <w:rPr>
                <w:sz w:val="8"/>
                <w:szCs w:val="8"/>
                <w:color w:val="auto"/>
              </w:rPr>
            </w:pPr>
          </w:p>
        </w:tc>
        <w:tc>
          <w:tcPr>
            <w:tcW w:w="780" w:type="dxa"/>
            <w:vAlign w:val="bottom"/>
            <w:shd w:val="clear" w:color="auto" w:fill="1D3965"/>
          </w:tcPr>
          <w:p>
            <w:pPr>
              <w:spacing w:after="0"/>
              <w:rPr>
                <w:sz w:val="8"/>
                <w:szCs w:val="8"/>
                <w:color w:val="auto"/>
              </w:rPr>
            </w:pPr>
          </w:p>
        </w:tc>
        <w:tc>
          <w:tcPr>
            <w:tcW w:w="1160" w:type="dxa"/>
            <w:vAlign w:val="bottom"/>
            <w:shd w:val="clear" w:color="auto" w:fill="1D3965"/>
          </w:tcPr>
          <w:p>
            <w:pPr>
              <w:spacing w:after="0"/>
              <w:rPr>
                <w:sz w:val="8"/>
                <w:szCs w:val="8"/>
                <w:color w:val="auto"/>
              </w:rPr>
            </w:pPr>
          </w:p>
        </w:tc>
        <w:tc>
          <w:tcPr>
            <w:tcW w:w="2060" w:type="dxa"/>
            <w:vAlign w:val="bottom"/>
            <w:gridSpan w:val="3"/>
            <w:vMerge w:val="continue"/>
            <w:shd w:val="clear" w:color="auto" w:fill="1D3965"/>
          </w:tcPr>
          <w:p>
            <w:pPr>
              <w:spacing w:after="0"/>
              <w:rPr>
                <w:sz w:val="8"/>
                <w:szCs w:val="8"/>
                <w:color w:val="auto"/>
              </w:rPr>
            </w:pPr>
          </w:p>
        </w:tc>
        <w:tc>
          <w:tcPr>
            <w:tcW w:w="2000" w:type="dxa"/>
            <w:vAlign w:val="bottom"/>
            <w:gridSpan w:val="3"/>
            <w:vMerge w:val="continue"/>
            <w:shd w:val="clear" w:color="auto" w:fill="1D3965"/>
          </w:tcPr>
          <w:p>
            <w:pPr>
              <w:spacing w:after="0"/>
              <w:rPr>
                <w:sz w:val="8"/>
                <w:szCs w:val="8"/>
                <w:color w:val="auto"/>
              </w:rPr>
            </w:pPr>
          </w:p>
        </w:tc>
        <w:tc>
          <w:tcPr>
            <w:tcW w:w="760" w:type="dxa"/>
            <w:vAlign w:val="bottom"/>
            <w:shd w:val="clear" w:color="auto" w:fill="1D3965"/>
          </w:tcPr>
          <w:p>
            <w:pPr>
              <w:jc w:val="center"/>
              <w:spacing w:after="0" w:line="95" w:lineRule="exact"/>
              <w:rPr>
                <w:sz w:val="20"/>
                <w:szCs w:val="20"/>
                <w:color w:val="auto"/>
              </w:rPr>
            </w:pPr>
            <w:r>
              <w:rPr>
                <w:rFonts w:ascii="Arial" w:cs="Arial" w:eastAsia="Arial" w:hAnsi="Arial"/>
                <w:sz w:val="11"/>
                <w:szCs w:val="11"/>
                <w:b w:val="1"/>
                <w:bCs w:val="1"/>
                <w:color w:val="FFFFFF"/>
              </w:rPr>
              <w:t>Stock</w:t>
            </w:r>
          </w:p>
        </w:tc>
        <w:tc>
          <w:tcPr>
            <w:tcW w:w="860" w:type="dxa"/>
            <w:vAlign w:val="bottom"/>
            <w:vMerge w:val="continue"/>
            <w:shd w:val="clear" w:color="auto" w:fill="1D3965"/>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740" w:type="dxa"/>
            <w:vAlign w:val="bottom"/>
            <w:shd w:val="clear" w:color="auto" w:fill="1D3965"/>
          </w:tcPr>
          <w:p>
            <w:pPr>
              <w:spacing w:after="0"/>
              <w:rPr>
                <w:sz w:val="18"/>
                <w:szCs w:val="18"/>
                <w:color w:val="auto"/>
              </w:rPr>
            </w:pPr>
          </w:p>
        </w:tc>
        <w:tc>
          <w:tcPr>
            <w:tcW w:w="460" w:type="dxa"/>
            <w:vAlign w:val="bottom"/>
            <w:shd w:val="clear" w:color="auto" w:fill="1D3965"/>
          </w:tcPr>
          <w:p>
            <w:pPr>
              <w:spacing w:after="0"/>
              <w:rPr>
                <w:sz w:val="18"/>
                <w:szCs w:val="18"/>
                <w:color w:val="auto"/>
              </w:rPr>
            </w:pPr>
          </w:p>
        </w:tc>
        <w:tc>
          <w:tcPr>
            <w:tcW w:w="300" w:type="dxa"/>
            <w:vAlign w:val="bottom"/>
            <w:shd w:val="clear" w:color="auto" w:fill="1D3965"/>
          </w:tcPr>
          <w:p>
            <w:pPr>
              <w:spacing w:after="0"/>
              <w:rPr>
                <w:sz w:val="18"/>
                <w:szCs w:val="18"/>
                <w:color w:val="auto"/>
              </w:rPr>
            </w:pPr>
          </w:p>
        </w:tc>
        <w:tc>
          <w:tcPr>
            <w:tcW w:w="380" w:type="dxa"/>
            <w:vAlign w:val="bottom"/>
            <w:shd w:val="clear" w:color="auto" w:fill="1D3965"/>
          </w:tcPr>
          <w:p>
            <w:pPr>
              <w:spacing w:after="0"/>
              <w:rPr>
                <w:sz w:val="18"/>
                <w:szCs w:val="18"/>
                <w:color w:val="auto"/>
              </w:rPr>
            </w:pPr>
          </w:p>
        </w:tc>
        <w:tc>
          <w:tcPr>
            <w:tcW w:w="780" w:type="dxa"/>
            <w:vAlign w:val="bottom"/>
            <w:shd w:val="clear" w:color="auto" w:fill="1D3965"/>
          </w:tcPr>
          <w:p>
            <w:pPr>
              <w:spacing w:after="0"/>
              <w:rPr>
                <w:sz w:val="18"/>
                <w:szCs w:val="18"/>
                <w:color w:val="auto"/>
              </w:rPr>
            </w:pPr>
          </w:p>
        </w:tc>
        <w:tc>
          <w:tcPr>
            <w:tcW w:w="1160" w:type="dxa"/>
            <w:vAlign w:val="bottom"/>
            <w:shd w:val="clear" w:color="auto" w:fill="1D3965"/>
          </w:tcPr>
          <w:p>
            <w:pPr>
              <w:spacing w:after="0"/>
              <w:rPr>
                <w:sz w:val="18"/>
                <w:szCs w:val="18"/>
                <w:color w:val="auto"/>
              </w:rPr>
            </w:pPr>
          </w:p>
        </w:tc>
        <w:tc>
          <w:tcPr>
            <w:tcW w:w="2060" w:type="dxa"/>
            <w:vAlign w:val="bottom"/>
            <w:gridSpan w:val="3"/>
            <w:shd w:val="clear" w:color="auto" w:fill="1D3965"/>
          </w:tcPr>
          <w:p>
            <w:pPr>
              <w:jc w:val="center"/>
              <w:ind w:right="57"/>
              <w:spacing w:after="0"/>
              <w:rPr>
                <w:sz w:val="20"/>
                <w:szCs w:val="20"/>
                <w:color w:val="auto"/>
              </w:rPr>
            </w:pPr>
            <w:r>
              <w:rPr>
                <w:rFonts w:ascii="Arial" w:cs="Arial" w:eastAsia="Arial" w:hAnsi="Arial"/>
                <w:sz w:val="14"/>
                <w:szCs w:val="14"/>
                <w:b w:val="1"/>
                <w:bCs w:val="1"/>
                <w:color w:val="FFFFFF"/>
              </w:rPr>
              <w:t>Payouts Under Non-</w:t>
            </w:r>
          </w:p>
        </w:tc>
        <w:tc>
          <w:tcPr>
            <w:tcW w:w="2000" w:type="dxa"/>
            <w:vAlign w:val="bottom"/>
            <w:gridSpan w:val="3"/>
            <w:shd w:val="clear" w:color="auto" w:fill="1D3965"/>
          </w:tcPr>
          <w:p>
            <w:pPr>
              <w:jc w:val="center"/>
              <w:ind w:right="36"/>
              <w:spacing w:after="0"/>
              <w:rPr>
                <w:sz w:val="20"/>
                <w:szCs w:val="20"/>
                <w:color w:val="auto"/>
              </w:rPr>
            </w:pPr>
            <w:r>
              <w:rPr>
                <w:rFonts w:ascii="Arial" w:cs="Arial" w:eastAsia="Arial" w:hAnsi="Arial"/>
                <w:sz w:val="14"/>
                <w:szCs w:val="14"/>
                <w:b w:val="1"/>
                <w:bCs w:val="1"/>
                <w:color w:val="FFFFFF"/>
              </w:rPr>
              <w:t>Payouts Under</w:t>
            </w: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62"/>
        </w:trPr>
        <w:tc>
          <w:tcPr>
            <w:tcW w:w="740" w:type="dxa"/>
            <w:vAlign w:val="bottom"/>
            <w:shd w:val="clear" w:color="auto" w:fill="1D3965"/>
          </w:tcPr>
          <w:p>
            <w:pPr>
              <w:spacing w:after="0"/>
              <w:rPr>
                <w:sz w:val="14"/>
                <w:szCs w:val="14"/>
                <w:color w:val="auto"/>
              </w:rPr>
            </w:pPr>
          </w:p>
        </w:tc>
        <w:tc>
          <w:tcPr>
            <w:tcW w:w="460" w:type="dxa"/>
            <w:vAlign w:val="bottom"/>
            <w:shd w:val="clear" w:color="auto" w:fill="1D3965"/>
          </w:tcPr>
          <w:p>
            <w:pPr>
              <w:spacing w:after="0"/>
              <w:rPr>
                <w:sz w:val="14"/>
                <w:szCs w:val="14"/>
                <w:color w:val="auto"/>
              </w:rPr>
            </w:pPr>
          </w:p>
        </w:tc>
        <w:tc>
          <w:tcPr>
            <w:tcW w:w="300" w:type="dxa"/>
            <w:vAlign w:val="bottom"/>
            <w:shd w:val="clear" w:color="auto" w:fill="1D3965"/>
          </w:tcPr>
          <w:p>
            <w:pPr>
              <w:spacing w:after="0"/>
              <w:rPr>
                <w:sz w:val="14"/>
                <w:szCs w:val="14"/>
                <w:color w:val="auto"/>
              </w:rPr>
            </w:pPr>
          </w:p>
        </w:tc>
        <w:tc>
          <w:tcPr>
            <w:tcW w:w="380" w:type="dxa"/>
            <w:vAlign w:val="bottom"/>
            <w:shd w:val="clear" w:color="auto" w:fill="1D3965"/>
          </w:tcPr>
          <w:p>
            <w:pPr>
              <w:spacing w:after="0"/>
              <w:rPr>
                <w:sz w:val="14"/>
                <w:szCs w:val="14"/>
                <w:color w:val="auto"/>
              </w:rPr>
            </w:pPr>
          </w:p>
        </w:tc>
        <w:tc>
          <w:tcPr>
            <w:tcW w:w="78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2060" w:type="dxa"/>
            <w:vAlign w:val="bottom"/>
            <w:gridSpan w:val="3"/>
            <w:shd w:val="clear" w:color="auto" w:fill="1D3965"/>
          </w:tcPr>
          <w:p>
            <w:pPr>
              <w:jc w:val="center"/>
              <w:ind w:right="57"/>
              <w:spacing w:after="0"/>
              <w:rPr>
                <w:sz w:val="20"/>
                <w:szCs w:val="20"/>
                <w:color w:val="auto"/>
              </w:rPr>
            </w:pPr>
            <w:r>
              <w:rPr>
                <w:rFonts w:ascii="Arial" w:cs="Arial" w:eastAsia="Arial" w:hAnsi="Arial"/>
                <w:sz w:val="14"/>
                <w:szCs w:val="14"/>
                <w:b w:val="1"/>
                <w:bCs w:val="1"/>
                <w:color w:val="FFFFFF"/>
              </w:rPr>
              <w:t>Equity Incentive Plan</w:t>
            </w:r>
          </w:p>
        </w:tc>
        <w:tc>
          <w:tcPr>
            <w:tcW w:w="2000" w:type="dxa"/>
            <w:vAlign w:val="bottom"/>
            <w:gridSpan w:val="3"/>
            <w:shd w:val="clear" w:color="auto" w:fill="1D3965"/>
          </w:tcPr>
          <w:p>
            <w:pPr>
              <w:jc w:val="center"/>
              <w:ind w:right="36"/>
              <w:spacing w:after="0"/>
              <w:rPr>
                <w:sz w:val="20"/>
                <w:szCs w:val="20"/>
                <w:color w:val="auto"/>
              </w:rPr>
            </w:pPr>
            <w:r>
              <w:rPr>
                <w:rFonts w:ascii="Arial" w:cs="Arial" w:eastAsia="Arial" w:hAnsi="Arial"/>
                <w:sz w:val="14"/>
                <w:szCs w:val="14"/>
                <w:b w:val="1"/>
                <w:bCs w:val="1"/>
                <w:color w:val="FFFFFF"/>
              </w:rPr>
              <w:t>Equity Incentive Plan</w:t>
            </w: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Number</w:t>
            </w:r>
          </w:p>
        </w:tc>
        <w:tc>
          <w:tcPr>
            <w:tcW w:w="860" w:type="dxa"/>
            <w:vAlign w:val="bottom"/>
            <w:shd w:val="clear" w:color="auto" w:fill="1D3965"/>
          </w:tcPr>
          <w:p>
            <w:pPr>
              <w:jc w:val="center"/>
              <w:ind w:right="14"/>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740" w:type="dxa"/>
            <w:vAlign w:val="bottom"/>
            <w:shd w:val="clear" w:color="auto" w:fill="1D3965"/>
          </w:tcPr>
          <w:p>
            <w:pPr>
              <w:spacing w:after="0"/>
              <w:rPr>
                <w:sz w:val="14"/>
                <w:szCs w:val="14"/>
                <w:color w:val="auto"/>
              </w:rPr>
            </w:pPr>
          </w:p>
        </w:tc>
        <w:tc>
          <w:tcPr>
            <w:tcW w:w="460" w:type="dxa"/>
            <w:vAlign w:val="bottom"/>
            <w:shd w:val="clear" w:color="auto" w:fill="1D3965"/>
          </w:tcPr>
          <w:p>
            <w:pPr>
              <w:spacing w:after="0"/>
              <w:rPr>
                <w:sz w:val="14"/>
                <w:szCs w:val="14"/>
                <w:color w:val="auto"/>
              </w:rPr>
            </w:pPr>
          </w:p>
        </w:tc>
        <w:tc>
          <w:tcPr>
            <w:tcW w:w="300" w:type="dxa"/>
            <w:vAlign w:val="bottom"/>
            <w:shd w:val="clear" w:color="auto" w:fill="1D3965"/>
          </w:tcPr>
          <w:p>
            <w:pPr>
              <w:spacing w:after="0"/>
              <w:rPr>
                <w:sz w:val="14"/>
                <w:szCs w:val="14"/>
                <w:color w:val="auto"/>
              </w:rPr>
            </w:pPr>
          </w:p>
        </w:tc>
        <w:tc>
          <w:tcPr>
            <w:tcW w:w="380" w:type="dxa"/>
            <w:vAlign w:val="bottom"/>
            <w:shd w:val="clear" w:color="auto" w:fill="1D3965"/>
          </w:tcPr>
          <w:p>
            <w:pPr>
              <w:spacing w:after="0"/>
              <w:rPr>
                <w:sz w:val="14"/>
                <w:szCs w:val="14"/>
                <w:color w:val="auto"/>
              </w:rPr>
            </w:pPr>
          </w:p>
        </w:tc>
        <w:tc>
          <w:tcPr>
            <w:tcW w:w="78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620" w:type="dxa"/>
            <w:vAlign w:val="bottom"/>
            <w:shd w:val="clear" w:color="auto" w:fill="1D3965"/>
          </w:tcPr>
          <w:p>
            <w:pPr>
              <w:spacing w:after="0"/>
              <w:rPr>
                <w:sz w:val="14"/>
                <w:szCs w:val="14"/>
                <w:color w:val="auto"/>
              </w:rPr>
            </w:pPr>
          </w:p>
        </w:tc>
        <w:tc>
          <w:tcPr>
            <w:tcW w:w="740" w:type="dxa"/>
            <w:vAlign w:val="bottom"/>
            <w:shd w:val="clear" w:color="auto" w:fill="1D3965"/>
          </w:tcPr>
          <w:p>
            <w:pPr>
              <w:jc w:val="center"/>
              <w:spacing w:after="0" w:line="162"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(2)</w:t>
            </w:r>
          </w:p>
        </w:tc>
        <w:tc>
          <w:tcPr>
            <w:tcW w:w="700" w:type="dxa"/>
            <w:vAlign w:val="bottom"/>
            <w:shd w:val="clear" w:color="auto" w:fill="1D3965"/>
          </w:tcPr>
          <w:p>
            <w:pPr>
              <w:spacing w:after="0"/>
              <w:rPr>
                <w:sz w:val="14"/>
                <w:szCs w:val="14"/>
                <w:color w:val="auto"/>
              </w:rPr>
            </w:pPr>
          </w:p>
        </w:tc>
        <w:tc>
          <w:tcPr>
            <w:tcW w:w="680" w:type="dxa"/>
            <w:vAlign w:val="bottom"/>
            <w:shd w:val="clear" w:color="auto" w:fill="1D3965"/>
          </w:tcPr>
          <w:p>
            <w:pPr>
              <w:spacing w:after="0"/>
              <w:rPr>
                <w:sz w:val="14"/>
                <w:szCs w:val="14"/>
                <w:color w:val="auto"/>
              </w:rPr>
            </w:pPr>
          </w:p>
        </w:tc>
        <w:tc>
          <w:tcPr>
            <w:tcW w:w="6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720" w:type="dxa"/>
            <w:vAlign w:val="bottom"/>
            <w:shd w:val="clear" w:color="auto" w:fill="1D3965"/>
          </w:tcPr>
          <w:p>
            <w:pPr>
              <w:spacing w:after="0"/>
              <w:rPr>
                <w:sz w:val="14"/>
                <w:szCs w:val="14"/>
                <w:color w:val="auto"/>
              </w:rPr>
            </w:pP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of</w:t>
            </w:r>
          </w:p>
        </w:tc>
        <w:tc>
          <w:tcPr>
            <w:tcW w:w="8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162"/>
        </w:trPr>
        <w:tc>
          <w:tcPr>
            <w:tcW w:w="740" w:type="dxa"/>
            <w:vAlign w:val="bottom"/>
            <w:shd w:val="clear" w:color="auto" w:fill="1D3965"/>
          </w:tcPr>
          <w:p>
            <w:pPr>
              <w:spacing w:after="0"/>
              <w:rPr>
                <w:sz w:val="14"/>
                <w:szCs w:val="14"/>
                <w:color w:val="auto"/>
              </w:rPr>
            </w:pPr>
          </w:p>
        </w:tc>
        <w:tc>
          <w:tcPr>
            <w:tcW w:w="460" w:type="dxa"/>
            <w:vAlign w:val="bottom"/>
            <w:shd w:val="clear" w:color="auto" w:fill="1D3965"/>
          </w:tcPr>
          <w:p>
            <w:pPr>
              <w:spacing w:after="0"/>
              <w:rPr>
                <w:sz w:val="14"/>
                <w:szCs w:val="14"/>
                <w:color w:val="auto"/>
              </w:rPr>
            </w:pPr>
          </w:p>
        </w:tc>
        <w:tc>
          <w:tcPr>
            <w:tcW w:w="300" w:type="dxa"/>
            <w:vAlign w:val="bottom"/>
            <w:shd w:val="clear" w:color="auto" w:fill="1D3965"/>
          </w:tcPr>
          <w:p>
            <w:pPr>
              <w:spacing w:after="0"/>
              <w:rPr>
                <w:sz w:val="14"/>
                <w:szCs w:val="14"/>
                <w:color w:val="auto"/>
              </w:rPr>
            </w:pPr>
          </w:p>
        </w:tc>
        <w:tc>
          <w:tcPr>
            <w:tcW w:w="380" w:type="dxa"/>
            <w:vAlign w:val="bottom"/>
            <w:shd w:val="clear" w:color="auto" w:fill="1D3965"/>
          </w:tcPr>
          <w:p>
            <w:pPr>
              <w:spacing w:after="0"/>
              <w:rPr>
                <w:sz w:val="14"/>
                <w:szCs w:val="14"/>
                <w:color w:val="auto"/>
              </w:rPr>
            </w:pPr>
          </w:p>
        </w:tc>
        <w:tc>
          <w:tcPr>
            <w:tcW w:w="78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2740" w:type="dxa"/>
            <w:vAlign w:val="bottom"/>
            <w:gridSpan w:val="4"/>
            <w:vMerge w:val="restart"/>
            <w:shd w:val="clear" w:color="auto" w:fill="1D3965"/>
          </w:tcPr>
          <w:p>
            <w:pPr>
              <w:ind w:left="20"/>
              <w:spacing w:after="0"/>
              <w:rPr>
                <w:sz w:val="20"/>
                <w:szCs w:val="20"/>
                <w:color w:val="auto"/>
              </w:rPr>
            </w:pPr>
            <w:r>
              <w:rPr>
                <w:rFonts w:ascii="Arial" w:cs="Arial" w:eastAsia="Arial" w:hAnsi="Arial"/>
                <w:sz w:val="14"/>
                <w:szCs w:val="14"/>
                <w:b w:val="1"/>
                <w:bCs w:val="1"/>
                <w:color w:val="FFFFFF"/>
                <w:w w:val="92"/>
              </w:rPr>
              <w:t xml:space="preserve">Threshold </w:t>
            </w:r>
            <w:r>
              <w:rPr>
                <w:rFonts w:ascii="Arial" w:cs="Arial" w:eastAsia="Arial" w:hAnsi="Arial"/>
                <w:sz w:val="28"/>
                <w:szCs w:val="28"/>
                <w:b w:val="1"/>
                <w:bCs w:val="1"/>
                <w:color w:val="FFFFFF"/>
                <w:w w:val="92"/>
                <w:vertAlign w:val="superscript"/>
              </w:rPr>
              <w:t>Target</w:t>
            </w:r>
            <w:r>
              <w:rPr>
                <w:rFonts w:ascii="Arial" w:cs="Arial" w:eastAsia="Arial" w:hAnsi="Arial"/>
                <w:sz w:val="14"/>
                <w:szCs w:val="14"/>
                <w:b w:val="1"/>
                <w:bCs w:val="1"/>
                <w:color w:val="FFFFFF"/>
                <w:w w:val="92"/>
              </w:rPr>
              <w:t xml:space="preserve"> Maximum </w:t>
            </w:r>
            <w:r>
              <w:rPr>
                <w:rFonts w:ascii="Arial" w:cs="Arial" w:eastAsia="Arial" w:hAnsi="Arial"/>
                <w:sz w:val="28"/>
                <w:szCs w:val="28"/>
                <w:b w:val="1"/>
                <w:bCs w:val="1"/>
                <w:color w:val="FFFFFF"/>
                <w:w w:val="92"/>
                <w:vertAlign w:val="superscript"/>
              </w:rPr>
              <w:t>Threshold</w:t>
            </w:r>
          </w:p>
        </w:tc>
        <w:tc>
          <w:tcPr>
            <w:tcW w:w="600" w:type="dxa"/>
            <w:vAlign w:val="bottom"/>
            <w:vMerge w:val="restart"/>
            <w:shd w:val="clear" w:color="auto" w:fill="1D3965"/>
          </w:tcPr>
          <w:p>
            <w:pPr>
              <w:jc w:val="center"/>
              <w:spacing w:after="0"/>
              <w:rPr>
                <w:sz w:val="20"/>
                <w:szCs w:val="20"/>
                <w:color w:val="auto"/>
              </w:rPr>
            </w:pPr>
            <w:r>
              <w:rPr>
                <w:rFonts w:ascii="Arial" w:cs="Arial" w:eastAsia="Arial" w:hAnsi="Arial"/>
                <w:sz w:val="14"/>
                <w:szCs w:val="14"/>
                <w:b w:val="1"/>
                <w:bCs w:val="1"/>
                <w:color w:val="FFFFFF"/>
              </w:rPr>
              <w:t>Target</w:t>
            </w:r>
          </w:p>
        </w:tc>
        <w:tc>
          <w:tcPr>
            <w:tcW w:w="720" w:type="dxa"/>
            <w:vAlign w:val="bottom"/>
            <w:vMerge w:val="restart"/>
            <w:shd w:val="clear" w:color="auto" w:fill="1D3965"/>
          </w:tcPr>
          <w:p>
            <w:pPr>
              <w:jc w:val="right"/>
              <w:spacing w:after="0"/>
              <w:rPr>
                <w:sz w:val="20"/>
                <w:szCs w:val="20"/>
                <w:color w:val="auto"/>
              </w:rPr>
            </w:pPr>
            <w:r>
              <w:rPr>
                <w:rFonts w:ascii="Arial" w:cs="Arial" w:eastAsia="Arial" w:hAnsi="Arial"/>
                <w:sz w:val="14"/>
                <w:szCs w:val="14"/>
                <w:b w:val="1"/>
                <w:bCs w:val="1"/>
                <w:color w:val="FFFFFF"/>
              </w:rPr>
              <w:t>Maximum</w:t>
            </w: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 of</w:t>
            </w:r>
          </w:p>
        </w:tc>
        <w:tc>
          <w:tcPr>
            <w:tcW w:w="860" w:type="dxa"/>
            <w:vAlign w:val="bottom"/>
            <w:shd w:val="clear" w:color="auto" w:fill="1D3965"/>
          </w:tcPr>
          <w:p>
            <w:pPr>
              <w:jc w:val="center"/>
              <w:ind w:right="14"/>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62"/>
        </w:trPr>
        <w:tc>
          <w:tcPr>
            <w:tcW w:w="740" w:type="dxa"/>
            <w:vAlign w:val="bottom"/>
            <w:shd w:val="clear" w:color="auto" w:fill="1D3965"/>
          </w:tcPr>
          <w:p>
            <w:pPr>
              <w:spacing w:after="0"/>
              <w:rPr>
                <w:sz w:val="14"/>
                <w:szCs w:val="14"/>
                <w:color w:val="auto"/>
              </w:rPr>
            </w:pPr>
          </w:p>
        </w:tc>
        <w:tc>
          <w:tcPr>
            <w:tcW w:w="460" w:type="dxa"/>
            <w:vAlign w:val="bottom"/>
            <w:shd w:val="clear" w:color="auto" w:fill="1D3965"/>
          </w:tcPr>
          <w:p>
            <w:pPr>
              <w:spacing w:after="0"/>
              <w:rPr>
                <w:sz w:val="14"/>
                <w:szCs w:val="14"/>
                <w:color w:val="auto"/>
              </w:rPr>
            </w:pPr>
          </w:p>
        </w:tc>
        <w:tc>
          <w:tcPr>
            <w:tcW w:w="68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Grant</w:t>
            </w:r>
          </w:p>
        </w:tc>
        <w:tc>
          <w:tcPr>
            <w:tcW w:w="780" w:type="dxa"/>
            <w:vAlign w:val="bottom"/>
            <w:shd w:val="clear" w:color="auto" w:fill="1D3965"/>
          </w:tcPr>
          <w:p>
            <w:pPr>
              <w:jc w:val="right"/>
              <w:ind w:right="53"/>
              <w:spacing w:after="0"/>
              <w:rPr>
                <w:sz w:val="20"/>
                <w:szCs w:val="20"/>
                <w:color w:val="auto"/>
              </w:rPr>
            </w:pPr>
            <w:r>
              <w:rPr>
                <w:rFonts w:ascii="Arial" w:cs="Arial" w:eastAsia="Arial" w:hAnsi="Arial"/>
                <w:sz w:val="14"/>
                <w:szCs w:val="14"/>
                <w:b w:val="1"/>
                <w:bCs w:val="1"/>
                <w:color w:val="FFFFFF"/>
              </w:rPr>
              <w:t>Approval</w:t>
            </w:r>
          </w:p>
        </w:tc>
        <w:tc>
          <w:tcPr>
            <w:tcW w:w="1160" w:type="dxa"/>
            <w:vAlign w:val="bottom"/>
            <w:shd w:val="clear" w:color="auto" w:fill="1D3965"/>
          </w:tcPr>
          <w:p>
            <w:pPr>
              <w:jc w:val="right"/>
              <w:ind w:right="336"/>
              <w:spacing w:after="0"/>
              <w:rPr>
                <w:sz w:val="20"/>
                <w:szCs w:val="20"/>
                <w:color w:val="auto"/>
              </w:rPr>
            </w:pPr>
            <w:r>
              <w:rPr>
                <w:rFonts w:ascii="Arial" w:cs="Arial" w:eastAsia="Arial" w:hAnsi="Arial"/>
                <w:sz w:val="14"/>
                <w:szCs w:val="14"/>
                <w:b w:val="1"/>
                <w:bCs w:val="1"/>
                <w:color w:val="FFFFFF"/>
              </w:rPr>
              <w:t>Type of</w:t>
            </w:r>
          </w:p>
        </w:tc>
        <w:tc>
          <w:tcPr>
            <w:tcW w:w="2740" w:type="dxa"/>
            <w:vAlign w:val="bottom"/>
            <w:gridSpan w:val="4"/>
            <w:vMerge w:val="continue"/>
            <w:shd w:val="clear" w:color="auto" w:fill="1D3965"/>
          </w:tcPr>
          <w:p>
            <w:pPr>
              <w:spacing w:after="0"/>
              <w:rPr>
                <w:sz w:val="14"/>
                <w:szCs w:val="14"/>
                <w:color w:val="auto"/>
              </w:rPr>
            </w:pPr>
          </w:p>
        </w:tc>
        <w:tc>
          <w:tcPr>
            <w:tcW w:w="600" w:type="dxa"/>
            <w:vAlign w:val="bottom"/>
            <w:vMerge w:val="continue"/>
            <w:shd w:val="clear" w:color="auto" w:fill="1D3965"/>
          </w:tcPr>
          <w:p>
            <w:pPr>
              <w:spacing w:after="0"/>
              <w:rPr>
                <w:sz w:val="14"/>
                <w:szCs w:val="14"/>
                <w:color w:val="auto"/>
              </w:rPr>
            </w:pPr>
          </w:p>
        </w:tc>
        <w:tc>
          <w:tcPr>
            <w:tcW w:w="720" w:type="dxa"/>
            <w:vAlign w:val="bottom"/>
            <w:vMerge w:val="continue"/>
            <w:shd w:val="clear" w:color="auto" w:fill="1D3965"/>
          </w:tcPr>
          <w:p>
            <w:pPr>
              <w:spacing w:after="0"/>
              <w:rPr>
                <w:sz w:val="14"/>
                <w:szCs w:val="14"/>
                <w:color w:val="auto"/>
              </w:rPr>
            </w:pP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Stock or</w:t>
            </w:r>
          </w:p>
        </w:tc>
        <w:tc>
          <w:tcPr>
            <w:tcW w:w="8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03"/>
        </w:trPr>
        <w:tc>
          <w:tcPr>
            <w:tcW w:w="1200" w:type="dxa"/>
            <w:vAlign w:val="bottom"/>
            <w:gridSpan w:val="2"/>
            <w:shd w:val="clear" w:color="auto" w:fill="1D3965"/>
          </w:tcPr>
          <w:p>
            <w:pPr>
              <w:ind w:left="120"/>
              <w:spacing w:after="0"/>
              <w:rPr>
                <w:sz w:val="20"/>
                <w:szCs w:val="20"/>
                <w:color w:val="auto"/>
              </w:rPr>
            </w:pPr>
            <w:r>
              <w:rPr>
                <w:rFonts w:ascii="Arial" w:cs="Arial" w:eastAsia="Arial" w:hAnsi="Arial"/>
                <w:sz w:val="14"/>
                <w:szCs w:val="14"/>
                <w:b w:val="1"/>
                <w:bCs w:val="1"/>
                <w:color w:val="FFFFFF"/>
              </w:rPr>
              <w:t>Name</w:t>
            </w:r>
          </w:p>
        </w:tc>
        <w:tc>
          <w:tcPr>
            <w:tcW w:w="68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Date</w:t>
            </w:r>
          </w:p>
        </w:tc>
        <w:tc>
          <w:tcPr>
            <w:tcW w:w="780" w:type="dxa"/>
            <w:vAlign w:val="bottom"/>
            <w:shd w:val="clear" w:color="auto" w:fill="1D3965"/>
          </w:tcPr>
          <w:p>
            <w:pPr>
              <w:jc w:val="right"/>
              <w:ind w:right="213"/>
              <w:spacing w:after="0"/>
              <w:rPr>
                <w:sz w:val="20"/>
                <w:szCs w:val="20"/>
                <w:color w:val="auto"/>
              </w:rPr>
            </w:pPr>
            <w:r>
              <w:rPr>
                <w:rFonts w:ascii="Arial" w:cs="Arial" w:eastAsia="Arial" w:hAnsi="Arial"/>
                <w:sz w:val="14"/>
                <w:szCs w:val="14"/>
                <w:b w:val="1"/>
                <w:bCs w:val="1"/>
                <w:color w:val="FFFFFF"/>
              </w:rPr>
              <w:t>Date</w:t>
            </w:r>
          </w:p>
        </w:tc>
        <w:tc>
          <w:tcPr>
            <w:tcW w:w="1160" w:type="dxa"/>
            <w:vAlign w:val="bottom"/>
            <w:shd w:val="clear" w:color="auto" w:fill="1D3965"/>
          </w:tcPr>
          <w:p>
            <w:pPr>
              <w:jc w:val="right"/>
              <w:ind w:right="276"/>
              <w:spacing w:after="0" w:line="189" w:lineRule="exact"/>
              <w:rPr>
                <w:sz w:val="20"/>
                <w:szCs w:val="20"/>
                <w:color w:val="auto"/>
              </w:rPr>
            </w:pPr>
            <w:r>
              <w:rPr>
                <w:rFonts w:ascii="Arial" w:cs="Arial" w:eastAsia="Arial" w:hAnsi="Arial"/>
                <w:sz w:val="13"/>
                <w:szCs w:val="13"/>
                <w:b w:val="1"/>
                <w:bCs w:val="1"/>
                <w:color w:val="FFFFFF"/>
              </w:rPr>
              <w:t>Award</w:t>
            </w:r>
            <w:r>
              <w:rPr>
                <w:rFonts w:ascii="Arial" w:cs="Arial" w:eastAsia="Arial" w:hAnsi="Arial"/>
                <w:sz w:val="21"/>
                <w:szCs w:val="21"/>
                <w:b w:val="1"/>
                <w:bCs w:val="1"/>
                <w:color w:val="FFFFFF"/>
                <w:vertAlign w:val="superscript"/>
              </w:rPr>
              <w:t>(1)</w:t>
            </w:r>
          </w:p>
        </w:tc>
        <w:tc>
          <w:tcPr>
            <w:tcW w:w="620" w:type="dxa"/>
            <w:vAlign w:val="bottom"/>
            <w:shd w:val="clear" w:color="auto" w:fill="1D3965"/>
          </w:tcPr>
          <w:p>
            <w:pPr>
              <w:jc w:val="right"/>
              <w:ind w:right="15"/>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1"/>
                <w:szCs w:val="21"/>
                <w:b w:val="1"/>
                <w:bCs w:val="1"/>
                <w:color w:val="FFFFFF"/>
                <w:vertAlign w:val="superscript"/>
              </w:rPr>
              <w:t>(4)</w:t>
            </w:r>
          </w:p>
        </w:tc>
        <w:tc>
          <w:tcPr>
            <w:tcW w:w="740" w:type="dxa"/>
            <w:vAlign w:val="bottom"/>
            <w:shd w:val="clear" w:color="auto" w:fill="1D3965"/>
          </w:tcPr>
          <w:p>
            <w:pPr>
              <w:jc w:val="right"/>
              <w:ind w:right="197"/>
              <w:spacing w:after="0"/>
              <w:rPr>
                <w:sz w:val="20"/>
                <w:szCs w:val="20"/>
                <w:color w:val="auto"/>
              </w:rPr>
            </w:pPr>
            <w:r>
              <w:rPr>
                <w:rFonts w:ascii="Arial" w:cs="Arial" w:eastAsia="Arial" w:hAnsi="Arial"/>
                <w:sz w:val="14"/>
                <w:szCs w:val="14"/>
                <w:b w:val="1"/>
                <w:bCs w:val="1"/>
                <w:color w:val="FFFFFF"/>
              </w:rPr>
              <w:t>($)</w:t>
            </w:r>
          </w:p>
        </w:tc>
        <w:tc>
          <w:tcPr>
            <w:tcW w:w="700" w:type="dxa"/>
            <w:vAlign w:val="bottom"/>
            <w:shd w:val="clear" w:color="auto" w:fill="1D3965"/>
          </w:tcPr>
          <w:p>
            <w:pPr>
              <w:jc w:val="right"/>
              <w:ind w:right="217"/>
              <w:spacing w:after="0" w:line="18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1"/>
                <w:szCs w:val="21"/>
                <w:b w:val="1"/>
                <w:bCs w:val="1"/>
                <w:color w:val="FFFFFF"/>
                <w:vertAlign w:val="superscript"/>
              </w:rPr>
              <w:t>(4)</w:t>
            </w:r>
          </w:p>
        </w:tc>
        <w:tc>
          <w:tcPr>
            <w:tcW w:w="68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1D3965"/>
          </w:tcPr>
          <w:p>
            <w:pPr>
              <w:jc w:val="right"/>
              <w:ind w:right="136"/>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1D3965"/>
          </w:tcPr>
          <w:p>
            <w:pPr>
              <w:jc w:val="right"/>
              <w:ind w:right="196"/>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Units</w:t>
            </w:r>
          </w:p>
        </w:tc>
        <w:tc>
          <w:tcPr>
            <w:tcW w:w="860" w:type="dxa"/>
            <w:vAlign w:val="bottom"/>
            <w:shd w:val="clear" w:color="auto" w:fill="1D3965"/>
          </w:tcPr>
          <w:p>
            <w:pPr>
              <w:jc w:val="center"/>
              <w:spacing w:after="0" w:line="18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21"/>
                <w:szCs w:val="21"/>
                <w:b w:val="1"/>
                <w:bCs w:val="1"/>
                <w:color w:val="FFFFFF"/>
                <w:w w:val="96"/>
                <w:vertAlign w:val="superscript"/>
              </w:rPr>
              <w:t>(3)</w:t>
            </w:r>
          </w:p>
        </w:tc>
        <w:tc>
          <w:tcPr>
            <w:tcW w:w="0" w:type="dxa"/>
            <w:vAlign w:val="bottom"/>
          </w:tcPr>
          <w:p>
            <w:pPr>
              <w:spacing w:after="0"/>
              <w:rPr>
                <w:sz w:val="1"/>
                <w:szCs w:val="1"/>
                <w:color w:val="auto"/>
              </w:rPr>
            </w:pPr>
          </w:p>
        </w:tc>
      </w:tr>
      <w:tr>
        <w:trPr>
          <w:trHeight w:val="166"/>
        </w:trPr>
        <w:tc>
          <w:tcPr>
            <w:tcW w:w="1200" w:type="dxa"/>
            <w:vAlign w:val="bottom"/>
            <w:gridSpan w:val="2"/>
          </w:tcPr>
          <w:p>
            <w:pPr>
              <w:ind w:left="120"/>
              <w:spacing w:after="0"/>
              <w:rPr>
                <w:sz w:val="20"/>
                <w:szCs w:val="20"/>
                <w:color w:val="auto"/>
              </w:rPr>
            </w:pPr>
            <w:r>
              <w:rPr>
                <w:rFonts w:ascii="Arial" w:cs="Arial" w:eastAsia="Arial" w:hAnsi="Arial"/>
                <w:sz w:val="13"/>
                <w:szCs w:val="13"/>
                <w:color w:val="auto"/>
                <w:w w:val="97"/>
              </w:rPr>
              <w:t>Sumedh S. Thakar</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Cash Incentive</w:t>
            </w:r>
          </w:p>
        </w:tc>
        <w:tc>
          <w:tcPr>
            <w:tcW w:w="620" w:type="dxa"/>
            <w:vAlign w:val="bottom"/>
          </w:tcPr>
          <w:p>
            <w:pPr>
              <w:jc w:val="right"/>
              <w:spacing w:after="0"/>
              <w:rPr>
                <w:sz w:val="20"/>
                <w:szCs w:val="20"/>
                <w:color w:val="auto"/>
              </w:rPr>
            </w:pPr>
            <w:r>
              <w:rPr>
                <w:rFonts w:ascii="Arial" w:cs="Arial" w:eastAsia="Arial" w:hAnsi="Arial"/>
                <w:sz w:val="13"/>
                <w:szCs w:val="13"/>
                <w:color w:val="auto"/>
              </w:rPr>
              <w:t>154,813</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619,250</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w w:val="97"/>
              </w:rPr>
              <w:t>774,063</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w w:val="98"/>
              </w:rPr>
              <w:t>10/30/2025 10/30/2025</w:t>
            </w:r>
          </w:p>
        </w:tc>
        <w:tc>
          <w:tcPr>
            <w:tcW w:w="1160" w:type="dxa"/>
            <w:vAlign w:val="bottom"/>
          </w:tcPr>
          <w:p>
            <w:pPr>
              <w:jc w:val="right"/>
              <w:spacing w:after="0"/>
              <w:rPr>
                <w:sz w:val="20"/>
                <w:szCs w:val="20"/>
                <w:color w:val="auto"/>
              </w:rPr>
            </w:pPr>
            <w:r>
              <w:rPr>
                <w:rFonts w:ascii="Arial" w:cs="Arial" w:eastAsia="Arial" w:hAnsi="Arial"/>
                <w:sz w:val="13"/>
                <w:szCs w:val="13"/>
                <w:color w:val="auto"/>
              </w:rPr>
              <w:t>Time-based 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61,092</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7,562,579</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10/30/2024</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9" w:lineRule="exact"/>
              <w:rPr>
                <w:sz w:val="20"/>
                <w:szCs w:val="20"/>
                <w:color w:val="auto"/>
              </w:rPr>
            </w:pPr>
            <w:r>
              <w:rPr>
                <w:rFonts w:ascii="Arial" w:cs="Arial" w:eastAsia="Arial" w:hAnsi="Arial"/>
                <w:sz w:val="13"/>
                <w:szCs w:val="13"/>
                <w:color w:val="auto"/>
                <w:w w:val="96"/>
              </w:rPr>
              <w:t>19,984</w:t>
            </w:r>
            <w:r>
              <w:rPr>
                <w:rFonts w:ascii="Arial" w:cs="Arial" w:eastAsia="Arial" w:hAnsi="Arial"/>
                <w:sz w:val="20"/>
                <w:szCs w:val="20"/>
                <w:color w:val="auto"/>
                <w:w w:val="96"/>
                <w:vertAlign w:val="superscript"/>
              </w:rPr>
              <w:t>(5)</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39,968</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2,792,364</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10/26/2023</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6" w:lineRule="exact"/>
              <w:rPr>
                <w:sz w:val="20"/>
                <w:szCs w:val="20"/>
                <w:color w:val="auto"/>
              </w:rPr>
            </w:pPr>
            <w:r>
              <w:rPr>
                <w:rFonts w:ascii="Arial" w:cs="Arial" w:eastAsia="Arial" w:hAnsi="Arial"/>
                <w:sz w:val="13"/>
                <w:szCs w:val="13"/>
                <w:color w:val="auto"/>
                <w:w w:val="96"/>
              </w:rPr>
              <w:t>15,184</w:t>
            </w:r>
            <w:r>
              <w:rPr>
                <w:rFonts w:ascii="Arial" w:cs="Arial" w:eastAsia="Arial" w:hAnsi="Arial"/>
                <w:sz w:val="20"/>
                <w:szCs w:val="20"/>
                <w:color w:val="auto"/>
                <w:w w:val="96"/>
                <w:vertAlign w:val="superscript"/>
              </w:rPr>
              <w:t>(5)</w:t>
            </w:r>
          </w:p>
        </w:tc>
        <w:tc>
          <w:tcPr>
            <w:tcW w:w="720" w:type="dxa"/>
            <w:vAlign w:val="bottom"/>
          </w:tcPr>
          <w:p>
            <w:pPr>
              <w:jc w:val="right"/>
              <w:ind w:right="96"/>
              <w:spacing w:after="0"/>
              <w:rPr>
                <w:sz w:val="20"/>
                <w:szCs w:val="20"/>
                <w:color w:val="auto"/>
              </w:rPr>
            </w:pPr>
            <w:r>
              <w:rPr>
                <w:rFonts w:ascii="Arial" w:cs="Arial" w:eastAsia="Arial" w:hAnsi="Arial"/>
                <w:sz w:val="13"/>
                <w:szCs w:val="13"/>
                <w:color w:val="auto"/>
              </w:rPr>
              <w:t>30,368</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2,121,660</w:t>
            </w:r>
          </w:p>
        </w:tc>
        <w:tc>
          <w:tcPr>
            <w:tcW w:w="0" w:type="dxa"/>
            <w:vAlign w:val="bottom"/>
          </w:tcPr>
          <w:p>
            <w:pPr>
              <w:spacing w:after="0"/>
              <w:rPr>
                <w:sz w:val="1"/>
                <w:szCs w:val="1"/>
                <w:color w:val="auto"/>
              </w:rPr>
            </w:pPr>
          </w:p>
        </w:tc>
      </w:tr>
      <w:tr>
        <w:trPr>
          <w:trHeight w:val="186"/>
        </w:trPr>
        <w:tc>
          <w:tcPr>
            <w:tcW w:w="740" w:type="dxa"/>
            <w:vAlign w:val="bottom"/>
            <w:tcBorders>
              <w:bottom w:val="single" w:sz="8" w:color="8FAAD7"/>
            </w:tcBorders>
          </w:tcPr>
          <w:p>
            <w:pPr>
              <w:spacing w:after="0"/>
              <w:rPr>
                <w:sz w:val="16"/>
                <w:szCs w:val="16"/>
                <w:color w:val="auto"/>
              </w:rPr>
            </w:pPr>
          </w:p>
        </w:tc>
        <w:tc>
          <w:tcPr>
            <w:tcW w:w="460" w:type="dxa"/>
            <w:vAlign w:val="bottom"/>
            <w:tcBorders>
              <w:bottom w:val="single" w:sz="8" w:color="8FAAD7"/>
            </w:tcBorders>
          </w:tcPr>
          <w:p>
            <w:pPr>
              <w:spacing w:after="0"/>
              <w:rPr>
                <w:sz w:val="16"/>
                <w:szCs w:val="16"/>
                <w:color w:val="auto"/>
              </w:rPr>
            </w:pPr>
          </w:p>
        </w:tc>
        <w:tc>
          <w:tcPr>
            <w:tcW w:w="1460" w:type="dxa"/>
            <w:vAlign w:val="bottom"/>
            <w:tcBorders>
              <w:bottom w:val="single" w:sz="8" w:color="8FAAD7"/>
            </w:tcBorders>
            <w:gridSpan w:val="3"/>
          </w:tcPr>
          <w:p>
            <w:pPr>
              <w:jc w:val="right"/>
              <w:ind w:right="53"/>
              <w:spacing w:after="0"/>
              <w:rPr>
                <w:sz w:val="20"/>
                <w:szCs w:val="20"/>
                <w:color w:val="auto"/>
              </w:rPr>
            </w:pPr>
            <w:r>
              <w:rPr>
                <w:rFonts w:ascii="Arial" w:cs="Arial" w:eastAsia="Arial" w:hAnsi="Arial"/>
                <w:sz w:val="13"/>
                <w:szCs w:val="13"/>
                <w:color w:val="auto"/>
              </w:rPr>
              <w:t>1/30/2025 10/27/2022</w:t>
            </w:r>
          </w:p>
        </w:tc>
        <w:tc>
          <w:tcPr>
            <w:tcW w:w="116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8FAAD7"/>
            </w:tcBorders>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FAAD7"/>
            </w:tcBorders>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8FAAD7"/>
            </w:tcBorders>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Borders>
              <w:bottom w:val="single" w:sz="8" w:color="8FAAD7"/>
            </w:tcBorders>
          </w:tcPr>
          <w:p>
            <w:pPr>
              <w:jc w:val="right"/>
              <w:spacing w:after="0" w:line="186" w:lineRule="exact"/>
              <w:rPr>
                <w:sz w:val="20"/>
                <w:szCs w:val="20"/>
                <w:color w:val="auto"/>
              </w:rPr>
            </w:pPr>
            <w:r>
              <w:rPr>
                <w:rFonts w:ascii="Arial" w:cs="Arial" w:eastAsia="Arial" w:hAnsi="Arial"/>
                <w:sz w:val="13"/>
                <w:szCs w:val="13"/>
                <w:color w:val="auto"/>
                <w:w w:val="96"/>
              </w:rPr>
              <w:t>15,179</w:t>
            </w:r>
            <w:r>
              <w:rPr>
                <w:rFonts w:ascii="Arial" w:cs="Arial" w:eastAsia="Arial" w:hAnsi="Arial"/>
                <w:sz w:val="20"/>
                <w:szCs w:val="20"/>
                <w:color w:val="auto"/>
                <w:w w:val="96"/>
                <w:vertAlign w:val="superscript"/>
              </w:rPr>
              <w:t>(5)</w:t>
            </w:r>
          </w:p>
        </w:tc>
        <w:tc>
          <w:tcPr>
            <w:tcW w:w="720" w:type="dxa"/>
            <w:vAlign w:val="bottom"/>
            <w:tcBorders>
              <w:bottom w:val="single" w:sz="8" w:color="8FAAD7"/>
            </w:tcBorders>
          </w:tcPr>
          <w:p>
            <w:pPr>
              <w:jc w:val="right"/>
              <w:ind w:right="96"/>
              <w:spacing w:after="0"/>
              <w:rPr>
                <w:sz w:val="20"/>
                <w:szCs w:val="20"/>
                <w:color w:val="auto"/>
              </w:rPr>
            </w:pPr>
            <w:r>
              <w:rPr>
                <w:rFonts w:ascii="Arial" w:cs="Arial" w:eastAsia="Arial" w:hAnsi="Arial"/>
                <w:sz w:val="13"/>
                <w:szCs w:val="13"/>
                <w:color w:val="auto"/>
              </w:rPr>
              <w:t>30,358</w:t>
            </w:r>
          </w:p>
        </w:tc>
        <w:tc>
          <w:tcPr>
            <w:tcW w:w="760" w:type="dxa"/>
            <w:vAlign w:val="bottom"/>
            <w:tcBorders>
              <w:bottom w:val="single" w:sz="8" w:color="8FAAD7"/>
            </w:tcBorders>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FAAD7"/>
            </w:tcBorders>
          </w:tcPr>
          <w:p>
            <w:pPr>
              <w:jc w:val="right"/>
              <w:ind w:right="94"/>
              <w:spacing w:after="0"/>
              <w:rPr>
                <w:sz w:val="20"/>
                <w:szCs w:val="20"/>
                <w:color w:val="auto"/>
              </w:rPr>
            </w:pPr>
            <w:r>
              <w:rPr>
                <w:rFonts w:ascii="Arial" w:cs="Arial" w:eastAsia="Arial" w:hAnsi="Arial"/>
                <w:sz w:val="13"/>
                <w:szCs w:val="13"/>
                <w:color w:val="auto"/>
              </w:rPr>
              <w:t>2,120,962</w:t>
            </w:r>
          </w:p>
        </w:tc>
        <w:tc>
          <w:tcPr>
            <w:tcW w:w="0" w:type="dxa"/>
            <w:vAlign w:val="bottom"/>
          </w:tcPr>
          <w:p>
            <w:pPr>
              <w:spacing w:after="0"/>
              <w:rPr>
                <w:sz w:val="1"/>
                <w:szCs w:val="1"/>
                <w:color w:val="auto"/>
              </w:rPr>
            </w:pPr>
          </w:p>
        </w:tc>
      </w:tr>
      <w:tr>
        <w:trPr>
          <w:trHeight w:val="159"/>
        </w:trPr>
        <w:tc>
          <w:tcPr>
            <w:tcW w:w="1200" w:type="dxa"/>
            <w:vAlign w:val="bottom"/>
            <w:gridSpan w:val="2"/>
          </w:tcPr>
          <w:p>
            <w:pPr>
              <w:ind w:left="120"/>
              <w:spacing w:after="0"/>
              <w:rPr>
                <w:sz w:val="20"/>
                <w:szCs w:val="20"/>
                <w:color w:val="auto"/>
              </w:rPr>
            </w:pPr>
            <w:r>
              <w:rPr>
                <w:rFonts w:ascii="Arial" w:cs="Arial" w:eastAsia="Arial" w:hAnsi="Arial"/>
                <w:sz w:val="13"/>
                <w:szCs w:val="13"/>
                <w:color w:val="auto"/>
              </w:rPr>
              <w:t>Joo Mi Kim</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Cash Incentive</w:t>
            </w:r>
          </w:p>
        </w:tc>
        <w:tc>
          <w:tcPr>
            <w:tcW w:w="620" w:type="dxa"/>
            <w:vAlign w:val="bottom"/>
          </w:tcPr>
          <w:p>
            <w:pPr>
              <w:jc w:val="right"/>
              <w:spacing w:after="0"/>
              <w:rPr>
                <w:sz w:val="20"/>
                <w:szCs w:val="20"/>
                <w:color w:val="auto"/>
              </w:rPr>
            </w:pPr>
            <w:r>
              <w:rPr>
                <w:rFonts w:ascii="Arial" w:cs="Arial" w:eastAsia="Arial" w:hAnsi="Arial"/>
                <w:sz w:val="13"/>
                <w:szCs w:val="13"/>
                <w:color w:val="auto"/>
              </w:rPr>
              <w:t>87,563</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350,250</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w w:val="97"/>
              </w:rPr>
              <w:t>437,813</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w w:val="98"/>
              </w:rPr>
              <w:t>10/30/2025 10/30/2025</w:t>
            </w:r>
          </w:p>
        </w:tc>
        <w:tc>
          <w:tcPr>
            <w:tcW w:w="1160" w:type="dxa"/>
            <w:vAlign w:val="bottom"/>
          </w:tcPr>
          <w:p>
            <w:pPr>
              <w:jc w:val="right"/>
              <w:spacing w:after="0"/>
              <w:rPr>
                <w:sz w:val="20"/>
                <w:szCs w:val="20"/>
                <w:color w:val="auto"/>
              </w:rPr>
            </w:pPr>
            <w:r>
              <w:rPr>
                <w:rFonts w:ascii="Arial" w:cs="Arial" w:eastAsia="Arial" w:hAnsi="Arial"/>
                <w:sz w:val="13"/>
                <w:szCs w:val="13"/>
                <w:color w:val="auto"/>
              </w:rPr>
              <w:t>Time-based 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34,212</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4,235,103</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10/30/2024</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9" w:lineRule="exact"/>
              <w:rPr>
                <w:sz w:val="20"/>
                <w:szCs w:val="20"/>
                <w:color w:val="auto"/>
              </w:rPr>
            </w:pPr>
            <w:r>
              <w:rPr>
                <w:rFonts w:ascii="Arial" w:cs="Arial" w:eastAsia="Arial" w:hAnsi="Arial"/>
                <w:sz w:val="13"/>
                <w:szCs w:val="13"/>
                <w:color w:val="auto"/>
              </w:rPr>
              <w:t>4,796</w:t>
            </w:r>
            <w:r>
              <w:rPr>
                <w:rFonts w:ascii="Arial" w:cs="Arial" w:eastAsia="Arial" w:hAnsi="Arial"/>
                <w:sz w:val="20"/>
                <w:szCs w:val="20"/>
                <w:color w:val="auto"/>
                <w:vertAlign w:val="superscript"/>
              </w:rPr>
              <w:t>(5)</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9,592</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670,145</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10/26/2023</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6" w:lineRule="exact"/>
              <w:rPr>
                <w:sz w:val="20"/>
                <w:szCs w:val="20"/>
                <w:color w:val="auto"/>
              </w:rPr>
            </w:pPr>
            <w:r>
              <w:rPr>
                <w:rFonts w:ascii="Arial" w:cs="Arial" w:eastAsia="Arial" w:hAnsi="Arial"/>
                <w:sz w:val="13"/>
                <w:szCs w:val="13"/>
                <w:color w:val="auto"/>
              </w:rPr>
              <w:t>3,657</w:t>
            </w:r>
            <w:r>
              <w:rPr>
                <w:rFonts w:ascii="Arial" w:cs="Arial" w:eastAsia="Arial" w:hAnsi="Arial"/>
                <w:sz w:val="20"/>
                <w:szCs w:val="20"/>
                <w:color w:val="auto"/>
                <w:vertAlign w:val="superscript"/>
              </w:rPr>
              <w:t>(5)</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7,314</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510,993</w:t>
            </w:r>
          </w:p>
        </w:tc>
        <w:tc>
          <w:tcPr>
            <w:tcW w:w="0" w:type="dxa"/>
            <w:vAlign w:val="bottom"/>
          </w:tcPr>
          <w:p>
            <w:pPr>
              <w:spacing w:after="0"/>
              <w:rPr>
                <w:sz w:val="1"/>
                <w:szCs w:val="1"/>
                <w:color w:val="auto"/>
              </w:rPr>
            </w:pPr>
          </w:p>
        </w:tc>
      </w:tr>
      <w:tr>
        <w:trPr>
          <w:trHeight w:val="186"/>
        </w:trPr>
        <w:tc>
          <w:tcPr>
            <w:tcW w:w="740" w:type="dxa"/>
            <w:vAlign w:val="bottom"/>
            <w:tcBorders>
              <w:bottom w:val="single" w:sz="8" w:color="8FAAD7"/>
            </w:tcBorders>
          </w:tcPr>
          <w:p>
            <w:pPr>
              <w:spacing w:after="0"/>
              <w:rPr>
                <w:sz w:val="16"/>
                <w:szCs w:val="16"/>
                <w:color w:val="auto"/>
              </w:rPr>
            </w:pPr>
          </w:p>
        </w:tc>
        <w:tc>
          <w:tcPr>
            <w:tcW w:w="460" w:type="dxa"/>
            <w:vAlign w:val="bottom"/>
            <w:tcBorders>
              <w:bottom w:val="single" w:sz="8" w:color="8FAAD7"/>
            </w:tcBorders>
          </w:tcPr>
          <w:p>
            <w:pPr>
              <w:spacing w:after="0"/>
              <w:rPr>
                <w:sz w:val="16"/>
                <w:szCs w:val="16"/>
                <w:color w:val="auto"/>
              </w:rPr>
            </w:pPr>
          </w:p>
        </w:tc>
        <w:tc>
          <w:tcPr>
            <w:tcW w:w="1460" w:type="dxa"/>
            <w:vAlign w:val="bottom"/>
            <w:tcBorders>
              <w:bottom w:val="single" w:sz="8" w:color="8FAAD7"/>
            </w:tcBorders>
            <w:gridSpan w:val="3"/>
          </w:tcPr>
          <w:p>
            <w:pPr>
              <w:jc w:val="right"/>
              <w:ind w:right="53"/>
              <w:spacing w:after="0"/>
              <w:rPr>
                <w:sz w:val="20"/>
                <w:szCs w:val="20"/>
                <w:color w:val="auto"/>
              </w:rPr>
            </w:pPr>
            <w:r>
              <w:rPr>
                <w:rFonts w:ascii="Arial" w:cs="Arial" w:eastAsia="Arial" w:hAnsi="Arial"/>
                <w:sz w:val="13"/>
                <w:szCs w:val="13"/>
                <w:color w:val="auto"/>
              </w:rPr>
              <w:t>1/30/2025 10/27/2022</w:t>
            </w:r>
          </w:p>
        </w:tc>
        <w:tc>
          <w:tcPr>
            <w:tcW w:w="116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8FAAD7"/>
            </w:tcBorders>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FAAD7"/>
            </w:tcBorders>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8FAAD7"/>
            </w:tcBorders>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Borders>
              <w:bottom w:val="single" w:sz="8" w:color="8FAAD7"/>
            </w:tcBorders>
          </w:tcPr>
          <w:p>
            <w:pPr>
              <w:jc w:val="right"/>
              <w:spacing w:after="0" w:line="186" w:lineRule="exact"/>
              <w:rPr>
                <w:sz w:val="20"/>
                <w:szCs w:val="20"/>
                <w:color w:val="auto"/>
              </w:rPr>
            </w:pPr>
            <w:r>
              <w:rPr>
                <w:rFonts w:ascii="Arial" w:cs="Arial" w:eastAsia="Arial" w:hAnsi="Arial"/>
                <w:sz w:val="13"/>
                <w:szCs w:val="13"/>
                <w:color w:val="auto"/>
              </w:rPr>
              <w:t>3,923</w:t>
            </w:r>
            <w:r>
              <w:rPr>
                <w:rFonts w:ascii="Arial" w:cs="Arial" w:eastAsia="Arial" w:hAnsi="Arial"/>
                <w:sz w:val="20"/>
                <w:szCs w:val="20"/>
                <w:color w:val="auto"/>
                <w:vertAlign w:val="superscript"/>
              </w:rPr>
              <w:t>(5)</w:t>
            </w:r>
          </w:p>
        </w:tc>
        <w:tc>
          <w:tcPr>
            <w:tcW w:w="720" w:type="dxa"/>
            <w:vAlign w:val="bottom"/>
            <w:tcBorders>
              <w:bottom w:val="single" w:sz="8" w:color="8FAAD7"/>
            </w:tcBorders>
          </w:tcPr>
          <w:p>
            <w:pPr>
              <w:jc w:val="right"/>
              <w:ind w:right="116"/>
              <w:spacing w:after="0"/>
              <w:rPr>
                <w:sz w:val="20"/>
                <w:szCs w:val="20"/>
                <w:color w:val="auto"/>
              </w:rPr>
            </w:pPr>
            <w:r>
              <w:rPr>
                <w:rFonts w:ascii="Arial" w:cs="Arial" w:eastAsia="Arial" w:hAnsi="Arial"/>
                <w:sz w:val="13"/>
                <w:szCs w:val="13"/>
                <w:color w:val="auto"/>
              </w:rPr>
              <w:t>7,846</w:t>
            </w:r>
          </w:p>
        </w:tc>
        <w:tc>
          <w:tcPr>
            <w:tcW w:w="760" w:type="dxa"/>
            <w:vAlign w:val="bottom"/>
            <w:tcBorders>
              <w:bottom w:val="single" w:sz="8" w:color="8FAAD7"/>
            </w:tcBorders>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FAAD7"/>
            </w:tcBorders>
          </w:tcPr>
          <w:p>
            <w:pPr>
              <w:jc w:val="right"/>
              <w:ind w:right="114"/>
              <w:spacing w:after="0"/>
              <w:rPr>
                <w:sz w:val="20"/>
                <w:szCs w:val="20"/>
                <w:color w:val="auto"/>
              </w:rPr>
            </w:pPr>
            <w:r>
              <w:rPr>
                <w:rFonts w:ascii="Arial" w:cs="Arial" w:eastAsia="Arial" w:hAnsi="Arial"/>
                <w:sz w:val="13"/>
                <w:szCs w:val="13"/>
                <w:color w:val="auto"/>
              </w:rPr>
              <w:t>548,161</w:t>
            </w:r>
          </w:p>
        </w:tc>
        <w:tc>
          <w:tcPr>
            <w:tcW w:w="0" w:type="dxa"/>
            <w:vAlign w:val="bottom"/>
          </w:tcPr>
          <w:p>
            <w:pPr>
              <w:spacing w:after="0"/>
              <w:rPr>
                <w:sz w:val="1"/>
                <w:szCs w:val="1"/>
                <w:color w:val="auto"/>
              </w:rPr>
            </w:pPr>
          </w:p>
        </w:tc>
      </w:tr>
      <w:tr>
        <w:trPr>
          <w:trHeight w:val="159"/>
        </w:trPr>
        <w:tc>
          <w:tcPr>
            <w:tcW w:w="1200" w:type="dxa"/>
            <w:vAlign w:val="bottom"/>
            <w:gridSpan w:val="2"/>
          </w:tcPr>
          <w:p>
            <w:pPr>
              <w:ind w:left="120"/>
              <w:spacing w:after="0"/>
              <w:rPr>
                <w:sz w:val="20"/>
                <w:szCs w:val="20"/>
                <w:color w:val="auto"/>
              </w:rPr>
            </w:pPr>
            <w:r>
              <w:rPr>
                <w:rFonts w:ascii="Arial" w:cs="Arial" w:eastAsia="Arial" w:hAnsi="Arial"/>
                <w:sz w:val="13"/>
                <w:szCs w:val="13"/>
                <w:color w:val="auto"/>
              </w:rPr>
              <w:t>Bruce K. Posey</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Cash Incentive</w:t>
            </w:r>
          </w:p>
        </w:tc>
        <w:tc>
          <w:tcPr>
            <w:tcW w:w="620" w:type="dxa"/>
            <w:vAlign w:val="bottom"/>
          </w:tcPr>
          <w:p>
            <w:pPr>
              <w:jc w:val="right"/>
              <w:spacing w:after="0"/>
              <w:rPr>
                <w:sz w:val="20"/>
                <w:szCs w:val="20"/>
                <w:color w:val="auto"/>
              </w:rPr>
            </w:pPr>
            <w:r>
              <w:rPr>
                <w:rFonts w:ascii="Arial" w:cs="Arial" w:eastAsia="Arial" w:hAnsi="Arial"/>
                <w:sz w:val="13"/>
                <w:szCs w:val="13"/>
                <w:color w:val="auto"/>
              </w:rPr>
              <w:t>59,363</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237,450</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w w:val="97"/>
              </w:rPr>
              <w:t>296,813</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w w:val="98"/>
              </w:rPr>
              <w:t>10/30/2025 10/30/2025</w:t>
            </w:r>
          </w:p>
        </w:tc>
        <w:tc>
          <w:tcPr>
            <w:tcW w:w="1160" w:type="dxa"/>
            <w:vAlign w:val="bottom"/>
          </w:tcPr>
          <w:p>
            <w:pPr>
              <w:jc w:val="right"/>
              <w:spacing w:after="0"/>
              <w:rPr>
                <w:sz w:val="20"/>
                <w:szCs w:val="20"/>
                <w:color w:val="auto"/>
              </w:rPr>
            </w:pPr>
            <w:r>
              <w:rPr>
                <w:rFonts w:ascii="Arial" w:cs="Arial" w:eastAsia="Arial" w:hAnsi="Arial"/>
                <w:sz w:val="13"/>
                <w:szCs w:val="13"/>
                <w:color w:val="auto"/>
              </w:rPr>
              <w:t>Time-based 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20,357</w:t>
            </w:r>
          </w:p>
        </w:tc>
        <w:tc>
          <w:tcPr>
            <w:tcW w:w="860" w:type="dxa"/>
            <w:vAlign w:val="bottom"/>
          </w:tcPr>
          <w:p>
            <w:pPr>
              <w:jc w:val="right"/>
              <w:ind w:right="94"/>
              <w:spacing w:after="0"/>
              <w:rPr>
                <w:sz w:val="20"/>
                <w:szCs w:val="20"/>
                <w:color w:val="auto"/>
              </w:rPr>
            </w:pPr>
            <w:r>
              <w:rPr>
                <w:rFonts w:ascii="Arial" w:cs="Arial" w:eastAsia="Arial" w:hAnsi="Arial"/>
                <w:sz w:val="13"/>
                <w:szCs w:val="13"/>
                <w:color w:val="auto"/>
              </w:rPr>
              <w:t>2,519,993</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10/30/2024</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9" w:lineRule="exact"/>
              <w:rPr>
                <w:sz w:val="20"/>
                <w:szCs w:val="20"/>
                <w:color w:val="auto"/>
              </w:rPr>
            </w:pPr>
            <w:r>
              <w:rPr>
                <w:rFonts w:ascii="Arial" w:cs="Arial" w:eastAsia="Arial" w:hAnsi="Arial"/>
                <w:sz w:val="13"/>
                <w:szCs w:val="13"/>
                <w:color w:val="auto"/>
              </w:rPr>
              <w:t>2,854</w:t>
            </w:r>
            <w:r>
              <w:rPr>
                <w:rFonts w:ascii="Arial" w:cs="Arial" w:eastAsia="Arial" w:hAnsi="Arial"/>
                <w:sz w:val="20"/>
                <w:szCs w:val="20"/>
                <w:color w:val="auto"/>
                <w:vertAlign w:val="superscript"/>
              </w:rPr>
              <w:t>(5)</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5,708</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398,789</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3"/>
          </w:tcPr>
          <w:p>
            <w:pPr>
              <w:jc w:val="right"/>
              <w:ind w:right="53"/>
              <w:spacing w:after="0"/>
              <w:rPr>
                <w:sz w:val="20"/>
                <w:szCs w:val="20"/>
                <w:color w:val="auto"/>
              </w:rPr>
            </w:pPr>
            <w:r>
              <w:rPr>
                <w:rFonts w:ascii="Arial" w:cs="Arial" w:eastAsia="Arial" w:hAnsi="Arial"/>
                <w:sz w:val="13"/>
                <w:szCs w:val="13"/>
                <w:color w:val="auto"/>
              </w:rPr>
              <w:t>1/30/2025 10/26/2023</w:t>
            </w:r>
          </w:p>
        </w:tc>
        <w:tc>
          <w:tcPr>
            <w:tcW w:w="1160" w:type="dxa"/>
            <w:vAlign w:val="bottom"/>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Pr>
          <w:p>
            <w:pPr>
              <w:jc w:val="right"/>
              <w:spacing w:after="0" w:line="176" w:lineRule="exact"/>
              <w:rPr>
                <w:sz w:val="20"/>
                <w:szCs w:val="20"/>
                <w:color w:val="auto"/>
              </w:rPr>
            </w:pPr>
            <w:r>
              <w:rPr>
                <w:rFonts w:ascii="Arial" w:cs="Arial" w:eastAsia="Arial" w:hAnsi="Arial"/>
                <w:sz w:val="13"/>
                <w:szCs w:val="13"/>
                <w:color w:val="auto"/>
              </w:rPr>
              <w:t>2,181</w:t>
            </w:r>
            <w:r>
              <w:rPr>
                <w:rFonts w:ascii="Arial" w:cs="Arial" w:eastAsia="Arial" w:hAnsi="Arial"/>
                <w:sz w:val="20"/>
                <w:szCs w:val="20"/>
                <w:color w:val="auto"/>
                <w:vertAlign w:val="superscript"/>
              </w:rPr>
              <w:t>(5)</w:t>
            </w: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4,362</w:t>
            </w:r>
          </w:p>
        </w:tc>
        <w:tc>
          <w:tcPr>
            <w:tcW w:w="76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304,751</w:t>
            </w:r>
          </w:p>
        </w:tc>
        <w:tc>
          <w:tcPr>
            <w:tcW w:w="0" w:type="dxa"/>
            <w:vAlign w:val="bottom"/>
          </w:tcPr>
          <w:p>
            <w:pPr>
              <w:spacing w:after="0"/>
              <w:rPr>
                <w:sz w:val="1"/>
                <w:szCs w:val="1"/>
                <w:color w:val="auto"/>
              </w:rPr>
            </w:pPr>
          </w:p>
        </w:tc>
      </w:tr>
      <w:tr>
        <w:trPr>
          <w:trHeight w:val="186"/>
        </w:trPr>
        <w:tc>
          <w:tcPr>
            <w:tcW w:w="740" w:type="dxa"/>
            <w:vAlign w:val="bottom"/>
            <w:tcBorders>
              <w:bottom w:val="single" w:sz="8" w:color="8FAAD7"/>
            </w:tcBorders>
          </w:tcPr>
          <w:p>
            <w:pPr>
              <w:spacing w:after="0"/>
              <w:rPr>
                <w:sz w:val="16"/>
                <w:szCs w:val="16"/>
                <w:color w:val="auto"/>
              </w:rPr>
            </w:pPr>
          </w:p>
        </w:tc>
        <w:tc>
          <w:tcPr>
            <w:tcW w:w="460" w:type="dxa"/>
            <w:vAlign w:val="bottom"/>
            <w:tcBorders>
              <w:bottom w:val="single" w:sz="8" w:color="8FAAD7"/>
            </w:tcBorders>
          </w:tcPr>
          <w:p>
            <w:pPr>
              <w:spacing w:after="0"/>
              <w:rPr>
                <w:sz w:val="16"/>
                <w:szCs w:val="16"/>
                <w:color w:val="auto"/>
              </w:rPr>
            </w:pPr>
          </w:p>
        </w:tc>
        <w:tc>
          <w:tcPr>
            <w:tcW w:w="1460" w:type="dxa"/>
            <w:vAlign w:val="bottom"/>
            <w:tcBorders>
              <w:bottom w:val="single" w:sz="8" w:color="8FAAD7"/>
            </w:tcBorders>
            <w:gridSpan w:val="3"/>
          </w:tcPr>
          <w:p>
            <w:pPr>
              <w:jc w:val="right"/>
              <w:ind w:right="53"/>
              <w:spacing w:after="0"/>
              <w:rPr>
                <w:sz w:val="20"/>
                <w:szCs w:val="20"/>
                <w:color w:val="auto"/>
              </w:rPr>
            </w:pPr>
            <w:r>
              <w:rPr>
                <w:rFonts w:ascii="Arial" w:cs="Arial" w:eastAsia="Arial" w:hAnsi="Arial"/>
                <w:sz w:val="13"/>
                <w:szCs w:val="13"/>
                <w:color w:val="auto"/>
              </w:rPr>
              <w:t>1/30/2025 10/27/2022</w:t>
            </w:r>
          </w:p>
        </w:tc>
        <w:tc>
          <w:tcPr>
            <w:tcW w:w="116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PRSUs</w:t>
            </w:r>
          </w:p>
        </w:tc>
        <w:tc>
          <w:tcPr>
            <w:tcW w:w="620" w:type="dxa"/>
            <w:vAlign w:val="bottom"/>
            <w:tcBorders>
              <w:bottom w:val="single" w:sz="8" w:color="8FAAD7"/>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8FAAD7"/>
            </w:tcBorders>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8FAAD7"/>
            </w:tcBorders>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8FAAD7"/>
            </w:tcBorders>
          </w:tcPr>
          <w:p>
            <w:pPr>
              <w:jc w:val="center"/>
              <w:ind w:right="15"/>
              <w:spacing w:after="0"/>
              <w:rPr>
                <w:sz w:val="20"/>
                <w:szCs w:val="20"/>
                <w:color w:val="auto"/>
              </w:rPr>
            </w:pPr>
            <w:r>
              <w:rPr>
                <w:rFonts w:ascii="Arial" w:cs="Arial" w:eastAsia="Arial" w:hAnsi="Arial"/>
                <w:sz w:val="13"/>
                <w:szCs w:val="13"/>
                <w:color w:val="auto"/>
                <w:w w:val="91"/>
              </w:rPr>
              <w:t>—</w:t>
            </w:r>
          </w:p>
        </w:tc>
        <w:tc>
          <w:tcPr>
            <w:tcW w:w="600" w:type="dxa"/>
            <w:vAlign w:val="bottom"/>
            <w:tcBorders>
              <w:bottom w:val="single" w:sz="8" w:color="8FAAD7"/>
            </w:tcBorders>
          </w:tcPr>
          <w:p>
            <w:pPr>
              <w:jc w:val="right"/>
              <w:spacing w:after="0" w:line="186" w:lineRule="exact"/>
              <w:rPr>
                <w:sz w:val="20"/>
                <w:szCs w:val="20"/>
                <w:color w:val="auto"/>
              </w:rPr>
            </w:pPr>
            <w:r>
              <w:rPr>
                <w:rFonts w:ascii="Arial" w:cs="Arial" w:eastAsia="Arial" w:hAnsi="Arial"/>
                <w:sz w:val="13"/>
                <w:szCs w:val="13"/>
                <w:color w:val="auto"/>
              </w:rPr>
              <w:t>2,242</w:t>
            </w:r>
            <w:r>
              <w:rPr>
                <w:rFonts w:ascii="Arial" w:cs="Arial" w:eastAsia="Arial" w:hAnsi="Arial"/>
                <w:sz w:val="20"/>
                <w:szCs w:val="20"/>
                <w:color w:val="auto"/>
                <w:vertAlign w:val="superscript"/>
              </w:rPr>
              <w:t>(5)</w:t>
            </w:r>
          </w:p>
        </w:tc>
        <w:tc>
          <w:tcPr>
            <w:tcW w:w="720" w:type="dxa"/>
            <w:vAlign w:val="bottom"/>
            <w:tcBorders>
              <w:bottom w:val="single" w:sz="8" w:color="8FAAD7"/>
            </w:tcBorders>
          </w:tcPr>
          <w:p>
            <w:pPr>
              <w:jc w:val="right"/>
              <w:ind w:right="116"/>
              <w:spacing w:after="0"/>
              <w:rPr>
                <w:sz w:val="20"/>
                <w:szCs w:val="20"/>
                <w:color w:val="auto"/>
              </w:rPr>
            </w:pPr>
            <w:r>
              <w:rPr>
                <w:rFonts w:ascii="Arial" w:cs="Arial" w:eastAsia="Arial" w:hAnsi="Arial"/>
                <w:sz w:val="13"/>
                <w:szCs w:val="13"/>
                <w:color w:val="auto"/>
              </w:rPr>
              <w:t>4,484</w:t>
            </w:r>
          </w:p>
        </w:tc>
        <w:tc>
          <w:tcPr>
            <w:tcW w:w="760" w:type="dxa"/>
            <w:vAlign w:val="bottom"/>
            <w:tcBorders>
              <w:bottom w:val="single" w:sz="8" w:color="8FAAD7"/>
            </w:tcBorders>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FAAD7"/>
            </w:tcBorders>
          </w:tcPr>
          <w:p>
            <w:pPr>
              <w:jc w:val="right"/>
              <w:ind w:right="114"/>
              <w:spacing w:after="0"/>
              <w:rPr>
                <w:sz w:val="20"/>
                <w:szCs w:val="20"/>
                <w:color w:val="auto"/>
              </w:rPr>
            </w:pPr>
            <w:r>
              <w:rPr>
                <w:rFonts w:ascii="Arial" w:cs="Arial" w:eastAsia="Arial" w:hAnsi="Arial"/>
                <w:sz w:val="13"/>
                <w:szCs w:val="13"/>
                <w:color w:val="auto"/>
              </w:rPr>
              <w:t>313,275</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-2459355</wp:posOffset>
            </wp:positionV>
            <wp:extent cx="2588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69" w:lineRule="exact"/>
        <w:rPr>
          <w:sz w:val="20"/>
          <w:szCs w:val="20"/>
          <w:color w:val="auto"/>
        </w:rPr>
      </w:pPr>
    </w:p>
    <w:p>
      <w:pPr>
        <w:ind w:left="1100" w:hanging="35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Time-based RSUs and PRSUs were granted under our 2012 Equity Incentive Plan.</w:t>
      </w:r>
    </w:p>
    <w:p>
      <w:pPr>
        <w:spacing w:after="0" w:line="103" w:lineRule="exact"/>
        <w:rPr>
          <w:rFonts w:ascii="Arial" w:cs="Arial" w:eastAsia="Arial" w:hAnsi="Arial"/>
          <w:sz w:val="18"/>
          <w:szCs w:val="18"/>
          <w:color w:val="auto"/>
        </w:rPr>
      </w:pPr>
    </w:p>
    <w:p>
      <w:pPr>
        <w:ind w:left="1100" w:right="760" w:hanging="352"/>
        <w:spacing w:after="0" w:line="271"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in this column represent cash incentive compensation opportunities under our 2025 Corporate Bonus Plan.</w:t>
      </w:r>
    </w:p>
    <w:p>
      <w:pPr>
        <w:spacing w:after="0" w:line="45" w:lineRule="exact"/>
        <w:rPr>
          <w:rFonts w:ascii="Arial" w:cs="Arial" w:eastAsia="Arial" w:hAnsi="Arial"/>
          <w:sz w:val="18"/>
          <w:szCs w:val="18"/>
          <w:color w:val="auto"/>
        </w:rPr>
      </w:pPr>
    </w:p>
    <w:p>
      <w:pPr>
        <w:jc w:val="both"/>
        <w:ind w:left="1100" w:right="760" w:hanging="352"/>
        <w:spacing w:after="0" w:line="239"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of stock awards, calculated in accordance with FASB ASC Topic 718. The fair value of each RSU award is measured based on the closing price of our common stock on the date of grant, excluding the impact of estimated forfeitures related to service-based vesting conditions. The fair value of each PRSU award is based upon the probable outcome of the performance conditions, consistent with the estimate of aggregate compensation cost to be recognized over the service period determined as of the grant date under FASB ASC Topic 718, excluding the effect of estimated forfeitures. Pursuant to FASB ASC Topic 718, the accounting grant date for each PRSU award is the date the performance metrics are approved by the Compensation and Talent Committee and communicated to the employee.</w:t>
      </w:r>
    </w:p>
    <w:p>
      <w:pPr>
        <w:spacing w:after="0" w:line="71" w:lineRule="exact"/>
        <w:rPr>
          <w:rFonts w:ascii="Arial" w:cs="Arial" w:eastAsia="Arial" w:hAnsi="Arial"/>
          <w:sz w:val="18"/>
          <w:szCs w:val="18"/>
          <w:color w:val="auto"/>
        </w:rPr>
      </w:pPr>
    </w:p>
    <w:p>
      <w:pPr>
        <w:jc w:val="both"/>
        <w:ind w:left="1100" w:right="760" w:hanging="352"/>
        <w:spacing w:after="0" w:line="244"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payout under our 2025 Corporate Bonus Plan based on the minimum amounts payable for certain levels of performance for all three performance measures. Payout could be zero if performance is below minimum levels for all three measures, or up to 125% of target based on maximum achievement of the applicable performance metrics.</w:t>
      </w:r>
    </w:p>
    <w:p>
      <w:pPr>
        <w:spacing w:after="0" w:line="68" w:lineRule="exact"/>
        <w:rPr>
          <w:rFonts w:ascii="Arial" w:cs="Arial" w:eastAsia="Arial" w:hAnsi="Arial"/>
          <w:sz w:val="18"/>
          <w:szCs w:val="18"/>
          <w:color w:val="auto"/>
        </w:rPr>
      </w:pPr>
    </w:p>
    <w:p>
      <w:pPr>
        <w:jc w:val="both"/>
        <w:ind w:left="1100" w:right="760" w:hanging="352"/>
        <w:spacing w:after="0" w:line="239"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shares subject to this PRSU award represents the first of three tranches of a multi-year PRSU award with one-year performance periods covering the calendar years 2025, 2026 and 2027, respectively which were approved by the Compensation and Talent Committee in October 2024, the second of three tranches of a multi-year PRSU award with one-year performance period covering the calendar years 2024, 2025 and 2026 which were approved by the Compensation and Talent Committee in October 2023, and the third of three tranches of a multi-year PRSU award with one-year performance period covering the calendar years 2023, 2024 and 2025 which were approved by the Compensation and Talent Committee in October 2022.</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163195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22" w:right="1199" w:bottom="1440" w:gutter="0" w:footer="0" w:header="0"/>
        </w:sectPr>
      </w:pPr>
    </w:p>
    <w:bookmarkStart w:id="68" w:name="page69"/>
    <w:bookmarkEnd w:id="68"/>
    <w:p>
      <w:pPr>
        <w:jc w:val="both"/>
        <w:ind w:left="860" w:right="519"/>
        <w:spacing w:after="0" w:line="237" w:lineRule="auto"/>
        <w:rPr>
          <w:sz w:val="20"/>
          <w:szCs w:val="20"/>
          <w:color w:val="auto"/>
        </w:rPr>
      </w:pPr>
      <w:r>
        <w:rPr>
          <w:rFonts w:ascii="Arial" w:cs="Arial" w:eastAsia="Arial" w:hAnsi="Arial"/>
          <w:sz w:val="18"/>
          <w:szCs w:val="18"/>
          <w:color w:val="auto"/>
        </w:rPr>
        <w:t>Subject to continued service, up to 200% of the target number of PRSUs covered by each tranche will become eligible to vest based on the annual growth rate of the Company’s revenues and the Company’s adjusted EBITDA margin for the applicable performance period, except that vesting and release of the earned PRSUs is capped at 100% of target performance for each of the first two performance periods, with cumulative achievement over 100% become eligible to vest and release at the end of the third performance period. Because the performance metrics for the third tranche of the PRSU grant awards granted to our named executive officers in October 2023, the second and third tranches of the PRSU awards granted to our named executive officers in October 2024, and the first, second, and third tranches of the PRSU awards granted to our named executive officers in October 2025 were not established in 2025, such tranches are not yet considered granted in 2025 under FASB ASC Topic 718. As a result, there is no reportable grant date fair value under FASB ASC Topic 718 for such tranches, and they are not included in this table. Accordingly, the reported grant date fair value of this PRSU award differs from the award value approved by our Compensation and Talent Committee.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9" w:name="page70"/>
    <w:bookmarkEnd w:id="69"/>
    <w:p>
      <w:pPr>
        <w:ind w:left="500"/>
        <w:spacing w:after="0"/>
        <w:rPr>
          <w:sz w:val="20"/>
          <w:szCs w:val="20"/>
          <w:color w:val="auto"/>
        </w:rPr>
      </w:pPr>
      <w:r>
        <w:rPr>
          <w:rFonts w:ascii="Arial" w:cs="Arial" w:eastAsia="Arial" w:hAnsi="Arial"/>
          <w:sz w:val="18"/>
          <w:szCs w:val="18"/>
          <w:b w:val="1"/>
          <w:bCs w:val="1"/>
          <w:color w:val="auto"/>
        </w:rPr>
        <w:t>Outstanding Equity Awards at 2025 Fiscal Year-End Table</w:t>
      </w:r>
    </w:p>
    <w:p>
      <w:pPr>
        <w:spacing w:after="0" w:line="103"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December 31, 2025.</w:t>
      </w:r>
    </w:p>
    <w:p>
      <w:pPr>
        <w:spacing w:after="0" w:line="105" w:lineRule="exact"/>
        <w:rPr>
          <w:sz w:val="20"/>
          <w:szCs w:val="20"/>
          <w:color w:val="auto"/>
        </w:rPr>
      </w:pPr>
    </w:p>
    <w:tbl>
      <w:tblPr>
        <w:tblLayout w:type="fixed"/>
        <w:tblInd w:w="500" w:type="dxa"/>
        <w:tblCellMar>
          <w:top w:w="0" w:type="dxa"/>
          <w:left w:w="0" w:type="dxa"/>
          <w:bottom w:w="0" w:type="dxa"/>
          <w:right w:w="0" w:type="dxa"/>
        </w:tblCellMar>
      </w:tblPr>
      <w:tr>
        <w:trPr>
          <w:trHeight w:val="338"/>
        </w:trPr>
        <w:tc>
          <w:tcPr>
            <w:tcW w:w="1920" w:type="dxa"/>
            <w:vAlign w:val="bottom"/>
            <w:shd w:val="clear" w:color="auto" w:fill="1D3965"/>
          </w:tcPr>
          <w:p>
            <w:pPr>
              <w:spacing w:after="0"/>
              <w:rPr>
                <w:sz w:val="24"/>
                <w:szCs w:val="24"/>
                <w:color w:val="auto"/>
              </w:rPr>
            </w:pPr>
          </w:p>
        </w:tc>
        <w:tc>
          <w:tcPr>
            <w:tcW w:w="1160" w:type="dxa"/>
            <w:vAlign w:val="bottom"/>
            <w:shd w:val="clear" w:color="auto" w:fill="1D3965"/>
          </w:tcPr>
          <w:p>
            <w:pPr>
              <w:spacing w:after="0"/>
              <w:rPr>
                <w:sz w:val="24"/>
                <w:szCs w:val="24"/>
                <w:color w:val="auto"/>
              </w:rPr>
            </w:pPr>
          </w:p>
        </w:tc>
        <w:tc>
          <w:tcPr>
            <w:tcW w:w="1160" w:type="dxa"/>
            <w:vAlign w:val="bottom"/>
            <w:shd w:val="clear" w:color="auto" w:fill="1D3965"/>
          </w:tcPr>
          <w:p>
            <w:pPr>
              <w:spacing w:after="0"/>
              <w:rPr>
                <w:sz w:val="24"/>
                <w:szCs w:val="24"/>
                <w:color w:val="auto"/>
              </w:rPr>
            </w:pPr>
          </w:p>
        </w:tc>
        <w:tc>
          <w:tcPr>
            <w:tcW w:w="2560" w:type="dxa"/>
            <w:vAlign w:val="bottom"/>
            <w:gridSpan w:val="2"/>
            <w:shd w:val="clear" w:color="auto" w:fill="1D3965"/>
          </w:tcPr>
          <w:p>
            <w:pPr>
              <w:jc w:val="right"/>
              <w:ind w:right="1117"/>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3"/>
                <w:szCs w:val="23"/>
                <w:b w:val="1"/>
                <w:bCs w:val="1"/>
                <w:color w:val="FFFFFF"/>
                <w:vertAlign w:val="superscript"/>
              </w:rPr>
              <w:t>(1)</w:t>
            </w:r>
          </w:p>
        </w:tc>
        <w:tc>
          <w:tcPr>
            <w:tcW w:w="1200" w:type="dxa"/>
            <w:vAlign w:val="bottom"/>
            <w:shd w:val="clear" w:color="auto" w:fill="1D3965"/>
          </w:tcPr>
          <w:p>
            <w:pPr>
              <w:spacing w:after="0"/>
              <w:rPr>
                <w:sz w:val="24"/>
                <w:szCs w:val="24"/>
                <w:color w:val="auto"/>
              </w:rPr>
            </w:pPr>
          </w:p>
        </w:tc>
      </w:tr>
      <w:tr>
        <w:trPr>
          <w:trHeight w:val="180"/>
        </w:trPr>
        <w:tc>
          <w:tcPr>
            <w:tcW w:w="1920" w:type="dxa"/>
            <w:vAlign w:val="bottom"/>
            <w:shd w:val="clear" w:color="auto" w:fill="1D3965"/>
          </w:tcPr>
          <w:p>
            <w:pPr>
              <w:spacing w:after="0"/>
              <w:rPr>
                <w:sz w:val="15"/>
                <w:szCs w:val="15"/>
                <w:color w:val="auto"/>
              </w:rPr>
            </w:pPr>
          </w:p>
        </w:tc>
        <w:tc>
          <w:tcPr>
            <w:tcW w:w="1160" w:type="dxa"/>
            <w:vAlign w:val="bottom"/>
            <w:shd w:val="clear" w:color="auto" w:fill="1D3965"/>
          </w:tcPr>
          <w:p>
            <w:pPr>
              <w:spacing w:after="0"/>
              <w:rPr>
                <w:sz w:val="15"/>
                <w:szCs w:val="15"/>
                <w:color w:val="auto"/>
              </w:rPr>
            </w:pPr>
          </w:p>
        </w:tc>
        <w:tc>
          <w:tcPr>
            <w:tcW w:w="1160" w:type="dxa"/>
            <w:vAlign w:val="bottom"/>
            <w:shd w:val="clear" w:color="auto" w:fill="1D3965"/>
          </w:tcPr>
          <w:p>
            <w:pPr>
              <w:spacing w:after="0"/>
              <w:rPr>
                <w:sz w:val="15"/>
                <w:szCs w:val="15"/>
                <w:color w:val="auto"/>
              </w:rPr>
            </w:pPr>
          </w:p>
        </w:tc>
        <w:tc>
          <w:tcPr>
            <w:tcW w:w="1040" w:type="dxa"/>
            <w:vAlign w:val="bottom"/>
            <w:shd w:val="clear" w:color="auto" w:fill="1D3965"/>
          </w:tcPr>
          <w:p>
            <w:pPr>
              <w:spacing w:after="0"/>
              <w:rPr>
                <w:sz w:val="15"/>
                <w:szCs w:val="15"/>
                <w:color w:val="auto"/>
              </w:rPr>
            </w:pPr>
          </w:p>
        </w:tc>
        <w:tc>
          <w:tcPr>
            <w:tcW w:w="1520" w:type="dxa"/>
            <w:vAlign w:val="bottom"/>
            <w:shd w:val="clear" w:color="auto" w:fill="1D3965"/>
          </w:tcPr>
          <w:p>
            <w:pPr>
              <w:spacing w:after="0"/>
              <w:rPr>
                <w:sz w:val="15"/>
                <w:szCs w:val="15"/>
                <w:color w:val="auto"/>
              </w:rPr>
            </w:pP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040" w:type="dxa"/>
            <w:vAlign w:val="bottom"/>
            <w:shd w:val="clear" w:color="auto" w:fill="1D3965"/>
          </w:tcPr>
          <w:p>
            <w:pPr>
              <w:spacing w:after="0"/>
              <w:rPr>
                <w:sz w:val="14"/>
                <w:szCs w:val="14"/>
                <w:color w:val="auto"/>
              </w:rPr>
            </w:pPr>
          </w:p>
        </w:tc>
        <w:tc>
          <w:tcPr>
            <w:tcW w:w="1520" w:type="dxa"/>
            <w:vAlign w:val="bottom"/>
            <w:shd w:val="clear" w:color="auto" w:fill="1D3965"/>
          </w:tcPr>
          <w:p>
            <w:pPr>
              <w:spacing w:after="0"/>
              <w:rPr>
                <w:sz w:val="14"/>
                <w:szCs w:val="14"/>
                <w:color w:val="auto"/>
              </w:rPr>
            </w:pP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171"/>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040" w:type="dxa"/>
            <w:vAlign w:val="bottom"/>
            <w:shd w:val="clear" w:color="auto" w:fill="1D3965"/>
          </w:tcPr>
          <w:p>
            <w:pPr>
              <w:spacing w:after="0"/>
              <w:rPr>
                <w:sz w:val="14"/>
                <w:szCs w:val="14"/>
                <w:color w:val="auto"/>
              </w:rPr>
            </w:pP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Plan Awards:</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040" w:type="dxa"/>
            <w:vAlign w:val="bottom"/>
            <w:shd w:val="clear" w:color="auto" w:fill="1D3965"/>
          </w:tcPr>
          <w:p>
            <w:pPr>
              <w:spacing w:after="0"/>
              <w:rPr>
                <w:sz w:val="14"/>
                <w:szCs w:val="14"/>
                <w:color w:val="auto"/>
              </w:rPr>
            </w:pP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Incentive</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Market</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Plan Awards:</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0"/>
              </w:rPr>
              <w:t>of</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114"/>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Value of</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Unearned</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94"/>
              <w:spacing w:after="0"/>
              <w:rPr>
                <w:sz w:val="20"/>
                <w:szCs w:val="20"/>
                <w:color w:val="auto"/>
              </w:rPr>
            </w:pPr>
            <w:r>
              <w:rPr>
                <w:rFonts w:ascii="Arial" w:cs="Arial" w:eastAsia="Arial" w:hAnsi="Arial"/>
                <w:sz w:val="14"/>
                <w:szCs w:val="14"/>
                <w:b w:val="1"/>
                <w:bCs w:val="1"/>
                <w:color w:val="FFFFFF"/>
              </w:rPr>
              <w:t>Shares or</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Shares or</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Unearned</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 or</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94"/>
              <w:spacing w:after="0"/>
              <w:rPr>
                <w:sz w:val="20"/>
                <w:szCs w:val="20"/>
                <w:color w:val="auto"/>
              </w:rPr>
            </w:pPr>
            <w:r>
              <w:rPr>
                <w:rFonts w:ascii="Arial" w:cs="Arial" w:eastAsia="Arial" w:hAnsi="Arial"/>
                <w:sz w:val="14"/>
                <w:szCs w:val="14"/>
                <w:b w:val="1"/>
                <w:bCs w:val="1"/>
                <w:color w:val="FFFFFF"/>
              </w:rPr>
              <w:t>Units of</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w w:val="99"/>
              </w:rPr>
              <w:t>Units of</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Shares or Units</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Units</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94"/>
              <w:spacing w:after="0"/>
              <w:rPr>
                <w:sz w:val="20"/>
                <w:szCs w:val="20"/>
                <w:color w:val="auto"/>
              </w:rPr>
            </w:pPr>
            <w:r>
              <w:rPr>
                <w:rFonts w:ascii="Arial" w:cs="Arial" w:eastAsia="Arial" w:hAnsi="Arial"/>
                <w:sz w:val="14"/>
                <w:szCs w:val="14"/>
                <w:b w:val="1"/>
                <w:bCs w:val="1"/>
                <w:color w:val="FFFFFF"/>
              </w:rPr>
              <w:t>Stock That</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Stock That</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of Stock That</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of Stock That</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94"/>
              <w:spacing w:after="0"/>
              <w:rPr>
                <w:sz w:val="20"/>
                <w:szCs w:val="20"/>
                <w:color w:val="auto"/>
              </w:rPr>
            </w:pPr>
            <w:r>
              <w:rPr>
                <w:rFonts w:ascii="Arial" w:cs="Arial" w:eastAsia="Arial" w:hAnsi="Arial"/>
                <w:sz w:val="14"/>
                <w:szCs w:val="14"/>
                <w:b w:val="1"/>
                <w:bCs w:val="1"/>
                <w:color w:val="FFFFFF"/>
              </w:rPr>
              <w:t>Have Not</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Have Not</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Have Not</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Have Not</w:t>
            </w:r>
          </w:p>
        </w:tc>
      </w:tr>
      <w:tr>
        <w:trPr>
          <w:trHeight w:val="162"/>
        </w:trPr>
        <w:tc>
          <w:tcPr>
            <w:tcW w:w="1920" w:type="dxa"/>
            <w:vAlign w:val="bottom"/>
            <w:shd w:val="clear" w:color="auto" w:fill="1D3965"/>
          </w:tcPr>
          <w:p>
            <w:pPr>
              <w:spacing w:after="0"/>
              <w:rPr>
                <w:sz w:val="14"/>
                <w:szCs w:val="14"/>
                <w:color w:val="auto"/>
              </w:rPr>
            </w:pPr>
          </w:p>
        </w:tc>
        <w:tc>
          <w:tcPr>
            <w:tcW w:w="1160" w:type="dxa"/>
            <w:vAlign w:val="bottom"/>
            <w:shd w:val="clear" w:color="auto" w:fill="1D3965"/>
          </w:tcPr>
          <w:p>
            <w:pPr>
              <w:spacing w:after="0"/>
              <w:rPr>
                <w:sz w:val="14"/>
                <w:szCs w:val="14"/>
                <w:color w:val="auto"/>
              </w:rPr>
            </w:pPr>
          </w:p>
        </w:tc>
        <w:tc>
          <w:tcPr>
            <w:tcW w:w="1160" w:type="dxa"/>
            <w:vAlign w:val="bottom"/>
            <w:shd w:val="clear" w:color="auto" w:fill="1D3965"/>
          </w:tcPr>
          <w:p>
            <w:pPr>
              <w:jc w:val="center"/>
              <w:ind w:left="94"/>
              <w:spacing w:after="0"/>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1D3965"/>
          </w:tcPr>
          <w:p>
            <w:pPr>
              <w:jc w:val="center"/>
              <w:ind w:left="115"/>
              <w:spacing w:after="0"/>
              <w:rPr>
                <w:sz w:val="20"/>
                <w:szCs w:val="20"/>
                <w:color w:val="auto"/>
              </w:rPr>
            </w:pPr>
            <w:r>
              <w:rPr>
                <w:rFonts w:ascii="Arial" w:cs="Arial" w:eastAsia="Arial" w:hAnsi="Arial"/>
                <w:sz w:val="14"/>
                <w:szCs w:val="14"/>
                <w:b w:val="1"/>
                <w:bCs w:val="1"/>
                <w:color w:val="FFFFFF"/>
              </w:rPr>
              <w:t>Vested</w:t>
            </w:r>
          </w:p>
        </w:tc>
        <w:tc>
          <w:tcPr>
            <w:tcW w:w="152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Vested</w:t>
            </w:r>
          </w:p>
        </w:tc>
        <w:tc>
          <w:tcPr>
            <w:tcW w:w="12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216"/>
        </w:trPr>
        <w:tc>
          <w:tcPr>
            <w:tcW w:w="1920" w:type="dxa"/>
            <w:vAlign w:val="bottom"/>
            <w:shd w:val="clear" w:color="auto" w:fill="1D3965"/>
          </w:tcPr>
          <w:p>
            <w:pPr>
              <w:ind w:left="16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1D3965"/>
          </w:tcPr>
          <w:p>
            <w:pPr>
              <w:jc w:val="right"/>
              <w:ind w:right="11"/>
              <w:spacing w:after="0"/>
              <w:rPr>
                <w:sz w:val="20"/>
                <w:szCs w:val="20"/>
                <w:color w:val="auto"/>
              </w:rPr>
            </w:pPr>
            <w:r>
              <w:rPr>
                <w:rFonts w:ascii="Arial" w:cs="Arial" w:eastAsia="Arial" w:hAnsi="Arial"/>
                <w:sz w:val="14"/>
                <w:szCs w:val="14"/>
                <w:b w:val="1"/>
                <w:bCs w:val="1"/>
                <w:color w:val="FFFFFF"/>
              </w:rPr>
              <w:t>Grant Date</w:t>
            </w:r>
          </w:p>
        </w:tc>
        <w:tc>
          <w:tcPr>
            <w:tcW w:w="1160" w:type="dxa"/>
            <w:vAlign w:val="bottom"/>
            <w:shd w:val="clear" w:color="auto" w:fill="1D3965"/>
          </w:tcPr>
          <w:p>
            <w:pPr>
              <w:jc w:val="center"/>
              <w:ind w:left="154"/>
              <w:spacing w:after="0" w:line="216" w:lineRule="exact"/>
              <w:rPr>
                <w:sz w:val="20"/>
                <w:szCs w:val="20"/>
                <w:color w:val="auto"/>
              </w:rPr>
            </w:pPr>
            <w:r>
              <w:rPr>
                <w:rFonts w:ascii="Arial" w:cs="Arial" w:eastAsia="Arial" w:hAnsi="Arial"/>
                <w:sz w:val="25"/>
                <w:szCs w:val="25"/>
                <w:b w:val="1"/>
                <w:bCs w:val="1"/>
                <w:color w:val="FFFFFF"/>
                <w:w w:val="94"/>
                <w:vertAlign w:val="subscript"/>
              </w:rPr>
              <w:t>(#)</w:t>
            </w:r>
            <w:r>
              <w:rPr>
                <w:rFonts w:ascii="Arial" w:cs="Arial" w:eastAsia="Arial" w:hAnsi="Arial"/>
                <w:sz w:val="11"/>
                <w:szCs w:val="11"/>
                <w:b w:val="1"/>
                <w:bCs w:val="1"/>
                <w:color w:val="FFFFFF"/>
                <w:w w:val="94"/>
              </w:rPr>
              <w:t>(2)</w:t>
            </w:r>
          </w:p>
        </w:tc>
        <w:tc>
          <w:tcPr>
            <w:tcW w:w="1040" w:type="dxa"/>
            <w:vAlign w:val="bottom"/>
            <w:shd w:val="clear" w:color="auto" w:fill="1D3965"/>
          </w:tcPr>
          <w:p>
            <w:pPr>
              <w:jc w:val="center"/>
              <w:ind w:left="155"/>
              <w:spacing w:after="0" w:line="216" w:lineRule="exact"/>
              <w:rPr>
                <w:sz w:val="20"/>
                <w:szCs w:val="20"/>
                <w:color w:val="auto"/>
              </w:rPr>
            </w:pPr>
            <w:r>
              <w:rPr>
                <w:rFonts w:ascii="Arial" w:cs="Arial" w:eastAsia="Arial" w:hAnsi="Arial"/>
                <w:sz w:val="25"/>
                <w:szCs w:val="25"/>
                <w:b w:val="1"/>
                <w:bCs w:val="1"/>
                <w:color w:val="FFFFFF"/>
                <w:w w:val="94"/>
                <w:vertAlign w:val="subscript"/>
              </w:rPr>
              <w:t>($)</w:t>
            </w:r>
            <w:r>
              <w:rPr>
                <w:rFonts w:ascii="Arial" w:cs="Arial" w:eastAsia="Arial" w:hAnsi="Arial"/>
                <w:sz w:val="11"/>
                <w:szCs w:val="11"/>
                <w:b w:val="1"/>
                <w:bCs w:val="1"/>
                <w:color w:val="FFFFFF"/>
                <w:w w:val="94"/>
              </w:rPr>
              <w:t>(3)</w:t>
            </w:r>
          </w:p>
        </w:tc>
        <w:tc>
          <w:tcPr>
            <w:tcW w:w="1520" w:type="dxa"/>
            <w:vAlign w:val="bottom"/>
            <w:shd w:val="clear" w:color="auto" w:fill="1D3965"/>
          </w:tcPr>
          <w:p>
            <w:pPr>
              <w:jc w:val="center"/>
              <w:ind w:left="17"/>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1D3965"/>
          </w:tcPr>
          <w:p>
            <w:pPr>
              <w:jc w:val="center"/>
              <w:spacing w:after="0" w:line="216" w:lineRule="exact"/>
              <w:rPr>
                <w:sz w:val="20"/>
                <w:szCs w:val="20"/>
                <w:color w:val="auto"/>
              </w:rPr>
            </w:pPr>
            <w:r>
              <w:rPr>
                <w:rFonts w:ascii="Arial" w:cs="Arial" w:eastAsia="Arial" w:hAnsi="Arial"/>
                <w:sz w:val="25"/>
                <w:szCs w:val="25"/>
                <w:b w:val="1"/>
                <w:bCs w:val="1"/>
                <w:color w:val="FFFFFF"/>
                <w:w w:val="94"/>
                <w:vertAlign w:val="subscript"/>
              </w:rPr>
              <w:t>($)</w:t>
            </w:r>
            <w:r>
              <w:rPr>
                <w:rFonts w:ascii="Arial" w:cs="Arial" w:eastAsia="Arial" w:hAnsi="Arial"/>
                <w:sz w:val="11"/>
                <w:szCs w:val="11"/>
                <w:b w:val="1"/>
                <w:bCs w:val="1"/>
                <w:color w:val="FFFFFF"/>
                <w:w w:val="94"/>
              </w:rPr>
              <w:t>(3)</w:t>
            </w:r>
          </w:p>
        </w:tc>
      </w:tr>
      <w:tr>
        <w:trPr>
          <w:trHeight w:val="297"/>
        </w:trPr>
        <w:tc>
          <w:tcPr>
            <w:tcW w:w="1920" w:type="dxa"/>
            <w:vAlign w:val="bottom"/>
            <w:shd w:val="clear" w:color="auto" w:fill="EDEDED"/>
          </w:tcPr>
          <w:p>
            <w:pPr>
              <w:ind w:left="160"/>
              <w:spacing w:after="0"/>
              <w:rPr>
                <w:sz w:val="20"/>
                <w:szCs w:val="20"/>
                <w:color w:val="auto"/>
              </w:rPr>
            </w:pPr>
            <w:r>
              <w:rPr>
                <w:rFonts w:ascii="Arial" w:cs="Arial" w:eastAsia="Arial" w:hAnsi="Arial"/>
                <w:sz w:val="18"/>
                <w:szCs w:val="18"/>
                <w:color w:val="auto"/>
              </w:rPr>
              <w:t>Sumedh S. Thakar</w:t>
            </w: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10/30/2025</w:t>
            </w:r>
          </w:p>
        </w:tc>
        <w:tc>
          <w:tcPr>
            <w:tcW w:w="1160" w:type="dxa"/>
            <w:vAlign w:val="bottom"/>
            <w:shd w:val="clear" w:color="auto" w:fill="EDEDED"/>
          </w:tcPr>
          <w:p>
            <w:pPr>
              <w:jc w:val="right"/>
              <w:ind w:right="14"/>
              <w:spacing w:after="0" w:line="296" w:lineRule="exact"/>
              <w:rPr>
                <w:sz w:val="20"/>
                <w:szCs w:val="20"/>
                <w:color w:val="auto"/>
              </w:rPr>
            </w:pPr>
            <w:r>
              <w:rPr>
                <w:rFonts w:ascii="Arial" w:cs="Arial" w:eastAsia="Arial" w:hAnsi="Arial"/>
                <w:sz w:val="18"/>
                <w:szCs w:val="18"/>
                <w:color w:val="auto"/>
              </w:rPr>
              <w:t>61,092</w:t>
            </w:r>
            <w:r>
              <w:rPr>
                <w:rFonts w:ascii="Arial" w:cs="Arial" w:eastAsia="Arial" w:hAnsi="Arial"/>
                <w:sz w:val="29"/>
                <w:szCs w:val="29"/>
                <w:color w:val="auto"/>
                <w:vertAlign w:val="superscript"/>
              </w:rPr>
              <w:t>(4)</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8,119,127</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26,893</w:t>
            </w:r>
            <w:r>
              <w:rPr>
                <w:rFonts w:ascii="Arial" w:cs="Arial" w:eastAsia="Arial" w:hAnsi="Arial"/>
                <w:sz w:val="29"/>
                <w:szCs w:val="29"/>
                <w:color w:val="auto"/>
                <w:vertAlign w:val="superscript"/>
              </w:rPr>
              <w:t>(5)</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3,574,080</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20,434</w:t>
            </w:r>
            <w:r>
              <w:rPr>
                <w:rFonts w:ascii="Arial" w:cs="Arial" w:eastAsia="Arial" w:hAnsi="Arial"/>
                <w:sz w:val="29"/>
                <w:szCs w:val="29"/>
                <w:color w:val="auto"/>
                <w:vertAlign w:val="superscript"/>
              </w:rPr>
              <w:t>(6)</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2,715,679</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20,427</w:t>
            </w:r>
            <w:r>
              <w:rPr>
                <w:rFonts w:ascii="Arial" w:cs="Arial" w:eastAsia="Arial" w:hAnsi="Arial"/>
                <w:sz w:val="29"/>
                <w:szCs w:val="29"/>
                <w:color w:val="auto"/>
                <w:vertAlign w:val="superscript"/>
              </w:rPr>
              <w:t>(7)</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2,714,748</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10/30/2024</w:t>
            </w:r>
          </w:p>
        </w:tc>
        <w:tc>
          <w:tcPr>
            <w:tcW w:w="1160" w:type="dxa"/>
            <w:vAlign w:val="bottom"/>
            <w:shd w:val="clear" w:color="auto" w:fill="EDEDED"/>
          </w:tcPr>
          <w:p>
            <w:pPr>
              <w:jc w:val="right"/>
              <w:ind w:right="14"/>
              <w:spacing w:after="0" w:line="296" w:lineRule="exact"/>
              <w:rPr>
                <w:sz w:val="20"/>
                <w:szCs w:val="20"/>
                <w:color w:val="auto"/>
              </w:rPr>
            </w:pPr>
            <w:r>
              <w:rPr>
                <w:rFonts w:ascii="Arial" w:cs="Arial" w:eastAsia="Arial" w:hAnsi="Arial"/>
                <w:sz w:val="18"/>
                <w:szCs w:val="18"/>
                <w:color w:val="auto"/>
              </w:rPr>
              <w:t>44,965</w:t>
            </w:r>
            <w:r>
              <w:rPr>
                <w:rFonts w:ascii="Arial" w:cs="Arial" w:eastAsia="Arial" w:hAnsi="Arial"/>
                <w:sz w:val="29"/>
                <w:szCs w:val="29"/>
                <w:color w:val="auto"/>
                <w:vertAlign w:val="superscript"/>
              </w:rPr>
              <w:t>(8)</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5,975,849</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401</w:t>
            </w:r>
            <w:r>
              <w:rPr>
                <w:rFonts w:ascii="Arial" w:cs="Arial" w:eastAsia="Arial" w:hAnsi="Arial"/>
                <w:sz w:val="29"/>
                <w:szCs w:val="29"/>
                <w:color w:val="auto"/>
                <w:vertAlign w:val="superscript"/>
              </w:rPr>
              <w:t>(9)</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53,293</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77"/>
              <w:spacing w:after="0" w:line="297" w:lineRule="exact"/>
              <w:rPr>
                <w:sz w:val="20"/>
                <w:szCs w:val="20"/>
                <w:color w:val="auto"/>
              </w:rPr>
            </w:pPr>
            <w:r>
              <w:rPr>
                <w:rFonts w:ascii="Arial" w:cs="Arial" w:eastAsia="Arial" w:hAnsi="Arial"/>
                <w:sz w:val="34"/>
                <w:szCs w:val="34"/>
                <w:color w:val="auto"/>
                <w:vertAlign w:val="subscript"/>
              </w:rPr>
              <w:t>401</w:t>
            </w:r>
            <w:r>
              <w:rPr>
                <w:rFonts w:ascii="Arial" w:cs="Arial" w:eastAsia="Arial" w:hAnsi="Arial"/>
                <w:sz w:val="15"/>
                <w:szCs w:val="15"/>
                <w:color w:val="auto"/>
              </w:rPr>
              <w:t>(10)</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53,293</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10/26/2023</w:t>
            </w:r>
          </w:p>
        </w:tc>
        <w:tc>
          <w:tcPr>
            <w:tcW w:w="1160" w:type="dxa"/>
            <w:vAlign w:val="bottom"/>
            <w:shd w:val="clear" w:color="auto" w:fill="EDEDED"/>
          </w:tcPr>
          <w:p>
            <w:pPr>
              <w:jc w:val="right"/>
              <w:spacing w:after="0" w:line="296" w:lineRule="exact"/>
              <w:rPr>
                <w:sz w:val="20"/>
                <w:szCs w:val="20"/>
                <w:color w:val="auto"/>
              </w:rPr>
            </w:pPr>
            <w:r>
              <w:rPr>
                <w:rFonts w:ascii="Arial" w:cs="Arial" w:eastAsia="Arial" w:hAnsi="Arial"/>
                <w:sz w:val="18"/>
                <w:szCs w:val="18"/>
                <w:color w:val="auto"/>
              </w:rPr>
              <w:t>22,776</w:t>
            </w:r>
            <w:r>
              <w:rPr>
                <w:rFonts w:ascii="Arial" w:cs="Arial" w:eastAsia="Arial" w:hAnsi="Arial"/>
                <w:sz w:val="29"/>
                <w:szCs w:val="29"/>
                <w:color w:val="auto"/>
                <w:vertAlign w:val="superscript"/>
              </w:rPr>
              <w:t>(11)</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3,026,930</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10/27/2022</w:t>
            </w:r>
          </w:p>
        </w:tc>
        <w:tc>
          <w:tcPr>
            <w:tcW w:w="1160" w:type="dxa"/>
            <w:vAlign w:val="bottom"/>
            <w:shd w:val="clear" w:color="auto" w:fill="EDEDED"/>
          </w:tcPr>
          <w:p>
            <w:pPr>
              <w:jc w:val="right"/>
              <w:spacing w:after="0" w:line="296" w:lineRule="exact"/>
              <w:rPr>
                <w:sz w:val="20"/>
                <w:szCs w:val="20"/>
                <w:color w:val="auto"/>
              </w:rPr>
            </w:pPr>
            <w:r>
              <w:rPr>
                <w:rFonts w:ascii="Arial" w:cs="Arial" w:eastAsia="Arial" w:hAnsi="Arial"/>
                <w:sz w:val="18"/>
                <w:szCs w:val="18"/>
                <w:color w:val="auto"/>
              </w:rPr>
              <w:t>11,384</w:t>
            </w:r>
            <w:r>
              <w:rPr>
                <w:rFonts w:ascii="Arial" w:cs="Arial" w:eastAsia="Arial" w:hAnsi="Arial"/>
                <w:sz w:val="29"/>
                <w:szCs w:val="29"/>
                <w:color w:val="auto"/>
                <w:vertAlign w:val="superscript"/>
              </w:rPr>
              <w:t>(12)</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1,512,934</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1040" w:type="dxa"/>
            <w:vAlign w:val="bottom"/>
            <w:shd w:val="clear" w:color="auto" w:fill="EDEDED"/>
          </w:tcPr>
          <w:p>
            <w:pPr>
              <w:spacing w:after="0"/>
              <w:rPr>
                <w:sz w:val="24"/>
                <w:szCs w:val="24"/>
                <w:color w:val="auto"/>
              </w:rPr>
            </w:pPr>
          </w:p>
        </w:tc>
        <w:tc>
          <w:tcPr>
            <w:tcW w:w="1520" w:type="dxa"/>
            <w:vAlign w:val="bottom"/>
            <w:shd w:val="clear" w:color="auto" w:fill="EDEDED"/>
          </w:tcPr>
          <w:p>
            <w:pPr>
              <w:jc w:val="right"/>
              <w:ind w:right="77"/>
              <w:spacing w:after="0" w:line="296" w:lineRule="exact"/>
              <w:rPr>
                <w:sz w:val="20"/>
                <w:szCs w:val="20"/>
                <w:color w:val="auto"/>
              </w:rPr>
            </w:pPr>
            <w:r>
              <w:rPr>
                <w:rFonts w:ascii="Arial" w:cs="Arial" w:eastAsia="Arial" w:hAnsi="Arial"/>
                <w:sz w:val="18"/>
                <w:szCs w:val="18"/>
                <w:color w:val="auto"/>
              </w:rPr>
              <w:t>119,314</w:t>
            </w:r>
            <w:r>
              <w:rPr>
                <w:rFonts w:ascii="Arial" w:cs="Arial" w:eastAsia="Arial" w:hAnsi="Arial"/>
                <w:sz w:val="29"/>
                <w:szCs w:val="29"/>
                <w:color w:val="auto"/>
                <w:vertAlign w:val="superscript"/>
              </w:rPr>
              <w:t>(13)</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15,856,813</w:t>
            </w:r>
          </w:p>
        </w:tc>
      </w:tr>
      <w:tr>
        <w:trPr>
          <w:trHeight w:val="305"/>
        </w:trPr>
        <w:tc>
          <w:tcPr>
            <w:tcW w:w="1920" w:type="dxa"/>
            <w:vAlign w:val="bottom"/>
          </w:tcPr>
          <w:p>
            <w:pPr>
              <w:ind w:left="160"/>
              <w:spacing w:after="0"/>
              <w:rPr>
                <w:sz w:val="20"/>
                <w:szCs w:val="20"/>
                <w:color w:val="auto"/>
              </w:rPr>
            </w:pPr>
            <w:r>
              <w:rPr>
                <w:rFonts w:ascii="Arial" w:cs="Arial" w:eastAsia="Arial" w:hAnsi="Arial"/>
                <w:sz w:val="18"/>
                <w:szCs w:val="18"/>
                <w:color w:val="auto"/>
              </w:rPr>
              <w:t>Joo Mi Kim</w:t>
            </w:r>
          </w:p>
        </w:tc>
        <w:tc>
          <w:tcPr>
            <w:tcW w:w="1160" w:type="dxa"/>
            <w:vAlign w:val="bottom"/>
          </w:tcPr>
          <w:p>
            <w:pPr>
              <w:jc w:val="right"/>
              <w:spacing w:after="0"/>
              <w:rPr>
                <w:sz w:val="20"/>
                <w:szCs w:val="20"/>
                <w:color w:val="auto"/>
              </w:rPr>
            </w:pPr>
            <w:r>
              <w:rPr>
                <w:rFonts w:ascii="Arial" w:cs="Arial" w:eastAsia="Arial" w:hAnsi="Arial"/>
                <w:sz w:val="18"/>
                <w:szCs w:val="18"/>
                <w:color w:val="auto"/>
              </w:rPr>
              <w:t>10/30/2025</w:t>
            </w:r>
          </w:p>
        </w:tc>
        <w:tc>
          <w:tcPr>
            <w:tcW w:w="1160" w:type="dxa"/>
            <w:vAlign w:val="bottom"/>
          </w:tcPr>
          <w:p>
            <w:pPr>
              <w:jc w:val="right"/>
              <w:ind w:right="14"/>
              <w:spacing w:after="0" w:line="305" w:lineRule="exact"/>
              <w:rPr>
                <w:sz w:val="20"/>
                <w:szCs w:val="20"/>
                <w:color w:val="auto"/>
              </w:rPr>
            </w:pPr>
            <w:r>
              <w:rPr>
                <w:rFonts w:ascii="Arial" w:cs="Arial" w:eastAsia="Arial" w:hAnsi="Arial"/>
                <w:sz w:val="18"/>
                <w:szCs w:val="18"/>
                <w:color w:val="auto"/>
              </w:rPr>
              <w:t>34,212</w:t>
            </w:r>
            <w:r>
              <w:rPr>
                <w:rFonts w:ascii="Arial" w:cs="Arial" w:eastAsia="Arial" w:hAnsi="Arial"/>
                <w:sz w:val="29"/>
                <w:szCs w:val="29"/>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8"/>
                <w:szCs w:val="18"/>
                <w:color w:val="auto"/>
              </w:rPr>
              <w:t>4,546,775</w:t>
            </w:r>
          </w:p>
        </w:tc>
        <w:tc>
          <w:tcPr>
            <w:tcW w:w="152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7"/>
              <w:spacing w:after="0" w:line="296" w:lineRule="exact"/>
              <w:rPr>
                <w:sz w:val="20"/>
                <w:szCs w:val="20"/>
                <w:color w:val="auto"/>
              </w:rPr>
            </w:pPr>
            <w:r>
              <w:rPr>
                <w:rFonts w:ascii="Arial" w:cs="Arial" w:eastAsia="Arial" w:hAnsi="Arial"/>
                <w:sz w:val="18"/>
                <w:szCs w:val="18"/>
                <w:color w:val="auto"/>
              </w:rPr>
              <w:t>6,454</w:t>
            </w:r>
            <w:r>
              <w:rPr>
                <w:rFonts w:ascii="Arial" w:cs="Arial" w:eastAsia="Arial" w:hAnsi="Arial"/>
                <w:sz w:val="29"/>
                <w:szCs w:val="29"/>
                <w:color w:val="auto"/>
                <w:vertAlign w:val="superscript"/>
              </w:rPr>
              <w:t>(5)</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857,737</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7"/>
              <w:spacing w:after="0" w:line="296" w:lineRule="exact"/>
              <w:rPr>
                <w:sz w:val="20"/>
                <w:szCs w:val="20"/>
                <w:color w:val="auto"/>
              </w:rPr>
            </w:pPr>
            <w:r>
              <w:rPr>
                <w:rFonts w:ascii="Arial" w:cs="Arial" w:eastAsia="Arial" w:hAnsi="Arial"/>
                <w:sz w:val="18"/>
                <w:szCs w:val="18"/>
                <w:color w:val="auto"/>
              </w:rPr>
              <w:t>4,922</w:t>
            </w:r>
            <w:r>
              <w:rPr>
                <w:rFonts w:ascii="Arial" w:cs="Arial" w:eastAsia="Arial" w:hAnsi="Arial"/>
                <w:sz w:val="29"/>
                <w:szCs w:val="29"/>
                <w:color w:val="auto"/>
                <w:vertAlign w:val="superscript"/>
              </w:rPr>
              <w:t>(6)</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654,134</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7"/>
              <w:spacing w:after="0" w:line="296" w:lineRule="exact"/>
              <w:rPr>
                <w:sz w:val="20"/>
                <w:szCs w:val="20"/>
                <w:color w:val="auto"/>
              </w:rPr>
            </w:pPr>
            <w:r>
              <w:rPr>
                <w:rFonts w:ascii="Arial" w:cs="Arial" w:eastAsia="Arial" w:hAnsi="Arial"/>
                <w:sz w:val="18"/>
                <w:szCs w:val="18"/>
                <w:color w:val="auto"/>
              </w:rPr>
              <w:t>5,280</w:t>
            </w:r>
            <w:r>
              <w:rPr>
                <w:rFonts w:ascii="Arial" w:cs="Arial" w:eastAsia="Arial" w:hAnsi="Arial"/>
                <w:sz w:val="29"/>
                <w:szCs w:val="29"/>
                <w:color w:val="auto"/>
                <w:vertAlign w:val="superscript"/>
              </w:rPr>
              <w:t>(7)</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701,712</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10/30/2024</w:t>
            </w:r>
          </w:p>
        </w:tc>
        <w:tc>
          <w:tcPr>
            <w:tcW w:w="1160" w:type="dxa"/>
            <w:vAlign w:val="bottom"/>
          </w:tcPr>
          <w:p>
            <w:pPr>
              <w:jc w:val="right"/>
              <w:ind w:right="14"/>
              <w:spacing w:after="0" w:line="296" w:lineRule="exact"/>
              <w:rPr>
                <w:sz w:val="20"/>
                <w:szCs w:val="20"/>
                <w:color w:val="auto"/>
              </w:rPr>
            </w:pPr>
            <w:r>
              <w:rPr>
                <w:rFonts w:ascii="Arial" w:cs="Arial" w:eastAsia="Arial" w:hAnsi="Arial"/>
                <w:sz w:val="18"/>
                <w:szCs w:val="18"/>
                <w:color w:val="auto"/>
              </w:rPr>
              <w:t>25,181</w:t>
            </w:r>
            <w:r>
              <w:rPr>
                <w:rFonts w:ascii="Arial" w:cs="Arial" w:eastAsia="Arial" w:hAnsi="Arial"/>
                <w:sz w:val="29"/>
                <w:szCs w:val="29"/>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8"/>
                <w:szCs w:val="18"/>
                <w:color w:val="auto"/>
              </w:rPr>
              <w:t>3,346,555</w:t>
            </w:r>
          </w:p>
        </w:tc>
        <w:tc>
          <w:tcPr>
            <w:tcW w:w="152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7"/>
              <w:spacing w:after="0" w:line="297" w:lineRule="exact"/>
              <w:rPr>
                <w:sz w:val="20"/>
                <w:szCs w:val="20"/>
                <w:color w:val="auto"/>
              </w:rPr>
            </w:pPr>
            <w:r>
              <w:rPr>
                <w:rFonts w:ascii="Arial" w:cs="Arial" w:eastAsia="Arial" w:hAnsi="Arial"/>
                <w:sz w:val="34"/>
                <w:szCs w:val="34"/>
                <w:color w:val="auto"/>
                <w:vertAlign w:val="subscript"/>
              </w:rPr>
              <w:t>97</w:t>
            </w:r>
            <w:r>
              <w:rPr>
                <w:rFonts w:ascii="Arial" w:cs="Arial" w:eastAsia="Arial" w:hAnsi="Arial"/>
                <w:sz w:val="15"/>
                <w:szCs w:val="15"/>
                <w:color w:val="auto"/>
              </w:rPr>
              <w:t>(9)</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12,891</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7"/>
              <w:spacing w:after="0" w:line="297" w:lineRule="exact"/>
              <w:rPr>
                <w:sz w:val="20"/>
                <w:szCs w:val="20"/>
                <w:color w:val="auto"/>
              </w:rPr>
            </w:pPr>
            <w:r>
              <w:rPr>
                <w:rFonts w:ascii="Arial" w:cs="Arial" w:eastAsia="Arial" w:hAnsi="Arial"/>
                <w:sz w:val="34"/>
                <w:szCs w:val="34"/>
                <w:color w:val="auto"/>
                <w:vertAlign w:val="subscript"/>
              </w:rPr>
              <w:t>104</w:t>
            </w:r>
            <w:r>
              <w:rPr>
                <w:rFonts w:ascii="Arial" w:cs="Arial" w:eastAsia="Arial" w:hAnsi="Arial"/>
                <w:sz w:val="15"/>
                <w:szCs w:val="15"/>
                <w:color w:val="auto"/>
              </w:rPr>
              <w:t>(10)</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13,822</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10/26/2023</w:t>
            </w:r>
          </w:p>
        </w:tc>
        <w:tc>
          <w:tcPr>
            <w:tcW w:w="1160" w:type="dxa"/>
            <w:vAlign w:val="bottom"/>
          </w:tcPr>
          <w:p>
            <w:pPr>
              <w:jc w:val="right"/>
              <w:spacing w:after="0" w:line="296" w:lineRule="exact"/>
              <w:rPr>
                <w:sz w:val="20"/>
                <w:szCs w:val="20"/>
                <w:color w:val="auto"/>
              </w:rPr>
            </w:pPr>
            <w:r>
              <w:rPr>
                <w:rFonts w:ascii="Arial" w:cs="Arial" w:eastAsia="Arial" w:hAnsi="Arial"/>
                <w:sz w:val="18"/>
                <w:szCs w:val="18"/>
                <w:color w:val="auto"/>
              </w:rPr>
              <w:t>12,800</w:t>
            </w:r>
            <w:r>
              <w:rPr>
                <w:rFonts w:ascii="Arial" w:cs="Arial" w:eastAsia="Arial" w:hAnsi="Arial"/>
                <w:sz w:val="29"/>
                <w:szCs w:val="29"/>
                <w:color w:val="auto"/>
                <w:vertAlign w:val="superscript"/>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1,701,120</w:t>
            </w:r>
          </w:p>
        </w:tc>
        <w:tc>
          <w:tcPr>
            <w:tcW w:w="152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10/27/2022</w:t>
            </w:r>
          </w:p>
        </w:tc>
        <w:tc>
          <w:tcPr>
            <w:tcW w:w="1160" w:type="dxa"/>
            <w:vAlign w:val="bottom"/>
          </w:tcPr>
          <w:p>
            <w:pPr>
              <w:jc w:val="right"/>
              <w:spacing w:after="0" w:line="296" w:lineRule="exact"/>
              <w:rPr>
                <w:sz w:val="20"/>
                <w:szCs w:val="20"/>
                <w:color w:val="auto"/>
              </w:rPr>
            </w:pPr>
            <w:r>
              <w:rPr>
                <w:rFonts w:ascii="Arial" w:cs="Arial" w:eastAsia="Arial" w:hAnsi="Arial"/>
                <w:sz w:val="18"/>
                <w:szCs w:val="18"/>
                <w:color w:val="auto"/>
              </w:rPr>
              <w:t>6,866</w:t>
            </w:r>
            <w:r>
              <w:rPr>
                <w:rFonts w:ascii="Arial" w:cs="Arial" w:eastAsia="Arial" w:hAnsi="Arial"/>
                <w:sz w:val="29"/>
                <w:szCs w:val="29"/>
                <w:color w:val="auto"/>
                <w:vertAlign w:val="superscript"/>
              </w:rPr>
              <w:t>(12)</w:t>
            </w:r>
          </w:p>
        </w:tc>
        <w:tc>
          <w:tcPr>
            <w:tcW w:w="1040" w:type="dxa"/>
            <w:vAlign w:val="bottom"/>
          </w:tcPr>
          <w:p>
            <w:pPr>
              <w:jc w:val="right"/>
              <w:spacing w:after="0"/>
              <w:rPr>
                <w:sz w:val="20"/>
                <w:szCs w:val="20"/>
                <w:color w:val="auto"/>
              </w:rPr>
            </w:pPr>
            <w:r>
              <w:rPr>
                <w:rFonts w:ascii="Arial" w:cs="Arial" w:eastAsia="Arial" w:hAnsi="Arial"/>
                <w:sz w:val="18"/>
                <w:szCs w:val="18"/>
                <w:color w:val="auto"/>
              </w:rPr>
              <w:t>912,491</w:t>
            </w:r>
          </w:p>
        </w:tc>
        <w:tc>
          <w:tcPr>
            <w:tcW w:w="1520" w:type="dxa"/>
            <w:vAlign w:val="bottom"/>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89"/>
        </w:trPr>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jc w:val="right"/>
              <w:ind w:right="77"/>
              <w:spacing w:after="0" w:line="288" w:lineRule="exact"/>
              <w:rPr>
                <w:sz w:val="20"/>
                <w:szCs w:val="20"/>
                <w:color w:val="auto"/>
              </w:rPr>
            </w:pPr>
            <w:r>
              <w:rPr>
                <w:rFonts w:ascii="Arial" w:cs="Arial" w:eastAsia="Arial" w:hAnsi="Arial"/>
                <w:sz w:val="18"/>
                <w:szCs w:val="18"/>
                <w:color w:val="auto"/>
              </w:rPr>
              <w:t>28,649</w:t>
            </w:r>
            <w:r>
              <w:rPr>
                <w:rFonts w:ascii="Arial" w:cs="Arial" w:eastAsia="Arial" w:hAnsi="Arial"/>
                <w:sz w:val="29"/>
                <w:szCs w:val="29"/>
                <w:color w:val="auto"/>
                <w:vertAlign w:val="superscript"/>
              </w:rPr>
              <w:t>(13)</w:t>
            </w: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3,807,436</w:t>
            </w:r>
          </w:p>
        </w:tc>
      </w:tr>
      <w:tr>
        <w:trPr>
          <w:trHeight w:val="297"/>
        </w:trPr>
        <w:tc>
          <w:tcPr>
            <w:tcW w:w="1920" w:type="dxa"/>
            <w:vAlign w:val="bottom"/>
            <w:shd w:val="clear" w:color="auto" w:fill="EDEDED"/>
          </w:tcPr>
          <w:p>
            <w:pPr>
              <w:ind w:left="160"/>
              <w:spacing w:after="0"/>
              <w:rPr>
                <w:sz w:val="20"/>
                <w:szCs w:val="20"/>
                <w:color w:val="auto"/>
              </w:rPr>
            </w:pPr>
            <w:r>
              <w:rPr>
                <w:rFonts w:ascii="Arial" w:cs="Arial" w:eastAsia="Arial" w:hAnsi="Arial"/>
                <w:sz w:val="18"/>
                <w:szCs w:val="18"/>
                <w:color w:val="auto"/>
              </w:rPr>
              <w:t>Bruce K. Posey</w:t>
            </w: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10/30/2025</w:t>
            </w:r>
          </w:p>
        </w:tc>
        <w:tc>
          <w:tcPr>
            <w:tcW w:w="1160" w:type="dxa"/>
            <w:vAlign w:val="bottom"/>
            <w:shd w:val="clear" w:color="auto" w:fill="EDEDED"/>
          </w:tcPr>
          <w:p>
            <w:pPr>
              <w:jc w:val="right"/>
              <w:ind w:right="14"/>
              <w:spacing w:after="0" w:line="296" w:lineRule="exact"/>
              <w:rPr>
                <w:sz w:val="20"/>
                <w:szCs w:val="20"/>
                <w:color w:val="auto"/>
              </w:rPr>
            </w:pPr>
            <w:r>
              <w:rPr>
                <w:rFonts w:ascii="Arial" w:cs="Arial" w:eastAsia="Arial" w:hAnsi="Arial"/>
                <w:sz w:val="18"/>
                <w:szCs w:val="18"/>
                <w:color w:val="auto"/>
              </w:rPr>
              <w:t>20,357</w:t>
            </w:r>
            <w:r>
              <w:rPr>
                <w:rFonts w:ascii="Arial" w:cs="Arial" w:eastAsia="Arial" w:hAnsi="Arial"/>
                <w:sz w:val="29"/>
                <w:szCs w:val="29"/>
                <w:color w:val="auto"/>
                <w:vertAlign w:val="superscript"/>
              </w:rPr>
              <w:t>(4)</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2,705,445</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3,841</w:t>
            </w:r>
            <w:r>
              <w:rPr>
                <w:rFonts w:ascii="Arial" w:cs="Arial" w:eastAsia="Arial" w:hAnsi="Arial"/>
                <w:sz w:val="29"/>
                <w:szCs w:val="29"/>
                <w:color w:val="auto"/>
                <w:vertAlign w:val="superscript"/>
              </w:rPr>
              <w:t>(5)</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510,469</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2,935</w:t>
            </w:r>
            <w:r>
              <w:rPr>
                <w:rFonts w:ascii="Arial" w:cs="Arial" w:eastAsia="Arial" w:hAnsi="Arial"/>
                <w:sz w:val="29"/>
                <w:szCs w:val="29"/>
                <w:color w:val="auto"/>
                <w:vertAlign w:val="superscript"/>
              </w:rPr>
              <w:t>(6)</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390,062</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1/30/2025</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6" w:lineRule="exact"/>
              <w:rPr>
                <w:sz w:val="20"/>
                <w:szCs w:val="20"/>
                <w:color w:val="auto"/>
              </w:rPr>
            </w:pPr>
            <w:r>
              <w:rPr>
                <w:rFonts w:ascii="Arial" w:cs="Arial" w:eastAsia="Arial" w:hAnsi="Arial"/>
                <w:sz w:val="18"/>
                <w:szCs w:val="18"/>
                <w:color w:val="auto"/>
              </w:rPr>
              <w:t>3,018</w:t>
            </w:r>
            <w:r>
              <w:rPr>
                <w:rFonts w:ascii="Arial" w:cs="Arial" w:eastAsia="Arial" w:hAnsi="Arial"/>
                <w:sz w:val="29"/>
                <w:szCs w:val="29"/>
                <w:color w:val="auto"/>
                <w:vertAlign w:val="superscript"/>
              </w:rPr>
              <w:t>(7)</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401,092</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10/30/2024</w:t>
            </w:r>
          </w:p>
        </w:tc>
        <w:tc>
          <w:tcPr>
            <w:tcW w:w="1160" w:type="dxa"/>
            <w:vAlign w:val="bottom"/>
            <w:shd w:val="clear" w:color="auto" w:fill="EDEDED"/>
          </w:tcPr>
          <w:p>
            <w:pPr>
              <w:jc w:val="right"/>
              <w:ind w:right="14"/>
              <w:spacing w:after="0" w:line="296" w:lineRule="exact"/>
              <w:rPr>
                <w:sz w:val="20"/>
                <w:szCs w:val="20"/>
                <w:color w:val="auto"/>
              </w:rPr>
            </w:pPr>
            <w:r>
              <w:rPr>
                <w:rFonts w:ascii="Arial" w:cs="Arial" w:eastAsia="Arial" w:hAnsi="Arial"/>
                <w:sz w:val="18"/>
                <w:szCs w:val="18"/>
                <w:color w:val="auto"/>
              </w:rPr>
              <w:t>14,983</w:t>
            </w:r>
            <w:r>
              <w:rPr>
                <w:rFonts w:ascii="Arial" w:cs="Arial" w:eastAsia="Arial" w:hAnsi="Arial"/>
                <w:sz w:val="29"/>
                <w:szCs w:val="29"/>
                <w:color w:val="auto"/>
                <w:vertAlign w:val="superscript"/>
              </w:rPr>
              <w:t>(8)</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1,991,241</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157"/>
              <w:spacing w:after="0" w:line="297" w:lineRule="exact"/>
              <w:rPr>
                <w:sz w:val="20"/>
                <w:szCs w:val="20"/>
                <w:color w:val="auto"/>
              </w:rPr>
            </w:pPr>
            <w:r>
              <w:rPr>
                <w:rFonts w:ascii="Arial" w:cs="Arial" w:eastAsia="Arial" w:hAnsi="Arial"/>
                <w:sz w:val="34"/>
                <w:szCs w:val="34"/>
                <w:color w:val="auto"/>
                <w:vertAlign w:val="subscript"/>
              </w:rPr>
              <w:t>58</w:t>
            </w:r>
            <w:r>
              <w:rPr>
                <w:rFonts w:ascii="Arial" w:cs="Arial" w:eastAsia="Arial" w:hAnsi="Arial"/>
                <w:sz w:val="15"/>
                <w:szCs w:val="15"/>
                <w:color w:val="auto"/>
              </w:rPr>
              <w:t>(9)</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7,708</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2/5/2024</w:t>
            </w:r>
          </w:p>
        </w:tc>
        <w:tc>
          <w:tcPr>
            <w:tcW w:w="1160" w:type="dxa"/>
            <w:vAlign w:val="bottom"/>
            <w:shd w:val="clear" w:color="auto" w:fill="EDEDED"/>
          </w:tcPr>
          <w:p>
            <w:pPr>
              <w:jc w:val="right"/>
              <w:ind w:right="194"/>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DEDED"/>
          </w:tcPr>
          <w:p>
            <w:pPr>
              <w:jc w:val="right"/>
              <w:ind w:right="77"/>
              <w:spacing w:after="0" w:line="297" w:lineRule="exact"/>
              <w:rPr>
                <w:sz w:val="20"/>
                <w:szCs w:val="20"/>
                <w:color w:val="auto"/>
              </w:rPr>
            </w:pPr>
            <w:r>
              <w:rPr>
                <w:rFonts w:ascii="Arial" w:cs="Arial" w:eastAsia="Arial" w:hAnsi="Arial"/>
                <w:sz w:val="34"/>
                <w:szCs w:val="34"/>
                <w:color w:val="auto"/>
                <w:vertAlign w:val="subscript"/>
              </w:rPr>
              <w:t>60</w:t>
            </w:r>
            <w:r>
              <w:rPr>
                <w:rFonts w:ascii="Arial" w:cs="Arial" w:eastAsia="Arial" w:hAnsi="Arial"/>
                <w:sz w:val="15"/>
                <w:szCs w:val="15"/>
                <w:color w:val="auto"/>
              </w:rPr>
              <w:t>(10)</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7,974</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10/26/2023</w:t>
            </w:r>
          </w:p>
        </w:tc>
        <w:tc>
          <w:tcPr>
            <w:tcW w:w="1160" w:type="dxa"/>
            <w:vAlign w:val="bottom"/>
            <w:shd w:val="clear" w:color="auto" w:fill="EDEDED"/>
          </w:tcPr>
          <w:p>
            <w:pPr>
              <w:jc w:val="right"/>
              <w:spacing w:after="0" w:line="296" w:lineRule="exact"/>
              <w:rPr>
                <w:sz w:val="20"/>
                <w:szCs w:val="20"/>
                <w:color w:val="auto"/>
              </w:rPr>
            </w:pPr>
            <w:r>
              <w:rPr>
                <w:rFonts w:ascii="Arial" w:cs="Arial" w:eastAsia="Arial" w:hAnsi="Arial"/>
                <w:sz w:val="18"/>
                <w:szCs w:val="18"/>
                <w:color w:val="auto"/>
              </w:rPr>
              <w:t>7,635</w:t>
            </w:r>
            <w:r>
              <w:rPr>
                <w:rFonts w:ascii="Arial" w:cs="Arial" w:eastAsia="Arial" w:hAnsi="Arial"/>
                <w:sz w:val="29"/>
                <w:szCs w:val="29"/>
                <w:color w:val="auto"/>
                <w:vertAlign w:val="superscript"/>
              </w:rPr>
              <w:t>(11)</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1,014,692</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97"/>
        </w:trPr>
        <w:tc>
          <w:tcPr>
            <w:tcW w:w="1920" w:type="dxa"/>
            <w:vAlign w:val="bottom"/>
            <w:shd w:val="clear" w:color="auto" w:fill="EDEDED"/>
          </w:tcPr>
          <w:p>
            <w:pPr>
              <w:spacing w:after="0"/>
              <w:rPr>
                <w:sz w:val="24"/>
                <w:szCs w:val="24"/>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10/27/2022</w:t>
            </w:r>
          </w:p>
        </w:tc>
        <w:tc>
          <w:tcPr>
            <w:tcW w:w="1160" w:type="dxa"/>
            <w:vAlign w:val="bottom"/>
            <w:shd w:val="clear" w:color="auto" w:fill="EDEDED"/>
          </w:tcPr>
          <w:p>
            <w:pPr>
              <w:jc w:val="right"/>
              <w:spacing w:after="0" w:line="296" w:lineRule="exact"/>
              <w:rPr>
                <w:sz w:val="20"/>
                <w:szCs w:val="20"/>
                <w:color w:val="auto"/>
              </w:rPr>
            </w:pPr>
            <w:r>
              <w:rPr>
                <w:rFonts w:ascii="Arial" w:cs="Arial" w:eastAsia="Arial" w:hAnsi="Arial"/>
                <w:sz w:val="18"/>
                <w:szCs w:val="18"/>
                <w:color w:val="auto"/>
              </w:rPr>
              <w:t>3,923</w:t>
            </w:r>
            <w:r>
              <w:rPr>
                <w:rFonts w:ascii="Arial" w:cs="Arial" w:eastAsia="Arial" w:hAnsi="Arial"/>
                <w:sz w:val="29"/>
                <w:szCs w:val="29"/>
                <w:color w:val="auto"/>
                <w:vertAlign w:val="superscript"/>
              </w:rPr>
              <w:t>(12)</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521,367</w:t>
            </w:r>
          </w:p>
        </w:tc>
        <w:tc>
          <w:tcPr>
            <w:tcW w:w="1520" w:type="dxa"/>
            <w:vAlign w:val="bottom"/>
            <w:shd w:val="clear" w:color="auto" w:fill="EDEDED"/>
          </w:tcPr>
          <w:p>
            <w:pPr>
              <w:jc w:val="right"/>
              <w:ind w:right="3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ind w:right="36"/>
              <w:spacing w:after="0"/>
              <w:rPr>
                <w:sz w:val="20"/>
                <w:szCs w:val="20"/>
                <w:color w:val="auto"/>
              </w:rPr>
            </w:pPr>
            <w:r>
              <w:rPr>
                <w:rFonts w:ascii="Arial" w:cs="Arial" w:eastAsia="Arial" w:hAnsi="Arial"/>
                <w:sz w:val="18"/>
                <w:szCs w:val="18"/>
                <w:color w:val="auto"/>
              </w:rPr>
              <w:t>—</w:t>
            </w:r>
          </w:p>
        </w:tc>
      </w:tr>
      <w:tr>
        <w:trPr>
          <w:trHeight w:val="270"/>
        </w:trPr>
        <w:tc>
          <w:tcPr>
            <w:tcW w:w="1920" w:type="dxa"/>
            <w:vAlign w:val="bottom"/>
            <w:shd w:val="clear" w:color="auto" w:fill="EDEDED"/>
          </w:tcPr>
          <w:p>
            <w:pPr>
              <w:spacing w:after="0"/>
              <w:rPr>
                <w:sz w:val="23"/>
                <w:szCs w:val="23"/>
                <w:color w:val="auto"/>
              </w:rPr>
            </w:pPr>
          </w:p>
        </w:tc>
        <w:tc>
          <w:tcPr>
            <w:tcW w:w="1160" w:type="dxa"/>
            <w:vAlign w:val="bottom"/>
            <w:shd w:val="clear" w:color="auto" w:fill="EDEDED"/>
          </w:tcPr>
          <w:p>
            <w:pPr>
              <w:spacing w:after="0"/>
              <w:rPr>
                <w:sz w:val="23"/>
                <w:szCs w:val="23"/>
                <w:color w:val="auto"/>
              </w:rPr>
            </w:pPr>
          </w:p>
        </w:tc>
        <w:tc>
          <w:tcPr>
            <w:tcW w:w="1160" w:type="dxa"/>
            <w:vAlign w:val="bottom"/>
            <w:shd w:val="clear" w:color="auto" w:fill="EDEDED"/>
          </w:tcPr>
          <w:p>
            <w:pPr>
              <w:spacing w:after="0"/>
              <w:rPr>
                <w:sz w:val="23"/>
                <w:szCs w:val="23"/>
                <w:color w:val="auto"/>
              </w:rPr>
            </w:pPr>
          </w:p>
        </w:tc>
        <w:tc>
          <w:tcPr>
            <w:tcW w:w="1040" w:type="dxa"/>
            <w:vAlign w:val="bottom"/>
            <w:shd w:val="clear" w:color="auto" w:fill="EDEDED"/>
          </w:tcPr>
          <w:p>
            <w:pPr>
              <w:spacing w:after="0"/>
              <w:rPr>
                <w:sz w:val="23"/>
                <w:szCs w:val="23"/>
                <w:color w:val="auto"/>
              </w:rPr>
            </w:pPr>
          </w:p>
        </w:tc>
        <w:tc>
          <w:tcPr>
            <w:tcW w:w="1520" w:type="dxa"/>
            <w:vAlign w:val="bottom"/>
            <w:shd w:val="clear" w:color="auto" w:fill="EDEDED"/>
          </w:tcPr>
          <w:p>
            <w:pPr>
              <w:jc w:val="right"/>
              <w:ind w:right="77"/>
              <w:spacing w:after="0" w:line="270" w:lineRule="exact"/>
              <w:rPr>
                <w:sz w:val="20"/>
                <w:szCs w:val="20"/>
                <w:color w:val="auto"/>
              </w:rPr>
            </w:pPr>
            <w:r>
              <w:rPr>
                <w:rFonts w:ascii="Arial" w:cs="Arial" w:eastAsia="Arial" w:hAnsi="Arial"/>
                <w:sz w:val="18"/>
                <w:szCs w:val="18"/>
                <w:color w:val="auto"/>
              </w:rPr>
              <w:t>17,054</w:t>
            </w:r>
            <w:r>
              <w:rPr>
                <w:rFonts w:ascii="Arial" w:cs="Arial" w:eastAsia="Arial" w:hAnsi="Arial"/>
                <w:sz w:val="29"/>
                <w:szCs w:val="29"/>
                <w:color w:val="auto"/>
                <w:vertAlign w:val="superscript"/>
              </w:rPr>
              <w:t>(13)</w:t>
            </w:r>
          </w:p>
        </w:tc>
        <w:tc>
          <w:tcPr>
            <w:tcW w:w="1200" w:type="dxa"/>
            <w:vAlign w:val="bottom"/>
            <w:shd w:val="clear" w:color="auto" w:fill="EDEDED"/>
          </w:tcPr>
          <w:p>
            <w:pPr>
              <w:jc w:val="right"/>
              <w:ind w:right="56"/>
              <w:spacing w:after="0"/>
              <w:rPr>
                <w:sz w:val="20"/>
                <w:szCs w:val="20"/>
                <w:color w:val="auto"/>
              </w:rPr>
            </w:pPr>
            <w:r>
              <w:rPr>
                <w:rFonts w:ascii="Arial" w:cs="Arial" w:eastAsia="Arial" w:hAnsi="Arial"/>
                <w:sz w:val="18"/>
                <w:szCs w:val="18"/>
                <w:color w:val="auto"/>
              </w:rPr>
              <w:t>2,266,428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-6934200</wp:posOffset>
            </wp:positionV>
            <wp:extent cx="37801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120015</wp:posOffset>
            </wp:positionV>
            <wp:extent cx="4800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72" w:lineRule="exact"/>
        <w:rPr>
          <w:sz w:val="20"/>
          <w:szCs w:val="20"/>
          <w:color w:val="auto"/>
        </w:rPr>
      </w:pPr>
    </w:p>
    <w:p>
      <w:pPr>
        <w:ind w:left="860" w:hanging="352"/>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stock awards referenced in this table were granted under our 2012 Equity Incentive Plan.</w:t>
      </w:r>
    </w:p>
    <w:p>
      <w:pPr>
        <w:spacing w:after="0" w:line="103" w:lineRule="exact"/>
        <w:rPr>
          <w:rFonts w:ascii="Arial" w:cs="Arial" w:eastAsia="Arial" w:hAnsi="Arial"/>
          <w:sz w:val="18"/>
          <w:szCs w:val="18"/>
          <w:color w:val="auto"/>
        </w:rPr>
      </w:pPr>
    </w:p>
    <w:p>
      <w:pPr>
        <w:ind w:left="860" w:hanging="352"/>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awards in this column consist of unvested time-based RSUs.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0" w:name="page71"/>
    <w:bookmarkEnd w:id="70"/>
    <w:p>
      <w:pPr>
        <w:jc w:val="both"/>
        <w:ind w:left="860" w:right="519" w:hanging="352"/>
        <w:spacing w:after="0" w:line="252"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Values reported were computed by multiplying (i) $132.90, the closing price per share on the Nasdaq Stock Market of our common stock on December 31, 2025, the last business day of fiscal 2025, by (ii) the number of shares or units of stock.</w:t>
      </w:r>
    </w:p>
    <w:p>
      <w:pPr>
        <w:spacing w:after="0" w:line="62"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2026.</w:t>
      </w:r>
    </w:p>
    <w:p>
      <w:pPr>
        <w:spacing w:after="0" w:line="45" w:lineRule="exact"/>
        <w:rPr>
          <w:rFonts w:ascii="Arial" w:cs="Arial" w:eastAsia="Arial" w:hAnsi="Arial"/>
          <w:sz w:val="18"/>
          <w:szCs w:val="18"/>
          <w:color w:val="auto"/>
        </w:rPr>
      </w:pPr>
    </w:p>
    <w:p>
      <w:pPr>
        <w:jc w:val="both"/>
        <w:ind w:left="860" w:right="519" w:hanging="352"/>
        <w:spacing w:after="0" w:line="237"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this PRSU award is a multi-year PRSU award with one-year performance periods covering the calendar years 2025, 2026, and 2027,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134.57% of the target number of PRSUs allocated to the tranche became eligible to vest based on the actual annual revenue growth rate and the adjusted EBITDA margin result for calendar year 2025. Among these unvested shares, 100% of the 134.57% were vested when the performance was certified in February 2026 and the 34.57% exceeding the 100% target will be vested and released when the third year performance is certified, subject to the applicable named executive officer’s continuous service with the Company.</w:t>
      </w:r>
    </w:p>
    <w:p>
      <w:pPr>
        <w:spacing w:after="0" w:line="81" w:lineRule="exact"/>
        <w:rPr>
          <w:rFonts w:ascii="Arial" w:cs="Arial" w:eastAsia="Arial" w:hAnsi="Arial"/>
          <w:sz w:val="18"/>
          <w:szCs w:val="18"/>
          <w:color w:val="auto"/>
        </w:rPr>
      </w:pPr>
    </w:p>
    <w:p>
      <w:pPr>
        <w:jc w:val="both"/>
        <w:ind w:left="860" w:right="519" w:hanging="352"/>
        <w:spacing w:after="0" w:line="237"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this PRSU award is a multi-year PRSU award with one-year performance periods covering the calendar years 2024, 2025, and 2026,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second tranche, 134.57% of the target number of PRSUs allocated to the tranche became eligible to vest based on the actual annual revenue growth rate and the adjusted EBITDA margin result for calendar year 2025. Among these unvested shares, 100% of the 134.57% were vested when the performance was certified in February 2026 and the 34.57% exceeding the 100% target will be vested and released when the third year performance is certified, subject to the applicable named executive officer’s continuous service with the Company.</w:t>
      </w:r>
    </w:p>
    <w:p>
      <w:pPr>
        <w:spacing w:after="0" w:line="81" w:lineRule="exact"/>
        <w:rPr>
          <w:rFonts w:ascii="Arial" w:cs="Arial" w:eastAsia="Arial" w:hAnsi="Arial"/>
          <w:sz w:val="18"/>
          <w:szCs w:val="18"/>
          <w:color w:val="auto"/>
        </w:rPr>
      </w:pPr>
    </w:p>
    <w:p>
      <w:pPr>
        <w:jc w:val="both"/>
        <w:ind w:left="860" w:right="519" w:hanging="352"/>
        <w:spacing w:after="0" w:line="238"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this PRSU award is a multi-year PRSU award with one-year performance periods covering the calendar years 2023, 2024, and 2025,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134.57% of the target number of PRSUs allocated to the tranche became eligible to vest based on the actual annual revenue growth rate and the adjusted EBITDA margin result for calendar year 2025, all of which vested when the performance was certified in February 2026.</w:t>
      </w:r>
    </w:p>
    <w:p>
      <w:pPr>
        <w:spacing w:after="0" w:line="77"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2025.</w:t>
      </w:r>
    </w:p>
    <w:p>
      <w:pPr>
        <w:spacing w:after="0" w:line="45"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this PRSU award is a multi-year PRSU award with one-year performance periods covering the calendar years 2024, 2025, and 2026,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102.6% of the target number of PRSUs allocated to the tranche became eligible to vest based on the actual annual revenue growth rate and the adjusted EBITDA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1" w:name="page72"/>
    <w:bookmarkEnd w:id="71"/>
    <w:p>
      <w:pPr>
        <w:jc w:val="both"/>
        <w:ind w:left="860" w:right="519"/>
        <w:spacing w:after="0" w:line="246" w:lineRule="auto"/>
        <w:rPr>
          <w:sz w:val="20"/>
          <w:szCs w:val="20"/>
          <w:color w:val="auto"/>
        </w:rPr>
      </w:pPr>
      <w:r>
        <w:rPr>
          <w:rFonts w:ascii="Arial" w:cs="Arial" w:eastAsia="Arial" w:hAnsi="Arial"/>
          <w:sz w:val="18"/>
          <w:szCs w:val="18"/>
          <w:color w:val="auto"/>
        </w:rPr>
        <w:t>margin result for calendar year 2024. Among these unvested shares, 100% of the 102.6% were vested when the performance was certified in February 2026 and the 2.6% exceeding the 100% target will be vested and released when the third year performance is certified, subject to the applicable named executive officer’s continuous service with the Company.</w:t>
      </w:r>
    </w:p>
    <w:p>
      <w:pPr>
        <w:spacing w:after="0" w:line="69" w:lineRule="exact"/>
        <w:rPr>
          <w:sz w:val="20"/>
          <w:szCs w:val="20"/>
          <w:color w:val="auto"/>
        </w:rPr>
      </w:pPr>
    </w:p>
    <w:p>
      <w:pPr>
        <w:jc w:val="both"/>
        <w:ind w:left="860" w:right="519" w:hanging="352"/>
        <w:spacing w:after="0" w:line="238"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discussed above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this PRSU award is a multi-year PRSU award with one-year performance periods covering the calendar years 2023, 2024, and 2025,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second tranche, 102.6% of the target number of PRSUs allocated to the tranche became eligible to vest based on the actual annual revenue growth rate and the adjusted EBITDA margin result for calendar year 2024. Among these unvested shares, 100% of the 102.6% were vested when the performance was certified in January 2025 and the 2.6% exceeding the 100% target vested when the performance of the third tranche was certified in February 2026.</w:t>
      </w:r>
    </w:p>
    <w:p>
      <w:pPr>
        <w:spacing w:after="0" w:line="72"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2024.</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2023.</w:t>
      </w:r>
    </w:p>
    <w:p>
      <w:pPr>
        <w:spacing w:after="0" w:line="45" w:lineRule="exact"/>
        <w:rPr>
          <w:rFonts w:ascii="Arial" w:cs="Arial" w:eastAsia="Arial" w:hAnsi="Arial"/>
          <w:sz w:val="18"/>
          <w:szCs w:val="18"/>
          <w:color w:val="auto"/>
        </w:rPr>
      </w:pPr>
    </w:p>
    <w:p>
      <w:pPr>
        <w:jc w:val="both"/>
        <w:ind w:left="860" w:right="519" w:hanging="352"/>
        <w:spacing w:after="0" w:line="237"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these columns represent PRSUs for which the applicable performance metrics had not been established as of December 31, 2025. In accordance with applicable accounting and SEC rules, these amounts do not appear in the Summary Compensation Table or Grants of Plan-Based Awards Table. Amounts are shown at target levels; actual amounts earned, if any, will be based on achievement of performance metrics for 2026, 2027 or 2028 (once established), as applicable. For Mr. Thakar, represents (i) 62,705 PRSUs representing target potential payout remaining from awards approved on October 30, 2025; (ii) 41,024 PRSUs representing target potential payout remaining from awards approved on October 30, 2024; and</w:t>
      </w:r>
    </w:p>
    <w:p>
      <w:pPr>
        <w:spacing w:after="0" w:line="2" w:lineRule="exact"/>
        <w:rPr>
          <w:rFonts w:ascii="Arial" w:cs="Arial" w:eastAsia="Arial" w:hAnsi="Arial"/>
          <w:sz w:val="18"/>
          <w:szCs w:val="18"/>
          <w:color w:val="auto"/>
        </w:rPr>
      </w:pPr>
    </w:p>
    <w:p>
      <w:pPr>
        <w:jc w:val="both"/>
        <w:ind w:left="860" w:right="519" w:hanging="1"/>
        <w:spacing w:after="0" w:line="237" w:lineRule="auto"/>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15,585 PRSUs representing target potential payout remaining from awards approved on October 26, 2023. For Ms. Kim, represents (i) 15,049 PRSUs representing target potential payout remaining from awards approved on October 30, 2025; (ii) 9,846 PRSUs representing target potential payout remaining from awards approved on October 30, 2024; and (iii) 3,754 PRSUs representing target potential payout remaining from awards approved on October 26, 2023. For Mr. Posey, represents (i) 8,955 PRSUs representing target potential payout remaining from awards approved on October 30, 2025; (ii) 5,859 PRSUs representing target potential payout remaining from awards approved on October 30, 2024; and (iii) 2,240 PRSUs representing target potential payout remaining from awards approved on October 26, 2023.</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2" w:name="page73"/>
    <w:bookmarkEnd w:id="72"/>
    <w:p>
      <w:pPr>
        <w:ind w:left="500"/>
        <w:spacing w:after="0"/>
        <w:rPr>
          <w:sz w:val="20"/>
          <w:szCs w:val="20"/>
          <w:color w:val="auto"/>
        </w:rPr>
      </w:pPr>
      <w:r>
        <w:rPr>
          <w:rFonts w:ascii="Arial" w:cs="Arial" w:eastAsia="Arial" w:hAnsi="Arial"/>
          <w:sz w:val="18"/>
          <w:szCs w:val="18"/>
          <w:b w:val="1"/>
          <w:bCs w:val="1"/>
          <w:color w:val="auto"/>
        </w:rPr>
        <w:t>Option Exercises and Stock Vested in 2025 Table</w:t>
      </w:r>
    </w:p>
    <w:p>
      <w:pPr>
        <w:spacing w:after="0" w:line="10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following table sets forth the number of shares of common stock acquired during 2025 by our named executive officers upon the exercise of stock options and the vesting of restricted stock unit awards and the value realized upon such exercise or vesting.</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95"/>
        </w:trPr>
        <w:tc>
          <w:tcPr>
            <w:tcW w:w="3780" w:type="dxa"/>
            <w:vAlign w:val="bottom"/>
            <w:shd w:val="clear" w:color="auto" w:fill="1D3965"/>
          </w:tcPr>
          <w:p>
            <w:pPr>
              <w:spacing w:after="0"/>
              <w:rPr>
                <w:sz w:val="24"/>
                <w:szCs w:val="24"/>
                <w:color w:val="auto"/>
              </w:rPr>
            </w:pPr>
          </w:p>
        </w:tc>
        <w:tc>
          <w:tcPr>
            <w:tcW w:w="2040" w:type="dxa"/>
            <w:vAlign w:val="bottom"/>
            <w:gridSpan w:val="2"/>
            <w:shd w:val="clear" w:color="auto" w:fill="1D3965"/>
          </w:tcPr>
          <w:p>
            <w:pPr>
              <w:ind w:left="600"/>
              <w:spacing w:after="0"/>
              <w:rPr>
                <w:sz w:val="20"/>
                <w:szCs w:val="20"/>
                <w:color w:val="auto"/>
              </w:rPr>
            </w:pPr>
            <w:r>
              <w:rPr>
                <w:rFonts w:ascii="Arial" w:cs="Arial" w:eastAsia="Arial" w:hAnsi="Arial"/>
                <w:sz w:val="14"/>
                <w:szCs w:val="14"/>
                <w:b w:val="1"/>
                <w:bCs w:val="1"/>
                <w:color w:val="FFFFFF"/>
              </w:rPr>
              <w:t>Option Awards</w:t>
            </w:r>
          </w:p>
        </w:tc>
        <w:tc>
          <w:tcPr>
            <w:tcW w:w="2120" w:type="dxa"/>
            <w:vAlign w:val="bottom"/>
            <w:gridSpan w:val="2"/>
            <w:shd w:val="clear" w:color="auto" w:fill="1D3965"/>
          </w:tcPr>
          <w:p>
            <w:pPr>
              <w:jc w:val="right"/>
              <w:ind w:right="423"/>
              <w:spacing w:after="0"/>
              <w:rPr>
                <w:sz w:val="20"/>
                <w:szCs w:val="20"/>
                <w:color w:val="auto"/>
              </w:rPr>
            </w:pPr>
            <w:r>
              <w:rPr>
                <w:rFonts w:ascii="Arial" w:cs="Arial" w:eastAsia="Arial" w:hAnsi="Arial"/>
                <w:sz w:val="14"/>
                <w:szCs w:val="14"/>
                <w:b w:val="1"/>
                <w:bCs w:val="1"/>
                <w:color w:val="FFFFFF"/>
              </w:rPr>
              <w:t>Stock Awards</w:t>
            </w:r>
          </w:p>
        </w:tc>
        <w:tc>
          <w:tcPr>
            <w:tcW w:w="60" w:type="dxa"/>
            <w:vAlign w:val="bottom"/>
            <w:shd w:val="clear" w:color="auto" w:fill="1D3965"/>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shd w:val="clear" w:color="auto" w:fill="1D3965"/>
          </w:tcPr>
          <w:p>
            <w:pPr>
              <w:spacing w:after="0"/>
              <w:rPr>
                <w:sz w:val="15"/>
                <w:szCs w:val="15"/>
                <w:color w:val="auto"/>
              </w:rPr>
            </w:pPr>
          </w:p>
        </w:tc>
        <w:tc>
          <w:tcPr>
            <w:tcW w:w="1080" w:type="dxa"/>
            <w:vAlign w:val="bottom"/>
            <w:shd w:val="clear" w:color="auto" w:fill="1D3965"/>
          </w:tcPr>
          <w:p>
            <w:pPr>
              <w:jc w:val="center"/>
              <w:ind w:left="43"/>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1D3965"/>
          </w:tcPr>
          <w:p>
            <w:pPr>
              <w:spacing w:after="0"/>
              <w:rPr>
                <w:sz w:val="15"/>
                <w:szCs w:val="15"/>
                <w:color w:val="auto"/>
              </w:rPr>
            </w:pPr>
          </w:p>
        </w:tc>
        <w:tc>
          <w:tcPr>
            <w:tcW w:w="108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1D3965"/>
          </w:tcPr>
          <w:p>
            <w:pPr>
              <w:spacing w:after="0"/>
              <w:rPr>
                <w:sz w:val="15"/>
                <w:szCs w:val="15"/>
                <w:color w:val="auto"/>
              </w:rPr>
            </w:pPr>
          </w:p>
        </w:tc>
        <w:tc>
          <w:tcPr>
            <w:tcW w:w="60" w:type="dxa"/>
            <w:vAlign w:val="bottom"/>
            <w:shd w:val="clear" w:color="auto" w:fill="1D396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1D3965"/>
          </w:tcPr>
          <w:p>
            <w:pPr>
              <w:spacing w:after="0"/>
              <w:rPr>
                <w:sz w:val="14"/>
                <w:szCs w:val="14"/>
                <w:color w:val="auto"/>
              </w:rPr>
            </w:pPr>
          </w:p>
        </w:tc>
        <w:tc>
          <w:tcPr>
            <w:tcW w:w="1080" w:type="dxa"/>
            <w:vAlign w:val="bottom"/>
            <w:shd w:val="clear" w:color="auto" w:fill="1D3965"/>
          </w:tcPr>
          <w:p>
            <w:pPr>
              <w:jc w:val="center"/>
              <w:ind w:left="43"/>
              <w:spacing w:after="0"/>
              <w:rPr>
                <w:sz w:val="20"/>
                <w:szCs w:val="20"/>
                <w:color w:val="auto"/>
              </w:rPr>
            </w:pPr>
            <w:r>
              <w:rPr>
                <w:rFonts w:ascii="Arial" w:cs="Arial" w:eastAsia="Arial" w:hAnsi="Arial"/>
                <w:sz w:val="14"/>
                <w:szCs w:val="14"/>
                <w:b w:val="1"/>
                <w:bCs w:val="1"/>
                <w:color w:val="FFFFFF"/>
              </w:rPr>
              <w:t>Shares</w:t>
            </w:r>
          </w:p>
        </w:tc>
        <w:tc>
          <w:tcPr>
            <w:tcW w:w="960" w:type="dxa"/>
            <w:vAlign w:val="bottom"/>
            <w:vMerge w:val="restart"/>
            <w:shd w:val="clear" w:color="auto" w:fill="1D3965"/>
          </w:tcPr>
          <w:p>
            <w:pPr>
              <w:jc w:val="center"/>
              <w:ind w:left="23"/>
              <w:spacing w:after="0"/>
              <w:rPr>
                <w:sz w:val="20"/>
                <w:szCs w:val="20"/>
                <w:color w:val="auto"/>
              </w:rPr>
            </w:pPr>
            <w:r>
              <w:rPr>
                <w:rFonts w:ascii="Arial" w:cs="Arial" w:eastAsia="Arial" w:hAnsi="Arial"/>
                <w:sz w:val="14"/>
                <w:szCs w:val="14"/>
                <w:b w:val="1"/>
                <w:bCs w:val="1"/>
                <w:color w:val="FFFFFF"/>
              </w:rPr>
              <w:t>Value</w:t>
            </w:r>
          </w:p>
        </w:tc>
        <w:tc>
          <w:tcPr>
            <w:tcW w:w="108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rPr>
              <w:t>Shares</w:t>
            </w:r>
          </w:p>
        </w:tc>
        <w:tc>
          <w:tcPr>
            <w:tcW w:w="1040" w:type="dxa"/>
            <w:vAlign w:val="bottom"/>
            <w:vMerge w:val="restart"/>
            <w:shd w:val="clear" w:color="auto" w:fill="1D3965"/>
          </w:tcPr>
          <w:p>
            <w:pPr>
              <w:jc w:val="center"/>
              <w:ind w:left="3"/>
              <w:spacing w:after="0"/>
              <w:rPr>
                <w:sz w:val="20"/>
                <w:szCs w:val="20"/>
                <w:color w:val="auto"/>
              </w:rPr>
            </w:pPr>
            <w:r>
              <w:rPr>
                <w:rFonts w:ascii="Arial" w:cs="Arial" w:eastAsia="Arial" w:hAnsi="Arial"/>
                <w:sz w:val="14"/>
                <w:szCs w:val="14"/>
                <w:b w:val="1"/>
                <w:bCs w:val="1"/>
                <w:color w:val="FFFFFF"/>
                <w:w w:val="96"/>
              </w:rPr>
              <w:t>Value</w:t>
            </w:r>
          </w:p>
        </w:tc>
        <w:tc>
          <w:tcPr>
            <w:tcW w:w="60" w:type="dxa"/>
            <w:vAlign w:val="bottom"/>
            <w:shd w:val="clear" w:color="auto" w:fill="1D3965"/>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1D3965"/>
          </w:tcPr>
          <w:p>
            <w:pPr>
              <w:spacing w:after="0"/>
              <w:rPr>
                <w:sz w:val="12"/>
                <w:szCs w:val="12"/>
                <w:color w:val="auto"/>
              </w:rPr>
            </w:pPr>
          </w:p>
        </w:tc>
        <w:tc>
          <w:tcPr>
            <w:tcW w:w="1080" w:type="dxa"/>
            <w:vAlign w:val="bottom"/>
            <w:shd w:val="clear" w:color="auto" w:fill="1D3965"/>
          </w:tcPr>
          <w:p>
            <w:pPr>
              <w:jc w:val="center"/>
              <w:ind w:left="63"/>
              <w:spacing w:after="0" w:line="145" w:lineRule="exact"/>
              <w:rPr>
                <w:sz w:val="20"/>
                <w:szCs w:val="20"/>
                <w:color w:val="auto"/>
              </w:rPr>
            </w:pPr>
            <w:r>
              <w:rPr>
                <w:rFonts w:ascii="Arial" w:cs="Arial" w:eastAsia="Arial" w:hAnsi="Arial"/>
                <w:sz w:val="14"/>
                <w:szCs w:val="14"/>
                <w:b w:val="1"/>
                <w:bCs w:val="1"/>
                <w:color w:val="FFFFFF"/>
              </w:rPr>
              <w:t>Acquired</w:t>
            </w:r>
          </w:p>
        </w:tc>
        <w:tc>
          <w:tcPr>
            <w:tcW w:w="960" w:type="dxa"/>
            <w:vAlign w:val="bottom"/>
            <w:vMerge w:val="continue"/>
            <w:shd w:val="clear" w:color="auto" w:fill="1D3965"/>
          </w:tcPr>
          <w:p>
            <w:pPr>
              <w:spacing w:after="0"/>
              <w:rPr>
                <w:sz w:val="12"/>
                <w:szCs w:val="12"/>
                <w:color w:val="auto"/>
              </w:rPr>
            </w:pPr>
          </w:p>
        </w:tc>
        <w:tc>
          <w:tcPr>
            <w:tcW w:w="1080" w:type="dxa"/>
            <w:vAlign w:val="bottom"/>
            <w:shd w:val="clear" w:color="auto" w:fill="1D3965"/>
          </w:tcPr>
          <w:p>
            <w:pPr>
              <w:jc w:val="center"/>
              <w:ind w:left="43"/>
              <w:spacing w:after="0" w:line="145" w:lineRule="exact"/>
              <w:rPr>
                <w:sz w:val="20"/>
                <w:szCs w:val="20"/>
                <w:color w:val="auto"/>
              </w:rPr>
            </w:pPr>
            <w:r>
              <w:rPr>
                <w:rFonts w:ascii="Arial" w:cs="Arial" w:eastAsia="Arial" w:hAnsi="Arial"/>
                <w:sz w:val="14"/>
                <w:szCs w:val="14"/>
                <w:b w:val="1"/>
                <w:bCs w:val="1"/>
                <w:color w:val="FFFFFF"/>
              </w:rPr>
              <w:t>Acquired</w:t>
            </w:r>
          </w:p>
        </w:tc>
        <w:tc>
          <w:tcPr>
            <w:tcW w:w="1040" w:type="dxa"/>
            <w:vAlign w:val="bottom"/>
            <w:vMerge w:val="continue"/>
            <w:shd w:val="clear" w:color="auto" w:fill="1D3965"/>
          </w:tcPr>
          <w:p>
            <w:pPr>
              <w:spacing w:after="0"/>
              <w:rPr>
                <w:sz w:val="12"/>
                <w:szCs w:val="12"/>
                <w:color w:val="auto"/>
              </w:rPr>
            </w:pPr>
          </w:p>
        </w:tc>
        <w:tc>
          <w:tcPr>
            <w:tcW w:w="60" w:type="dxa"/>
            <w:vAlign w:val="bottom"/>
            <w:shd w:val="clear" w:color="auto" w:fill="1D3965"/>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1D3965"/>
          </w:tcPr>
          <w:p>
            <w:pPr>
              <w:spacing w:after="0"/>
              <w:rPr>
                <w:sz w:val="14"/>
                <w:szCs w:val="14"/>
                <w:color w:val="auto"/>
              </w:rPr>
            </w:pPr>
          </w:p>
        </w:tc>
        <w:tc>
          <w:tcPr>
            <w:tcW w:w="1080" w:type="dxa"/>
            <w:vAlign w:val="bottom"/>
            <w:shd w:val="clear" w:color="auto" w:fill="1D3965"/>
          </w:tcPr>
          <w:p>
            <w:pPr>
              <w:jc w:val="center"/>
              <w:ind w:left="23"/>
              <w:spacing w:after="0"/>
              <w:rPr>
                <w:sz w:val="20"/>
                <w:szCs w:val="20"/>
                <w:color w:val="auto"/>
              </w:rPr>
            </w:pPr>
            <w:r>
              <w:rPr>
                <w:rFonts w:ascii="Arial" w:cs="Arial" w:eastAsia="Arial" w:hAnsi="Arial"/>
                <w:sz w:val="14"/>
                <w:szCs w:val="14"/>
                <w:b w:val="1"/>
                <w:bCs w:val="1"/>
                <w:color w:val="FFFFFF"/>
              </w:rPr>
              <w:t>on</w:t>
            </w:r>
          </w:p>
        </w:tc>
        <w:tc>
          <w:tcPr>
            <w:tcW w:w="960" w:type="dxa"/>
            <w:vAlign w:val="bottom"/>
            <w:shd w:val="clear" w:color="auto" w:fill="1D3965"/>
          </w:tcPr>
          <w:p>
            <w:pPr>
              <w:jc w:val="center"/>
              <w:ind w:left="43"/>
              <w:spacing w:after="0"/>
              <w:rPr>
                <w:sz w:val="20"/>
                <w:szCs w:val="20"/>
                <w:color w:val="auto"/>
              </w:rPr>
            </w:pPr>
            <w:r>
              <w:rPr>
                <w:rFonts w:ascii="Arial" w:cs="Arial" w:eastAsia="Arial" w:hAnsi="Arial"/>
                <w:sz w:val="14"/>
                <w:szCs w:val="14"/>
                <w:b w:val="1"/>
                <w:bCs w:val="1"/>
                <w:color w:val="FFFFFF"/>
              </w:rPr>
              <w:t>Realized on</w:t>
            </w:r>
          </w:p>
        </w:tc>
        <w:tc>
          <w:tcPr>
            <w:tcW w:w="108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w w:val="93"/>
              </w:rPr>
              <w:t>on</w:t>
            </w:r>
          </w:p>
        </w:tc>
        <w:tc>
          <w:tcPr>
            <w:tcW w:w="104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rPr>
              <w:t>Realized on</w:t>
            </w:r>
          </w:p>
        </w:tc>
        <w:tc>
          <w:tcPr>
            <w:tcW w:w="60" w:type="dxa"/>
            <w:vAlign w:val="bottom"/>
            <w:shd w:val="clear" w:color="auto" w:fill="1D396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1D3965"/>
          </w:tcPr>
          <w:p>
            <w:pPr>
              <w:spacing w:after="0"/>
              <w:rPr>
                <w:sz w:val="14"/>
                <w:szCs w:val="14"/>
                <w:color w:val="auto"/>
              </w:rPr>
            </w:pPr>
          </w:p>
        </w:tc>
        <w:tc>
          <w:tcPr>
            <w:tcW w:w="1080" w:type="dxa"/>
            <w:vAlign w:val="bottom"/>
            <w:shd w:val="clear" w:color="auto" w:fill="1D3965"/>
          </w:tcPr>
          <w:p>
            <w:pPr>
              <w:jc w:val="center"/>
              <w:ind w:left="43"/>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1D3965"/>
          </w:tcPr>
          <w:p>
            <w:pPr>
              <w:jc w:val="center"/>
              <w:ind w:left="23"/>
              <w:spacing w:after="0"/>
              <w:rPr>
                <w:sz w:val="20"/>
                <w:szCs w:val="20"/>
                <w:color w:val="auto"/>
              </w:rPr>
            </w:pPr>
            <w:r>
              <w:rPr>
                <w:rFonts w:ascii="Arial" w:cs="Arial" w:eastAsia="Arial" w:hAnsi="Arial"/>
                <w:sz w:val="14"/>
                <w:szCs w:val="14"/>
                <w:b w:val="1"/>
                <w:bCs w:val="1"/>
                <w:color w:val="FFFFFF"/>
              </w:rPr>
              <w:t>Exercise</w:t>
            </w:r>
          </w:p>
        </w:tc>
        <w:tc>
          <w:tcPr>
            <w:tcW w:w="108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rPr>
              <w:t>Vesting</w:t>
            </w:r>
          </w:p>
        </w:tc>
        <w:tc>
          <w:tcPr>
            <w:tcW w:w="1040" w:type="dxa"/>
            <w:vAlign w:val="bottom"/>
            <w:shd w:val="clear" w:color="auto" w:fill="1D3965"/>
          </w:tcPr>
          <w:p>
            <w:pPr>
              <w:jc w:val="center"/>
              <w:ind w:left="3"/>
              <w:spacing w:after="0"/>
              <w:rPr>
                <w:sz w:val="20"/>
                <w:szCs w:val="20"/>
                <w:color w:val="auto"/>
              </w:rPr>
            </w:pPr>
            <w:r>
              <w:rPr>
                <w:rFonts w:ascii="Arial" w:cs="Arial" w:eastAsia="Arial" w:hAnsi="Arial"/>
                <w:sz w:val="14"/>
                <w:szCs w:val="14"/>
                <w:b w:val="1"/>
                <w:bCs w:val="1"/>
                <w:color w:val="FFFFFF"/>
              </w:rPr>
              <w:t>Vesting</w:t>
            </w:r>
          </w:p>
        </w:tc>
        <w:tc>
          <w:tcPr>
            <w:tcW w:w="60" w:type="dxa"/>
            <w:vAlign w:val="bottom"/>
            <w:shd w:val="clear" w:color="auto" w:fill="1D3965"/>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1D3965"/>
          </w:tcPr>
          <w:p>
            <w:pPr>
              <w:ind w:left="18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1D3965"/>
          </w:tcPr>
          <w:p>
            <w:pPr>
              <w:jc w:val="center"/>
              <w:ind w:left="63"/>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1D3965"/>
          </w:tcPr>
          <w:p>
            <w:pPr>
              <w:jc w:val="center"/>
              <w:ind w:left="43"/>
              <w:spacing w:after="0" w:line="216" w:lineRule="exact"/>
              <w:rPr>
                <w:sz w:val="20"/>
                <w:szCs w:val="20"/>
                <w:color w:val="auto"/>
              </w:rPr>
            </w:pPr>
            <w:r>
              <w:rPr>
                <w:rFonts w:ascii="Arial" w:cs="Arial" w:eastAsia="Arial" w:hAnsi="Arial"/>
                <w:sz w:val="25"/>
                <w:szCs w:val="25"/>
                <w:b w:val="1"/>
                <w:bCs w:val="1"/>
                <w:color w:val="FFFFFF"/>
                <w:w w:val="94"/>
                <w:vertAlign w:val="subscript"/>
              </w:rPr>
              <w:t>($)</w:t>
            </w:r>
            <w:r>
              <w:rPr>
                <w:rFonts w:ascii="Arial" w:cs="Arial" w:eastAsia="Arial" w:hAnsi="Arial"/>
                <w:sz w:val="11"/>
                <w:szCs w:val="11"/>
                <w:b w:val="1"/>
                <w:bCs w:val="1"/>
                <w:color w:val="FFFFFF"/>
                <w:w w:val="94"/>
              </w:rPr>
              <w:t>(1)</w:t>
            </w:r>
          </w:p>
        </w:tc>
        <w:tc>
          <w:tcPr>
            <w:tcW w:w="1080" w:type="dxa"/>
            <w:vAlign w:val="bottom"/>
            <w:shd w:val="clear" w:color="auto" w:fill="1D3965"/>
          </w:tcPr>
          <w:p>
            <w:pPr>
              <w:jc w:val="center"/>
              <w:ind w:left="43"/>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1D3965"/>
          </w:tcPr>
          <w:p>
            <w:pPr>
              <w:jc w:val="center"/>
              <w:ind w:left="43"/>
              <w:spacing w:after="0" w:line="216" w:lineRule="exact"/>
              <w:rPr>
                <w:sz w:val="20"/>
                <w:szCs w:val="20"/>
                <w:color w:val="auto"/>
              </w:rPr>
            </w:pPr>
            <w:r>
              <w:rPr>
                <w:rFonts w:ascii="Arial" w:cs="Arial" w:eastAsia="Arial" w:hAnsi="Arial"/>
                <w:sz w:val="25"/>
                <w:szCs w:val="25"/>
                <w:b w:val="1"/>
                <w:bCs w:val="1"/>
                <w:color w:val="FFFFFF"/>
                <w:w w:val="94"/>
                <w:vertAlign w:val="subscript"/>
              </w:rPr>
              <w:t>($)</w:t>
            </w:r>
            <w:r>
              <w:rPr>
                <w:rFonts w:ascii="Arial" w:cs="Arial" w:eastAsia="Arial" w:hAnsi="Arial"/>
                <w:sz w:val="11"/>
                <w:szCs w:val="11"/>
                <w:b w:val="1"/>
                <w:bCs w:val="1"/>
                <w:color w:val="FFFFFF"/>
                <w:w w:val="94"/>
              </w:rPr>
              <w:t>(2)</w:t>
            </w:r>
          </w:p>
        </w:tc>
        <w:tc>
          <w:tcPr>
            <w:tcW w:w="60" w:type="dxa"/>
            <w:vAlign w:val="bottom"/>
            <w:shd w:val="clear" w:color="auto" w:fill="1D396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Arial" w:cs="Arial" w:eastAsia="Arial" w:hAnsi="Arial"/>
                <w:sz w:val="18"/>
                <w:szCs w:val="18"/>
                <w:color w:val="auto"/>
              </w:rPr>
              <w:t>Sumedh S. Thakar</w:t>
            </w:r>
          </w:p>
        </w:tc>
        <w:tc>
          <w:tcPr>
            <w:tcW w:w="1080" w:type="dxa"/>
            <w:vAlign w:val="bottom"/>
          </w:tcPr>
          <w:p>
            <w:pPr>
              <w:jc w:val="right"/>
              <w:ind w:right="103"/>
              <w:spacing w:after="0"/>
              <w:rPr>
                <w:sz w:val="20"/>
                <w:szCs w:val="20"/>
                <w:color w:val="auto"/>
              </w:rPr>
            </w:pPr>
            <w:r>
              <w:rPr>
                <w:rFonts w:ascii="Arial" w:cs="Arial" w:eastAsia="Arial" w:hAnsi="Arial"/>
                <w:sz w:val="18"/>
                <w:szCs w:val="18"/>
                <w:color w:val="auto"/>
              </w:rPr>
              <w:t>80,000</w:t>
            </w:r>
          </w:p>
        </w:tc>
        <w:tc>
          <w:tcPr>
            <w:tcW w:w="960" w:type="dxa"/>
            <w:vAlign w:val="bottom"/>
          </w:tcPr>
          <w:p>
            <w:pPr>
              <w:jc w:val="center"/>
              <w:ind w:left="43"/>
              <w:spacing w:after="0"/>
              <w:rPr>
                <w:sz w:val="20"/>
                <w:szCs w:val="20"/>
                <w:color w:val="auto"/>
              </w:rPr>
            </w:pPr>
            <w:r>
              <w:rPr>
                <w:rFonts w:ascii="Arial" w:cs="Arial" w:eastAsia="Arial" w:hAnsi="Arial"/>
                <w:sz w:val="18"/>
                <w:szCs w:val="18"/>
                <w:color w:val="auto"/>
                <w:w w:val="99"/>
              </w:rPr>
              <w:t>8,762,615</w:t>
            </w:r>
          </w:p>
        </w:tc>
        <w:tc>
          <w:tcPr>
            <w:tcW w:w="1080" w:type="dxa"/>
            <w:vAlign w:val="bottom"/>
          </w:tcPr>
          <w:p>
            <w:pPr>
              <w:jc w:val="right"/>
              <w:ind w:right="83"/>
              <w:spacing w:after="0"/>
              <w:rPr>
                <w:sz w:val="20"/>
                <w:szCs w:val="20"/>
                <w:color w:val="auto"/>
              </w:rPr>
            </w:pPr>
            <w:r>
              <w:rPr>
                <w:rFonts w:ascii="Arial" w:cs="Arial" w:eastAsia="Arial" w:hAnsi="Arial"/>
                <w:sz w:val="18"/>
                <w:szCs w:val="18"/>
                <w:color w:val="auto"/>
              </w:rPr>
              <w:t>103,215</w:t>
            </w:r>
          </w:p>
        </w:tc>
        <w:tc>
          <w:tcPr>
            <w:tcW w:w="1040" w:type="dxa"/>
            <w:vAlign w:val="bottom"/>
          </w:tcPr>
          <w:p>
            <w:pPr>
              <w:jc w:val="right"/>
              <w:spacing w:after="0"/>
              <w:rPr>
                <w:sz w:val="20"/>
                <w:szCs w:val="20"/>
                <w:color w:val="auto"/>
              </w:rPr>
            </w:pPr>
            <w:r>
              <w:rPr>
                <w:rFonts w:ascii="Arial" w:cs="Arial" w:eastAsia="Arial" w:hAnsi="Arial"/>
                <w:sz w:val="18"/>
                <w:szCs w:val="18"/>
                <w:color w:val="auto"/>
              </w:rPr>
              <w:t>13,752,125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108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83"/>
              <w:spacing w:after="0"/>
              <w:rPr>
                <w:sz w:val="20"/>
                <w:szCs w:val="20"/>
                <w:color w:val="auto"/>
              </w:rPr>
            </w:pPr>
            <w:r>
              <w:rPr>
                <w:rFonts w:ascii="Arial" w:cs="Arial" w:eastAsia="Arial" w:hAnsi="Arial"/>
                <w:sz w:val="18"/>
                <w:szCs w:val="18"/>
                <w:color w:val="auto"/>
              </w:rPr>
              <w:t>46,203</w:t>
            </w:r>
          </w:p>
        </w:tc>
        <w:tc>
          <w:tcPr>
            <w:tcW w:w="1040" w:type="dxa"/>
            <w:vAlign w:val="bottom"/>
          </w:tcPr>
          <w:p>
            <w:pPr>
              <w:jc w:val="right"/>
              <w:spacing w:after="0"/>
              <w:rPr>
                <w:sz w:val="20"/>
                <w:szCs w:val="20"/>
                <w:color w:val="auto"/>
              </w:rPr>
            </w:pPr>
            <w:r>
              <w:rPr>
                <w:rFonts w:ascii="Arial" w:cs="Arial" w:eastAsia="Arial" w:hAnsi="Arial"/>
                <w:sz w:val="18"/>
                <w:szCs w:val="18"/>
                <w:color w:val="auto"/>
              </w:rPr>
              <w:t>6,045,497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180"/>
              <w:spacing w:after="0"/>
              <w:rPr>
                <w:sz w:val="20"/>
                <w:szCs w:val="20"/>
                <w:color w:val="auto"/>
              </w:rPr>
            </w:pPr>
            <w:r>
              <w:rPr>
                <w:rFonts w:ascii="Arial" w:cs="Arial" w:eastAsia="Arial" w:hAnsi="Arial"/>
                <w:sz w:val="18"/>
                <w:szCs w:val="18"/>
                <w:color w:val="auto"/>
              </w:rPr>
              <w:t>Bruce K. Posey</w:t>
            </w:r>
          </w:p>
        </w:tc>
        <w:tc>
          <w:tcPr>
            <w:tcW w:w="108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83"/>
              <w:spacing w:after="0"/>
              <w:rPr>
                <w:sz w:val="20"/>
                <w:szCs w:val="20"/>
                <w:color w:val="auto"/>
              </w:rPr>
            </w:pPr>
            <w:r>
              <w:rPr>
                <w:rFonts w:ascii="Arial" w:cs="Arial" w:eastAsia="Arial" w:hAnsi="Arial"/>
                <w:sz w:val="18"/>
                <w:szCs w:val="18"/>
                <w:color w:val="auto"/>
              </w:rPr>
              <w:t>27,809</w:t>
            </w:r>
          </w:p>
        </w:tc>
        <w:tc>
          <w:tcPr>
            <w:tcW w:w="1040" w:type="dxa"/>
            <w:vAlign w:val="bottom"/>
          </w:tcPr>
          <w:p>
            <w:pPr>
              <w:jc w:val="right"/>
              <w:spacing w:after="0"/>
              <w:rPr>
                <w:sz w:val="20"/>
                <w:szCs w:val="20"/>
                <w:color w:val="auto"/>
              </w:rPr>
            </w:pPr>
            <w:r>
              <w:rPr>
                <w:rFonts w:ascii="Arial" w:cs="Arial" w:eastAsia="Arial" w:hAnsi="Arial"/>
                <w:sz w:val="18"/>
                <w:szCs w:val="18"/>
                <w:color w:val="auto"/>
              </w:rPr>
              <w:t>3,639,888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-1090930</wp:posOffset>
            </wp:positionV>
            <wp:extent cx="25114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1142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48895</wp:posOffset>
            </wp:positionV>
            <wp:extent cx="4800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60" w:lineRule="exact"/>
        <w:rPr>
          <w:sz w:val="20"/>
          <w:szCs w:val="20"/>
          <w:color w:val="auto"/>
        </w:rPr>
      </w:pPr>
    </w:p>
    <w:p>
      <w:pPr>
        <w:jc w:val="both"/>
        <w:ind w:left="860" w:right="519" w:hanging="352"/>
        <w:spacing w:after="0" w:line="24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65" w:lineRule="exact"/>
        <w:rPr>
          <w:rFonts w:ascii="Arial" w:cs="Arial" w:eastAsia="Arial" w:hAnsi="Arial"/>
          <w:sz w:val="18"/>
          <w:szCs w:val="18"/>
          <w:color w:val="auto"/>
        </w:rPr>
      </w:pPr>
    </w:p>
    <w:p>
      <w:pPr>
        <w:jc w:val="both"/>
        <w:ind w:left="860" w:right="519" w:hanging="352"/>
        <w:spacing w:after="0" w:line="253"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33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04"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2025.</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Executive Severance Policy</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October 2025, our Compensation and Talent Committee approved an Executive Severance Policy. Except as otherwise set forth therein, the Executive Severance Policy supersedes any prior agreement or arrangement the named executive officers may have had with us that provided for severance and/or change in control payments or benefits (other than any existing vesting acceleration benefits upon a termination of employment due to death or disability or as specifically set forth in any equity award agreement).</w:t>
      </w:r>
    </w:p>
    <w:p>
      <w:pPr>
        <w:spacing w:after="0" w:line="179"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Under the Executive Severance Policy, in the event a named executive officer’s employment is terminated by the Company for any reason other than by reason of death, disability or for cause (as defined in the Executive Severance Policy), the named executive officer will receive the following benefits:</w:t>
      </w:r>
    </w:p>
    <w:p>
      <w:pPr>
        <w:spacing w:after="0" w:line="66" w:lineRule="exact"/>
        <w:rPr>
          <w:sz w:val="20"/>
          <w:szCs w:val="20"/>
          <w:color w:val="auto"/>
        </w:rPr>
      </w:pPr>
    </w:p>
    <w:p>
      <w:pPr>
        <w:jc w:val="both"/>
        <w:ind w:left="1220" w:right="519" w:hanging="280"/>
        <w:spacing w:after="0" w:line="228" w:lineRule="auto"/>
        <w:tabs>
          <w:tab w:leader="none" w:pos="122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severance pay equal to (i) in the case of Mr. Thakar, an amount equal to the sum of 12 months of his annual base salary, and 100% of his annual target bonus, or (ii) in the case of each of the other named executive officers, (A) 3 months of the named executive officer’s annual base salary, if he or she has been employed by us for less than 1 year, (B) 6 months of the named executive officer’s annual base salary, if he or she has been employed by us for at least 1 year but not more than 5 years, or (C) the sum of 9 months of the named executive officer’s annual base salary and 50% of the named executive officer’s annual target bonus, if he or she has been employed by us for more than 5 years;</w:t>
      </w:r>
    </w:p>
    <w:p>
      <w:pPr>
        <w:spacing w:after="0" w:line="78" w:lineRule="exact"/>
        <w:rPr>
          <w:rFonts w:ascii="Arial" w:cs="Arial" w:eastAsia="Arial" w:hAnsi="Arial"/>
          <w:sz w:val="25"/>
          <w:szCs w:val="25"/>
          <w:color w:val="auto"/>
          <w:vertAlign w:val="superscript"/>
        </w:rPr>
      </w:pPr>
    </w:p>
    <w:p>
      <w:pPr>
        <w:jc w:val="both"/>
        <w:ind w:left="1220" w:right="519" w:hanging="280"/>
        <w:spacing w:after="0" w:line="220" w:lineRule="auto"/>
        <w:tabs>
          <w:tab w:leader="none" w:pos="122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payment or reimbursement of premiums for coverage under COBRA for the named executive officer and his or her eligible dependents, if any, for up to the number of months of annual base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3" w:name="page74"/>
    <w:bookmarkEnd w:id="73"/>
    <w:p>
      <w:pPr>
        <w:jc w:val="both"/>
        <w:ind w:left="1220" w:right="519"/>
        <w:spacing w:after="0" w:line="252" w:lineRule="auto"/>
        <w:rPr>
          <w:sz w:val="20"/>
          <w:szCs w:val="20"/>
          <w:color w:val="auto"/>
        </w:rPr>
      </w:pPr>
      <w:r>
        <w:rPr>
          <w:rFonts w:ascii="Arial" w:cs="Arial" w:eastAsia="Arial" w:hAnsi="Arial"/>
          <w:sz w:val="18"/>
          <w:szCs w:val="18"/>
          <w:color w:val="auto"/>
        </w:rPr>
        <w:t>salary that the named executive officer is entitled to receive under the previous bullet or taxable monthly payments for the equivalent period in the event payment of the COBRA premiums would violate or be subject to an excise tax under applicable law; and</w:t>
      </w:r>
    </w:p>
    <w:p>
      <w:pPr>
        <w:spacing w:after="0" w:line="63" w:lineRule="exact"/>
        <w:rPr>
          <w:sz w:val="20"/>
          <w:szCs w:val="20"/>
          <w:color w:val="auto"/>
        </w:rPr>
      </w:pPr>
    </w:p>
    <w:p>
      <w:pPr>
        <w:jc w:val="both"/>
        <w:ind w:left="1220" w:right="519" w:hanging="280"/>
        <w:spacing w:after="0" w:line="228" w:lineRule="auto"/>
        <w:tabs>
          <w:tab w:leader="none" w:pos="122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 in the case of Mr. Thakar, 12 months time-based equity acceleration, and vesting of performance-based equity on a pro-rata basis to the extent earned (capped at 100% achievement level) for time served during the applicable performance period, and (ii) in the case of each of the other named executive officers, if such named executive officer has provided to us over 5 years of service, 6 months time-based equity acceleration, and vesting of performance-based equity on a pro-rata basis to the extent earned (capped at 100% achievement level) for time served during the applicable performance period. </w:t>
      </w:r>
    </w:p>
    <w:p>
      <w:pPr>
        <w:spacing w:after="0" w:line="18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In the event a named executive officer’s employment is terminated (i) by the Company for any reason other than for cause, or other than by reason of death or disability, or (ii) by the named executive officer for good reason (as defined in the Executive Severance Policy), in either case, (i) for Mr. Thakar within the period commencing 3 months prior and ending 18 months following a change in control (as defined in the Executive Severance Policy), or (ii) for each of our other named executive officers, within the period commencing 3 months prior to and ending 12 months following a change in control, the named executive officer will receive the following benefits:</w:t>
      </w:r>
    </w:p>
    <w:p>
      <w:pPr>
        <w:spacing w:after="0" w:line="77" w:lineRule="exact"/>
        <w:rPr>
          <w:sz w:val="20"/>
          <w:szCs w:val="20"/>
          <w:color w:val="auto"/>
        </w:rPr>
      </w:pPr>
    </w:p>
    <w:p>
      <w:pPr>
        <w:ind w:left="1220" w:right="519" w:hanging="280"/>
        <w:spacing w:after="0" w:line="214" w:lineRule="auto"/>
        <w:tabs>
          <w:tab w:leader="none" w:pos="122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severance pay equal to 100% (or in Mr. Thakar’s case, 150%) of the named executive officer’s annual base salary and target annual bonus;</w:t>
      </w:r>
    </w:p>
    <w:p>
      <w:pPr>
        <w:spacing w:after="0" w:line="72" w:lineRule="exact"/>
        <w:rPr>
          <w:rFonts w:ascii="Arial" w:cs="Arial" w:eastAsia="Arial" w:hAnsi="Arial"/>
          <w:sz w:val="25"/>
          <w:szCs w:val="25"/>
          <w:color w:val="auto"/>
          <w:vertAlign w:val="superscript"/>
        </w:rPr>
      </w:pPr>
    </w:p>
    <w:p>
      <w:pPr>
        <w:jc w:val="both"/>
        <w:ind w:left="1220" w:right="519" w:hanging="280"/>
        <w:spacing w:after="0" w:line="225" w:lineRule="auto"/>
        <w:tabs>
          <w:tab w:leader="none" w:pos="122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payment or reimbursement of premiums for coverage under COBRA for the named executive officer and his or her eligible dependents, if any, for up to 12 months (or in Mr. Thakar’s case, 18 months) or taxable monthly payments for the equivalent period in the event payment of the COBRA premiums would violate or be subject to an excise tax under applicable law; and</w:t>
      </w:r>
    </w:p>
    <w:p>
      <w:pPr>
        <w:spacing w:after="0" w:line="74" w:lineRule="exact"/>
        <w:rPr>
          <w:rFonts w:ascii="Arial" w:cs="Arial" w:eastAsia="Arial" w:hAnsi="Arial"/>
          <w:sz w:val="25"/>
          <w:szCs w:val="25"/>
          <w:color w:val="auto"/>
          <w:vertAlign w:val="superscript"/>
        </w:rPr>
      </w:pPr>
    </w:p>
    <w:p>
      <w:pPr>
        <w:jc w:val="both"/>
        <w:ind w:left="1220" w:right="519" w:hanging="280"/>
        <w:spacing w:after="0" w:line="223" w:lineRule="auto"/>
        <w:tabs>
          <w:tab w:leader="none" w:pos="122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accelerated vesting and exercisability as to 100% of any then-unvested equity awards, with performance-based equity awards vesting at target levels of performance for future performance periods. The payout will include already achieved cumulative performance over 100% up to the end of the prior performance period.</w:t>
      </w:r>
    </w:p>
    <w:p>
      <w:pPr>
        <w:spacing w:after="0" w:line="18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Severance benefits under the Executive Severance Policy are subject to the effectiveness (and non-revocation) of a release of claims in favor of the Company and related persons and entities in a form and manner satisfactory to the Company and, return of property within 60 days of the qualified termination of employment, and continued compliance with confidentiality and non-disparagement requirements.</w:t>
      </w:r>
    </w:p>
    <w:p>
      <w:pPr>
        <w:spacing w:after="0" w:line="176"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the event any payment to a named executive officer would be subject to the excise tax imposed by Section 4999 of the Internal Revenue Code (as a result of a payment being classified as a parachute payment under Section 280G of the Internal Revenue Code), such payments will be reduced so that the named executive officer would not be subject to the excise tax, but only if such reduction would result in a greater after tax benefit to the named executive officer than receipt of such payments.</w:t>
      </w:r>
    </w:p>
    <w:p>
      <w:pPr>
        <w:spacing w:after="0" w:line="26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Equity Award Agreements</w:t>
      </w:r>
    </w:p>
    <w:p>
      <w:pPr>
        <w:spacing w:after="0" w:line="102"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For the equity awards held by Mr. Thakar, Ms. Kim, and Mr. Posey that were outstanding and unvested in 2025, the award agreement governing each such awards provides that if the applicable named executive officer’s employment is terminated by reason of death or disability, then 100% of the then -unvested RSUs will accelerate, and for any PRSUs as to which the achievement of the relevant performance goals has not yet been certified, 100% of the target number of PRSUs will accelerate.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4" w:name="page75"/>
    <w:bookmarkEnd w:id="74"/>
    <w:p>
      <w:pPr>
        <w:jc w:val="both"/>
        <w:ind w:left="500" w:right="519" w:firstLine="360"/>
        <w:spacing w:after="0" w:line="252" w:lineRule="auto"/>
        <w:rPr>
          <w:sz w:val="20"/>
          <w:szCs w:val="20"/>
          <w:color w:val="auto"/>
        </w:rPr>
      </w:pPr>
      <w:r>
        <w:rPr>
          <w:rFonts w:ascii="Arial" w:cs="Arial" w:eastAsia="Arial" w:hAnsi="Arial"/>
          <w:sz w:val="18"/>
          <w:szCs w:val="18"/>
          <w:color w:val="auto"/>
        </w:rPr>
        <w:t>Other than to the extent specific treatment is provided for in the applicable award agreement, these awards are governed by the Executive Severance Policy, which is described above in the section entitled “</w:t>
      </w:r>
      <w:r>
        <w:rPr>
          <w:rFonts w:ascii="Arial" w:cs="Arial" w:eastAsia="Arial" w:hAnsi="Arial"/>
          <w:sz w:val="18"/>
          <w:szCs w:val="18"/>
          <w:i w:val="1"/>
          <w:iCs w:val="1"/>
          <w:color w:val="auto"/>
        </w:rPr>
        <w:t>Executive Severance Policy.</w:t>
      </w:r>
      <w:r>
        <w:rPr>
          <w:rFonts w:ascii="Arial" w:cs="Arial" w:eastAsia="Arial" w:hAnsi="Arial"/>
          <w:sz w:val="18"/>
          <w:szCs w:val="18"/>
          <w:color w:val="auto"/>
        </w:rPr>
        <w:t>”</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10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2025 (the last business day of 2025) and based on the $132.90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2025, the price per share of our common stock on the date of the triggering event may be higher or lower than $132.90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137" w:lineRule="exact"/>
        <w:rPr>
          <w:sz w:val="20"/>
          <w:szCs w:val="20"/>
          <w:color w:val="auto"/>
        </w:rPr>
      </w:pPr>
    </w:p>
    <w:tbl>
      <w:tblPr>
        <w:tblLayout w:type="fixed"/>
        <w:tblInd w:w="500" w:type="dxa"/>
        <w:tblCellMar>
          <w:top w:w="0" w:type="dxa"/>
          <w:left w:w="0" w:type="dxa"/>
          <w:bottom w:w="0" w:type="dxa"/>
          <w:right w:w="0" w:type="dxa"/>
        </w:tblCellMar>
      </w:tblPr>
      <w:tr>
        <w:trPr>
          <w:trHeight w:val="258"/>
        </w:trPr>
        <w:tc>
          <w:tcPr>
            <w:tcW w:w="2000" w:type="dxa"/>
            <w:vAlign w:val="bottom"/>
            <w:shd w:val="clear" w:color="auto" w:fill="1D3965"/>
          </w:tcPr>
          <w:p>
            <w:pPr>
              <w:spacing w:after="0"/>
              <w:rPr>
                <w:sz w:val="22"/>
                <w:szCs w:val="22"/>
                <w:color w:val="auto"/>
              </w:rPr>
            </w:pPr>
          </w:p>
        </w:tc>
        <w:tc>
          <w:tcPr>
            <w:tcW w:w="120" w:type="dxa"/>
            <w:vAlign w:val="bottom"/>
            <w:shd w:val="clear" w:color="auto" w:fill="1D3965"/>
          </w:tcPr>
          <w:p>
            <w:pPr>
              <w:spacing w:after="0"/>
              <w:rPr>
                <w:sz w:val="22"/>
                <w:szCs w:val="22"/>
                <w:color w:val="auto"/>
              </w:rPr>
            </w:pPr>
          </w:p>
        </w:tc>
        <w:tc>
          <w:tcPr>
            <w:tcW w:w="2080" w:type="dxa"/>
            <w:vAlign w:val="bottom"/>
            <w:shd w:val="clear" w:color="auto" w:fill="1D3965"/>
          </w:tcPr>
          <w:p>
            <w:pPr>
              <w:spacing w:after="0"/>
              <w:rPr>
                <w:sz w:val="22"/>
                <w:szCs w:val="22"/>
                <w:color w:val="auto"/>
              </w:rPr>
            </w:pPr>
          </w:p>
        </w:tc>
        <w:tc>
          <w:tcPr>
            <w:tcW w:w="140" w:type="dxa"/>
            <w:vAlign w:val="bottom"/>
            <w:shd w:val="clear" w:color="auto" w:fill="1D3965"/>
          </w:tcPr>
          <w:p>
            <w:pPr>
              <w:spacing w:after="0"/>
              <w:rPr>
                <w:sz w:val="22"/>
                <w:szCs w:val="22"/>
                <w:color w:val="auto"/>
              </w:rPr>
            </w:pPr>
          </w:p>
        </w:tc>
        <w:tc>
          <w:tcPr>
            <w:tcW w:w="200" w:type="dxa"/>
            <w:vAlign w:val="bottom"/>
            <w:shd w:val="clear" w:color="auto" w:fill="1D3965"/>
          </w:tcPr>
          <w:p>
            <w:pPr>
              <w:spacing w:after="0"/>
              <w:rPr>
                <w:sz w:val="22"/>
                <w:szCs w:val="22"/>
                <w:color w:val="auto"/>
              </w:rPr>
            </w:pPr>
          </w:p>
        </w:tc>
        <w:tc>
          <w:tcPr>
            <w:tcW w:w="2340" w:type="dxa"/>
            <w:vAlign w:val="bottom"/>
            <w:gridSpan w:val="6"/>
            <w:shd w:val="clear" w:color="auto" w:fill="1D3965"/>
          </w:tcPr>
          <w:p>
            <w:pPr>
              <w:jc w:val="right"/>
              <w:ind w:right="680"/>
              <w:spacing w:after="0"/>
              <w:rPr>
                <w:sz w:val="20"/>
                <w:szCs w:val="20"/>
                <w:color w:val="auto"/>
              </w:rPr>
            </w:pPr>
            <w:r>
              <w:rPr>
                <w:rFonts w:ascii="Arial" w:cs="Arial" w:eastAsia="Arial" w:hAnsi="Arial"/>
                <w:sz w:val="14"/>
                <w:szCs w:val="14"/>
                <w:b w:val="1"/>
                <w:bCs w:val="1"/>
                <w:color w:val="FFFFFF"/>
              </w:rPr>
              <w:t>Upon a Qualifying</w:t>
            </w:r>
          </w:p>
        </w:tc>
        <w:tc>
          <w:tcPr>
            <w:tcW w:w="140" w:type="dxa"/>
            <w:vAlign w:val="bottom"/>
            <w:shd w:val="clear" w:color="auto" w:fill="1D3965"/>
          </w:tcPr>
          <w:p>
            <w:pPr>
              <w:spacing w:after="0"/>
              <w:rPr>
                <w:sz w:val="22"/>
                <w:szCs w:val="22"/>
                <w:color w:val="auto"/>
              </w:rPr>
            </w:pPr>
          </w:p>
        </w:tc>
        <w:tc>
          <w:tcPr>
            <w:tcW w:w="880" w:type="dxa"/>
            <w:vAlign w:val="bottom"/>
            <w:shd w:val="clear" w:color="auto" w:fill="1D3965"/>
          </w:tcPr>
          <w:p>
            <w:pPr>
              <w:spacing w:after="0"/>
              <w:rPr>
                <w:sz w:val="22"/>
                <w:szCs w:val="22"/>
                <w:color w:val="auto"/>
              </w:rPr>
            </w:pPr>
          </w:p>
        </w:tc>
        <w:tc>
          <w:tcPr>
            <w:tcW w:w="100" w:type="dxa"/>
            <w:vAlign w:val="bottom"/>
            <w:shd w:val="clear" w:color="auto" w:fill="1D3965"/>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00" w:type="dxa"/>
            <w:vAlign w:val="bottom"/>
            <w:shd w:val="clear" w:color="auto" w:fill="1D3965"/>
          </w:tcPr>
          <w:p>
            <w:pPr>
              <w:spacing w:after="0"/>
              <w:rPr>
                <w:sz w:val="22"/>
                <w:szCs w:val="22"/>
                <w:color w:val="auto"/>
              </w:rPr>
            </w:pPr>
          </w:p>
        </w:tc>
        <w:tc>
          <w:tcPr>
            <w:tcW w:w="120" w:type="dxa"/>
            <w:vAlign w:val="bottom"/>
            <w:shd w:val="clear" w:color="auto" w:fill="1D3965"/>
          </w:tcPr>
          <w:p>
            <w:pPr>
              <w:spacing w:after="0"/>
              <w:rPr>
                <w:sz w:val="22"/>
                <w:szCs w:val="22"/>
                <w:color w:val="auto"/>
              </w:rPr>
            </w:pPr>
          </w:p>
        </w:tc>
        <w:tc>
          <w:tcPr>
            <w:tcW w:w="2080" w:type="dxa"/>
            <w:vAlign w:val="bottom"/>
            <w:shd w:val="clear" w:color="auto" w:fill="1D3965"/>
          </w:tcPr>
          <w:p>
            <w:pPr>
              <w:spacing w:after="0"/>
              <w:rPr>
                <w:sz w:val="22"/>
                <w:szCs w:val="22"/>
                <w:color w:val="auto"/>
              </w:rPr>
            </w:pPr>
          </w:p>
        </w:tc>
        <w:tc>
          <w:tcPr>
            <w:tcW w:w="140" w:type="dxa"/>
            <w:vAlign w:val="bottom"/>
            <w:shd w:val="clear" w:color="auto" w:fill="1D3965"/>
          </w:tcPr>
          <w:p>
            <w:pPr>
              <w:spacing w:after="0"/>
              <w:rPr>
                <w:sz w:val="22"/>
                <w:szCs w:val="22"/>
                <w:color w:val="auto"/>
              </w:rPr>
            </w:pPr>
          </w:p>
        </w:tc>
        <w:tc>
          <w:tcPr>
            <w:tcW w:w="200" w:type="dxa"/>
            <w:vAlign w:val="bottom"/>
            <w:shd w:val="clear" w:color="auto" w:fill="1D3965"/>
          </w:tcPr>
          <w:p>
            <w:pPr>
              <w:spacing w:after="0"/>
              <w:rPr>
                <w:sz w:val="22"/>
                <w:szCs w:val="22"/>
                <w:color w:val="auto"/>
              </w:rPr>
            </w:pPr>
          </w:p>
        </w:tc>
        <w:tc>
          <w:tcPr>
            <w:tcW w:w="2340" w:type="dxa"/>
            <w:vAlign w:val="bottom"/>
            <w:gridSpan w:val="6"/>
            <w:shd w:val="clear" w:color="auto" w:fill="1D3965"/>
          </w:tcPr>
          <w:p>
            <w:pPr>
              <w:jc w:val="right"/>
              <w:ind w:right="260"/>
              <w:spacing w:after="0" w:line="255" w:lineRule="exact"/>
              <w:rPr>
                <w:sz w:val="20"/>
                <w:szCs w:val="20"/>
                <w:color w:val="auto"/>
              </w:rPr>
            </w:pPr>
            <w:r>
              <w:rPr>
                <w:rFonts w:ascii="Arial" w:cs="Arial" w:eastAsia="Arial" w:hAnsi="Arial"/>
                <w:sz w:val="14"/>
                <w:szCs w:val="14"/>
                <w:b w:val="1"/>
                <w:bCs w:val="1"/>
                <w:color w:val="FFFFFF"/>
              </w:rPr>
              <w:t>Termination of Employment</w:t>
            </w:r>
            <w:r>
              <w:rPr>
                <w:rFonts w:ascii="Arial" w:cs="Arial" w:eastAsia="Arial" w:hAnsi="Arial"/>
                <w:sz w:val="23"/>
                <w:szCs w:val="23"/>
                <w:b w:val="1"/>
                <w:bCs w:val="1"/>
                <w:color w:val="FFFFFF"/>
                <w:vertAlign w:val="superscript"/>
              </w:rPr>
              <w:t>(1)</w:t>
            </w:r>
          </w:p>
        </w:tc>
        <w:tc>
          <w:tcPr>
            <w:tcW w:w="140" w:type="dxa"/>
            <w:vAlign w:val="bottom"/>
            <w:shd w:val="clear" w:color="auto" w:fill="1D3965"/>
          </w:tcPr>
          <w:p>
            <w:pPr>
              <w:spacing w:after="0"/>
              <w:rPr>
                <w:sz w:val="22"/>
                <w:szCs w:val="22"/>
                <w:color w:val="auto"/>
              </w:rPr>
            </w:pPr>
          </w:p>
        </w:tc>
        <w:tc>
          <w:tcPr>
            <w:tcW w:w="880" w:type="dxa"/>
            <w:vAlign w:val="bottom"/>
            <w:shd w:val="clear" w:color="auto" w:fill="1D3965"/>
          </w:tcPr>
          <w:p>
            <w:pPr>
              <w:spacing w:after="0"/>
              <w:rPr>
                <w:sz w:val="22"/>
                <w:szCs w:val="22"/>
                <w:color w:val="auto"/>
              </w:rPr>
            </w:pPr>
          </w:p>
        </w:tc>
        <w:tc>
          <w:tcPr>
            <w:tcW w:w="100" w:type="dxa"/>
            <w:vAlign w:val="bottom"/>
            <w:shd w:val="clear" w:color="auto" w:fill="1D3965"/>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1D3965"/>
          </w:tcPr>
          <w:p>
            <w:pPr>
              <w:spacing w:after="0"/>
              <w:rPr>
                <w:sz w:val="15"/>
                <w:szCs w:val="15"/>
                <w:color w:val="auto"/>
              </w:rPr>
            </w:pPr>
          </w:p>
        </w:tc>
        <w:tc>
          <w:tcPr>
            <w:tcW w:w="120" w:type="dxa"/>
            <w:vAlign w:val="bottom"/>
            <w:shd w:val="clear" w:color="auto" w:fill="1D3965"/>
          </w:tcPr>
          <w:p>
            <w:pPr>
              <w:spacing w:after="0"/>
              <w:rPr>
                <w:sz w:val="15"/>
                <w:szCs w:val="15"/>
                <w:color w:val="auto"/>
              </w:rPr>
            </w:pPr>
          </w:p>
        </w:tc>
        <w:tc>
          <w:tcPr>
            <w:tcW w:w="2080" w:type="dxa"/>
            <w:vAlign w:val="bottom"/>
            <w:shd w:val="clear" w:color="auto" w:fill="1D3965"/>
          </w:tcPr>
          <w:p>
            <w:pPr>
              <w:spacing w:after="0"/>
              <w:rPr>
                <w:sz w:val="15"/>
                <w:szCs w:val="15"/>
                <w:color w:val="auto"/>
              </w:rPr>
            </w:pPr>
          </w:p>
        </w:tc>
        <w:tc>
          <w:tcPr>
            <w:tcW w:w="140" w:type="dxa"/>
            <w:vAlign w:val="bottom"/>
            <w:shd w:val="clear" w:color="auto" w:fill="1D3965"/>
          </w:tcPr>
          <w:p>
            <w:pPr>
              <w:spacing w:after="0"/>
              <w:rPr>
                <w:sz w:val="15"/>
                <w:szCs w:val="15"/>
                <w:color w:val="auto"/>
              </w:rPr>
            </w:pPr>
          </w:p>
        </w:tc>
        <w:tc>
          <w:tcPr>
            <w:tcW w:w="200" w:type="dxa"/>
            <w:vAlign w:val="bottom"/>
            <w:shd w:val="clear" w:color="auto" w:fill="1D3965"/>
          </w:tcPr>
          <w:p>
            <w:pPr>
              <w:spacing w:after="0"/>
              <w:rPr>
                <w:sz w:val="15"/>
                <w:szCs w:val="15"/>
                <w:color w:val="auto"/>
              </w:rPr>
            </w:pPr>
          </w:p>
        </w:tc>
        <w:tc>
          <w:tcPr>
            <w:tcW w:w="1080" w:type="dxa"/>
            <w:vAlign w:val="bottom"/>
            <w:gridSpan w:val="3"/>
            <w:shd w:val="clear" w:color="auto" w:fill="1D3965"/>
          </w:tcPr>
          <w:p>
            <w:pPr>
              <w:jc w:val="center"/>
              <w:ind w:right="240"/>
              <w:spacing w:after="0"/>
              <w:rPr>
                <w:sz w:val="20"/>
                <w:szCs w:val="20"/>
                <w:color w:val="auto"/>
              </w:rPr>
            </w:pPr>
            <w:r>
              <w:rPr>
                <w:rFonts w:ascii="Arial" w:cs="Arial" w:eastAsia="Arial" w:hAnsi="Arial"/>
                <w:sz w:val="14"/>
                <w:szCs w:val="14"/>
                <w:b w:val="1"/>
                <w:bCs w:val="1"/>
                <w:color w:val="FFFFFF"/>
              </w:rPr>
              <w:t>Not in</w:t>
            </w:r>
          </w:p>
        </w:tc>
        <w:tc>
          <w:tcPr>
            <w:tcW w:w="180" w:type="dxa"/>
            <w:vAlign w:val="bottom"/>
            <w:shd w:val="clear" w:color="auto" w:fill="1D3965"/>
          </w:tcPr>
          <w:p>
            <w:pPr>
              <w:spacing w:after="0"/>
              <w:rPr>
                <w:sz w:val="15"/>
                <w:szCs w:val="15"/>
                <w:color w:val="auto"/>
              </w:rPr>
            </w:pPr>
          </w:p>
        </w:tc>
        <w:tc>
          <w:tcPr>
            <w:tcW w:w="880" w:type="dxa"/>
            <w:vAlign w:val="bottom"/>
            <w:shd w:val="clear" w:color="auto" w:fill="1D3965"/>
          </w:tcPr>
          <w:p>
            <w:pPr>
              <w:spacing w:after="0"/>
              <w:rPr>
                <w:sz w:val="15"/>
                <w:szCs w:val="15"/>
                <w:color w:val="auto"/>
              </w:rPr>
            </w:pPr>
          </w:p>
        </w:tc>
        <w:tc>
          <w:tcPr>
            <w:tcW w:w="200" w:type="dxa"/>
            <w:vAlign w:val="bottom"/>
            <w:shd w:val="clear" w:color="auto" w:fill="1D3965"/>
          </w:tcPr>
          <w:p>
            <w:pPr>
              <w:spacing w:after="0"/>
              <w:rPr>
                <w:sz w:val="15"/>
                <w:szCs w:val="15"/>
                <w:color w:val="auto"/>
              </w:rPr>
            </w:pPr>
          </w:p>
        </w:tc>
        <w:tc>
          <w:tcPr>
            <w:tcW w:w="140" w:type="dxa"/>
            <w:vAlign w:val="bottom"/>
            <w:shd w:val="clear" w:color="auto" w:fill="1D3965"/>
          </w:tcPr>
          <w:p>
            <w:pPr>
              <w:spacing w:after="0"/>
              <w:rPr>
                <w:sz w:val="15"/>
                <w:szCs w:val="15"/>
                <w:color w:val="auto"/>
              </w:rPr>
            </w:pPr>
          </w:p>
        </w:tc>
        <w:tc>
          <w:tcPr>
            <w:tcW w:w="880" w:type="dxa"/>
            <w:vAlign w:val="bottom"/>
            <w:shd w:val="clear" w:color="auto" w:fill="1D3965"/>
          </w:tcPr>
          <w:p>
            <w:pPr>
              <w:spacing w:after="0"/>
              <w:rPr>
                <w:sz w:val="15"/>
                <w:szCs w:val="15"/>
                <w:color w:val="auto"/>
              </w:rPr>
            </w:pPr>
          </w:p>
        </w:tc>
        <w:tc>
          <w:tcPr>
            <w:tcW w:w="100" w:type="dxa"/>
            <w:vAlign w:val="bottom"/>
            <w:shd w:val="clear" w:color="auto" w:fill="1D396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1D3965"/>
          </w:tcPr>
          <w:p>
            <w:pPr>
              <w:spacing w:after="0"/>
              <w:rPr>
                <w:sz w:val="14"/>
                <w:szCs w:val="14"/>
                <w:color w:val="auto"/>
              </w:rPr>
            </w:pPr>
          </w:p>
        </w:tc>
        <w:tc>
          <w:tcPr>
            <w:tcW w:w="120" w:type="dxa"/>
            <w:vAlign w:val="bottom"/>
            <w:shd w:val="clear" w:color="auto" w:fill="1D3965"/>
          </w:tcPr>
          <w:p>
            <w:pPr>
              <w:spacing w:after="0"/>
              <w:rPr>
                <w:sz w:val="14"/>
                <w:szCs w:val="14"/>
                <w:color w:val="auto"/>
              </w:rPr>
            </w:pPr>
          </w:p>
        </w:tc>
        <w:tc>
          <w:tcPr>
            <w:tcW w:w="2080" w:type="dxa"/>
            <w:vAlign w:val="bottom"/>
            <w:shd w:val="clear" w:color="auto" w:fill="1D3965"/>
          </w:tcPr>
          <w:p>
            <w:pPr>
              <w:spacing w:after="0"/>
              <w:rPr>
                <w:sz w:val="14"/>
                <w:szCs w:val="14"/>
                <w:color w:val="auto"/>
              </w:rPr>
            </w:pPr>
          </w:p>
        </w:tc>
        <w:tc>
          <w:tcPr>
            <w:tcW w:w="140" w:type="dxa"/>
            <w:vAlign w:val="bottom"/>
            <w:shd w:val="clear" w:color="auto" w:fill="1D3965"/>
          </w:tcPr>
          <w:p>
            <w:pPr>
              <w:spacing w:after="0"/>
              <w:rPr>
                <w:sz w:val="14"/>
                <w:szCs w:val="14"/>
                <w:color w:val="auto"/>
              </w:rPr>
            </w:pPr>
          </w:p>
        </w:tc>
        <w:tc>
          <w:tcPr>
            <w:tcW w:w="200" w:type="dxa"/>
            <w:vAlign w:val="bottom"/>
            <w:shd w:val="clear" w:color="auto" w:fill="1D3965"/>
          </w:tcPr>
          <w:p>
            <w:pPr>
              <w:spacing w:after="0"/>
              <w:rPr>
                <w:sz w:val="14"/>
                <w:szCs w:val="14"/>
                <w:color w:val="auto"/>
              </w:rPr>
            </w:pPr>
          </w:p>
        </w:tc>
        <w:tc>
          <w:tcPr>
            <w:tcW w:w="1080" w:type="dxa"/>
            <w:vAlign w:val="bottom"/>
            <w:gridSpan w:val="3"/>
            <w:shd w:val="clear" w:color="auto" w:fill="1D3965"/>
          </w:tcPr>
          <w:p>
            <w:pPr>
              <w:jc w:val="center"/>
              <w:ind w:right="240"/>
              <w:spacing w:after="0"/>
              <w:rPr>
                <w:sz w:val="20"/>
                <w:szCs w:val="20"/>
                <w:color w:val="auto"/>
              </w:rPr>
            </w:pPr>
            <w:r>
              <w:rPr>
                <w:rFonts w:ascii="Arial" w:cs="Arial" w:eastAsia="Arial" w:hAnsi="Arial"/>
                <w:sz w:val="14"/>
                <w:szCs w:val="14"/>
                <w:b w:val="1"/>
                <w:bCs w:val="1"/>
                <w:color w:val="FFFFFF"/>
              </w:rPr>
              <w:t>Connection</w:t>
            </w:r>
          </w:p>
        </w:tc>
        <w:tc>
          <w:tcPr>
            <w:tcW w:w="1260" w:type="dxa"/>
            <w:vAlign w:val="bottom"/>
            <w:gridSpan w:val="3"/>
            <w:shd w:val="clear" w:color="auto" w:fill="1D3965"/>
          </w:tcPr>
          <w:p>
            <w:pPr>
              <w:jc w:val="center"/>
              <w:ind w:right="60"/>
              <w:spacing w:after="0"/>
              <w:rPr>
                <w:sz w:val="20"/>
                <w:szCs w:val="20"/>
                <w:color w:val="auto"/>
              </w:rPr>
            </w:pPr>
            <w:r>
              <w:rPr>
                <w:rFonts w:ascii="Arial" w:cs="Arial" w:eastAsia="Arial" w:hAnsi="Arial"/>
                <w:sz w:val="14"/>
                <w:szCs w:val="14"/>
                <w:b w:val="1"/>
                <w:bCs w:val="1"/>
                <w:color w:val="FFFFFF"/>
              </w:rPr>
              <w:t>In Connection</w:t>
            </w:r>
          </w:p>
        </w:tc>
        <w:tc>
          <w:tcPr>
            <w:tcW w:w="140" w:type="dxa"/>
            <w:vAlign w:val="bottom"/>
            <w:shd w:val="clear" w:color="auto" w:fill="1D3965"/>
          </w:tcPr>
          <w:p>
            <w:pPr>
              <w:spacing w:after="0"/>
              <w:rPr>
                <w:sz w:val="14"/>
                <w:szCs w:val="14"/>
                <w:color w:val="auto"/>
              </w:rPr>
            </w:pPr>
          </w:p>
        </w:tc>
        <w:tc>
          <w:tcPr>
            <w:tcW w:w="980" w:type="dxa"/>
            <w:vAlign w:val="bottom"/>
            <w:gridSpan w:val="2"/>
            <w:shd w:val="clear" w:color="auto" w:fill="1D3965"/>
          </w:tcPr>
          <w:p>
            <w:pPr>
              <w:jc w:val="center"/>
              <w:ind w:right="120"/>
              <w:spacing w:after="0"/>
              <w:rPr>
                <w:sz w:val="20"/>
                <w:szCs w:val="20"/>
                <w:color w:val="auto"/>
              </w:rPr>
            </w:pPr>
            <w:r>
              <w:rPr>
                <w:rFonts w:ascii="Arial" w:cs="Arial" w:eastAsia="Arial" w:hAnsi="Arial"/>
                <w:sz w:val="14"/>
                <w:szCs w:val="14"/>
                <w:b w:val="1"/>
                <w:bCs w:val="1"/>
                <w:color w:val="FFFFFF"/>
              </w:rPr>
              <w:t>Upon</w:t>
            </w:r>
          </w:p>
        </w:tc>
        <w:tc>
          <w:tcPr>
            <w:tcW w:w="0" w:type="dxa"/>
            <w:vAlign w:val="bottom"/>
          </w:tcPr>
          <w:p>
            <w:pPr>
              <w:spacing w:after="0"/>
              <w:rPr>
                <w:sz w:val="1"/>
                <w:szCs w:val="1"/>
                <w:color w:val="auto"/>
              </w:rPr>
            </w:pPr>
          </w:p>
        </w:tc>
      </w:tr>
      <w:tr>
        <w:trPr>
          <w:trHeight w:val="162"/>
        </w:trPr>
        <w:tc>
          <w:tcPr>
            <w:tcW w:w="2000" w:type="dxa"/>
            <w:vAlign w:val="bottom"/>
            <w:shd w:val="clear" w:color="auto" w:fill="1D3965"/>
          </w:tcPr>
          <w:p>
            <w:pPr>
              <w:spacing w:after="0"/>
              <w:rPr>
                <w:sz w:val="14"/>
                <w:szCs w:val="14"/>
                <w:color w:val="auto"/>
              </w:rPr>
            </w:pPr>
          </w:p>
        </w:tc>
        <w:tc>
          <w:tcPr>
            <w:tcW w:w="120" w:type="dxa"/>
            <w:vAlign w:val="bottom"/>
            <w:shd w:val="clear" w:color="auto" w:fill="1D3965"/>
          </w:tcPr>
          <w:p>
            <w:pPr>
              <w:spacing w:after="0"/>
              <w:rPr>
                <w:sz w:val="14"/>
                <w:szCs w:val="14"/>
                <w:color w:val="auto"/>
              </w:rPr>
            </w:pPr>
          </w:p>
        </w:tc>
        <w:tc>
          <w:tcPr>
            <w:tcW w:w="2080" w:type="dxa"/>
            <w:vAlign w:val="bottom"/>
            <w:shd w:val="clear" w:color="auto" w:fill="1D3965"/>
          </w:tcPr>
          <w:p>
            <w:pPr>
              <w:spacing w:after="0"/>
              <w:rPr>
                <w:sz w:val="14"/>
                <w:szCs w:val="14"/>
                <w:color w:val="auto"/>
              </w:rPr>
            </w:pPr>
          </w:p>
        </w:tc>
        <w:tc>
          <w:tcPr>
            <w:tcW w:w="140" w:type="dxa"/>
            <w:vAlign w:val="bottom"/>
            <w:shd w:val="clear" w:color="auto" w:fill="1D3965"/>
          </w:tcPr>
          <w:p>
            <w:pPr>
              <w:spacing w:after="0"/>
              <w:rPr>
                <w:sz w:val="14"/>
                <w:szCs w:val="14"/>
                <w:color w:val="auto"/>
              </w:rPr>
            </w:pPr>
          </w:p>
        </w:tc>
        <w:tc>
          <w:tcPr>
            <w:tcW w:w="1280" w:type="dxa"/>
            <w:vAlign w:val="bottom"/>
            <w:gridSpan w:val="4"/>
            <w:shd w:val="clear" w:color="auto" w:fill="1D3965"/>
          </w:tcPr>
          <w:p>
            <w:pPr>
              <w:jc w:val="center"/>
              <w:spacing w:after="0"/>
              <w:rPr>
                <w:sz w:val="20"/>
                <w:szCs w:val="20"/>
                <w:color w:val="auto"/>
              </w:rPr>
            </w:pPr>
            <w:r>
              <w:rPr>
                <w:rFonts w:ascii="Arial" w:cs="Arial" w:eastAsia="Arial" w:hAnsi="Arial"/>
                <w:sz w:val="14"/>
                <w:szCs w:val="14"/>
                <w:b w:val="1"/>
                <w:bCs w:val="1"/>
                <w:color w:val="FFFFFF"/>
              </w:rPr>
              <w:t>With a Change</w:t>
            </w:r>
          </w:p>
        </w:tc>
        <w:tc>
          <w:tcPr>
            <w:tcW w:w="1260" w:type="dxa"/>
            <w:vAlign w:val="bottom"/>
            <w:gridSpan w:val="3"/>
            <w:shd w:val="clear" w:color="auto" w:fill="1D3965"/>
          </w:tcPr>
          <w:p>
            <w:pPr>
              <w:jc w:val="center"/>
              <w:ind w:right="20"/>
              <w:spacing w:after="0"/>
              <w:rPr>
                <w:sz w:val="20"/>
                <w:szCs w:val="20"/>
                <w:color w:val="auto"/>
              </w:rPr>
            </w:pPr>
            <w:r>
              <w:rPr>
                <w:rFonts w:ascii="Arial" w:cs="Arial" w:eastAsia="Arial" w:hAnsi="Arial"/>
                <w:sz w:val="14"/>
                <w:szCs w:val="14"/>
                <w:b w:val="1"/>
                <w:bCs w:val="1"/>
                <w:color w:val="FFFFFF"/>
              </w:rPr>
              <w:t>With a Change</w:t>
            </w:r>
          </w:p>
        </w:tc>
        <w:tc>
          <w:tcPr>
            <w:tcW w:w="140" w:type="dxa"/>
            <w:vAlign w:val="bottom"/>
            <w:shd w:val="clear" w:color="auto" w:fill="1D3965"/>
          </w:tcPr>
          <w:p>
            <w:pPr>
              <w:spacing w:after="0"/>
              <w:rPr>
                <w:sz w:val="14"/>
                <w:szCs w:val="14"/>
                <w:color w:val="auto"/>
              </w:rPr>
            </w:pPr>
          </w:p>
        </w:tc>
        <w:tc>
          <w:tcPr>
            <w:tcW w:w="980" w:type="dxa"/>
            <w:vAlign w:val="bottom"/>
            <w:gridSpan w:val="2"/>
            <w:shd w:val="clear" w:color="auto" w:fill="1D3965"/>
          </w:tcPr>
          <w:p>
            <w:pPr>
              <w:jc w:val="center"/>
              <w:ind w:right="120"/>
              <w:spacing w:after="0"/>
              <w:rPr>
                <w:sz w:val="20"/>
                <w:szCs w:val="20"/>
                <w:color w:val="auto"/>
              </w:rPr>
            </w:pPr>
            <w:r>
              <w:rPr>
                <w:rFonts w:ascii="Arial" w:cs="Arial" w:eastAsia="Arial" w:hAnsi="Arial"/>
                <w:sz w:val="14"/>
                <w:szCs w:val="14"/>
                <w:b w:val="1"/>
                <w:bCs w:val="1"/>
                <w:color w:val="FFFFFF"/>
              </w:rPr>
              <w:t>Disability or</w:t>
            </w:r>
          </w:p>
        </w:tc>
        <w:tc>
          <w:tcPr>
            <w:tcW w:w="0" w:type="dxa"/>
            <w:vAlign w:val="bottom"/>
          </w:tcPr>
          <w:p>
            <w:pPr>
              <w:spacing w:after="0"/>
              <w:rPr>
                <w:sz w:val="1"/>
                <w:szCs w:val="1"/>
                <w:color w:val="auto"/>
              </w:rPr>
            </w:pPr>
          </w:p>
        </w:tc>
      </w:tr>
      <w:tr>
        <w:trPr>
          <w:trHeight w:val="159"/>
        </w:trPr>
        <w:tc>
          <w:tcPr>
            <w:tcW w:w="2000" w:type="dxa"/>
            <w:vAlign w:val="bottom"/>
            <w:shd w:val="clear" w:color="auto" w:fill="1D3965"/>
          </w:tcPr>
          <w:p>
            <w:pPr>
              <w:spacing w:after="0"/>
              <w:rPr>
                <w:sz w:val="13"/>
                <w:szCs w:val="13"/>
                <w:color w:val="auto"/>
              </w:rPr>
            </w:pPr>
          </w:p>
        </w:tc>
        <w:tc>
          <w:tcPr>
            <w:tcW w:w="120" w:type="dxa"/>
            <w:vAlign w:val="bottom"/>
            <w:shd w:val="clear" w:color="auto" w:fill="1D3965"/>
          </w:tcPr>
          <w:p>
            <w:pPr>
              <w:spacing w:after="0"/>
              <w:rPr>
                <w:sz w:val="13"/>
                <w:szCs w:val="13"/>
                <w:color w:val="auto"/>
              </w:rPr>
            </w:pPr>
          </w:p>
        </w:tc>
        <w:tc>
          <w:tcPr>
            <w:tcW w:w="2080" w:type="dxa"/>
            <w:vAlign w:val="bottom"/>
            <w:shd w:val="clear" w:color="auto" w:fill="1D3965"/>
          </w:tcPr>
          <w:p>
            <w:pPr>
              <w:spacing w:after="0"/>
              <w:rPr>
                <w:sz w:val="13"/>
                <w:szCs w:val="13"/>
                <w:color w:val="auto"/>
              </w:rPr>
            </w:pPr>
          </w:p>
        </w:tc>
        <w:tc>
          <w:tcPr>
            <w:tcW w:w="140" w:type="dxa"/>
            <w:vAlign w:val="bottom"/>
            <w:shd w:val="clear" w:color="auto" w:fill="1D3965"/>
          </w:tcPr>
          <w:p>
            <w:pPr>
              <w:spacing w:after="0"/>
              <w:rPr>
                <w:sz w:val="13"/>
                <w:szCs w:val="13"/>
                <w:color w:val="auto"/>
              </w:rPr>
            </w:pPr>
          </w:p>
        </w:tc>
        <w:tc>
          <w:tcPr>
            <w:tcW w:w="200" w:type="dxa"/>
            <w:vAlign w:val="bottom"/>
            <w:shd w:val="clear" w:color="auto" w:fill="1D3965"/>
          </w:tcPr>
          <w:p>
            <w:pPr>
              <w:spacing w:after="0"/>
              <w:rPr>
                <w:sz w:val="13"/>
                <w:szCs w:val="13"/>
                <w:color w:val="auto"/>
              </w:rPr>
            </w:pPr>
          </w:p>
        </w:tc>
        <w:tc>
          <w:tcPr>
            <w:tcW w:w="1080" w:type="dxa"/>
            <w:vAlign w:val="bottom"/>
            <w:gridSpan w:val="3"/>
            <w:shd w:val="clear" w:color="auto" w:fill="1D3965"/>
          </w:tcPr>
          <w:p>
            <w:pPr>
              <w:jc w:val="center"/>
              <w:ind w:right="240"/>
              <w:spacing w:after="0" w:line="159" w:lineRule="exact"/>
              <w:rPr>
                <w:sz w:val="20"/>
                <w:szCs w:val="20"/>
                <w:color w:val="auto"/>
              </w:rPr>
            </w:pPr>
            <w:r>
              <w:rPr>
                <w:rFonts w:ascii="Arial" w:cs="Arial" w:eastAsia="Arial" w:hAnsi="Arial"/>
                <w:sz w:val="14"/>
                <w:szCs w:val="14"/>
                <w:b w:val="1"/>
                <w:bCs w:val="1"/>
                <w:color w:val="FFFFFF"/>
              </w:rPr>
              <w:t>in Control</w:t>
            </w:r>
          </w:p>
        </w:tc>
        <w:tc>
          <w:tcPr>
            <w:tcW w:w="180" w:type="dxa"/>
            <w:vAlign w:val="bottom"/>
            <w:shd w:val="clear" w:color="auto" w:fill="1D3965"/>
          </w:tcPr>
          <w:p>
            <w:pPr>
              <w:spacing w:after="0"/>
              <w:rPr>
                <w:sz w:val="13"/>
                <w:szCs w:val="13"/>
                <w:color w:val="auto"/>
              </w:rPr>
            </w:pPr>
          </w:p>
        </w:tc>
        <w:tc>
          <w:tcPr>
            <w:tcW w:w="1080" w:type="dxa"/>
            <w:vAlign w:val="bottom"/>
            <w:gridSpan w:val="2"/>
            <w:shd w:val="clear" w:color="auto" w:fill="1D3965"/>
          </w:tcPr>
          <w:p>
            <w:pPr>
              <w:jc w:val="center"/>
              <w:ind w:right="240"/>
              <w:spacing w:after="0" w:line="159" w:lineRule="exact"/>
              <w:rPr>
                <w:sz w:val="20"/>
                <w:szCs w:val="20"/>
                <w:color w:val="auto"/>
              </w:rPr>
            </w:pPr>
            <w:r>
              <w:rPr>
                <w:rFonts w:ascii="Arial" w:cs="Arial" w:eastAsia="Arial" w:hAnsi="Arial"/>
                <w:sz w:val="14"/>
                <w:szCs w:val="14"/>
                <w:b w:val="1"/>
                <w:bCs w:val="1"/>
                <w:color w:val="FFFFFF"/>
              </w:rPr>
              <w:t>in Control</w:t>
            </w:r>
          </w:p>
        </w:tc>
        <w:tc>
          <w:tcPr>
            <w:tcW w:w="140" w:type="dxa"/>
            <w:vAlign w:val="bottom"/>
            <w:shd w:val="clear" w:color="auto" w:fill="1D3965"/>
          </w:tcPr>
          <w:p>
            <w:pPr>
              <w:spacing w:after="0"/>
              <w:rPr>
                <w:sz w:val="13"/>
                <w:szCs w:val="13"/>
                <w:color w:val="auto"/>
              </w:rPr>
            </w:pPr>
          </w:p>
        </w:tc>
        <w:tc>
          <w:tcPr>
            <w:tcW w:w="980" w:type="dxa"/>
            <w:vAlign w:val="bottom"/>
            <w:gridSpan w:val="2"/>
            <w:shd w:val="clear" w:color="auto" w:fill="1D3965"/>
          </w:tcPr>
          <w:p>
            <w:pPr>
              <w:jc w:val="center"/>
              <w:ind w:right="100"/>
              <w:spacing w:after="0" w:line="159" w:lineRule="exact"/>
              <w:rPr>
                <w:sz w:val="20"/>
                <w:szCs w:val="20"/>
                <w:color w:val="auto"/>
              </w:rPr>
            </w:pPr>
            <w:r>
              <w:rPr>
                <w:rFonts w:ascii="Arial" w:cs="Arial" w:eastAsia="Arial" w:hAnsi="Arial"/>
                <w:sz w:val="14"/>
                <w:szCs w:val="14"/>
                <w:b w:val="1"/>
                <w:bCs w:val="1"/>
                <w:color w:val="FFFFFF"/>
              </w:rPr>
              <w:t>Death</w:t>
            </w:r>
          </w:p>
        </w:tc>
        <w:tc>
          <w:tcPr>
            <w:tcW w:w="0" w:type="dxa"/>
            <w:vAlign w:val="bottom"/>
          </w:tcPr>
          <w:p>
            <w:pPr>
              <w:spacing w:after="0"/>
              <w:rPr>
                <w:sz w:val="1"/>
                <w:szCs w:val="1"/>
                <w:color w:val="auto"/>
              </w:rPr>
            </w:pPr>
          </w:p>
        </w:tc>
      </w:tr>
      <w:tr>
        <w:trPr>
          <w:trHeight w:val="242"/>
        </w:trPr>
        <w:tc>
          <w:tcPr>
            <w:tcW w:w="2000" w:type="dxa"/>
            <w:vAlign w:val="bottom"/>
            <w:shd w:val="clear" w:color="auto" w:fill="1D3965"/>
          </w:tcPr>
          <w:p>
            <w:pPr>
              <w:ind w:left="180"/>
              <w:spacing w:after="0"/>
              <w:rPr>
                <w:sz w:val="20"/>
                <w:szCs w:val="20"/>
                <w:color w:val="auto"/>
              </w:rPr>
            </w:pPr>
            <w:r>
              <w:rPr>
                <w:rFonts w:ascii="Arial" w:cs="Arial" w:eastAsia="Arial" w:hAnsi="Arial"/>
                <w:sz w:val="14"/>
                <w:szCs w:val="14"/>
                <w:b w:val="1"/>
                <w:bCs w:val="1"/>
                <w:color w:val="FFFFFF"/>
              </w:rPr>
              <w:t>Name</w:t>
            </w:r>
          </w:p>
        </w:tc>
        <w:tc>
          <w:tcPr>
            <w:tcW w:w="120" w:type="dxa"/>
            <w:vAlign w:val="bottom"/>
            <w:shd w:val="clear" w:color="auto" w:fill="1D3965"/>
          </w:tcPr>
          <w:p>
            <w:pPr>
              <w:spacing w:after="0"/>
              <w:rPr>
                <w:sz w:val="21"/>
                <w:szCs w:val="21"/>
                <w:color w:val="auto"/>
              </w:rPr>
            </w:pPr>
          </w:p>
        </w:tc>
        <w:tc>
          <w:tcPr>
            <w:tcW w:w="2080" w:type="dxa"/>
            <w:vAlign w:val="bottom"/>
            <w:shd w:val="clear" w:color="auto" w:fill="1D3965"/>
          </w:tcPr>
          <w:p>
            <w:pPr>
              <w:ind w:left="540"/>
              <w:spacing w:after="0"/>
              <w:rPr>
                <w:sz w:val="20"/>
                <w:szCs w:val="20"/>
                <w:color w:val="auto"/>
              </w:rPr>
            </w:pPr>
            <w:r>
              <w:rPr>
                <w:rFonts w:ascii="Arial" w:cs="Arial" w:eastAsia="Arial" w:hAnsi="Arial"/>
                <w:sz w:val="14"/>
                <w:szCs w:val="14"/>
                <w:b w:val="1"/>
                <w:bCs w:val="1"/>
                <w:color w:val="FFFFFF"/>
              </w:rPr>
              <w:t>Type of Benefit</w:t>
            </w:r>
          </w:p>
        </w:tc>
        <w:tc>
          <w:tcPr>
            <w:tcW w:w="1200" w:type="dxa"/>
            <w:vAlign w:val="bottom"/>
            <w:gridSpan w:val="3"/>
            <w:shd w:val="clear" w:color="auto" w:fill="1D3965"/>
          </w:tcPr>
          <w:p>
            <w:pPr>
              <w:jc w:val="center"/>
              <w:ind w:left="274"/>
              <w:spacing w:after="0" w:line="242"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20" w:type="dxa"/>
            <w:vAlign w:val="bottom"/>
            <w:shd w:val="clear" w:color="auto" w:fill="1D3965"/>
          </w:tcPr>
          <w:p>
            <w:pPr>
              <w:spacing w:after="0"/>
              <w:rPr>
                <w:sz w:val="21"/>
                <w:szCs w:val="21"/>
                <w:color w:val="auto"/>
              </w:rPr>
            </w:pPr>
          </w:p>
        </w:tc>
        <w:tc>
          <w:tcPr>
            <w:tcW w:w="200" w:type="dxa"/>
            <w:vAlign w:val="bottom"/>
            <w:shd w:val="clear" w:color="auto" w:fill="1D3965"/>
          </w:tcPr>
          <w:p>
            <w:pPr>
              <w:spacing w:after="0"/>
              <w:rPr>
                <w:sz w:val="21"/>
                <w:szCs w:val="21"/>
                <w:color w:val="auto"/>
              </w:rPr>
            </w:pPr>
          </w:p>
        </w:tc>
        <w:tc>
          <w:tcPr>
            <w:tcW w:w="1060" w:type="dxa"/>
            <w:vAlign w:val="bottom"/>
            <w:gridSpan w:val="2"/>
            <w:shd w:val="clear" w:color="auto" w:fill="1D3965"/>
          </w:tcPr>
          <w:p>
            <w:pPr>
              <w:jc w:val="center"/>
              <w:ind w:left="116"/>
              <w:spacing w:after="0" w:line="242"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12"/>
                <w:szCs w:val="12"/>
                <w:b w:val="1"/>
                <w:bCs w:val="1"/>
                <w:color w:val="FFFFFF"/>
                <w:w w:val="88"/>
              </w:rPr>
              <w:t>(2)(3)</w:t>
            </w:r>
          </w:p>
        </w:tc>
        <w:tc>
          <w:tcPr>
            <w:tcW w:w="200" w:type="dxa"/>
            <w:vAlign w:val="bottom"/>
            <w:shd w:val="clear" w:color="auto" w:fill="1D3965"/>
          </w:tcPr>
          <w:p>
            <w:pPr>
              <w:spacing w:after="0"/>
              <w:rPr>
                <w:sz w:val="21"/>
                <w:szCs w:val="21"/>
                <w:color w:val="auto"/>
              </w:rPr>
            </w:pPr>
          </w:p>
        </w:tc>
        <w:tc>
          <w:tcPr>
            <w:tcW w:w="140" w:type="dxa"/>
            <w:vAlign w:val="bottom"/>
            <w:shd w:val="clear" w:color="auto" w:fill="1D3965"/>
          </w:tcPr>
          <w:p>
            <w:pPr>
              <w:spacing w:after="0"/>
              <w:rPr>
                <w:sz w:val="21"/>
                <w:szCs w:val="21"/>
                <w:color w:val="auto"/>
              </w:rPr>
            </w:pPr>
          </w:p>
        </w:tc>
        <w:tc>
          <w:tcPr>
            <w:tcW w:w="880" w:type="dxa"/>
            <w:vAlign w:val="bottom"/>
            <w:shd w:val="clear" w:color="auto" w:fill="1D3965"/>
          </w:tcPr>
          <w:p>
            <w:pPr>
              <w:jc w:val="center"/>
              <w:spacing w:after="0" w:line="242"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12"/>
                <w:szCs w:val="12"/>
                <w:b w:val="1"/>
                <w:bCs w:val="1"/>
                <w:color w:val="FFFFFF"/>
                <w:w w:val="88"/>
              </w:rPr>
              <w:t>(2)(3)</w:t>
            </w:r>
          </w:p>
        </w:tc>
        <w:tc>
          <w:tcPr>
            <w:tcW w:w="100" w:type="dxa"/>
            <w:vAlign w:val="bottom"/>
            <w:shd w:val="clear" w:color="auto" w:fill="1D3965"/>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EDEDED"/>
          </w:tcPr>
          <w:p>
            <w:pPr>
              <w:ind w:left="180"/>
              <w:spacing w:after="0"/>
              <w:rPr>
                <w:sz w:val="20"/>
                <w:szCs w:val="20"/>
                <w:color w:val="auto"/>
              </w:rPr>
            </w:pPr>
            <w:r>
              <w:rPr>
                <w:rFonts w:ascii="Arial" w:cs="Arial" w:eastAsia="Arial" w:hAnsi="Arial"/>
                <w:sz w:val="18"/>
                <w:szCs w:val="18"/>
                <w:color w:val="auto"/>
              </w:rPr>
              <w:t>Sumedh S. Thakar</w:t>
            </w:r>
          </w:p>
        </w:tc>
        <w:tc>
          <w:tcPr>
            <w:tcW w:w="120" w:type="dxa"/>
            <w:vAlign w:val="bottom"/>
            <w:shd w:val="clear" w:color="auto" w:fill="EDEDED"/>
          </w:tcPr>
          <w:p>
            <w:pPr>
              <w:spacing w:after="0"/>
              <w:rPr>
                <w:sz w:val="22"/>
                <w:szCs w:val="22"/>
                <w:color w:val="auto"/>
              </w:rPr>
            </w:pPr>
          </w:p>
        </w:tc>
        <w:tc>
          <w:tcPr>
            <w:tcW w:w="2080" w:type="dxa"/>
            <w:vAlign w:val="bottom"/>
            <w:shd w:val="clear" w:color="auto" w:fill="EDEDED"/>
          </w:tcPr>
          <w:p>
            <w:pPr>
              <w:spacing w:after="0"/>
              <w:rPr>
                <w:sz w:val="20"/>
                <w:szCs w:val="20"/>
                <w:color w:val="auto"/>
              </w:rPr>
            </w:pPr>
            <w:r>
              <w:rPr>
                <w:rFonts w:ascii="Arial" w:cs="Arial" w:eastAsia="Arial" w:hAnsi="Arial"/>
                <w:sz w:val="18"/>
                <w:szCs w:val="18"/>
                <w:color w:val="auto"/>
              </w:rPr>
              <w:t>Vesting Acceleration</w:t>
            </w:r>
          </w:p>
        </w:tc>
        <w:tc>
          <w:tcPr>
            <w:tcW w:w="1420" w:type="dxa"/>
            <w:vAlign w:val="bottom"/>
            <w:gridSpan w:val="5"/>
            <w:shd w:val="clear" w:color="auto" w:fill="EDEDED"/>
          </w:tcPr>
          <w:p>
            <w:pPr>
              <w:jc w:val="right"/>
              <w:ind w:right="200"/>
              <w:spacing w:after="0"/>
              <w:rPr>
                <w:sz w:val="20"/>
                <w:szCs w:val="20"/>
                <w:color w:val="auto"/>
              </w:rPr>
            </w:pPr>
            <w:r>
              <w:rPr>
                <w:rFonts w:ascii="Arial" w:cs="Arial" w:eastAsia="Arial" w:hAnsi="Arial"/>
                <w:sz w:val="18"/>
                <w:szCs w:val="18"/>
                <w:color w:val="auto"/>
              </w:rPr>
              <w:t>13,845,699</w:t>
            </w:r>
          </w:p>
        </w:tc>
        <w:tc>
          <w:tcPr>
            <w:tcW w:w="1260" w:type="dxa"/>
            <w:vAlign w:val="bottom"/>
            <w:gridSpan w:val="3"/>
            <w:shd w:val="clear" w:color="auto" w:fill="EDEDED"/>
          </w:tcPr>
          <w:p>
            <w:pPr>
              <w:jc w:val="right"/>
              <w:ind w:right="180"/>
              <w:spacing w:after="0"/>
              <w:rPr>
                <w:sz w:val="20"/>
                <w:szCs w:val="20"/>
                <w:color w:val="auto"/>
              </w:rPr>
            </w:pPr>
            <w:r>
              <w:rPr>
                <w:rFonts w:ascii="Arial" w:cs="Arial" w:eastAsia="Arial" w:hAnsi="Arial"/>
                <w:sz w:val="18"/>
                <w:szCs w:val="18"/>
                <w:color w:val="auto"/>
              </w:rPr>
              <w:t>40,881,414</w:t>
            </w:r>
          </w:p>
        </w:tc>
        <w:tc>
          <w:tcPr>
            <w:tcW w:w="1120" w:type="dxa"/>
            <w:vAlign w:val="bottom"/>
            <w:gridSpan w:val="3"/>
            <w:shd w:val="clear" w:color="auto" w:fill="EDEDED"/>
          </w:tcPr>
          <w:p>
            <w:pPr>
              <w:jc w:val="right"/>
              <w:ind w:right="80"/>
              <w:spacing w:after="0"/>
              <w:rPr>
                <w:sz w:val="20"/>
                <w:szCs w:val="20"/>
                <w:color w:val="auto"/>
              </w:rPr>
            </w:pPr>
            <w:r>
              <w:rPr>
                <w:rFonts w:ascii="Arial" w:cs="Arial" w:eastAsia="Arial" w:hAnsi="Arial"/>
                <w:sz w:val="18"/>
                <w:szCs w:val="18"/>
                <w:color w:val="auto"/>
              </w:rPr>
              <w:t>40,881,414</w:t>
            </w:r>
          </w:p>
        </w:tc>
        <w:tc>
          <w:tcPr>
            <w:tcW w:w="0" w:type="dxa"/>
            <w:vAlign w:val="bottom"/>
          </w:tcPr>
          <w:p>
            <w:pPr>
              <w:spacing w:after="0"/>
              <w:rPr>
                <w:sz w:val="1"/>
                <w:szCs w:val="1"/>
                <w:color w:val="auto"/>
              </w:rPr>
            </w:pPr>
          </w:p>
        </w:tc>
      </w:tr>
      <w:tr>
        <w:trPr>
          <w:trHeight w:val="283"/>
        </w:trPr>
        <w:tc>
          <w:tcPr>
            <w:tcW w:w="200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080" w:type="dxa"/>
            <w:vAlign w:val="bottom"/>
            <w:shd w:val="clear" w:color="auto" w:fill="EDEDED"/>
          </w:tcPr>
          <w:p>
            <w:pPr>
              <w:spacing w:after="0"/>
              <w:rPr>
                <w:sz w:val="20"/>
                <w:szCs w:val="20"/>
                <w:color w:val="auto"/>
              </w:rPr>
            </w:pPr>
            <w:r>
              <w:rPr>
                <w:rFonts w:ascii="Arial" w:cs="Arial" w:eastAsia="Arial" w:hAnsi="Arial"/>
                <w:sz w:val="18"/>
                <w:szCs w:val="18"/>
                <w:color w:val="auto"/>
              </w:rPr>
              <w:t>Cash Severance</w:t>
            </w:r>
          </w:p>
        </w:tc>
        <w:tc>
          <w:tcPr>
            <w:tcW w:w="1220" w:type="dxa"/>
            <w:vAlign w:val="bottom"/>
            <w:gridSpan w:val="4"/>
            <w:shd w:val="clear" w:color="auto" w:fill="EDEDED"/>
          </w:tcPr>
          <w:p>
            <w:pPr>
              <w:jc w:val="right"/>
              <w:spacing w:after="0"/>
              <w:rPr>
                <w:sz w:val="20"/>
                <w:szCs w:val="20"/>
                <w:color w:val="auto"/>
              </w:rPr>
            </w:pPr>
            <w:r>
              <w:rPr>
                <w:rFonts w:ascii="Arial" w:cs="Arial" w:eastAsia="Arial" w:hAnsi="Arial"/>
                <w:sz w:val="18"/>
                <w:szCs w:val="18"/>
                <w:color w:val="auto"/>
              </w:rPr>
              <w:t>1,294,000</w:t>
            </w:r>
          </w:p>
        </w:tc>
        <w:tc>
          <w:tcPr>
            <w:tcW w:w="200" w:type="dxa"/>
            <w:vAlign w:val="bottom"/>
            <w:shd w:val="clear" w:color="auto" w:fill="EDEDED"/>
          </w:tcPr>
          <w:p>
            <w:pPr>
              <w:spacing w:after="0"/>
              <w:rPr>
                <w:sz w:val="24"/>
                <w:szCs w:val="24"/>
                <w:color w:val="auto"/>
              </w:rPr>
            </w:pPr>
          </w:p>
        </w:tc>
        <w:tc>
          <w:tcPr>
            <w:tcW w:w="1260" w:type="dxa"/>
            <w:vAlign w:val="bottom"/>
            <w:gridSpan w:val="3"/>
            <w:shd w:val="clear" w:color="auto" w:fill="EDEDED"/>
          </w:tcPr>
          <w:p>
            <w:pPr>
              <w:jc w:val="right"/>
              <w:ind w:right="200"/>
              <w:spacing w:after="0"/>
              <w:rPr>
                <w:sz w:val="20"/>
                <w:szCs w:val="20"/>
                <w:color w:val="auto"/>
              </w:rPr>
            </w:pPr>
            <w:r>
              <w:rPr>
                <w:rFonts w:ascii="Arial" w:cs="Arial" w:eastAsia="Arial" w:hAnsi="Arial"/>
                <w:sz w:val="18"/>
                <w:szCs w:val="18"/>
                <w:color w:val="auto"/>
              </w:rPr>
              <w:t>1,941,000</w:t>
            </w:r>
          </w:p>
        </w:tc>
        <w:tc>
          <w:tcPr>
            <w:tcW w:w="140" w:type="dxa"/>
            <w:vAlign w:val="bottom"/>
            <w:shd w:val="clear" w:color="auto" w:fill="EDEDED"/>
          </w:tcPr>
          <w:p>
            <w:pPr>
              <w:spacing w:after="0"/>
              <w:rPr>
                <w:sz w:val="24"/>
                <w:szCs w:val="24"/>
                <w:color w:val="auto"/>
              </w:rPr>
            </w:pPr>
          </w:p>
        </w:tc>
        <w:tc>
          <w:tcPr>
            <w:tcW w:w="980" w:type="dxa"/>
            <w:vAlign w:val="bottom"/>
            <w:gridSpan w:val="2"/>
            <w:shd w:val="clear" w:color="auto" w:fill="EDEDED"/>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20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2080" w:type="dxa"/>
            <w:vAlign w:val="bottom"/>
            <w:tcBorders>
              <w:bottom w:val="single" w:sz="8" w:color="EDEDED"/>
            </w:tcBorders>
            <w:shd w:val="clear" w:color="auto" w:fill="EDEDED"/>
          </w:tcPr>
          <w:p>
            <w:pPr>
              <w:spacing w:after="0"/>
              <w:rPr>
                <w:sz w:val="20"/>
                <w:szCs w:val="20"/>
                <w:color w:val="auto"/>
              </w:rPr>
            </w:pPr>
            <w:r>
              <w:rPr>
                <w:rFonts w:ascii="Arial" w:cs="Arial" w:eastAsia="Arial" w:hAnsi="Arial"/>
                <w:sz w:val="18"/>
                <w:szCs w:val="18"/>
                <w:color w:val="auto"/>
              </w:rPr>
              <w:t>COBRA Payments</w:t>
            </w:r>
          </w:p>
        </w:tc>
        <w:tc>
          <w:tcPr>
            <w:tcW w:w="140" w:type="dxa"/>
            <w:vAlign w:val="bottom"/>
            <w:tcBorders>
              <w:bottom w:val="single" w:sz="8" w:color="EDEDED"/>
            </w:tcBorders>
            <w:shd w:val="clear" w:color="auto" w:fill="EDEDED"/>
          </w:tcPr>
          <w:p>
            <w:pPr>
              <w:spacing w:after="0"/>
              <w:rPr>
                <w:sz w:val="24"/>
                <w:szCs w:val="24"/>
                <w:color w:val="auto"/>
              </w:rPr>
            </w:pPr>
          </w:p>
        </w:tc>
        <w:tc>
          <w:tcPr>
            <w:tcW w:w="1080" w:type="dxa"/>
            <w:vAlign w:val="bottom"/>
            <w:tcBorders>
              <w:bottom w:val="single" w:sz="8" w:color="EDEDED"/>
            </w:tcBorders>
            <w:gridSpan w:val="3"/>
            <w:shd w:val="clear" w:color="auto" w:fill="EDEDED"/>
          </w:tcPr>
          <w:p>
            <w:pPr>
              <w:jc w:val="right"/>
              <w:spacing w:after="0"/>
              <w:rPr>
                <w:sz w:val="20"/>
                <w:szCs w:val="20"/>
                <w:color w:val="auto"/>
              </w:rPr>
            </w:pPr>
            <w:r>
              <w:rPr>
                <w:rFonts w:ascii="Arial" w:cs="Arial" w:eastAsia="Arial" w:hAnsi="Arial"/>
                <w:sz w:val="18"/>
                <w:szCs w:val="18"/>
                <w:color w:val="auto"/>
              </w:rPr>
              <w:t>31,666</w:t>
            </w:r>
          </w:p>
        </w:tc>
        <w:tc>
          <w:tcPr>
            <w:tcW w:w="200" w:type="dxa"/>
            <w:vAlign w:val="bottom"/>
            <w:tcBorders>
              <w:bottom w:val="single" w:sz="8" w:color="EDEDED"/>
            </w:tcBorders>
            <w:shd w:val="clear" w:color="auto" w:fill="EDEDED"/>
          </w:tcPr>
          <w:p>
            <w:pPr>
              <w:spacing w:after="0"/>
              <w:rPr>
                <w:sz w:val="24"/>
                <w:szCs w:val="24"/>
                <w:color w:val="auto"/>
              </w:rPr>
            </w:pPr>
          </w:p>
        </w:tc>
        <w:tc>
          <w:tcPr>
            <w:tcW w:w="1260" w:type="dxa"/>
            <w:vAlign w:val="bottom"/>
            <w:tcBorders>
              <w:bottom w:val="single" w:sz="8" w:color="EDEDED"/>
            </w:tcBorders>
            <w:gridSpan w:val="3"/>
            <w:shd w:val="clear" w:color="auto" w:fill="EDEDED"/>
          </w:tcPr>
          <w:p>
            <w:pPr>
              <w:jc w:val="right"/>
              <w:ind w:right="200"/>
              <w:spacing w:after="0"/>
              <w:rPr>
                <w:sz w:val="20"/>
                <w:szCs w:val="20"/>
                <w:color w:val="auto"/>
              </w:rPr>
            </w:pPr>
            <w:r>
              <w:rPr>
                <w:rFonts w:ascii="Arial" w:cs="Arial" w:eastAsia="Arial" w:hAnsi="Arial"/>
                <w:sz w:val="18"/>
                <w:szCs w:val="18"/>
                <w:color w:val="auto"/>
              </w:rPr>
              <w:t>47,498</w:t>
            </w:r>
          </w:p>
        </w:tc>
        <w:tc>
          <w:tcPr>
            <w:tcW w:w="14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gridSpan w:val="2"/>
            <w:shd w:val="clear" w:color="auto" w:fill="EDEDED"/>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00" w:type="dxa"/>
            <w:vAlign w:val="bottom"/>
            <w:tcBorders>
              <w:top w:val="single" w:sz="8" w:color="EDEDED"/>
              <w:bottom w:val="single" w:sz="8" w:color="8FAAD7"/>
            </w:tcBorders>
            <w:shd w:val="clear" w:color="auto" w:fill="EDEDED"/>
          </w:tcPr>
          <w:p>
            <w:pPr>
              <w:spacing w:after="0"/>
              <w:rPr>
                <w:sz w:val="19"/>
                <w:szCs w:val="19"/>
                <w:color w:val="auto"/>
              </w:rPr>
            </w:pPr>
          </w:p>
        </w:tc>
        <w:tc>
          <w:tcPr>
            <w:tcW w:w="120" w:type="dxa"/>
            <w:vAlign w:val="bottom"/>
            <w:tcBorders>
              <w:top w:val="single" w:sz="8" w:color="EDEDED"/>
              <w:bottom w:val="single" w:sz="8" w:color="8FAAD7"/>
            </w:tcBorders>
            <w:shd w:val="clear" w:color="auto" w:fill="EDEDED"/>
          </w:tcPr>
          <w:p>
            <w:pPr>
              <w:spacing w:after="0"/>
              <w:rPr>
                <w:sz w:val="19"/>
                <w:szCs w:val="19"/>
                <w:color w:val="auto"/>
              </w:rPr>
            </w:pPr>
          </w:p>
        </w:tc>
        <w:tc>
          <w:tcPr>
            <w:tcW w:w="2080" w:type="dxa"/>
            <w:vAlign w:val="bottom"/>
            <w:tcBorders>
              <w:top w:val="single" w:sz="8" w:color="EDEDED"/>
              <w:bottom w:val="single" w:sz="8" w:color="8FAAD7"/>
            </w:tcBorders>
            <w:shd w:val="clear" w:color="auto" w:fill="EDEDED"/>
          </w:tcPr>
          <w:p>
            <w:pPr>
              <w:spacing w:after="0"/>
              <w:rPr>
                <w:sz w:val="20"/>
                <w:szCs w:val="20"/>
                <w:color w:val="auto"/>
              </w:rPr>
            </w:pPr>
            <w:r>
              <w:rPr>
                <w:rFonts w:ascii="Arial" w:cs="Arial" w:eastAsia="Arial" w:hAnsi="Arial"/>
                <w:sz w:val="18"/>
                <w:szCs w:val="18"/>
                <w:color w:val="auto"/>
                <w:w w:val="98"/>
              </w:rPr>
              <w:t>Total Termination Benefits</w:t>
            </w:r>
          </w:p>
        </w:tc>
        <w:tc>
          <w:tcPr>
            <w:tcW w:w="140" w:type="dxa"/>
            <w:vAlign w:val="bottom"/>
            <w:tcBorders>
              <w:top w:val="single" w:sz="8" w:color="EDEDED"/>
              <w:bottom w:val="single" w:sz="8" w:color="8FAAD7"/>
            </w:tcBorders>
            <w:shd w:val="clear" w:color="auto" w:fill="EDEDED"/>
          </w:tcPr>
          <w:p>
            <w:pPr>
              <w:spacing w:after="0"/>
              <w:rPr>
                <w:sz w:val="19"/>
                <w:szCs w:val="19"/>
                <w:color w:val="auto"/>
              </w:rPr>
            </w:pPr>
          </w:p>
        </w:tc>
        <w:tc>
          <w:tcPr>
            <w:tcW w:w="200" w:type="dxa"/>
            <w:vAlign w:val="bottom"/>
            <w:tcBorders>
              <w:top w:val="single" w:sz="8" w:color="EDEDED"/>
              <w:bottom w:val="single" w:sz="8" w:color="8FAAD7"/>
            </w:tcBorders>
            <w:shd w:val="clear" w:color="auto" w:fill="EDEDED"/>
          </w:tcPr>
          <w:p>
            <w:pPr>
              <w:spacing w:after="0"/>
              <w:rPr>
                <w:sz w:val="19"/>
                <w:szCs w:val="19"/>
                <w:color w:val="auto"/>
              </w:rPr>
            </w:pPr>
          </w:p>
        </w:tc>
        <w:tc>
          <w:tcPr>
            <w:tcW w:w="860" w:type="dxa"/>
            <w:vAlign w:val="bottom"/>
            <w:tcBorders>
              <w:top w:val="single" w:sz="8" w:color="8FAAD7"/>
              <w:bottom w:val="single" w:sz="8" w:color="8FAAD7"/>
            </w:tcBorders>
            <w:shd w:val="clear" w:color="auto" w:fill="EDEDED"/>
          </w:tcPr>
          <w:p>
            <w:pPr>
              <w:jc w:val="right"/>
              <w:spacing w:after="0"/>
              <w:rPr>
                <w:sz w:val="20"/>
                <w:szCs w:val="20"/>
                <w:color w:val="auto"/>
              </w:rPr>
            </w:pPr>
            <w:r>
              <w:rPr>
                <w:rFonts w:ascii="Arial" w:cs="Arial" w:eastAsia="Arial" w:hAnsi="Arial"/>
                <w:sz w:val="18"/>
                <w:szCs w:val="18"/>
                <w:color w:val="auto"/>
                <w:w w:val="93"/>
              </w:rPr>
              <w:t>15,171,365</w:t>
            </w:r>
          </w:p>
        </w:tc>
        <w:tc>
          <w:tcPr>
            <w:tcW w:w="20" w:type="dxa"/>
            <w:vAlign w:val="bottom"/>
            <w:tcBorders>
              <w:top w:val="single" w:sz="8" w:color="EDEDED"/>
              <w:bottom w:val="single" w:sz="8" w:color="8FAAD7"/>
            </w:tcBorders>
            <w:shd w:val="clear" w:color="auto" w:fill="EDEDED"/>
          </w:tcPr>
          <w:p>
            <w:pPr>
              <w:spacing w:after="0"/>
              <w:rPr>
                <w:sz w:val="19"/>
                <w:szCs w:val="19"/>
                <w:color w:val="auto"/>
              </w:rPr>
            </w:pPr>
          </w:p>
        </w:tc>
        <w:tc>
          <w:tcPr>
            <w:tcW w:w="200" w:type="dxa"/>
            <w:vAlign w:val="bottom"/>
            <w:tcBorders>
              <w:top w:val="single" w:sz="8" w:color="EDEDED"/>
              <w:bottom w:val="single" w:sz="8" w:color="8FAAD7"/>
            </w:tcBorders>
            <w:shd w:val="clear" w:color="auto" w:fill="EDEDED"/>
          </w:tcPr>
          <w:p>
            <w:pPr>
              <w:spacing w:after="0"/>
              <w:rPr>
                <w:sz w:val="19"/>
                <w:szCs w:val="19"/>
                <w:color w:val="auto"/>
              </w:rPr>
            </w:pPr>
          </w:p>
        </w:tc>
        <w:tc>
          <w:tcPr>
            <w:tcW w:w="180" w:type="dxa"/>
            <w:vAlign w:val="bottom"/>
            <w:tcBorders>
              <w:top w:val="single" w:sz="8" w:color="EDEDED"/>
              <w:bottom w:val="single" w:sz="8" w:color="8FAAD7"/>
            </w:tcBorders>
            <w:shd w:val="clear" w:color="auto" w:fill="EDEDED"/>
          </w:tcPr>
          <w:p>
            <w:pPr>
              <w:spacing w:after="0"/>
              <w:rPr>
                <w:sz w:val="19"/>
                <w:szCs w:val="19"/>
                <w:color w:val="auto"/>
              </w:rPr>
            </w:pPr>
          </w:p>
        </w:tc>
        <w:tc>
          <w:tcPr>
            <w:tcW w:w="880" w:type="dxa"/>
            <w:vAlign w:val="bottom"/>
            <w:tcBorders>
              <w:top w:val="single" w:sz="8" w:color="8FAAD7"/>
              <w:bottom w:val="single" w:sz="8" w:color="8FAAD7"/>
            </w:tcBorders>
            <w:shd w:val="clear" w:color="auto" w:fill="EDEDED"/>
          </w:tcPr>
          <w:p>
            <w:pPr>
              <w:jc w:val="right"/>
              <w:spacing w:after="0"/>
              <w:rPr>
                <w:sz w:val="20"/>
                <w:szCs w:val="20"/>
                <w:color w:val="auto"/>
              </w:rPr>
            </w:pPr>
            <w:r>
              <w:rPr>
                <w:rFonts w:ascii="Arial" w:cs="Arial" w:eastAsia="Arial" w:hAnsi="Arial"/>
                <w:sz w:val="18"/>
                <w:szCs w:val="18"/>
                <w:color w:val="auto"/>
                <w:w w:val="95"/>
              </w:rPr>
              <w:t>42,869,912</w:t>
            </w:r>
          </w:p>
        </w:tc>
        <w:tc>
          <w:tcPr>
            <w:tcW w:w="200" w:type="dxa"/>
            <w:vAlign w:val="bottom"/>
            <w:tcBorders>
              <w:top w:val="single" w:sz="8" w:color="EDEDED"/>
              <w:bottom w:val="single" w:sz="8" w:color="8FAAD7"/>
            </w:tcBorders>
            <w:shd w:val="clear" w:color="auto" w:fill="EDEDED"/>
          </w:tcPr>
          <w:p>
            <w:pPr>
              <w:spacing w:after="0"/>
              <w:rPr>
                <w:sz w:val="19"/>
                <w:szCs w:val="19"/>
                <w:color w:val="auto"/>
              </w:rPr>
            </w:pPr>
          </w:p>
        </w:tc>
        <w:tc>
          <w:tcPr>
            <w:tcW w:w="140" w:type="dxa"/>
            <w:vAlign w:val="bottom"/>
            <w:tcBorders>
              <w:top w:val="single" w:sz="8" w:color="EDEDED"/>
              <w:bottom w:val="single" w:sz="8" w:color="8FAAD7"/>
            </w:tcBorders>
            <w:shd w:val="clear" w:color="auto" w:fill="EDEDED"/>
          </w:tcPr>
          <w:p>
            <w:pPr>
              <w:spacing w:after="0"/>
              <w:rPr>
                <w:sz w:val="19"/>
                <w:szCs w:val="19"/>
                <w:color w:val="auto"/>
              </w:rPr>
            </w:pPr>
          </w:p>
        </w:tc>
        <w:tc>
          <w:tcPr>
            <w:tcW w:w="880" w:type="dxa"/>
            <w:vAlign w:val="bottom"/>
            <w:tcBorders>
              <w:top w:val="single" w:sz="8" w:color="8FAAD7"/>
              <w:bottom w:val="single" w:sz="8" w:color="8FAAD7"/>
            </w:tcBorders>
            <w:shd w:val="clear" w:color="auto" w:fill="EDEDED"/>
          </w:tcPr>
          <w:p>
            <w:pPr>
              <w:jc w:val="right"/>
              <w:spacing w:after="0"/>
              <w:rPr>
                <w:sz w:val="20"/>
                <w:szCs w:val="20"/>
                <w:color w:val="auto"/>
              </w:rPr>
            </w:pPr>
            <w:r>
              <w:rPr>
                <w:rFonts w:ascii="Arial" w:cs="Arial" w:eastAsia="Arial" w:hAnsi="Arial"/>
                <w:sz w:val="18"/>
                <w:szCs w:val="18"/>
                <w:color w:val="auto"/>
                <w:w w:val="95"/>
              </w:rPr>
              <w:t>40,881,414</w:t>
            </w:r>
          </w:p>
        </w:tc>
        <w:tc>
          <w:tcPr>
            <w:tcW w:w="100" w:type="dxa"/>
            <w:vAlign w:val="bottom"/>
            <w:tcBorders>
              <w:top w:val="single" w:sz="8" w:color="EDEDED"/>
              <w:bottom w:val="single" w:sz="8" w:color="8FAAD7"/>
            </w:tcBorders>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00" w:type="dxa"/>
            <w:vAlign w:val="bottom"/>
          </w:tcPr>
          <w:p>
            <w:pPr>
              <w:ind w:left="180"/>
              <w:spacing w:after="0"/>
              <w:rPr>
                <w:sz w:val="20"/>
                <w:szCs w:val="20"/>
                <w:color w:val="auto"/>
              </w:rPr>
            </w:pPr>
            <w:r>
              <w:rPr>
                <w:rFonts w:ascii="Arial" w:cs="Arial" w:eastAsia="Arial" w:hAnsi="Arial"/>
                <w:sz w:val="18"/>
                <w:szCs w:val="18"/>
                <w:color w:val="auto"/>
              </w:rPr>
              <w:t>Joo Mi Kim</w:t>
            </w: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Vesting Acceleration</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3,679,115</w:t>
            </w:r>
          </w:p>
        </w:tc>
        <w:tc>
          <w:tcPr>
            <w:tcW w:w="20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15,887,973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15,887,973</w:t>
            </w: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Cash Severance</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549,000</w:t>
            </w:r>
          </w:p>
        </w:tc>
        <w:tc>
          <w:tcPr>
            <w:tcW w:w="20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854,000</w:t>
            </w:r>
          </w:p>
        </w:tc>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COBRA Payments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7,661</w:t>
            </w:r>
          </w:p>
        </w:tc>
        <w:tc>
          <w:tcPr>
            <w:tcW w:w="200" w:type="dxa"/>
            <w:vAlign w:val="bottom"/>
          </w:tcPr>
          <w:p>
            <w:pPr>
              <w:spacing w:after="0"/>
              <w:rPr>
                <w:sz w:val="23"/>
                <w:szCs w:val="2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10,215</w:t>
            </w:r>
          </w:p>
        </w:tc>
        <w:tc>
          <w:tcPr>
            <w:tcW w:w="1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2000" w:type="dxa"/>
            <w:vAlign w:val="bottom"/>
          </w:tcPr>
          <w:p>
            <w:pPr>
              <w:spacing w:after="0"/>
              <w:rPr>
                <w:sz w:val="4"/>
                <w:szCs w:val="4"/>
                <w:color w:val="auto"/>
              </w:rPr>
            </w:pPr>
          </w:p>
        </w:tc>
        <w:tc>
          <w:tcPr>
            <w:tcW w:w="2200" w:type="dxa"/>
            <w:vAlign w:val="bottom"/>
            <w:gridSpan w:val="2"/>
            <w:vMerge w:val="restart"/>
          </w:tcPr>
          <w:p>
            <w:pPr>
              <w:ind w:left="120"/>
              <w:spacing w:after="0"/>
              <w:rPr>
                <w:sz w:val="20"/>
                <w:szCs w:val="20"/>
                <w:color w:val="auto"/>
              </w:rPr>
            </w:pPr>
            <w:r>
              <w:rPr>
                <w:rFonts w:ascii="Arial" w:cs="Arial" w:eastAsia="Arial" w:hAnsi="Arial"/>
                <w:sz w:val="18"/>
                <w:szCs w:val="18"/>
                <w:color w:val="auto"/>
                <w:w w:val="98"/>
              </w:rPr>
              <w:t>Total Termination Benefits</w:t>
            </w:r>
          </w:p>
        </w:tc>
        <w:tc>
          <w:tcPr>
            <w:tcW w:w="340" w:type="dxa"/>
            <w:vAlign w:val="bottom"/>
            <w:gridSpan w:val="2"/>
            <w:vMerge w:val="restart"/>
          </w:tcPr>
          <w:p>
            <w:pPr>
              <w:spacing w:after="0"/>
              <w:rPr>
                <w:sz w:val="4"/>
                <w:szCs w:val="4"/>
                <w:color w:val="auto"/>
              </w:rPr>
            </w:pPr>
          </w:p>
        </w:tc>
        <w:tc>
          <w:tcPr>
            <w:tcW w:w="880" w:type="dxa"/>
            <w:vAlign w:val="bottom"/>
            <w:tcBorders>
              <w:bottom w:val="single" w:sz="8" w:color="8FAAD7"/>
            </w:tcBorders>
            <w:gridSpan w:val="2"/>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880" w:type="dxa"/>
            <w:vAlign w:val="bottom"/>
            <w:tcBorders>
              <w:bottom w:val="single" w:sz="8" w:color="8FAAD7"/>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880" w:type="dxa"/>
            <w:vAlign w:val="bottom"/>
            <w:tcBorders>
              <w:bottom w:val="single" w:sz="8" w:color="8FAAD7"/>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8FAAD7"/>
            </w:tcBorders>
          </w:tcPr>
          <w:p>
            <w:pPr>
              <w:spacing w:after="0"/>
              <w:rPr>
                <w:sz w:val="19"/>
                <w:szCs w:val="19"/>
                <w:color w:val="auto"/>
              </w:rPr>
            </w:pPr>
          </w:p>
        </w:tc>
        <w:tc>
          <w:tcPr>
            <w:tcW w:w="2200" w:type="dxa"/>
            <w:vAlign w:val="bottom"/>
            <w:tcBorders>
              <w:bottom w:val="single" w:sz="8" w:color="8FAAD7"/>
            </w:tcBorders>
            <w:gridSpan w:val="2"/>
            <w:vMerge w:val="continue"/>
          </w:tcPr>
          <w:p>
            <w:pPr>
              <w:spacing w:after="0"/>
              <w:rPr>
                <w:sz w:val="19"/>
                <w:szCs w:val="19"/>
                <w:color w:val="auto"/>
              </w:rPr>
            </w:pPr>
          </w:p>
        </w:tc>
        <w:tc>
          <w:tcPr>
            <w:tcW w:w="340" w:type="dxa"/>
            <w:vAlign w:val="bottom"/>
            <w:tcBorders>
              <w:bottom w:val="single" w:sz="8" w:color="8FAAD7"/>
            </w:tcBorders>
            <w:gridSpan w:val="2"/>
            <w:vMerge w:val="continue"/>
          </w:tcPr>
          <w:p>
            <w:pPr>
              <w:spacing w:after="0"/>
              <w:rPr>
                <w:sz w:val="19"/>
                <w:szCs w:val="19"/>
                <w:color w:val="auto"/>
              </w:rPr>
            </w:pPr>
          </w:p>
        </w:tc>
        <w:tc>
          <w:tcPr>
            <w:tcW w:w="880" w:type="dxa"/>
            <w:vAlign w:val="bottom"/>
            <w:tcBorders>
              <w:bottom w:val="single" w:sz="8" w:color="8FAAD7"/>
            </w:tcBorders>
            <w:gridSpan w:val="2"/>
          </w:tcPr>
          <w:p>
            <w:pPr>
              <w:jc w:val="right"/>
              <w:spacing w:after="0"/>
              <w:rPr>
                <w:sz w:val="20"/>
                <w:szCs w:val="20"/>
                <w:color w:val="auto"/>
              </w:rPr>
            </w:pPr>
            <w:r>
              <w:rPr>
                <w:rFonts w:ascii="Arial" w:cs="Arial" w:eastAsia="Arial" w:hAnsi="Arial"/>
                <w:sz w:val="18"/>
                <w:szCs w:val="18"/>
                <w:color w:val="auto"/>
              </w:rPr>
              <w:t>4,235,776</w:t>
            </w:r>
          </w:p>
        </w:tc>
        <w:tc>
          <w:tcPr>
            <w:tcW w:w="200" w:type="dxa"/>
            <w:vAlign w:val="bottom"/>
            <w:tcBorders>
              <w:bottom w:val="single" w:sz="8" w:color="8FAAD7"/>
            </w:tcBorders>
          </w:tcPr>
          <w:p>
            <w:pPr>
              <w:spacing w:after="0"/>
              <w:rPr>
                <w:sz w:val="19"/>
                <w:szCs w:val="19"/>
                <w:color w:val="auto"/>
              </w:rPr>
            </w:pPr>
          </w:p>
        </w:tc>
        <w:tc>
          <w:tcPr>
            <w:tcW w:w="180" w:type="dxa"/>
            <w:vAlign w:val="bottom"/>
            <w:tcBorders>
              <w:bottom w:val="single" w:sz="8" w:color="8FAAD7"/>
            </w:tcBorders>
            <w:vMerge w:val="continue"/>
          </w:tcPr>
          <w:p>
            <w:pPr>
              <w:spacing w:after="0"/>
              <w:rPr>
                <w:sz w:val="19"/>
                <w:szCs w:val="19"/>
                <w:color w:val="auto"/>
              </w:rPr>
            </w:pPr>
          </w:p>
        </w:tc>
        <w:tc>
          <w:tcPr>
            <w:tcW w:w="880" w:type="dxa"/>
            <w:vAlign w:val="bottom"/>
            <w:tcBorders>
              <w:bottom w:val="single" w:sz="8" w:color="8FAAD7"/>
            </w:tcBorders>
          </w:tcPr>
          <w:p>
            <w:pPr>
              <w:jc w:val="right"/>
              <w:spacing w:after="0"/>
              <w:rPr>
                <w:sz w:val="20"/>
                <w:szCs w:val="20"/>
                <w:color w:val="auto"/>
              </w:rPr>
            </w:pPr>
            <w:r>
              <w:rPr>
                <w:rFonts w:ascii="Arial" w:cs="Arial" w:eastAsia="Arial" w:hAnsi="Arial"/>
                <w:sz w:val="18"/>
                <w:szCs w:val="18"/>
                <w:color w:val="auto"/>
                <w:w w:val="95"/>
              </w:rPr>
              <w:t>16,752,188</w:t>
            </w:r>
          </w:p>
        </w:tc>
        <w:tc>
          <w:tcPr>
            <w:tcW w:w="200" w:type="dxa"/>
            <w:vAlign w:val="bottom"/>
            <w:tcBorders>
              <w:bottom w:val="single" w:sz="8" w:color="8FAAD7"/>
            </w:tcBorders>
            <w:vMerge w:val="continue"/>
          </w:tcPr>
          <w:p>
            <w:pPr>
              <w:spacing w:after="0"/>
              <w:rPr>
                <w:sz w:val="19"/>
                <w:szCs w:val="19"/>
                <w:color w:val="auto"/>
              </w:rPr>
            </w:pPr>
          </w:p>
        </w:tc>
        <w:tc>
          <w:tcPr>
            <w:tcW w:w="140" w:type="dxa"/>
            <w:vAlign w:val="bottom"/>
            <w:tcBorders>
              <w:bottom w:val="single" w:sz="8" w:color="8FAAD7"/>
            </w:tcBorders>
            <w:vMerge w:val="continue"/>
          </w:tcPr>
          <w:p>
            <w:pPr>
              <w:spacing w:after="0"/>
              <w:rPr>
                <w:sz w:val="19"/>
                <w:szCs w:val="19"/>
                <w:color w:val="auto"/>
              </w:rPr>
            </w:pPr>
          </w:p>
        </w:tc>
        <w:tc>
          <w:tcPr>
            <w:tcW w:w="880" w:type="dxa"/>
            <w:vAlign w:val="bottom"/>
            <w:tcBorders>
              <w:bottom w:val="single" w:sz="8" w:color="8FAAD7"/>
            </w:tcBorders>
          </w:tcPr>
          <w:p>
            <w:pPr>
              <w:jc w:val="right"/>
              <w:spacing w:after="0"/>
              <w:rPr>
                <w:sz w:val="20"/>
                <w:szCs w:val="20"/>
                <w:color w:val="auto"/>
              </w:rPr>
            </w:pPr>
            <w:r>
              <w:rPr>
                <w:rFonts w:ascii="Arial" w:cs="Arial" w:eastAsia="Arial" w:hAnsi="Arial"/>
                <w:sz w:val="18"/>
                <w:szCs w:val="18"/>
                <w:color w:val="auto"/>
                <w:w w:val="95"/>
              </w:rPr>
              <w:t>15,887,973</w:t>
            </w:r>
          </w:p>
        </w:tc>
        <w:tc>
          <w:tcPr>
            <w:tcW w:w="100" w:type="dxa"/>
            <w:vAlign w:val="bottom"/>
            <w:tcBorders>
              <w:bottom w:val="single" w:sz="8" w:color="8FAAD7"/>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00" w:type="dxa"/>
            <w:vAlign w:val="bottom"/>
            <w:shd w:val="clear" w:color="auto" w:fill="EDEDED"/>
          </w:tcPr>
          <w:p>
            <w:pPr>
              <w:ind w:left="180"/>
              <w:spacing w:after="0"/>
              <w:rPr>
                <w:sz w:val="20"/>
                <w:szCs w:val="20"/>
                <w:color w:val="auto"/>
              </w:rPr>
            </w:pPr>
            <w:r>
              <w:rPr>
                <w:rFonts w:ascii="Arial" w:cs="Arial" w:eastAsia="Arial" w:hAnsi="Arial"/>
                <w:sz w:val="18"/>
                <w:szCs w:val="18"/>
                <w:color w:val="auto"/>
              </w:rPr>
              <w:t>Bruce K. Posey</w:t>
            </w:r>
          </w:p>
        </w:tc>
        <w:tc>
          <w:tcPr>
            <w:tcW w:w="120" w:type="dxa"/>
            <w:vAlign w:val="bottom"/>
            <w:shd w:val="clear" w:color="auto" w:fill="EDEDED"/>
          </w:tcPr>
          <w:p>
            <w:pPr>
              <w:spacing w:after="0"/>
              <w:rPr>
                <w:sz w:val="20"/>
                <w:szCs w:val="20"/>
                <w:color w:val="auto"/>
              </w:rPr>
            </w:pPr>
          </w:p>
        </w:tc>
        <w:tc>
          <w:tcPr>
            <w:tcW w:w="2080" w:type="dxa"/>
            <w:vAlign w:val="bottom"/>
            <w:shd w:val="clear" w:color="auto" w:fill="EDEDED"/>
          </w:tcPr>
          <w:p>
            <w:pPr>
              <w:spacing w:after="0"/>
              <w:rPr>
                <w:sz w:val="20"/>
                <w:szCs w:val="20"/>
                <w:color w:val="auto"/>
              </w:rPr>
            </w:pPr>
            <w:r>
              <w:rPr>
                <w:rFonts w:ascii="Arial" w:cs="Arial" w:eastAsia="Arial" w:hAnsi="Arial"/>
                <w:sz w:val="18"/>
                <w:szCs w:val="18"/>
                <w:color w:val="auto"/>
              </w:rPr>
              <w:t>Vesting Acceleration</w:t>
            </w:r>
          </w:p>
        </w:tc>
        <w:tc>
          <w:tcPr>
            <w:tcW w:w="1220" w:type="dxa"/>
            <w:vAlign w:val="bottom"/>
            <w:gridSpan w:val="4"/>
            <w:shd w:val="clear" w:color="auto" w:fill="EDEDED"/>
          </w:tcPr>
          <w:p>
            <w:pPr>
              <w:jc w:val="right"/>
              <w:spacing w:after="0"/>
              <w:rPr>
                <w:sz w:val="20"/>
                <w:szCs w:val="20"/>
                <w:color w:val="auto"/>
              </w:rPr>
            </w:pPr>
            <w:r>
              <w:rPr>
                <w:rFonts w:ascii="Arial" w:cs="Arial" w:eastAsia="Arial" w:hAnsi="Arial"/>
                <w:sz w:val="18"/>
                <w:szCs w:val="18"/>
                <w:color w:val="auto"/>
              </w:rPr>
              <w:t>2,166,979</w:t>
            </w:r>
          </w:p>
        </w:tc>
        <w:tc>
          <w:tcPr>
            <w:tcW w:w="200" w:type="dxa"/>
            <w:vAlign w:val="bottom"/>
            <w:shd w:val="clear" w:color="auto" w:fill="EDEDED"/>
          </w:tcPr>
          <w:p>
            <w:pPr>
              <w:spacing w:after="0"/>
              <w:rPr>
                <w:sz w:val="20"/>
                <w:szCs w:val="20"/>
                <w:color w:val="auto"/>
              </w:rPr>
            </w:pPr>
          </w:p>
        </w:tc>
        <w:tc>
          <w:tcPr>
            <w:tcW w:w="1260" w:type="dxa"/>
            <w:vAlign w:val="bottom"/>
            <w:gridSpan w:val="3"/>
            <w:shd w:val="clear" w:color="auto" w:fill="EDEDED"/>
          </w:tcPr>
          <w:p>
            <w:pPr>
              <w:jc w:val="right"/>
              <w:ind w:right="200"/>
              <w:spacing w:after="0"/>
              <w:rPr>
                <w:sz w:val="20"/>
                <w:szCs w:val="20"/>
                <w:color w:val="auto"/>
              </w:rPr>
            </w:pPr>
            <w:r>
              <w:rPr>
                <w:rFonts w:ascii="Arial" w:cs="Arial" w:eastAsia="Arial" w:hAnsi="Arial"/>
                <w:sz w:val="18"/>
                <w:szCs w:val="18"/>
                <w:color w:val="auto"/>
              </w:rPr>
              <w:t>9,423,717</w:t>
            </w:r>
          </w:p>
        </w:tc>
        <w:tc>
          <w:tcPr>
            <w:tcW w:w="1120" w:type="dxa"/>
            <w:vAlign w:val="bottom"/>
            <w:gridSpan w:val="3"/>
            <w:shd w:val="clear" w:color="auto" w:fill="EDEDED"/>
          </w:tcPr>
          <w:p>
            <w:pPr>
              <w:jc w:val="right"/>
              <w:ind w:right="100"/>
              <w:spacing w:after="0"/>
              <w:rPr>
                <w:sz w:val="20"/>
                <w:szCs w:val="20"/>
                <w:color w:val="auto"/>
              </w:rPr>
            </w:pPr>
            <w:r>
              <w:rPr>
                <w:rFonts w:ascii="Arial" w:cs="Arial" w:eastAsia="Arial" w:hAnsi="Arial"/>
                <w:sz w:val="18"/>
                <w:szCs w:val="18"/>
                <w:color w:val="auto"/>
              </w:rPr>
              <w:t>9,423,717</w:t>
            </w:r>
          </w:p>
        </w:tc>
        <w:tc>
          <w:tcPr>
            <w:tcW w:w="0" w:type="dxa"/>
            <w:vAlign w:val="bottom"/>
          </w:tcPr>
          <w:p>
            <w:pPr>
              <w:spacing w:after="0"/>
              <w:rPr>
                <w:sz w:val="1"/>
                <w:szCs w:val="1"/>
                <w:color w:val="auto"/>
              </w:rPr>
            </w:pPr>
          </w:p>
        </w:tc>
      </w:tr>
      <w:tr>
        <w:trPr>
          <w:trHeight w:val="284"/>
        </w:trPr>
        <w:tc>
          <w:tcPr>
            <w:tcW w:w="200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2080" w:type="dxa"/>
            <w:vAlign w:val="bottom"/>
            <w:shd w:val="clear" w:color="auto" w:fill="EDEDED"/>
          </w:tcPr>
          <w:p>
            <w:pPr>
              <w:spacing w:after="0"/>
              <w:rPr>
                <w:sz w:val="20"/>
                <w:szCs w:val="20"/>
                <w:color w:val="auto"/>
              </w:rPr>
            </w:pPr>
            <w:r>
              <w:rPr>
                <w:rFonts w:ascii="Arial" w:cs="Arial" w:eastAsia="Arial" w:hAnsi="Arial"/>
                <w:sz w:val="18"/>
                <w:szCs w:val="18"/>
                <w:color w:val="auto"/>
              </w:rPr>
              <w:t>Cash Severance</w:t>
            </w:r>
          </w:p>
        </w:tc>
        <w:tc>
          <w:tcPr>
            <w:tcW w:w="1220" w:type="dxa"/>
            <w:vAlign w:val="bottom"/>
            <w:gridSpan w:val="4"/>
            <w:shd w:val="clear" w:color="auto" w:fill="EDEDED"/>
          </w:tcPr>
          <w:p>
            <w:pPr>
              <w:jc w:val="right"/>
              <w:spacing w:after="0"/>
              <w:rPr>
                <w:sz w:val="20"/>
                <w:szCs w:val="20"/>
                <w:color w:val="auto"/>
              </w:rPr>
            </w:pPr>
            <w:r>
              <w:rPr>
                <w:rFonts w:ascii="Arial" w:cs="Arial" w:eastAsia="Arial" w:hAnsi="Arial"/>
                <w:sz w:val="18"/>
                <w:szCs w:val="18"/>
                <w:color w:val="auto"/>
              </w:rPr>
              <w:t>433,650</w:t>
            </w:r>
          </w:p>
        </w:tc>
        <w:tc>
          <w:tcPr>
            <w:tcW w:w="200" w:type="dxa"/>
            <w:vAlign w:val="bottom"/>
            <w:shd w:val="clear" w:color="auto" w:fill="EDEDED"/>
          </w:tcPr>
          <w:p>
            <w:pPr>
              <w:spacing w:after="0"/>
              <w:rPr>
                <w:sz w:val="24"/>
                <w:szCs w:val="24"/>
                <w:color w:val="auto"/>
              </w:rPr>
            </w:pPr>
          </w:p>
        </w:tc>
        <w:tc>
          <w:tcPr>
            <w:tcW w:w="1260" w:type="dxa"/>
            <w:vAlign w:val="bottom"/>
            <w:gridSpan w:val="3"/>
            <w:shd w:val="clear" w:color="auto" w:fill="EDEDED"/>
          </w:tcPr>
          <w:p>
            <w:pPr>
              <w:jc w:val="right"/>
              <w:ind w:right="200"/>
              <w:spacing w:after="0"/>
              <w:rPr>
                <w:sz w:val="20"/>
                <w:szCs w:val="20"/>
                <w:color w:val="auto"/>
              </w:rPr>
            </w:pPr>
            <w:r>
              <w:rPr>
                <w:rFonts w:ascii="Arial" w:cs="Arial" w:eastAsia="Arial" w:hAnsi="Arial"/>
                <w:sz w:val="18"/>
                <w:szCs w:val="18"/>
                <w:color w:val="auto"/>
              </w:rPr>
              <w:t>660,800</w:t>
            </w:r>
          </w:p>
        </w:tc>
        <w:tc>
          <w:tcPr>
            <w:tcW w:w="140" w:type="dxa"/>
            <w:vAlign w:val="bottom"/>
            <w:shd w:val="clear" w:color="auto" w:fill="EDEDED"/>
          </w:tcPr>
          <w:p>
            <w:pPr>
              <w:spacing w:after="0"/>
              <w:rPr>
                <w:sz w:val="24"/>
                <w:szCs w:val="24"/>
                <w:color w:val="auto"/>
              </w:rPr>
            </w:pPr>
          </w:p>
        </w:tc>
        <w:tc>
          <w:tcPr>
            <w:tcW w:w="980" w:type="dxa"/>
            <w:vAlign w:val="bottom"/>
            <w:gridSpan w:val="2"/>
            <w:shd w:val="clear" w:color="auto" w:fill="EDEDED"/>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20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2080" w:type="dxa"/>
            <w:vAlign w:val="bottom"/>
            <w:tcBorders>
              <w:bottom w:val="single" w:sz="8" w:color="EDEDED"/>
            </w:tcBorders>
            <w:shd w:val="clear" w:color="auto" w:fill="EDEDED"/>
          </w:tcPr>
          <w:p>
            <w:pPr>
              <w:spacing w:after="0"/>
              <w:rPr>
                <w:sz w:val="20"/>
                <w:szCs w:val="20"/>
                <w:color w:val="auto"/>
              </w:rPr>
            </w:pPr>
            <w:r>
              <w:rPr>
                <w:rFonts w:ascii="Arial" w:cs="Arial" w:eastAsia="Arial" w:hAnsi="Arial"/>
                <w:sz w:val="18"/>
                <w:szCs w:val="18"/>
                <w:color w:val="auto"/>
              </w:rPr>
              <w:t>COBRA Payments</w:t>
            </w:r>
          </w:p>
        </w:tc>
        <w:tc>
          <w:tcPr>
            <w:tcW w:w="140" w:type="dxa"/>
            <w:vAlign w:val="bottom"/>
            <w:tcBorders>
              <w:bottom w:val="single" w:sz="8" w:color="EDEDED"/>
            </w:tcBorders>
            <w:shd w:val="clear" w:color="auto" w:fill="EDEDED"/>
          </w:tcPr>
          <w:p>
            <w:pPr>
              <w:spacing w:after="0"/>
              <w:rPr>
                <w:sz w:val="24"/>
                <w:szCs w:val="24"/>
                <w:color w:val="auto"/>
              </w:rPr>
            </w:pPr>
          </w:p>
        </w:tc>
        <w:tc>
          <w:tcPr>
            <w:tcW w:w="1080" w:type="dxa"/>
            <w:vAlign w:val="bottom"/>
            <w:tcBorders>
              <w:bottom w:val="single" w:sz="8" w:color="EDEDED"/>
            </w:tcBorders>
            <w:gridSpan w:val="3"/>
            <w:shd w:val="clear" w:color="auto" w:fill="EDEDED"/>
          </w:tcPr>
          <w:p>
            <w:pPr>
              <w:jc w:val="right"/>
              <w:spacing w:after="0"/>
              <w:rPr>
                <w:sz w:val="20"/>
                <w:szCs w:val="20"/>
                <w:color w:val="auto"/>
              </w:rPr>
            </w:pPr>
            <w:r>
              <w:rPr>
                <w:rFonts w:ascii="Arial" w:cs="Arial" w:eastAsia="Arial" w:hAnsi="Arial"/>
                <w:sz w:val="18"/>
                <w:szCs w:val="18"/>
                <w:color w:val="auto"/>
              </w:rPr>
              <w:t>23,749</w:t>
            </w:r>
          </w:p>
        </w:tc>
        <w:tc>
          <w:tcPr>
            <w:tcW w:w="200" w:type="dxa"/>
            <w:vAlign w:val="bottom"/>
            <w:tcBorders>
              <w:bottom w:val="single" w:sz="8" w:color="EDEDED"/>
            </w:tcBorders>
            <w:shd w:val="clear" w:color="auto" w:fill="EDEDED"/>
          </w:tcPr>
          <w:p>
            <w:pPr>
              <w:spacing w:after="0"/>
              <w:rPr>
                <w:sz w:val="24"/>
                <w:szCs w:val="24"/>
                <w:color w:val="auto"/>
              </w:rPr>
            </w:pPr>
          </w:p>
        </w:tc>
        <w:tc>
          <w:tcPr>
            <w:tcW w:w="1260" w:type="dxa"/>
            <w:vAlign w:val="bottom"/>
            <w:tcBorders>
              <w:bottom w:val="single" w:sz="8" w:color="EDEDED"/>
            </w:tcBorders>
            <w:gridSpan w:val="3"/>
            <w:shd w:val="clear" w:color="auto" w:fill="EDEDED"/>
          </w:tcPr>
          <w:p>
            <w:pPr>
              <w:jc w:val="right"/>
              <w:ind w:right="200"/>
              <w:spacing w:after="0"/>
              <w:rPr>
                <w:sz w:val="20"/>
                <w:szCs w:val="20"/>
                <w:color w:val="auto"/>
              </w:rPr>
            </w:pPr>
            <w:r>
              <w:rPr>
                <w:rFonts w:ascii="Arial" w:cs="Arial" w:eastAsia="Arial" w:hAnsi="Arial"/>
                <w:sz w:val="18"/>
                <w:szCs w:val="18"/>
                <w:color w:val="auto"/>
              </w:rPr>
              <w:t>31,666</w:t>
            </w:r>
          </w:p>
        </w:tc>
        <w:tc>
          <w:tcPr>
            <w:tcW w:w="14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gridSpan w:val="2"/>
            <w:shd w:val="clear" w:color="auto" w:fill="EDEDED"/>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00" w:type="dxa"/>
            <w:vAlign w:val="bottom"/>
            <w:tcBorders>
              <w:top w:val="single" w:sz="8" w:color="EDEDED"/>
              <w:bottom w:val="single" w:sz="8" w:color="8FAAD7"/>
            </w:tcBorders>
            <w:shd w:val="clear" w:color="auto" w:fill="EDEDED"/>
          </w:tcPr>
          <w:p>
            <w:pPr>
              <w:spacing w:after="0"/>
              <w:rPr>
                <w:sz w:val="17"/>
                <w:szCs w:val="17"/>
                <w:color w:val="auto"/>
              </w:rPr>
            </w:pPr>
          </w:p>
        </w:tc>
        <w:tc>
          <w:tcPr>
            <w:tcW w:w="120" w:type="dxa"/>
            <w:vAlign w:val="bottom"/>
            <w:tcBorders>
              <w:top w:val="single" w:sz="8" w:color="EDEDED"/>
              <w:bottom w:val="single" w:sz="8" w:color="8FAAD7"/>
            </w:tcBorders>
            <w:shd w:val="clear" w:color="auto" w:fill="EDEDED"/>
          </w:tcPr>
          <w:p>
            <w:pPr>
              <w:spacing w:after="0"/>
              <w:rPr>
                <w:sz w:val="17"/>
                <w:szCs w:val="17"/>
                <w:color w:val="auto"/>
              </w:rPr>
            </w:pPr>
          </w:p>
        </w:tc>
        <w:tc>
          <w:tcPr>
            <w:tcW w:w="2080" w:type="dxa"/>
            <w:vAlign w:val="bottom"/>
            <w:tcBorders>
              <w:top w:val="single" w:sz="8" w:color="EDEDED"/>
              <w:bottom w:val="single" w:sz="8" w:color="8FAAD7"/>
            </w:tcBorders>
            <w:shd w:val="clear" w:color="auto" w:fill="EDEDED"/>
          </w:tcPr>
          <w:p>
            <w:pPr>
              <w:spacing w:after="0" w:line="196" w:lineRule="exact"/>
              <w:rPr>
                <w:sz w:val="20"/>
                <w:szCs w:val="20"/>
                <w:color w:val="auto"/>
              </w:rPr>
            </w:pPr>
            <w:r>
              <w:rPr>
                <w:rFonts w:ascii="Arial" w:cs="Arial" w:eastAsia="Arial" w:hAnsi="Arial"/>
                <w:sz w:val="18"/>
                <w:szCs w:val="18"/>
                <w:color w:val="auto"/>
                <w:w w:val="98"/>
              </w:rPr>
              <w:t>Total Termination Benefits</w:t>
            </w:r>
          </w:p>
        </w:tc>
        <w:tc>
          <w:tcPr>
            <w:tcW w:w="140" w:type="dxa"/>
            <w:vAlign w:val="bottom"/>
            <w:tcBorders>
              <w:top w:val="single" w:sz="8" w:color="EDEDED"/>
              <w:bottom w:val="single" w:sz="8" w:color="8FAAD7"/>
            </w:tcBorders>
            <w:shd w:val="clear" w:color="auto" w:fill="EDEDED"/>
          </w:tcPr>
          <w:p>
            <w:pPr>
              <w:spacing w:after="0"/>
              <w:rPr>
                <w:sz w:val="17"/>
                <w:szCs w:val="17"/>
                <w:color w:val="auto"/>
              </w:rPr>
            </w:pPr>
          </w:p>
        </w:tc>
        <w:tc>
          <w:tcPr>
            <w:tcW w:w="200" w:type="dxa"/>
            <w:vAlign w:val="bottom"/>
            <w:tcBorders>
              <w:top w:val="single" w:sz="8" w:color="EDEDED"/>
              <w:bottom w:val="single" w:sz="8" w:color="8FAAD7"/>
            </w:tcBorders>
            <w:shd w:val="clear" w:color="auto" w:fill="EDEDED"/>
          </w:tcPr>
          <w:p>
            <w:pPr>
              <w:spacing w:after="0"/>
              <w:rPr>
                <w:sz w:val="17"/>
                <w:szCs w:val="17"/>
                <w:color w:val="auto"/>
              </w:rPr>
            </w:pPr>
          </w:p>
        </w:tc>
        <w:tc>
          <w:tcPr>
            <w:tcW w:w="860" w:type="dxa"/>
            <w:vAlign w:val="bottom"/>
            <w:tcBorders>
              <w:top w:val="single" w:sz="8" w:color="8FAAD7"/>
              <w:bottom w:val="single" w:sz="8" w:color="8FAAD7"/>
            </w:tcBorders>
            <w:shd w:val="clear" w:color="auto" w:fill="EDEDED"/>
          </w:tcPr>
          <w:p>
            <w:pPr>
              <w:jc w:val="right"/>
              <w:spacing w:after="0" w:line="196" w:lineRule="exact"/>
              <w:rPr>
                <w:sz w:val="20"/>
                <w:szCs w:val="20"/>
                <w:color w:val="auto"/>
              </w:rPr>
            </w:pPr>
            <w:r>
              <w:rPr>
                <w:rFonts w:ascii="Arial" w:cs="Arial" w:eastAsia="Arial" w:hAnsi="Arial"/>
                <w:sz w:val="18"/>
                <w:szCs w:val="18"/>
                <w:color w:val="auto"/>
              </w:rPr>
              <w:t>2,624,378</w:t>
            </w:r>
          </w:p>
        </w:tc>
        <w:tc>
          <w:tcPr>
            <w:tcW w:w="20" w:type="dxa"/>
            <w:vAlign w:val="bottom"/>
            <w:tcBorders>
              <w:top w:val="single" w:sz="8" w:color="EDEDED"/>
              <w:bottom w:val="single" w:sz="8" w:color="8FAAD7"/>
            </w:tcBorders>
            <w:shd w:val="clear" w:color="auto" w:fill="EDEDED"/>
          </w:tcPr>
          <w:p>
            <w:pPr>
              <w:spacing w:after="0"/>
              <w:rPr>
                <w:sz w:val="17"/>
                <w:szCs w:val="17"/>
                <w:color w:val="auto"/>
              </w:rPr>
            </w:pPr>
          </w:p>
        </w:tc>
        <w:tc>
          <w:tcPr>
            <w:tcW w:w="200" w:type="dxa"/>
            <w:vAlign w:val="bottom"/>
            <w:tcBorders>
              <w:top w:val="single" w:sz="8" w:color="EDEDED"/>
              <w:bottom w:val="single" w:sz="8" w:color="8FAAD7"/>
            </w:tcBorders>
            <w:shd w:val="clear" w:color="auto" w:fill="EDEDED"/>
          </w:tcPr>
          <w:p>
            <w:pPr>
              <w:spacing w:after="0"/>
              <w:rPr>
                <w:sz w:val="17"/>
                <w:szCs w:val="17"/>
                <w:color w:val="auto"/>
              </w:rPr>
            </w:pPr>
          </w:p>
        </w:tc>
        <w:tc>
          <w:tcPr>
            <w:tcW w:w="180" w:type="dxa"/>
            <w:vAlign w:val="bottom"/>
            <w:tcBorders>
              <w:top w:val="single" w:sz="8" w:color="EDEDED"/>
              <w:bottom w:val="single" w:sz="8" w:color="8FAAD7"/>
            </w:tcBorders>
            <w:shd w:val="clear" w:color="auto" w:fill="EDEDED"/>
          </w:tcPr>
          <w:p>
            <w:pPr>
              <w:spacing w:after="0"/>
              <w:rPr>
                <w:sz w:val="17"/>
                <w:szCs w:val="17"/>
                <w:color w:val="auto"/>
              </w:rPr>
            </w:pPr>
          </w:p>
        </w:tc>
        <w:tc>
          <w:tcPr>
            <w:tcW w:w="880" w:type="dxa"/>
            <w:vAlign w:val="bottom"/>
            <w:tcBorders>
              <w:top w:val="single" w:sz="8" w:color="8FAAD7"/>
              <w:bottom w:val="single" w:sz="8" w:color="8FAAD7"/>
            </w:tcBorders>
            <w:shd w:val="clear" w:color="auto" w:fill="EDEDED"/>
          </w:tcPr>
          <w:p>
            <w:pPr>
              <w:jc w:val="right"/>
              <w:spacing w:after="0" w:line="196" w:lineRule="exact"/>
              <w:rPr>
                <w:sz w:val="20"/>
                <w:szCs w:val="20"/>
                <w:color w:val="auto"/>
              </w:rPr>
            </w:pPr>
            <w:r>
              <w:rPr>
                <w:rFonts w:ascii="Arial" w:cs="Arial" w:eastAsia="Arial" w:hAnsi="Arial"/>
                <w:sz w:val="18"/>
                <w:szCs w:val="18"/>
                <w:color w:val="auto"/>
                <w:w w:val="95"/>
              </w:rPr>
              <w:t>10,116,183</w:t>
            </w:r>
          </w:p>
        </w:tc>
        <w:tc>
          <w:tcPr>
            <w:tcW w:w="200" w:type="dxa"/>
            <w:vAlign w:val="bottom"/>
            <w:tcBorders>
              <w:top w:val="single" w:sz="8" w:color="EDEDED"/>
              <w:bottom w:val="single" w:sz="8" w:color="8FAAD7"/>
            </w:tcBorders>
            <w:shd w:val="clear" w:color="auto" w:fill="EDEDED"/>
          </w:tcPr>
          <w:p>
            <w:pPr>
              <w:spacing w:after="0"/>
              <w:rPr>
                <w:sz w:val="17"/>
                <w:szCs w:val="17"/>
                <w:color w:val="auto"/>
              </w:rPr>
            </w:pPr>
          </w:p>
        </w:tc>
        <w:tc>
          <w:tcPr>
            <w:tcW w:w="140" w:type="dxa"/>
            <w:vAlign w:val="bottom"/>
            <w:tcBorders>
              <w:top w:val="single" w:sz="8" w:color="EDEDED"/>
              <w:bottom w:val="single" w:sz="8" w:color="8FAAD7"/>
            </w:tcBorders>
            <w:shd w:val="clear" w:color="auto" w:fill="EDEDED"/>
          </w:tcPr>
          <w:p>
            <w:pPr>
              <w:spacing w:after="0"/>
              <w:rPr>
                <w:sz w:val="17"/>
                <w:szCs w:val="17"/>
                <w:color w:val="auto"/>
              </w:rPr>
            </w:pPr>
          </w:p>
        </w:tc>
        <w:tc>
          <w:tcPr>
            <w:tcW w:w="880" w:type="dxa"/>
            <w:vAlign w:val="bottom"/>
            <w:tcBorders>
              <w:top w:val="single" w:sz="8" w:color="8FAAD7"/>
              <w:bottom w:val="single" w:sz="8" w:color="8FAAD7"/>
            </w:tcBorders>
            <w:shd w:val="clear" w:color="auto" w:fill="EDEDED"/>
          </w:tcPr>
          <w:p>
            <w:pPr>
              <w:jc w:val="right"/>
              <w:spacing w:after="0" w:line="196" w:lineRule="exact"/>
              <w:rPr>
                <w:sz w:val="20"/>
                <w:szCs w:val="20"/>
                <w:color w:val="auto"/>
              </w:rPr>
            </w:pPr>
            <w:r>
              <w:rPr>
                <w:rFonts w:ascii="Arial" w:cs="Arial" w:eastAsia="Arial" w:hAnsi="Arial"/>
                <w:sz w:val="18"/>
                <w:szCs w:val="18"/>
                <w:color w:val="auto"/>
              </w:rPr>
              <w:t>9,423,717</w:t>
            </w:r>
          </w:p>
        </w:tc>
        <w:tc>
          <w:tcPr>
            <w:tcW w:w="100" w:type="dxa"/>
            <w:vAlign w:val="bottom"/>
            <w:tcBorders>
              <w:top w:val="single" w:sz="8" w:color="EDEDED"/>
              <w:bottom w:val="single" w:sz="8" w:color="8FAAD7"/>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-2682240</wp:posOffset>
            </wp:positionV>
            <wp:extent cx="16116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111125</wp:posOffset>
            </wp:positionV>
            <wp:extent cx="4800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58" w:lineRule="exact"/>
        <w:rPr>
          <w:sz w:val="20"/>
          <w:szCs w:val="20"/>
          <w:color w:val="auto"/>
        </w:rPr>
      </w:pPr>
    </w:p>
    <w:p>
      <w:pPr>
        <w:jc w:val="both"/>
        <w:ind w:left="860" w:right="519" w:hanging="352"/>
        <w:spacing w:after="0" w:line="242"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represent the severance and vesting acceleration payments and benefits described above in the section entitled “</w:t>
      </w:r>
      <w:r>
        <w:rPr>
          <w:rFonts w:ascii="Arial" w:cs="Arial" w:eastAsia="Arial" w:hAnsi="Arial"/>
          <w:sz w:val="18"/>
          <w:szCs w:val="18"/>
          <w:i w:val="1"/>
          <w:iCs w:val="1"/>
          <w:color w:val="auto"/>
        </w:rPr>
        <w:t>Potential Payments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 as of December 31, 2025 (the last business day of 2025). For RSUs and PRSUs,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such vesting acceleration is computed by multiplying (i) the number of shares of our common stock subject to the RSUs or PRSUs that are being accelerated by (ii) the closing sales price per share of our common stock on December 31, 2025 of $132.90.</w:t>
      </w:r>
    </w:p>
    <w:p>
      <w:pPr>
        <w:spacing w:after="0" w:line="70" w:lineRule="exact"/>
        <w:rPr>
          <w:rFonts w:ascii="Arial" w:cs="Arial" w:eastAsia="Arial" w:hAnsi="Arial"/>
          <w:sz w:val="18"/>
          <w:szCs w:val="18"/>
          <w:color w:val="auto"/>
        </w:rPr>
      </w:pPr>
    </w:p>
    <w:p>
      <w:pPr>
        <w:jc w:val="both"/>
        <w:ind w:left="860" w:right="519" w:hanging="352"/>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in these columns include vesting of PRSUs on a pro-rata basis to the extent earned as of the reference date. For Mr. Thakar, includes 51,148 PRSUs. For Ms. Kim, includes 12,577 PRSUs. For Mr. Posey, includes 7,395 PRSUs. The number of shares subject to these PRSU awards represent the first of three tranches of a multi-year PRSU award with one-year performance periods covering the calendar years 2025, 2026 and 2027, respectively which were approved by the Compensation and Talent Committee in October 2024, the second of three tranches of a multi-year PRSU award with one-year performance period covering the calendar years 2024, 2025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5" w:name="page76"/>
    <w:bookmarkEnd w:id="75"/>
    <w:p>
      <w:pPr>
        <w:jc w:val="both"/>
        <w:ind w:left="860" w:right="519"/>
        <w:spacing w:after="0" w:line="246" w:lineRule="auto"/>
        <w:rPr>
          <w:sz w:val="20"/>
          <w:szCs w:val="20"/>
          <w:color w:val="auto"/>
        </w:rPr>
      </w:pPr>
      <w:r>
        <w:rPr>
          <w:rFonts w:ascii="Arial" w:cs="Arial" w:eastAsia="Arial" w:hAnsi="Arial"/>
          <w:sz w:val="18"/>
          <w:szCs w:val="18"/>
          <w:color w:val="auto"/>
        </w:rPr>
        <w:t>and 2026 which were approved by the Compensation and Talent Committee in October 2023, and the third of three tranches of a multi-year PRSU award with one-year performance period covering the calendar years 2023, 2024 and 2025 which were approved by the Compensation and Talent Committee in October 2022.</w:t>
      </w:r>
    </w:p>
    <w:p>
      <w:pPr>
        <w:spacing w:after="0" w:line="69" w:lineRule="exact"/>
        <w:rPr>
          <w:sz w:val="20"/>
          <w:szCs w:val="20"/>
          <w:color w:val="auto"/>
        </w:rPr>
      </w:pPr>
    </w:p>
    <w:p>
      <w:pPr>
        <w:jc w:val="both"/>
        <w:ind w:left="860" w:right="519" w:hanging="352"/>
        <w:spacing w:after="0" w:line="237"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in these columns include PRSUs for which the applicable performance metrics had not been established as of December 31, 2025. In accordance with applicable accounting and SEC rules, these amounts do not appear in the Summary Compensation Table or Grants of Plan-Based Awards Table. Amounts are shown at target levels; actual amounts earned, if any, will be based on achievement of performance metrics for 2026, 2027 or 2028 (once established), as applicable. For Mr. Thakar, includes (i) 61,092 PRSUs representing target potential payout remaining from awards approved on October 30, 2025; (ii) 39,969 PRSUs representing target potential payout remaining from awards approved on October 30, 2024; and (iii) 15,184 PRSUs representing target potential payout remaining from awards approved on October 26, 2023. For Ms. Kim, includes (i) 14,662 PRSUs representing target potential payout remaining from awards approved on October 30, 2025; (ii) 9,593 PRSUs representing target potential payout remaining from awards approved on October 30, 2024; and (iii) 3,657 PRSUs representing target potential payout remaining from awards approved on October 26, 2023. For Mr. Posey, includes (i) 8,725 PRSUs representing target potential payout remaining from awards approved on October 30, 2025; (ii) 5,708 PRSUs representing target potential payout remaining from awards approved on October 30, 2024; and (iii) 2,182 PRSUs representing target potential payout remaining from awards approved on October 26, 2023.</w:t>
      </w:r>
    </w:p>
    <w:p>
      <w:pPr>
        <w:spacing w:after="0" w:line="34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CEO Pay Ratio</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Under Item 402(u) of Regulation S-K, we are required to provide the following information regarding the relationship between the annual total compensation of Mr. Thakar, our Chief Executive Officer as of the date we selected to identify the median employee, and the median of the annual total compensation of all our employees (other than Mr. Thakar) for 2025:</w:t>
      </w:r>
    </w:p>
    <w:p>
      <w:pPr>
        <w:spacing w:after="0" w:line="174" w:lineRule="exact"/>
        <w:rPr>
          <w:sz w:val="20"/>
          <w:szCs w:val="20"/>
          <w:color w:val="auto"/>
        </w:rPr>
      </w:pPr>
    </w:p>
    <w:p>
      <w:pPr>
        <w:ind w:left="1080" w:right="519" w:hanging="356"/>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median of the annual total compensation of our all employees (other than Mr. Thakar) (including our consolidated subsidiaries) was $34,981.</w:t>
      </w:r>
    </w:p>
    <w:p>
      <w:pPr>
        <w:spacing w:after="0" w:line="153" w:lineRule="exact"/>
        <w:rPr>
          <w:rFonts w:ascii="Arial" w:cs="Arial" w:eastAsia="Arial" w:hAnsi="Arial"/>
          <w:sz w:val="18"/>
          <w:szCs w:val="18"/>
          <w:color w:val="auto"/>
        </w:rPr>
      </w:pPr>
    </w:p>
    <w:p>
      <w:pPr>
        <w:ind w:left="1080" w:right="519" w:hanging="356"/>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Thakar’s annual total compensation, as reported in the 2025 Summary Compensation Table included in this proxy statement, was $15,947,158.</w:t>
      </w:r>
    </w:p>
    <w:p>
      <w:pPr>
        <w:spacing w:after="0" w:line="153" w:lineRule="exact"/>
        <w:rPr>
          <w:rFonts w:ascii="Arial" w:cs="Arial" w:eastAsia="Arial" w:hAnsi="Arial"/>
          <w:sz w:val="18"/>
          <w:szCs w:val="18"/>
          <w:color w:val="auto"/>
        </w:rPr>
      </w:pPr>
    </w:p>
    <w:p>
      <w:pPr>
        <w:jc w:val="both"/>
        <w:ind w:left="1080" w:right="519" w:hanging="356"/>
        <w:spacing w:after="0" w:line="25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the above, for 2025, the ratio of Mr. Thakar’s annual total compensation to the median of the annual total compensation of all our employees other than Mr. Thakar was approximately 456 to 1.</w:t>
      </w:r>
    </w:p>
    <w:p>
      <w:pPr>
        <w:spacing w:after="0" w:line="169"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This pay ratio is a reasonable estimate calculated in a manner consistent with Item 402(u) of Regulation S-K. We determined the median of the annual total compensation of our employees (other than Mr. Thakar) as of December 31, 2025, at which time we (including our consolidated subsidiaries) had 2,625 full-time, part-time, seasonal and temporary employees, 569 of whom are U.S. employees, and 2,056 (or approximately 78% of our total employee population) of whom are located outside of the United States (9 in Australia, 9 in Brazil, 16 in Canada, 2 in Colombia, 33 in France, 21 in Germany, 3 in Hong Kong, 1,847 in India, 12 in Italy, 4 in Japan, 4 in Mexico, 11 in the Netherlands, 2 in the Philippines, 4 in Poland, 1 in Saudi Arabia, 7 in Singapore, 1 in South Africa, 6 in Spain, 11 in the United Arab Emirates, and 53 in the United Kingdom).</w:t>
      </w:r>
    </w:p>
    <w:p>
      <w:pPr>
        <w:spacing w:after="0" w:line="18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In accordance with the permitted methodology for determining the “median employee”, we re-identified the “median employee” for 2025 due to a change in our employee population. We excluded non-U.S. employees (other than those located in France, Germany, India, and the United Kingdom) from our calculations under the de minimis exclusion to the extent the aggregate did not exceed 5% of our total employee population. We did not annualize the compensation of all permanent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6" w:name="page77"/>
    <w:bookmarkEnd w:id="76"/>
    <w:p>
      <w:pPr>
        <w:jc w:val="both"/>
        <w:ind w:left="500" w:right="519"/>
        <w:spacing w:after="0" w:line="239" w:lineRule="auto"/>
        <w:rPr>
          <w:sz w:val="20"/>
          <w:szCs w:val="20"/>
          <w:color w:val="auto"/>
        </w:rPr>
      </w:pPr>
      <w:r>
        <w:rPr>
          <w:rFonts w:ascii="Arial" w:cs="Arial" w:eastAsia="Arial" w:hAnsi="Arial"/>
          <w:sz w:val="18"/>
          <w:szCs w:val="18"/>
          <w:color w:val="auto"/>
        </w:rPr>
        <w:t>employees who were new-hires in 2025. We then compared the base salaries paid, bonuses earned, and equity awards granted to our 2,523 employees in the U.S., France, Germany, India, and the United Kingdom (which consisted of 569 U.S. employees and 1,954 non-U.S. employees) in 2025 to determine the median employee. Once we identified our median employee, we calculated the employee’s annual total compensation as though the median employee was reported in the 2025 Summary Compensation Table in accordance with the requirements of Item 402(c)(2)(x) of Regulation S-K, yielding the median annual total compensation disclosed above. With respect to the annual total compensation of Mr. Thakar, we used the amount reported in the “Total” column in the 2025 Summary Compensation Table included in this proxy statement.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ind w:left="500"/>
        <w:spacing w:after="0"/>
        <w:rPr>
          <w:sz w:val="20"/>
          <w:szCs w:val="20"/>
          <w:color w:val="auto"/>
        </w:rPr>
      </w:pPr>
      <w:r>
        <w:rPr>
          <w:rFonts w:ascii="Arial" w:cs="Arial" w:eastAsia="Arial" w:hAnsi="Arial"/>
          <w:sz w:val="18"/>
          <w:szCs w:val="18"/>
          <w:b w:val="1"/>
          <w:bCs w:val="1"/>
          <w:color w:val="auto"/>
        </w:rPr>
        <w:t>Pay Versus Performance</w:t>
      </w:r>
    </w:p>
    <w:p>
      <w:pPr>
        <w:spacing w:after="0" w:line="103"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and certain financial performance measures of the Company. For further information concerning the Company’s pay-for-performance philosophy and how executive compensation aligns with the Company’s performance, please see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Compensation Discussion and Analysis</w:t>
      </w:r>
      <w:r>
        <w:rPr>
          <w:rFonts w:ascii="Arial" w:cs="Arial" w:eastAsia="Arial" w:hAnsi="Arial"/>
          <w:sz w:val="18"/>
          <w:szCs w:val="18"/>
          <w:color w:val="auto"/>
        </w:rPr>
        <w:t>” section of this proxy statement.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 Versus Performance Table</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224"/>
        </w:trPr>
        <w:tc>
          <w:tcPr>
            <w:tcW w:w="560" w:type="dxa"/>
            <w:vAlign w:val="bottom"/>
            <w:shd w:val="clear" w:color="auto" w:fill="1D3965"/>
          </w:tcPr>
          <w:p>
            <w:pPr>
              <w:spacing w:after="0"/>
              <w:rPr>
                <w:sz w:val="19"/>
                <w:szCs w:val="19"/>
                <w:color w:val="auto"/>
              </w:rPr>
            </w:pPr>
          </w:p>
        </w:tc>
        <w:tc>
          <w:tcPr>
            <w:tcW w:w="160" w:type="dxa"/>
            <w:vAlign w:val="bottom"/>
            <w:shd w:val="clear" w:color="auto" w:fill="1D3965"/>
          </w:tcPr>
          <w:p>
            <w:pPr>
              <w:spacing w:after="0"/>
              <w:rPr>
                <w:sz w:val="19"/>
                <w:szCs w:val="19"/>
                <w:color w:val="auto"/>
              </w:rPr>
            </w:pPr>
          </w:p>
        </w:tc>
        <w:tc>
          <w:tcPr>
            <w:tcW w:w="600" w:type="dxa"/>
            <w:vAlign w:val="bottom"/>
            <w:shd w:val="clear" w:color="auto" w:fill="1D3965"/>
          </w:tcPr>
          <w:p>
            <w:pPr>
              <w:spacing w:after="0"/>
              <w:rPr>
                <w:sz w:val="19"/>
                <w:szCs w:val="19"/>
                <w:color w:val="auto"/>
              </w:rPr>
            </w:pPr>
          </w:p>
        </w:tc>
        <w:tc>
          <w:tcPr>
            <w:tcW w:w="160" w:type="dxa"/>
            <w:vAlign w:val="bottom"/>
            <w:shd w:val="clear" w:color="auto" w:fill="1D3965"/>
          </w:tcPr>
          <w:p>
            <w:pPr>
              <w:spacing w:after="0"/>
              <w:rPr>
                <w:sz w:val="19"/>
                <w:szCs w:val="19"/>
                <w:color w:val="auto"/>
              </w:rPr>
            </w:pPr>
          </w:p>
        </w:tc>
        <w:tc>
          <w:tcPr>
            <w:tcW w:w="600" w:type="dxa"/>
            <w:vAlign w:val="bottom"/>
            <w:shd w:val="clear" w:color="auto" w:fill="1D3965"/>
          </w:tcPr>
          <w:p>
            <w:pPr>
              <w:spacing w:after="0"/>
              <w:rPr>
                <w:sz w:val="19"/>
                <w:szCs w:val="19"/>
                <w:color w:val="auto"/>
              </w:rPr>
            </w:pPr>
          </w:p>
        </w:tc>
        <w:tc>
          <w:tcPr>
            <w:tcW w:w="880" w:type="dxa"/>
            <w:vAlign w:val="bottom"/>
            <w:shd w:val="clear" w:color="auto" w:fill="1D3965"/>
          </w:tcPr>
          <w:p>
            <w:pPr>
              <w:spacing w:after="0"/>
              <w:rPr>
                <w:sz w:val="19"/>
                <w:szCs w:val="19"/>
                <w:color w:val="auto"/>
              </w:rPr>
            </w:pPr>
          </w:p>
        </w:tc>
        <w:tc>
          <w:tcPr>
            <w:tcW w:w="760" w:type="dxa"/>
            <w:vAlign w:val="bottom"/>
            <w:shd w:val="clear" w:color="auto" w:fill="1D3965"/>
          </w:tcPr>
          <w:p>
            <w:pPr>
              <w:spacing w:after="0"/>
              <w:rPr>
                <w:sz w:val="19"/>
                <w:szCs w:val="19"/>
                <w:color w:val="auto"/>
              </w:rPr>
            </w:pP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Average</w:t>
            </w:r>
          </w:p>
        </w:tc>
        <w:tc>
          <w:tcPr>
            <w:tcW w:w="40" w:type="dxa"/>
            <w:vAlign w:val="bottom"/>
            <w:shd w:val="clear" w:color="auto" w:fill="1D3965"/>
          </w:tcPr>
          <w:p>
            <w:pPr>
              <w:spacing w:after="0"/>
              <w:rPr>
                <w:sz w:val="19"/>
                <w:szCs w:val="19"/>
                <w:color w:val="auto"/>
              </w:rPr>
            </w:pPr>
          </w:p>
        </w:tc>
        <w:tc>
          <w:tcPr>
            <w:tcW w:w="750" w:type="dxa"/>
            <w:vAlign w:val="bottom"/>
            <w:shd w:val="clear" w:color="auto" w:fill="1D3965"/>
          </w:tcPr>
          <w:p>
            <w:pPr>
              <w:spacing w:after="0"/>
              <w:rPr>
                <w:sz w:val="19"/>
                <w:szCs w:val="19"/>
                <w:color w:val="auto"/>
              </w:rPr>
            </w:pPr>
          </w:p>
        </w:tc>
        <w:tc>
          <w:tcPr>
            <w:tcW w:w="50" w:type="dxa"/>
            <w:vAlign w:val="bottom"/>
            <w:shd w:val="clear" w:color="auto" w:fill="1D3965"/>
          </w:tcPr>
          <w:p>
            <w:pPr>
              <w:spacing w:after="0"/>
              <w:rPr>
                <w:sz w:val="19"/>
                <w:szCs w:val="19"/>
                <w:color w:val="auto"/>
              </w:rPr>
            </w:pPr>
          </w:p>
        </w:tc>
        <w:tc>
          <w:tcPr>
            <w:tcW w:w="1240" w:type="dxa"/>
            <w:vAlign w:val="bottom"/>
            <w:gridSpan w:val="2"/>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Value of Initial Fixed $100</w:t>
            </w:r>
          </w:p>
        </w:tc>
        <w:tc>
          <w:tcPr>
            <w:tcW w:w="60" w:type="dxa"/>
            <w:vAlign w:val="bottom"/>
            <w:shd w:val="clear" w:color="auto" w:fill="1D3965"/>
          </w:tcPr>
          <w:p>
            <w:pPr>
              <w:spacing w:after="0"/>
              <w:rPr>
                <w:sz w:val="19"/>
                <w:szCs w:val="19"/>
                <w:color w:val="auto"/>
              </w:rPr>
            </w:pPr>
          </w:p>
        </w:tc>
        <w:tc>
          <w:tcPr>
            <w:tcW w:w="660" w:type="dxa"/>
            <w:vAlign w:val="bottom"/>
            <w:shd w:val="clear" w:color="auto" w:fill="1D3965"/>
          </w:tcPr>
          <w:p>
            <w:pPr>
              <w:spacing w:after="0"/>
              <w:rPr>
                <w:sz w:val="19"/>
                <w:szCs w:val="19"/>
                <w:color w:val="auto"/>
              </w:rPr>
            </w:pPr>
          </w:p>
        </w:tc>
        <w:tc>
          <w:tcPr>
            <w:tcW w:w="660" w:type="dxa"/>
            <w:vAlign w:val="bottom"/>
            <w:shd w:val="clear" w:color="auto" w:fill="1D3965"/>
          </w:tcPr>
          <w:p>
            <w:pPr>
              <w:spacing w:after="0"/>
              <w:rPr>
                <w:sz w:val="19"/>
                <w:szCs w:val="19"/>
                <w:color w:val="auto"/>
              </w:rPr>
            </w:pPr>
          </w:p>
        </w:tc>
        <w:tc>
          <w:tcPr>
            <w:tcW w:w="60" w:type="dxa"/>
            <w:vAlign w:val="bottom"/>
            <w:shd w:val="clear" w:color="auto" w:fill="1D3965"/>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60" w:type="dxa"/>
            <w:vAlign w:val="bottom"/>
            <w:shd w:val="clear" w:color="auto" w:fill="1D3965"/>
          </w:tcPr>
          <w:p>
            <w:pPr>
              <w:spacing w:after="0"/>
              <w:rPr>
                <w:sz w:val="4"/>
                <w:szCs w:val="4"/>
                <w:color w:val="auto"/>
              </w:rPr>
            </w:pPr>
          </w:p>
        </w:tc>
        <w:tc>
          <w:tcPr>
            <w:tcW w:w="160" w:type="dxa"/>
            <w:vAlign w:val="bottom"/>
            <w:shd w:val="clear" w:color="auto" w:fill="1D3965"/>
          </w:tcPr>
          <w:p>
            <w:pPr>
              <w:spacing w:after="0"/>
              <w:rPr>
                <w:sz w:val="4"/>
                <w:szCs w:val="4"/>
                <w:color w:val="auto"/>
              </w:rPr>
            </w:pPr>
          </w:p>
        </w:tc>
        <w:tc>
          <w:tcPr>
            <w:tcW w:w="600" w:type="dxa"/>
            <w:vAlign w:val="bottom"/>
            <w:shd w:val="clear" w:color="auto" w:fill="1D3965"/>
          </w:tcPr>
          <w:p>
            <w:pPr>
              <w:spacing w:after="0"/>
              <w:rPr>
                <w:sz w:val="4"/>
                <w:szCs w:val="4"/>
                <w:color w:val="auto"/>
              </w:rPr>
            </w:pPr>
          </w:p>
        </w:tc>
        <w:tc>
          <w:tcPr>
            <w:tcW w:w="160" w:type="dxa"/>
            <w:vAlign w:val="bottom"/>
            <w:shd w:val="clear" w:color="auto" w:fill="1D3965"/>
          </w:tcPr>
          <w:p>
            <w:pPr>
              <w:spacing w:after="0"/>
              <w:rPr>
                <w:sz w:val="4"/>
                <w:szCs w:val="4"/>
                <w:color w:val="auto"/>
              </w:rPr>
            </w:pPr>
          </w:p>
        </w:tc>
        <w:tc>
          <w:tcPr>
            <w:tcW w:w="600" w:type="dxa"/>
            <w:vAlign w:val="bottom"/>
            <w:shd w:val="clear" w:color="auto" w:fill="1D3965"/>
          </w:tcPr>
          <w:p>
            <w:pPr>
              <w:spacing w:after="0"/>
              <w:rPr>
                <w:sz w:val="4"/>
                <w:szCs w:val="4"/>
                <w:color w:val="auto"/>
              </w:rPr>
            </w:pPr>
          </w:p>
        </w:tc>
        <w:tc>
          <w:tcPr>
            <w:tcW w:w="880" w:type="dxa"/>
            <w:vAlign w:val="bottom"/>
            <w:shd w:val="clear" w:color="auto" w:fill="1D3965"/>
          </w:tcPr>
          <w:p>
            <w:pPr>
              <w:spacing w:after="0"/>
              <w:rPr>
                <w:sz w:val="4"/>
                <w:szCs w:val="4"/>
                <w:color w:val="auto"/>
              </w:rPr>
            </w:pPr>
          </w:p>
        </w:tc>
        <w:tc>
          <w:tcPr>
            <w:tcW w:w="760" w:type="dxa"/>
            <w:vAlign w:val="bottom"/>
            <w:shd w:val="clear" w:color="auto" w:fill="1D3965"/>
          </w:tcPr>
          <w:p>
            <w:pPr>
              <w:spacing w:after="0"/>
              <w:rPr>
                <w:sz w:val="4"/>
                <w:szCs w:val="4"/>
                <w:color w:val="auto"/>
              </w:rPr>
            </w:pPr>
          </w:p>
        </w:tc>
        <w:tc>
          <w:tcPr>
            <w:tcW w:w="76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6"/>
              </w:rPr>
              <w:t>Summary</w:t>
            </w:r>
          </w:p>
        </w:tc>
        <w:tc>
          <w:tcPr>
            <w:tcW w:w="40" w:type="dxa"/>
            <w:vAlign w:val="bottom"/>
            <w:shd w:val="clear" w:color="auto" w:fill="1D3965"/>
          </w:tcPr>
          <w:p>
            <w:pPr>
              <w:spacing w:after="0"/>
              <w:rPr>
                <w:sz w:val="4"/>
                <w:szCs w:val="4"/>
                <w:color w:val="auto"/>
              </w:rPr>
            </w:pPr>
          </w:p>
        </w:tc>
        <w:tc>
          <w:tcPr>
            <w:tcW w:w="75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6"/>
              </w:rPr>
              <w:t>Average</w:t>
            </w:r>
          </w:p>
        </w:tc>
        <w:tc>
          <w:tcPr>
            <w:tcW w:w="50" w:type="dxa"/>
            <w:vAlign w:val="bottom"/>
            <w:shd w:val="clear" w:color="auto" w:fill="1D3965"/>
          </w:tcPr>
          <w:p>
            <w:pPr>
              <w:spacing w:after="0"/>
              <w:rPr>
                <w:sz w:val="4"/>
                <w:szCs w:val="4"/>
                <w:color w:val="auto"/>
              </w:rPr>
            </w:pPr>
          </w:p>
        </w:tc>
        <w:tc>
          <w:tcPr>
            <w:tcW w:w="1240" w:type="dxa"/>
            <w:vAlign w:val="bottom"/>
            <w:gridSpan w:val="2"/>
            <w:vMerge w:val="continue"/>
            <w:shd w:val="clear" w:color="auto" w:fill="1D3965"/>
          </w:tcPr>
          <w:p>
            <w:pPr>
              <w:spacing w:after="0"/>
              <w:rPr>
                <w:sz w:val="4"/>
                <w:szCs w:val="4"/>
                <w:color w:val="auto"/>
              </w:rPr>
            </w:pPr>
          </w:p>
        </w:tc>
        <w:tc>
          <w:tcPr>
            <w:tcW w:w="60" w:type="dxa"/>
            <w:vAlign w:val="bottom"/>
            <w:shd w:val="clear" w:color="auto" w:fill="1D3965"/>
          </w:tcPr>
          <w:p>
            <w:pPr>
              <w:spacing w:after="0"/>
              <w:rPr>
                <w:sz w:val="4"/>
                <w:szCs w:val="4"/>
                <w:color w:val="auto"/>
              </w:rPr>
            </w:pPr>
          </w:p>
        </w:tc>
        <w:tc>
          <w:tcPr>
            <w:tcW w:w="660" w:type="dxa"/>
            <w:vAlign w:val="bottom"/>
            <w:shd w:val="clear" w:color="auto" w:fill="1D3965"/>
          </w:tcPr>
          <w:p>
            <w:pPr>
              <w:spacing w:after="0"/>
              <w:rPr>
                <w:sz w:val="4"/>
                <w:szCs w:val="4"/>
                <w:color w:val="auto"/>
              </w:rPr>
            </w:pPr>
          </w:p>
        </w:tc>
        <w:tc>
          <w:tcPr>
            <w:tcW w:w="660" w:type="dxa"/>
            <w:vAlign w:val="bottom"/>
            <w:shd w:val="clear" w:color="auto" w:fill="1D3965"/>
          </w:tcPr>
          <w:p>
            <w:pPr>
              <w:spacing w:after="0"/>
              <w:rPr>
                <w:sz w:val="4"/>
                <w:szCs w:val="4"/>
                <w:color w:val="auto"/>
              </w:rPr>
            </w:pPr>
          </w:p>
        </w:tc>
        <w:tc>
          <w:tcPr>
            <w:tcW w:w="60" w:type="dxa"/>
            <w:vAlign w:val="bottom"/>
            <w:shd w:val="clear" w:color="auto" w:fill="1D3965"/>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60" w:type="dxa"/>
            <w:vAlign w:val="bottom"/>
            <w:shd w:val="clear" w:color="auto" w:fill="1D3965"/>
          </w:tcPr>
          <w:p>
            <w:pPr>
              <w:spacing w:after="0"/>
              <w:rPr>
                <w:sz w:val="5"/>
                <w:szCs w:val="5"/>
                <w:color w:val="auto"/>
              </w:rPr>
            </w:pPr>
          </w:p>
        </w:tc>
        <w:tc>
          <w:tcPr>
            <w:tcW w:w="160" w:type="dxa"/>
            <w:vAlign w:val="bottom"/>
            <w:shd w:val="clear" w:color="auto" w:fill="1D3965"/>
          </w:tcPr>
          <w:p>
            <w:pPr>
              <w:spacing w:after="0"/>
              <w:rPr>
                <w:sz w:val="5"/>
                <w:szCs w:val="5"/>
                <w:color w:val="auto"/>
              </w:rPr>
            </w:pPr>
          </w:p>
        </w:tc>
        <w:tc>
          <w:tcPr>
            <w:tcW w:w="600" w:type="dxa"/>
            <w:vAlign w:val="bottom"/>
            <w:shd w:val="clear" w:color="auto" w:fill="1D3965"/>
          </w:tcPr>
          <w:p>
            <w:pPr>
              <w:spacing w:after="0"/>
              <w:rPr>
                <w:sz w:val="5"/>
                <w:szCs w:val="5"/>
                <w:color w:val="auto"/>
              </w:rPr>
            </w:pPr>
          </w:p>
        </w:tc>
        <w:tc>
          <w:tcPr>
            <w:tcW w:w="160" w:type="dxa"/>
            <w:vAlign w:val="bottom"/>
            <w:shd w:val="clear" w:color="auto" w:fill="1D3965"/>
          </w:tcPr>
          <w:p>
            <w:pPr>
              <w:spacing w:after="0"/>
              <w:rPr>
                <w:sz w:val="5"/>
                <w:szCs w:val="5"/>
                <w:color w:val="auto"/>
              </w:rPr>
            </w:pPr>
          </w:p>
        </w:tc>
        <w:tc>
          <w:tcPr>
            <w:tcW w:w="600" w:type="dxa"/>
            <w:vAlign w:val="bottom"/>
            <w:shd w:val="clear" w:color="auto" w:fill="1D3965"/>
          </w:tcPr>
          <w:p>
            <w:pPr>
              <w:spacing w:after="0"/>
              <w:rPr>
                <w:sz w:val="5"/>
                <w:szCs w:val="5"/>
                <w:color w:val="auto"/>
              </w:rPr>
            </w:pPr>
          </w:p>
        </w:tc>
        <w:tc>
          <w:tcPr>
            <w:tcW w:w="880" w:type="dxa"/>
            <w:vAlign w:val="bottom"/>
            <w:shd w:val="clear" w:color="auto" w:fill="1D3965"/>
          </w:tcPr>
          <w:p>
            <w:pPr>
              <w:spacing w:after="0"/>
              <w:rPr>
                <w:sz w:val="5"/>
                <w:szCs w:val="5"/>
                <w:color w:val="auto"/>
              </w:rPr>
            </w:pPr>
          </w:p>
        </w:tc>
        <w:tc>
          <w:tcPr>
            <w:tcW w:w="760" w:type="dxa"/>
            <w:vAlign w:val="bottom"/>
            <w:shd w:val="clear" w:color="auto" w:fill="1D3965"/>
          </w:tcPr>
          <w:p>
            <w:pPr>
              <w:spacing w:after="0"/>
              <w:rPr>
                <w:sz w:val="5"/>
                <w:szCs w:val="5"/>
                <w:color w:val="auto"/>
              </w:rPr>
            </w:pPr>
          </w:p>
        </w:tc>
        <w:tc>
          <w:tcPr>
            <w:tcW w:w="760" w:type="dxa"/>
            <w:vAlign w:val="bottom"/>
            <w:vMerge w:val="continue"/>
            <w:shd w:val="clear" w:color="auto" w:fill="1D3965"/>
          </w:tcPr>
          <w:p>
            <w:pPr>
              <w:spacing w:after="0"/>
              <w:rPr>
                <w:sz w:val="5"/>
                <w:szCs w:val="5"/>
                <w:color w:val="auto"/>
              </w:rPr>
            </w:pPr>
          </w:p>
        </w:tc>
        <w:tc>
          <w:tcPr>
            <w:tcW w:w="40" w:type="dxa"/>
            <w:vAlign w:val="bottom"/>
            <w:shd w:val="clear" w:color="auto" w:fill="1D3965"/>
          </w:tcPr>
          <w:p>
            <w:pPr>
              <w:spacing w:after="0"/>
              <w:rPr>
                <w:sz w:val="5"/>
                <w:szCs w:val="5"/>
                <w:color w:val="auto"/>
              </w:rPr>
            </w:pPr>
          </w:p>
        </w:tc>
        <w:tc>
          <w:tcPr>
            <w:tcW w:w="750" w:type="dxa"/>
            <w:vAlign w:val="bottom"/>
            <w:vMerge w:val="continue"/>
            <w:shd w:val="clear" w:color="auto" w:fill="1D3965"/>
          </w:tcPr>
          <w:p>
            <w:pPr>
              <w:spacing w:after="0"/>
              <w:rPr>
                <w:sz w:val="5"/>
                <w:szCs w:val="5"/>
                <w:color w:val="auto"/>
              </w:rPr>
            </w:pPr>
          </w:p>
        </w:tc>
        <w:tc>
          <w:tcPr>
            <w:tcW w:w="50" w:type="dxa"/>
            <w:vAlign w:val="bottom"/>
            <w:shd w:val="clear" w:color="auto" w:fill="1D3965"/>
          </w:tcPr>
          <w:p>
            <w:pPr>
              <w:spacing w:after="0"/>
              <w:rPr>
                <w:sz w:val="5"/>
                <w:szCs w:val="5"/>
                <w:color w:val="auto"/>
              </w:rPr>
            </w:pPr>
          </w:p>
        </w:tc>
        <w:tc>
          <w:tcPr>
            <w:tcW w:w="1240" w:type="dxa"/>
            <w:vAlign w:val="bottom"/>
            <w:gridSpan w:val="2"/>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Investment Based On:</w:t>
            </w:r>
          </w:p>
        </w:tc>
        <w:tc>
          <w:tcPr>
            <w:tcW w:w="60" w:type="dxa"/>
            <w:vAlign w:val="bottom"/>
            <w:shd w:val="clear" w:color="auto" w:fill="1D3965"/>
          </w:tcPr>
          <w:p>
            <w:pPr>
              <w:spacing w:after="0"/>
              <w:rPr>
                <w:sz w:val="5"/>
                <w:szCs w:val="5"/>
                <w:color w:val="auto"/>
              </w:rPr>
            </w:pPr>
          </w:p>
        </w:tc>
        <w:tc>
          <w:tcPr>
            <w:tcW w:w="660" w:type="dxa"/>
            <w:vAlign w:val="bottom"/>
            <w:shd w:val="clear" w:color="auto" w:fill="1D3965"/>
          </w:tcPr>
          <w:p>
            <w:pPr>
              <w:spacing w:after="0"/>
              <w:rPr>
                <w:sz w:val="5"/>
                <w:szCs w:val="5"/>
                <w:color w:val="auto"/>
              </w:rPr>
            </w:pPr>
          </w:p>
        </w:tc>
        <w:tc>
          <w:tcPr>
            <w:tcW w:w="660" w:type="dxa"/>
            <w:vAlign w:val="bottom"/>
            <w:shd w:val="clear" w:color="auto" w:fill="1D3965"/>
          </w:tcPr>
          <w:p>
            <w:pPr>
              <w:spacing w:after="0"/>
              <w:rPr>
                <w:sz w:val="5"/>
                <w:szCs w:val="5"/>
                <w:color w:val="auto"/>
              </w:rPr>
            </w:pPr>
          </w:p>
        </w:tc>
        <w:tc>
          <w:tcPr>
            <w:tcW w:w="60" w:type="dxa"/>
            <w:vAlign w:val="bottom"/>
            <w:shd w:val="clear" w:color="auto" w:fill="1D396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0" w:type="dxa"/>
            <w:vAlign w:val="bottom"/>
            <w:shd w:val="clear" w:color="auto" w:fill="1D3965"/>
          </w:tcPr>
          <w:p>
            <w:pPr>
              <w:spacing w:after="0"/>
              <w:rPr>
                <w:sz w:val="5"/>
                <w:szCs w:val="5"/>
                <w:color w:val="auto"/>
              </w:rPr>
            </w:pPr>
          </w:p>
        </w:tc>
        <w:tc>
          <w:tcPr>
            <w:tcW w:w="160" w:type="dxa"/>
            <w:vAlign w:val="bottom"/>
            <w:shd w:val="clear" w:color="auto" w:fill="1D3965"/>
          </w:tcPr>
          <w:p>
            <w:pPr>
              <w:spacing w:after="0"/>
              <w:rPr>
                <w:sz w:val="5"/>
                <w:szCs w:val="5"/>
                <w:color w:val="auto"/>
              </w:rPr>
            </w:pPr>
          </w:p>
        </w:tc>
        <w:tc>
          <w:tcPr>
            <w:tcW w:w="600" w:type="dxa"/>
            <w:vAlign w:val="bottom"/>
            <w:shd w:val="clear" w:color="auto" w:fill="1D3965"/>
          </w:tcPr>
          <w:p>
            <w:pPr>
              <w:spacing w:after="0"/>
              <w:rPr>
                <w:sz w:val="5"/>
                <w:szCs w:val="5"/>
                <w:color w:val="auto"/>
              </w:rPr>
            </w:pPr>
          </w:p>
        </w:tc>
        <w:tc>
          <w:tcPr>
            <w:tcW w:w="160" w:type="dxa"/>
            <w:vAlign w:val="bottom"/>
            <w:shd w:val="clear" w:color="auto" w:fill="1D3965"/>
          </w:tcPr>
          <w:p>
            <w:pPr>
              <w:spacing w:after="0"/>
              <w:rPr>
                <w:sz w:val="5"/>
                <w:szCs w:val="5"/>
                <w:color w:val="auto"/>
              </w:rPr>
            </w:pPr>
          </w:p>
        </w:tc>
        <w:tc>
          <w:tcPr>
            <w:tcW w:w="600" w:type="dxa"/>
            <w:vAlign w:val="bottom"/>
            <w:shd w:val="clear" w:color="auto" w:fill="1D3965"/>
          </w:tcPr>
          <w:p>
            <w:pPr>
              <w:spacing w:after="0"/>
              <w:rPr>
                <w:sz w:val="5"/>
                <w:szCs w:val="5"/>
                <w:color w:val="auto"/>
              </w:rPr>
            </w:pPr>
          </w:p>
        </w:tc>
        <w:tc>
          <w:tcPr>
            <w:tcW w:w="880" w:type="dxa"/>
            <w:vAlign w:val="bottom"/>
            <w:shd w:val="clear" w:color="auto" w:fill="1D3965"/>
          </w:tcPr>
          <w:p>
            <w:pPr>
              <w:spacing w:after="0"/>
              <w:rPr>
                <w:sz w:val="5"/>
                <w:szCs w:val="5"/>
                <w:color w:val="auto"/>
              </w:rPr>
            </w:pPr>
          </w:p>
        </w:tc>
        <w:tc>
          <w:tcPr>
            <w:tcW w:w="760" w:type="dxa"/>
            <w:vAlign w:val="bottom"/>
            <w:shd w:val="clear" w:color="auto" w:fill="1D3965"/>
          </w:tcPr>
          <w:p>
            <w:pPr>
              <w:spacing w:after="0"/>
              <w:rPr>
                <w:sz w:val="5"/>
                <w:szCs w:val="5"/>
                <w:color w:val="auto"/>
              </w:rPr>
            </w:pPr>
          </w:p>
        </w:tc>
        <w:tc>
          <w:tcPr>
            <w:tcW w:w="76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7"/>
              </w:rPr>
              <w:t>Compensation</w:t>
            </w:r>
          </w:p>
        </w:tc>
        <w:tc>
          <w:tcPr>
            <w:tcW w:w="40" w:type="dxa"/>
            <w:vAlign w:val="bottom"/>
            <w:shd w:val="clear" w:color="auto" w:fill="1D3965"/>
          </w:tcPr>
          <w:p>
            <w:pPr>
              <w:spacing w:after="0"/>
              <w:rPr>
                <w:sz w:val="5"/>
                <w:szCs w:val="5"/>
                <w:color w:val="auto"/>
              </w:rPr>
            </w:pPr>
          </w:p>
        </w:tc>
        <w:tc>
          <w:tcPr>
            <w:tcW w:w="75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rPr>
              <w:t>Compensation</w:t>
            </w:r>
          </w:p>
        </w:tc>
        <w:tc>
          <w:tcPr>
            <w:tcW w:w="50" w:type="dxa"/>
            <w:vAlign w:val="bottom"/>
            <w:shd w:val="clear" w:color="auto" w:fill="1D3965"/>
          </w:tcPr>
          <w:p>
            <w:pPr>
              <w:spacing w:after="0"/>
              <w:rPr>
                <w:sz w:val="5"/>
                <w:szCs w:val="5"/>
                <w:color w:val="auto"/>
              </w:rPr>
            </w:pPr>
          </w:p>
        </w:tc>
        <w:tc>
          <w:tcPr>
            <w:tcW w:w="1240" w:type="dxa"/>
            <w:vAlign w:val="bottom"/>
            <w:gridSpan w:val="2"/>
            <w:vMerge w:val="continue"/>
            <w:shd w:val="clear" w:color="auto" w:fill="1D3965"/>
          </w:tcPr>
          <w:p>
            <w:pPr>
              <w:spacing w:after="0"/>
              <w:rPr>
                <w:sz w:val="5"/>
                <w:szCs w:val="5"/>
                <w:color w:val="auto"/>
              </w:rPr>
            </w:pPr>
          </w:p>
        </w:tc>
        <w:tc>
          <w:tcPr>
            <w:tcW w:w="60" w:type="dxa"/>
            <w:vAlign w:val="bottom"/>
            <w:shd w:val="clear" w:color="auto" w:fill="1D3965"/>
          </w:tcPr>
          <w:p>
            <w:pPr>
              <w:spacing w:after="0"/>
              <w:rPr>
                <w:sz w:val="5"/>
                <w:szCs w:val="5"/>
                <w:color w:val="auto"/>
              </w:rPr>
            </w:pPr>
          </w:p>
        </w:tc>
        <w:tc>
          <w:tcPr>
            <w:tcW w:w="660" w:type="dxa"/>
            <w:vAlign w:val="bottom"/>
            <w:shd w:val="clear" w:color="auto" w:fill="1D3965"/>
          </w:tcPr>
          <w:p>
            <w:pPr>
              <w:spacing w:after="0"/>
              <w:rPr>
                <w:sz w:val="5"/>
                <w:szCs w:val="5"/>
                <w:color w:val="auto"/>
              </w:rPr>
            </w:pPr>
          </w:p>
        </w:tc>
        <w:tc>
          <w:tcPr>
            <w:tcW w:w="660" w:type="dxa"/>
            <w:vAlign w:val="bottom"/>
            <w:shd w:val="clear" w:color="auto" w:fill="1D3965"/>
          </w:tcPr>
          <w:p>
            <w:pPr>
              <w:spacing w:after="0"/>
              <w:rPr>
                <w:sz w:val="5"/>
                <w:szCs w:val="5"/>
                <w:color w:val="auto"/>
              </w:rPr>
            </w:pPr>
          </w:p>
        </w:tc>
        <w:tc>
          <w:tcPr>
            <w:tcW w:w="60" w:type="dxa"/>
            <w:vAlign w:val="bottom"/>
            <w:shd w:val="clear" w:color="auto" w:fill="1D3965"/>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560" w:type="dxa"/>
            <w:vAlign w:val="bottom"/>
            <w:shd w:val="clear" w:color="auto" w:fill="1D3965"/>
          </w:tcPr>
          <w:p>
            <w:pPr>
              <w:spacing w:after="0"/>
              <w:rPr>
                <w:sz w:val="4"/>
                <w:szCs w:val="4"/>
                <w:color w:val="auto"/>
              </w:rPr>
            </w:pPr>
          </w:p>
        </w:tc>
        <w:tc>
          <w:tcPr>
            <w:tcW w:w="160" w:type="dxa"/>
            <w:vAlign w:val="bottom"/>
            <w:shd w:val="clear" w:color="auto" w:fill="1D3965"/>
          </w:tcPr>
          <w:p>
            <w:pPr>
              <w:spacing w:after="0"/>
              <w:rPr>
                <w:sz w:val="4"/>
                <w:szCs w:val="4"/>
                <w:color w:val="auto"/>
              </w:rPr>
            </w:pPr>
          </w:p>
        </w:tc>
        <w:tc>
          <w:tcPr>
            <w:tcW w:w="600" w:type="dxa"/>
            <w:vAlign w:val="bottom"/>
            <w:shd w:val="clear" w:color="auto" w:fill="1D3965"/>
          </w:tcPr>
          <w:p>
            <w:pPr>
              <w:spacing w:after="0"/>
              <w:rPr>
                <w:sz w:val="4"/>
                <w:szCs w:val="4"/>
                <w:color w:val="auto"/>
              </w:rPr>
            </w:pPr>
          </w:p>
        </w:tc>
        <w:tc>
          <w:tcPr>
            <w:tcW w:w="160" w:type="dxa"/>
            <w:vAlign w:val="bottom"/>
            <w:shd w:val="clear" w:color="auto" w:fill="1D3965"/>
          </w:tcPr>
          <w:p>
            <w:pPr>
              <w:spacing w:after="0"/>
              <w:rPr>
                <w:sz w:val="4"/>
                <w:szCs w:val="4"/>
                <w:color w:val="auto"/>
              </w:rPr>
            </w:pPr>
          </w:p>
        </w:tc>
        <w:tc>
          <w:tcPr>
            <w:tcW w:w="600" w:type="dxa"/>
            <w:vAlign w:val="bottom"/>
            <w:shd w:val="clear" w:color="auto" w:fill="1D3965"/>
          </w:tcPr>
          <w:p>
            <w:pPr>
              <w:spacing w:after="0"/>
              <w:rPr>
                <w:sz w:val="4"/>
                <w:szCs w:val="4"/>
                <w:color w:val="auto"/>
              </w:rPr>
            </w:pPr>
          </w:p>
        </w:tc>
        <w:tc>
          <w:tcPr>
            <w:tcW w:w="880" w:type="dxa"/>
            <w:vAlign w:val="bottom"/>
            <w:shd w:val="clear" w:color="auto" w:fill="1D3965"/>
          </w:tcPr>
          <w:p>
            <w:pPr>
              <w:spacing w:after="0"/>
              <w:rPr>
                <w:sz w:val="4"/>
                <w:szCs w:val="4"/>
                <w:color w:val="auto"/>
              </w:rPr>
            </w:pPr>
          </w:p>
        </w:tc>
        <w:tc>
          <w:tcPr>
            <w:tcW w:w="760" w:type="dxa"/>
            <w:vAlign w:val="bottom"/>
            <w:shd w:val="clear" w:color="auto" w:fill="1D3965"/>
          </w:tcPr>
          <w:p>
            <w:pPr>
              <w:spacing w:after="0"/>
              <w:rPr>
                <w:sz w:val="4"/>
                <w:szCs w:val="4"/>
                <w:color w:val="auto"/>
              </w:rPr>
            </w:pPr>
          </w:p>
        </w:tc>
        <w:tc>
          <w:tcPr>
            <w:tcW w:w="760" w:type="dxa"/>
            <w:vAlign w:val="bottom"/>
            <w:vMerge w:val="continue"/>
            <w:shd w:val="clear" w:color="auto" w:fill="1D3965"/>
          </w:tcPr>
          <w:p>
            <w:pPr>
              <w:spacing w:after="0"/>
              <w:rPr>
                <w:sz w:val="4"/>
                <w:szCs w:val="4"/>
                <w:color w:val="auto"/>
              </w:rPr>
            </w:pPr>
          </w:p>
        </w:tc>
        <w:tc>
          <w:tcPr>
            <w:tcW w:w="40" w:type="dxa"/>
            <w:vAlign w:val="bottom"/>
            <w:shd w:val="clear" w:color="auto" w:fill="1D3965"/>
          </w:tcPr>
          <w:p>
            <w:pPr>
              <w:spacing w:after="0"/>
              <w:rPr>
                <w:sz w:val="4"/>
                <w:szCs w:val="4"/>
                <w:color w:val="auto"/>
              </w:rPr>
            </w:pPr>
          </w:p>
        </w:tc>
        <w:tc>
          <w:tcPr>
            <w:tcW w:w="750" w:type="dxa"/>
            <w:vAlign w:val="bottom"/>
            <w:vMerge w:val="continue"/>
            <w:shd w:val="clear" w:color="auto" w:fill="1D3965"/>
          </w:tcPr>
          <w:p>
            <w:pPr>
              <w:spacing w:after="0"/>
              <w:rPr>
                <w:sz w:val="4"/>
                <w:szCs w:val="4"/>
                <w:color w:val="auto"/>
              </w:rPr>
            </w:pPr>
          </w:p>
        </w:tc>
        <w:tc>
          <w:tcPr>
            <w:tcW w:w="50" w:type="dxa"/>
            <w:vAlign w:val="bottom"/>
            <w:shd w:val="clear" w:color="auto" w:fill="1D3965"/>
          </w:tcPr>
          <w:p>
            <w:pPr>
              <w:spacing w:after="0"/>
              <w:rPr>
                <w:sz w:val="4"/>
                <w:szCs w:val="4"/>
                <w:color w:val="auto"/>
              </w:rPr>
            </w:pPr>
          </w:p>
        </w:tc>
        <w:tc>
          <w:tcPr>
            <w:tcW w:w="580" w:type="dxa"/>
            <w:vAlign w:val="bottom"/>
            <w:shd w:val="clear" w:color="auto" w:fill="1D3965"/>
          </w:tcPr>
          <w:p>
            <w:pPr>
              <w:spacing w:after="0"/>
              <w:rPr>
                <w:sz w:val="4"/>
                <w:szCs w:val="4"/>
                <w:color w:val="auto"/>
              </w:rPr>
            </w:pPr>
          </w:p>
        </w:tc>
        <w:tc>
          <w:tcPr>
            <w:tcW w:w="660" w:type="dxa"/>
            <w:vAlign w:val="bottom"/>
            <w:shd w:val="clear" w:color="auto" w:fill="1D3965"/>
          </w:tcPr>
          <w:p>
            <w:pPr>
              <w:spacing w:after="0"/>
              <w:rPr>
                <w:sz w:val="4"/>
                <w:szCs w:val="4"/>
                <w:color w:val="auto"/>
              </w:rPr>
            </w:pPr>
          </w:p>
        </w:tc>
        <w:tc>
          <w:tcPr>
            <w:tcW w:w="60" w:type="dxa"/>
            <w:vAlign w:val="bottom"/>
            <w:shd w:val="clear" w:color="auto" w:fill="1D3965"/>
          </w:tcPr>
          <w:p>
            <w:pPr>
              <w:spacing w:after="0"/>
              <w:rPr>
                <w:sz w:val="4"/>
                <w:szCs w:val="4"/>
                <w:color w:val="auto"/>
              </w:rPr>
            </w:pPr>
          </w:p>
        </w:tc>
        <w:tc>
          <w:tcPr>
            <w:tcW w:w="660" w:type="dxa"/>
            <w:vAlign w:val="bottom"/>
            <w:shd w:val="clear" w:color="auto" w:fill="1D3965"/>
          </w:tcPr>
          <w:p>
            <w:pPr>
              <w:spacing w:after="0"/>
              <w:rPr>
                <w:sz w:val="4"/>
                <w:szCs w:val="4"/>
                <w:color w:val="auto"/>
              </w:rPr>
            </w:pPr>
          </w:p>
        </w:tc>
        <w:tc>
          <w:tcPr>
            <w:tcW w:w="660" w:type="dxa"/>
            <w:vAlign w:val="bottom"/>
            <w:shd w:val="clear" w:color="auto" w:fill="1D3965"/>
          </w:tcPr>
          <w:p>
            <w:pPr>
              <w:spacing w:after="0"/>
              <w:rPr>
                <w:sz w:val="4"/>
                <w:szCs w:val="4"/>
                <w:color w:val="auto"/>
              </w:rPr>
            </w:pPr>
          </w:p>
        </w:tc>
        <w:tc>
          <w:tcPr>
            <w:tcW w:w="60" w:type="dxa"/>
            <w:vAlign w:val="bottom"/>
            <w:shd w:val="clear" w:color="auto" w:fill="1D3965"/>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60" w:type="dxa"/>
            <w:vAlign w:val="bottom"/>
            <w:shd w:val="clear" w:color="auto" w:fill="1D3965"/>
          </w:tcPr>
          <w:p>
            <w:pPr>
              <w:spacing w:after="0"/>
              <w:rPr>
                <w:sz w:val="10"/>
                <w:szCs w:val="10"/>
                <w:color w:val="auto"/>
              </w:rPr>
            </w:pPr>
          </w:p>
        </w:tc>
        <w:tc>
          <w:tcPr>
            <w:tcW w:w="160" w:type="dxa"/>
            <w:vAlign w:val="bottom"/>
            <w:shd w:val="clear" w:color="auto" w:fill="1D3965"/>
          </w:tcPr>
          <w:p>
            <w:pPr>
              <w:spacing w:after="0"/>
              <w:rPr>
                <w:sz w:val="10"/>
                <w:szCs w:val="10"/>
                <w:color w:val="auto"/>
              </w:rPr>
            </w:pPr>
          </w:p>
        </w:tc>
        <w:tc>
          <w:tcPr>
            <w:tcW w:w="600" w:type="dxa"/>
            <w:vAlign w:val="bottom"/>
            <w:shd w:val="clear" w:color="auto" w:fill="1D3965"/>
          </w:tcPr>
          <w:p>
            <w:pPr>
              <w:jc w:val="center"/>
              <w:ind w:right="89"/>
              <w:spacing w:after="0"/>
              <w:rPr>
                <w:sz w:val="20"/>
                <w:szCs w:val="20"/>
                <w:color w:val="auto"/>
              </w:rPr>
            </w:pPr>
            <w:r>
              <w:rPr>
                <w:rFonts w:ascii="Arial" w:cs="Arial" w:eastAsia="Arial" w:hAnsi="Arial"/>
                <w:sz w:val="10"/>
                <w:szCs w:val="10"/>
                <w:b w:val="1"/>
                <w:bCs w:val="1"/>
                <w:color w:val="FFFFFF"/>
              </w:rPr>
              <w:t>Summary</w:t>
            </w:r>
          </w:p>
        </w:tc>
        <w:tc>
          <w:tcPr>
            <w:tcW w:w="160" w:type="dxa"/>
            <w:vAlign w:val="bottom"/>
            <w:shd w:val="clear" w:color="auto" w:fill="1D3965"/>
          </w:tcPr>
          <w:p>
            <w:pPr>
              <w:spacing w:after="0"/>
              <w:rPr>
                <w:sz w:val="10"/>
                <w:szCs w:val="10"/>
                <w:color w:val="auto"/>
              </w:rPr>
            </w:pPr>
          </w:p>
        </w:tc>
        <w:tc>
          <w:tcPr>
            <w:tcW w:w="600" w:type="dxa"/>
            <w:vAlign w:val="bottom"/>
            <w:shd w:val="clear" w:color="auto" w:fill="1D3965"/>
          </w:tcPr>
          <w:p>
            <w:pPr>
              <w:spacing w:after="0"/>
              <w:rPr>
                <w:sz w:val="10"/>
                <w:szCs w:val="10"/>
                <w:color w:val="auto"/>
              </w:rPr>
            </w:pPr>
          </w:p>
        </w:tc>
        <w:tc>
          <w:tcPr>
            <w:tcW w:w="880" w:type="dxa"/>
            <w:vAlign w:val="bottom"/>
            <w:shd w:val="clear" w:color="auto" w:fill="1D3965"/>
          </w:tcPr>
          <w:p>
            <w:pPr>
              <w:spacing w:after="0"/>
              <w:rPr>
                <w:sz w:val="10"/>
                <w:szCs w:val="10"/>
                <w:color w:val="auto"/>
              </w:rPr>
            </w:pPr>
          </w:p>
        </w:tc>
        <w:tc>
          <w:tcPr>
            <w:tcW w:w="760" w:type="dxa"/>
            <w:vAlign w:val="bottom"/>
            <w:shd w:val="clear" w:color="auto" w:fill="1D3965"/>
          </w:tcPr>
          <w:p>
            <w:pPr>
              <w:spacing w:after="0"/>
              <w:rPr>
                <w:sz w:val="10"/>
                <w:szCs w:val="10"/>
                <w:color w:val="auto"/>
              </w:rPr>
            </w:pP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Table Total for</w:t>
            </w:r>
          </w:p>
        </w:tc>
        <w:tc>
          <w:tcPr>
            <w:tcW w:w="40" w:type="dxa"/>
            <w:vAlign w:val="bottom"/>
            <w:shd w:val="clear" w:color="auto" w:fill="1D3965"/>
          </w:tcPr>
          <w:p>
            <w:pPr>
              <w:spacing w:after="0"/>
              <w:rPr>
                <w:sz w:val="10"/>
                <w:szCs w:val="10"/>
                <w:color w:val="auto"/>
              </w:rPr>
            </w:pPr>
          </w:p>
        </w:tc>
        <w:tc>
          <w:tcPr>
            <w:tcW w:w="75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Actually Paid</w:t>
            </w:r>
          </w:p>
        </w:tc>
        <w:tc>
          <w:tcPr>
            <w:tcW w:w="50" w:type="dxa"/>
            <w:vAlign w:val="bottom"/>
            <w:shd w:val="clear" w:color="auto" w:fill="1D3965"/>
          </w:tcPr>
          <w:p>
            <w:pPr>
              <w:spacing w:after="0"/>
              <w:rPr>
                <w:sz w:val="10"/>
                <w:szCs w:val="10"/>
                <w:color w:val="auto"/>
              </w:rPr>
            </w:pPr>
          </w:p>
        </w:tc>
        <w:tc>
          <w:tcPr>
            <w:tcW w:w="580" w:type="dxa"/>
            <w:vAlign w:val="bottom"/>
            <w:shd w:val="clear" w:color="auto" w:fill="1D3965"/>
          </w:tcPr>
          <w:p>
            <w:pPr>
              <w:spacing w:after="0"/>
              <w:rPr>
                <w:sz w:val="10"/>
                <w:szCs w:val="10"/>
                <w:color w:val="auto"/>
              </w:rPr>
            </w:pPr>
          </w:p>
        </w:tc>
        <w:tc>
          <w:tcPr>
            <w:tcW w:w="660" w:type="dxa"/>
            <w:vAlign w:val="bottom"/>
            <w:shd w:val="clear" w:color="auto" w:fill="1D3965"/>
          </w:tcPr>
          <w:p>
            <w:pPr>
              <w:spacing w:after="0"/>
              <w:rPr>
                <w:sz w:val="10"/>
                <w:szCs w:val="10"/>
                <w:color w:val="auto"/>
              </w:rPr>
            </w:pPr>
          </w:p>
        </w:tc>
        <w:tc>
          <w:tcPr>
            <w:tcW w:w="60" w:type="dxa"/>
            <w:vAlign w:val="bottom"/>
            <w:shd w:val="clear" w:color="auto" w:fill="1D3965"/>
          </w:tcPr>
          <w:p>
            <w:pPr>
              <w:spacing w:after="0"/>
              <w:rPr>
                <w:sz w:val="10"/>
                <w:szCs w:val="10"/>
                <w:color w:val="auto"/>
              </w:rPr>
            </w:pPr>
          </w:p>
        </w:tc>
        <w:tc>
          <w:tcPr>
            <w:tcW w:w="660" w:type="dxa"/>
            <w:vAlign w:val="bottom"/>
            <w:shd w:val="clear" w:color="auto" w:fill="1D3965"/>
          </w:tcPr>
          <w:p>
            <w:pPr>
              <w:spacing w:after="0"/>
              <w:rPr>
                <w:sz w:val="10"/>
                <w:szCs w:val="10"/>
                <w:color w:val="auto"/>
              </w:rPr>
            </w:pPr>
          </w:p>
        </w:tc>
        <w:tc>
          <w:tcPr>
            <w:tcW w:w="660" w:type="dxa"/>
            <w:vAlign w:val="bottom"/>
            <w:shd w:val="clear" w:color="auto" w:fill="1D3965"/>
          </w:tcPr>
          <w:p>
            <w:pPr>
              <w:spacing w:after="0"/>
              <w:rPr>
                <w:sz w:val="10"/>
                <w:szCs w:val="10"/>
                <w:color w:val="auto"/>
              </w:rPr>
            </w:pPr>
          </w:p>
        </w:tc>
        <w:tc>
          <w:tcPr>
            <w:tcW w:w="60" w:type="dxa"/>
            <w:vAlign w:val="bottom"/>
            <w:shd w:val="clear" w:color="auto" w:fill="1D396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shd w:val="clear" w:color="auto" w:fill="1D3965"/>
          </w:tcPr>
          <w:p>
            <w:pPr>
              <w:spacing w:after="0"/>
              <w:rPr>
                <w:sz w:val="10"/>
                <w:szCs w:val="10"/>
                <w:color w:val="auto"/>
              </w:rPr>
            </w:pPr>
          </w:p>
        </w:tc>
        <w:tc>
          <w:tcPr>
            <w:tcW w:w="760" w:type="dxa"/>
            <w:vAlign w:val="bottom"/>
            <w:gridSpan w:val="2"/>
            <w:shd w:val="clear" w:color="auto" w:fill="1D3965"/>
          </w:tcPr>
          <w:p>
            <w:pPr>
              <w:jc w:val="center"/>
              <w:ind w:left="7"/>
              <w:spacing w:after="0"/>
              <w:rPr>
                <w:sz w:val="20"/>
                <w:szCs w:val="20"/>
                <w:color w:val="auto"/>
              </w:rPr>
            </w:pPr>
            <w:r>
              <w:rPr>
                <w:rFonts w:ascii="Arial" w:cs="Arial" w:eastAsia="Arial" w:hAnsi="Arial"/>
                <w:sz w:val="10"/>
                <w:szCs w:val="10"/>
                <w:b w:val="1"/>
                <w:bCs w:val="1"/>
                <w:color w:val="FFFFFF"/>
              </w:rPr>
              <w:t>Compensation</w:t>
            </w:r>
          </w:p>
        </w:tc>
        <w:tc>
          <w:tcPr>
            <w:tcW w:w="760" w:type="dxa"/>
            <w:vAlign w:val="bottom"/>
            <w:gridSpan w:val="2"/>
            <w:shd w:val="clear" w:color="auto" w:fill="1D3965"/>
          </w:tcPr>
          <w:p>
            <w:pPr>
              <w:jc w:val="center"/>
              <w:spacing w:after="0"/>
              <w:rPr>
                <w:sz w:val="20"/>
                <w:szCs w:val="20"/>
                <w:color w:val="auto"/>
              </w:rPr>
            </w:pPr>
            <w:r>
              <w:rPr>
                <w:rFonts w:ascii="Arial" w:cs="Arial" w:eastAsia="Arial" w:hAnsi="Arial"/>
                <w:sz w:val="10"/>
                <w:szCs w:val="10"/>
                <w:b w:val="1"/>
                <w:bCs w:val="1"/>
                <w:color w:val="FFFFFF"/>
                <w:w w:val="97"/>
              </w:rPr>
              <w:t>Compensation</w:t>
            </w:r>
          </w:p>
        </w:tc>
        <w:tc>
          <w:tcPr>
            <w:tcW w:w="8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Summary</w:t>
            </w:r>
          </w:p>
        </w:tc>
        <w:tc>
          <w:tcPr>
            <w:tcW w:w="760" w:type="dxa"/>
            <w:vAlign w:val="bottom"/>
            <w:shd w:val="clear" w:color="auto" w:fill="1D3965"/>
          </w:tcPr>
          <w:p>
            <w:pPr>
              <w:jc w:val="center"/>
              <w:ind w:left="9"/>
              <w:spacing w:after="0"/>
              <w:rPr>
                <w:sz w:val="20"/>
                <w:szCs w:val="20"/>
                <w:color w:val="auto"/>
              </w:rPr>
            </w:pPr>
            <w:r>
              <w:rPr>
                <w:rFonts w:ascii="Arial" w:cs="Arial" w:eastAsia="Arial" w:hAnsi="Arial"/>
                <w:sz w:val="10"/>
                <w:szCs w:val="10"/>
                <w:b w:val="1"/>
                <w:bCs w:val="1"/>
                <w:color w:val="FFFFFF"/>
              </w:rPr>
              <w:t>Compensation</w:t>
            </w: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Non-PEO</w:t>
            </w:r>
          </w:p>
        </w:tc>
        <w:tc>
          <w:tcPr>
            <w:tcW w:w="40" w:type="dxa"/>
            <w:vAlign w:val="bottom"/>
            <w:shd w:val="clear" w:color="auto" w:fill="1D3965"/>
          </w:tcPr>
          <w:p>
            <w:pPr>
              <w:spacing w:after="0"/>
              <w:rPr>
                <w:sz w:val="10"/>
                <w:szCs w:val="10"/>
                <w:color w:val="auto"/>
              </w:rPr>
            </w:pPr>
          </w:p>
        </w:tc>
        <w:tc>
          <w:tcPr>
            <w:tcW w:w="75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6"/>
              </w:rPr>
              <w:t>to Non-PEO</w:t>
            </w:r>
          </w:p>
        </w:tc>
        <w:tc>
          <w:tcPr>
            <w:tcW w:w="50" w:type="dxa"/>
            <w:vAlign w:val="bottom"/>
            <w:shd w:val="clear" w:color="auto" w:fill="1D3965"/>
          </w:tcPr>
          <w:p>
            <w:pPr>
              <w:spacing w:after="0"/>
              <w:rPr>
                <w:sz w:val="10"/>
                <w:szCs w:val="10"/>
                <w:color w:val="auto"/>
              </w:rPr>
            </w:pPr>
          </w:p>
        </w:tc>
        <w:tc>
          <w:tcPr>
            <w:tcW w:w="580" w:type="dxa"/>
            <w:vAlign w:val="bottom"/>
            <w:shd w:val="clear" w:color="auto" w:fill="1D3965"/>
          </w:tcPr>
          <w:p>
            <w:pPr>
              <w:spacing w:after="0"/>
              <w:rPr>
                <w:sz w:val="10"/>
                <w:szCs w:val="10"/>
                <w:color w:val="auto"/>
              </w:rPr>
            </w:pP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9"/>
              </w:rPr>
              <w:t>Peer Group</w:t>
            </w:r>
          </w:p>
        </w:tc>
        <w:tc>
          <w:tcPr>
            <w:tcW w:w="60" w:type="dxa"/>
            <w:vAlign w:val="bottom"/>
            <w:shd w:val="clear" w:color="auto" w:fill="1D3965"/>
          </w:tcPr>
          <w:p>
            <w:pPr>
              <w:spacing w:after="0"/>
              <w:rPr>
                <w:sz w:val="10"/>
                <w:szCs w:val="10"/>
                <w:color w:val="auto"/>
              </w:rPr>
            </w:pPr>
          </w:p>
        </w:tc>
        <w:tc>
          <w:tcPr>
            <w:tcW w:w="660" w:type="dxa"/>
            <w:vAlign w:val="bottom"/>
            <w:shd w:val="clear" w:color="auto" w:fill="1D3965"/>
          </w:tcPr>
          <w:p>
            <w:pPr>
              <w:spacing w:after="0"/>
              <w:rPr>
                <w:sz w:val="10"/>
                <w:szCs w:val="10"/>
                <w:color w:val="auto"/>
              </w:rPr>
            </w:pPr>
          </w:p>
        </w:tc>
        <w:tc>
          <w:tcPr>
            <w:tcW w:w="660" w:type="dxa"/>
            <w:vAlign w:val="bottom"/>
            <w:shd w:val="clear" w:color="auto" w:fill="1D3965"/>
          </w:tcPr>
          <w:p>
            <w:pPr>
              <w:spacing w:after="0"/>
              <w:rPr>
                <w:sz w:val="10"/>
                <w:szCs w:val="10"/>
                <w:color w:val="auto"/>
              </w:rPr>
            </w:pPr>
          </w:p>
        </w:tc>
        <w:tc>
          <w:tcPr>
            <w:tcW w:w="60" w:type="dxa"/>
            <w:vAlign w:val="bottom"/>
            <w:shd w:val="clear" w:color="auto" w:fill="1D396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shd w:val="clear" w:color="auto" w:fill="1D3965"/>
          </w:tcPr>
          <w:p>
            <w:pPr>
              <w:spacing w:after="0"/>
              <w:rPr>
                <w:sz w:val="10"/>
                <w:szCs w:val="10"/>
                <w:color w:val="auto"/>
              </w:rPr>
            </w:pPr>
          </w:p>
        </w:tc>
        <w:tc>
          <w:tcPr>
            <w:tcW w:w="760" w:type="dxa"/>
            <w:vAlign w:val="bottom"/>
            <w:gridSpan w:val="2"/>
            <w:shd w:val="clear" w:color="auto" w:fill="1D3965"/>
          </w:tcPr>
          <w:p>
            <w:pPr>
              <w:jc w:val="center"/>
              <w:spacing w:after="0"/>
              <w:rPr>
                <w:sz w:val="20"/>
                <w:szCs w:val="20"/>
                <w:color w:val="auto"/>
              </w:rPr>
            </w:pPr>
            <w:r>
              <w:rPr>
                <w:rFonts w:ascii="Arial" w:cs="Arial" w:eastAsia="Arial" w:hAnsi="Arial"/>
                <w:sz w:val="10"/>
                <w:szCs w:val="10"/>
                <w:b w:val="1"/>
                <w:bCs w:val="1"/>
                <w:color w:val="FFFFFF"/>
                <w:w w:val="94"/>
              </w:rPr>
              <w:t>Table Total</w:t>
            </w:r>
          </w:p>
        </w:tc>
        <w:tc>
          <w:tcPr>
            <w:tcW w:w="760" w:type="dxa"/>
            <w:vAlign w:val="bottom"/>
            <w:gridSpan w:val="2"/>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Actually Paid</w:t>
            </w:r>
          </w:p>
        </w:tc>
        <w:tc>
          <w:tcPr>
            <w:tcW w:w="8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Compensation</w:t>
            </w: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8"/>
              </w:rPr>
              <w:t>Actually Paid</w:t>
            </w: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5"/>
              </w:rPr>
              <w:t>Named</w:t>
            </w:r>
          </w:p>
        </w:tc>
        <w:tc>
          <w:tcPr>
            <w:tcW w:w="40" w:type="dxa"/>
            <w:vAlign w:val="bottom"/>
            <w:shd w:val="clear" w:color="auto" w:fill="1D3965"/>
          </w:tcPr>
          <w:p>
            <w:pPr>
              <w:spacing w:after="0"/>
              <w:rPr>
                <w:sz w:val="10"/>
                <w:szCs w:val="10"/>
                <w:color w:val="auto"/>
              </w:rPr>
            </w:pPr>
          </w:p>
        </w:tc>
        <w:tc>
          <w:tcPr>
            <w:tcW w:w="75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Named</w:t>
            </w:r>
          </w:p>
        </w:tc>
        <w:tc>
          <w:tcPr>
            <w:tcW w:w="50" w:type="dxa"/>
            <w:vAlign w:val="bottom"/>
            <w:shd w:val="clear" w:color="auto" w:fill="1D3965"/>
          </w:tcPr>
          <w:p>
            <w:pPr>
              <w:spacing w:after="0"/>
              <w:rPr>
                <w:sz w:val="10"/>
                <w:szCs w:val="10"/>
                <w:color w:val="auto"/>
              </w:rPr>
            </w:pPr>
          </w:p>
        </w:tc>
        <w:tc>
          <w:tcPr>
            <w:tcW w:w="5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Total</w:t>
            </w: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1"/>
              </w:rPr>
              <w:t>Total</w:t>
            </w:r>
          </w:p>
        </w:tc>
        <w:tc>
          <w:tcPr>
            <w:tcW w:w="60" w:type="dxa"/>
            <w:vAlign w:val="bottom"/>
            <w:shd w:val="clear" w:color="auto" w:fill="1D3965"/>
          </w:tcPr>
          <w:p>
            <w:pPr>
              <w:spacing w:after="0"/>
              <w:rPr>
                <w:sz w:val="10"/>
                <w:szCs w:val="10"/>
                <w:color w:val="auto"/>
              </w:rPr>
            </w:pPr>
          </w:p>
        </w:tc>
        <w:tc>
          <w:tcPr>
            <w:tcW w:w="66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2"/>
              </w:rPr>
              <w:t>Net Income</w:t>
            </w:r>
            <w:r>
              <w:rPr>
                <w:rFonts w:ascii="Arial" w:cs="Arial" w:eastAsia="Arial" w:hAnsi="Arial"/>
                <w:sz w:val="16"/>
                <w:szCs w:val="16"/>
                <w:b w:val="1"/>
                <w:bCs w:val="1"/>
                <w:color w:val="FFFFFF"/>
                <w:w w:val="92"/>
                <w:vertAlign w:val="superscript"/>
              </w:rPr>
              <w:t>(8)</w:t>
            </w:r>
          </w:p>
        </w:tc>
        <w:tc>
          <w:tcPr>
            <w:tcW w:w="660" w:type="dxa"/>
            <w:vAlign w:val="bottom"/>
            <w:vMerge w:val="restart"/>
            <w:shd w:val="clear" w:color="auto" w:fill="1D3965"/>
          </w:tcPr>
          <w:p>
            <w:pPr>
              <w:jc w:val="center"/>
              <w:spacing w:after="0"/>
              <w:rPr>
                <w:sz w:val="20"/>
                <w:szCs w:val="20"/>
                <w:color w:val="auto"/>
              </w:rPr>
            </w:pPr>
            <w:r>
              <w:rPr>
                <w:rFonts w:ascii="Arial" w:cs="Arial" w:eastAsia="Arial" w:hAnsi="Arial"/>
                <w:sz w:val="10"/>
                <w:szCs w:val="10"/>
                <w:b w:val="1"/>
                <w:bCs w:val="1"/>
                <w:color w:val="FFFFFF"/>
                <w:w w:val="92"/>
              </w:rPr>
              <w:t>Revenues</w:t>
            </w:r>
            <w:r>
              <w:rPr>
                <w:rFonts w:ascii="Arial" w:cs="Arial" w:eastAsia="Arial" w:hAnsi="Arial"/>
                <w:sz w:val="16"/>
                <w:szCs w:val="16"/>
                <w:b w:val="1"/>
                <w:bCs w:val="1"/>
                <w:color w:val="FFFFFF"/>
                <w:w w:val="92"/>
                <w:vertAlign w:val="superscript"/>
              </w:rPr>
              <w:t>(9)</w:t>
            </w:r>
          </w:p>
        </w:tc>
        <w:tc>
          <w:tcPr>
            <w:tcW w:w="60" w:type="dxa"/>
            <w:vAlign w:val="bottom"/>
            <w:shd w:val="clear" w:color="auto" w:fill="1D3965"/>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60" w:type="dxa"/>
            <w:vAlign w:val="bottom"/>
            <w:shd w:val="clear" w:color="auto" w:fill="1D3965"/>
          </w:tcPr>
          <w:p>
            <w:pPr>
              <w:spacing w:after="0"/>
              <w:rPr>
                <w:sz w:val="8"/>
                <w:szCs w:val="8"/>
                <w:color w:val="auto"/>
              </w:rPr>
            </w:pPr>
          </w:p>
        </w:tc>
        <w:tc>
          <w:tcPr>
            <w:tcW w:w="160" w:type="dxa"/>
            <w:vAlign w:val="bottom"/>
            <w:shd w:val="clear" w:color="auto" w:fill="1D3965"/>
          </w:tcPr>
          <w:p>
            <w:pPr>
              <w:spacing w:after="0"/>
              <w:rPr>
                <w:sz w:val="8"/>
                <w:szCs w:val="8"/>
                <w:color w:val="auto"/>
              </w:rPr>
            </w:pPr>
          </w:p>
        </w:tc>
        <w:tc>
          <w:tcPr>
            <w:tcW w:w="600" w:type="dxa"/>
            <w:vAlign w:val="bottom"/>
            <w:shd w:val="clear" w:color="auto" w:fill="1D3965"/>
          </w:tcPr>
          <w:p>
            <w:pPr>
              <w:jc w:val="center"/>
              <w:ind w:right="89"/>
              <w:spacing w:after="0" w:line="100" w:lineRule="exact"/>
              <w:rPr>
                <w:sz w:val="20"/>
                <w:szCs w:val="20"/>
                <w:color w:val="auto"/>
              </w:rPr>
            </w:pPr>
            <w:r>
              <w:rPr>
                <w:rFonts w:ascii="Arial" w:cs="Arial" w:eastAsia="Arial" w:hAnsi="Arial"/>
                <w:sz w:val="10"/>
                <w:szCs w:val="10"/>
                <w:b w:val="1"/>
                <w:bCs w:val="1"/>
                <w:color w:val="FFFFFF"/>
              </w:rPr>
              <w:t>for First</w:t>
            </w:r>
          </w:p>
        </w:tc>
        <w:tc>
          <w:tcPr>
            <w:tcW w:w="160" w:type="dxa"/>
            <w:vAlign w:val="bottom"/>
            <w:shd w:val="clear" w:color="auto" w:fill="1D3965"/>
          </w:tcPr>
          <w:p>
            <w:pPr>
              <w:spacing w:after="0"/>
              <w:rPr>
                <w:sz w:val="8"/>
                <w:szCs w:val="8"/>
                <w:color w:val="auto"/>
              </w:rPr>
            </w:pPr>
          </w:p>
        </w:tc>
        <w:tc>
          <w:tcPr>
            <w:tcW w:w="600" w:type="dxa"/>
            <w:vAlign w:val="bottom"/>
            <w:shd w:val="clear" w:color="auto" w:fill="1D3965"/>
          </w:tcPr>
          <w:p>
            <w:pPr>
              <w:jc w:val="center"/>
              <w:ind w:right="89"/>
              <w:spacing w:after="0" w:line="100" w:lineRule="exact"/>
              <w:rPr>
                <w:sz w:val="20"/>
                <w:szCs w:val="20"/>
                <w:color w:val="auto"/>
              </w:rPr>
            </w:pPr>
            <w:r>
              <w:rPr>
                <w:rFonts w:ascii="Arial" w:cs="Arial" w:eastAsia="Arial" w:hAnsi="Arial"/>
                <w:sz w:val="10"/>
                <w:szCs w:val="10"/>
                <w:b w:val="1"/>
                <w:bCs w:val="1"/>
                <w:color w:val="FFFFFF"/>
              </w:rPr>
              <w:t>to First</w:t>
            </w:r>
          </w:p>
        </w:tc>
        <w:tc>
          <w:tcPr>
            <w:tcW w:w="88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5"/>
              </w:rPr>
              <w:t>Table Total for</w:t>
            </w:r>
          </w:p>
        </w:tc>
        <w:tc>
          <w:tcPr>
            <w:tcW w:w="76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9"/>
              </w:rPr>
              <w:t>to Second</w:t>
            </w:r>
          </w:p>
        </w:tc>
        <w:tc>
          <w:tcPr>
            <w:tcW w:w="76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8"/>
              </w:rPr>
              <w:t>Executive</w:t>
            </w:r>
          </w:p>
        </w:tc>
        <w:tc>
          <w:tcPr>
            <w:tcW w:w="40" w:type="dxa"/>
            <w:vAlign w:val="bottom"/>
            <w:shd w:val="clear" w:color="auto" w:fill="1D3965"/>
          </w:tcPr>
          <w:p>
            <w:pPr>
              <w:spacing w:after="0"/>
              <w:rPr>
                <w:sz w:val="8"/>
                <w:szCs w:val="8"/>
                <w:color w:val="auto"/>
              </w:rPr>
            </w:pPr>
          </w:p>
        </w:tc>
        <w:tc>
          <w:tcPr>
            <w:tcW w:w="75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8"/>
              </w:rPr>
              <w:t>Executive</w:t>
            </w:r>
          </w:p>
        </w:tc>
        <w:tc>
          <w:tcPr>
            <w:tcW w:w="50" w:type="dxa"/>
            <w:vAlign w:val="bottom"/>
            <w:shd w:val="clear" w:color="auto" w:fill="1D3965"/>
          </w:tcPr>
          <w:p>
            <w:pPr>
              <w:spacing w:after="0"/>
              <w:rPr>
                <w:sz w:val="8"/>
                <w:szCs w:val="8"/>
                <w:color w:val="auto"/>
              </w:rPr>
            </w:pPr>
          </w:p>
        </w:tc>
        <w:tc>
          <w:tcPr>
            <w:tcW w:w="58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9"/>
              </w:rPr>
              <w:t>Shareholder</w:t>
            </w:r>
          </w:p>
        </w:tc>
        <w:tc>
          <w:tcPr>
            <w:tcW w:w="660" w:type="dxa"/>
            <w:vAlign w:val="bottom"/>
            <w:shd w:val="clear" w:color="auto" w:fill="1D3965"/>
          </w:tcPr>
          <w:p>
            <w:pPr>
              <w:jc w:val="center"/>
              <w:spacing w:after="0" w:line="100" w:lineRule="exact"/>
              <w:rPr>
                <w:sz w:val="20"/>
                <w:szCs w:val="20"/>
                <w:color w:val="auto"/>
              </w:rPr>
            </w:pPr>
            <w:r>
              <w:rPr>
                <w:rFonts w:ascii="Arial" w:cs="Arial" w:eastAsia="Arial" w:hAnsi="Arial"/>
                <w:sz w:val="10"/>
                <w:szCs w:val="10"/>
                <w:b w:val="1"/>
                <w:bCs w:val="1"/>
                <w:color w:val="FFFFFF"/>
                <w:w w:val="99"/>
              </w:rPr>
              <w:t>Shareholder</w:t>
            </w:r>
          </w:p>
        </w:tc>
        <w:tc>
          <w:tcPr>
            <w:tcW w:w="60" w:type="dxa"/>
            <w:vAlign w:val="bottom"/>
            <w:shd w:val="clear" w:color="auto" w:fill="1D3965"/>
          </w:tcPr>
          <w:p>
            <w:pPr>
              <w:spacing w:after="0"/>
              <w:rPr>
                <w:sz w:val="8"/>
                <w:szCs w:val="8"/>
                <w:color w:val="auto"/>
              </w:rPr>
            </w:pPr>
          </w:p>
        </w:tc>
        <w:tc>
          <w:tcPr>
            <w:tcW w:w="660" w:type="dxa"/>
            <w:vAlign w:val="bottom"/>
            <w:vMerge w:val="continue"/>
            <w:shd w:val="clear" w:color="auto" w:fill="1D3965"/>
          </w:tcPr>
          <w:p>
            <w:pPr>
              <w:spacing w:after="0"/>
              <w:rPr>
                <w:sz w:val="8"/>
                <w:szCs w:val="8"/>
                <w:color w:val="auto"/>
              </w:rPr>
            </w:pPr>
          </w:p>
        </w:tc>
        <w:tc>
          <w:tcPr>
            <w:tcW w:w="660" w:type="dxa"/>
            <w:vAlign w:val="bottom"/>
            <w:vMerge w:val="continue"/>
            <w:shd w:val="clear" w:color="auto" w:fill="1D3965"/>
          </w:tcPr>
          <w:p>
            <w:pPr>
              <w:spacing w:after="0"/>
              <w:rPr>
                <w:sz w:val="8"/>
                <w:szCs w:val="8"/>
                <w:color w:val="auto"/>
              </w:rPr>
            </w:pPr>
          </w:p>
        </w:tc>
        <w:tc>
          <w:tcPr>
            <w:tcW w:w="60" w:type="dxa"/>
            <w:vAlign w:val="bottom"/>
            <w:shd w:val="clear" w:color="auto" w:fill="1D3965"/>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60" w:type="dxa"/>
            <w:vAlign w:val="bottom"/>
            <w:shd w:val="clear" w:color="auto" w:fill="1D3965"/>
          </w:tcPr>
          <w:p>
            <w:pPr>
              <w:ind w:left="180"/>
              <w:spacing w:after="0"/>
              <w:rPr>
                <w:sz w:val="20"/>
                <w:szCs w:val="20"/>
                <w:color w:val="auto"/>
              </w:rPr>
            </w:pPr>
            <w:r>
              <w:rPr>
                <w:rFonts w:ascii="Arial" w:cs="Arial" w:eastAsia="Arial" w:hAnsi="Arial"/>
                <w:sz w:val="10"/>
                <w:szCs w:val="10"/>
                <w:b w:val="1"/>
                <w:bCs w:val="1"/>
                <w:color w:val="FFFFFF"/>
              </w:rPr>
              <w:t>Year</w:t>
            </w:r>
          </w:p>
        </w:tc>
        <w:tc>
          <w:tcPr>
            <w:tcW w:w="160" w:type="dxa"/>
            <w:vAlign w:val="bottom"/>
            <w:shd w:val="clear" w:color="auto" w:fill="1D3965"/>
          </w:tcPr>
          <w:p>
            <w:pPr>
              <w:spacing w:after="0"/>
              <w:rPr>
                <w:sz w:val="16"/>
                <w:szCs w:val="16"/>
                <w:color w:val="auto"/>
              </w:rPr>
            </w:pPr>
          </w:p>
        </w:tc>
        <w:tc>
          <w:tcPr>
            <w:tcW w:w="600" w:type="dxa"/>
            <w:vAlign w:val="bottom"/>
            <w:shd w:val="clear" w:color="auto" w:fill="1D3965"/>
          </w:tcPr>
          <w:p>
            <w:pPr>
              <w:jc w:val="center"/>
              <w:ind w:right="49"/>
              <w:spacing w:after="0" w:line="189" w:lineRule="exact"/>
              <w:rPr>
                <w:sz w:val="20"/>
                <w:szCs w:val="20"/>
                <w:color w:val="auto"/>
              </w:rPr>
            </w:pPr>
            <w:r>
              <w:rPr>
                <w:rFonts w:ascii="Arial" w:cs="Arial" w:eastAsia="Arial" w:hAnsi="Arial"/>
                <w:sz w:val="19"/>
                <w:szCs w:val="19"/>
                <w:b w:val="1"/>
                <w:bCs w:val="1"/>
                <w:color w:val="FFFFFF"/>
                <w:w w:val="86"/>
                <w:vertAlign w:val="subscript"/>
              </w:rPr>
              <w:t>PEO</w:t>
            </w:r>
            <w:r>
              <w:rPr>
                <w:rFonts w:ascii="Arial" w:cs="Arial" w:eastAsia="Arial" w:hAnsi="Arial"/>
                <w:sz w:val="8"/>
                <w:szCs w:val="8"/>
                <w:b w:val="1"/>
                <w:bCs w:val="1"/>
                <w:color w:val="FFFFFF"/>
                <w:w w:val="86"/>
              </w:rPr>
              <w:t>(1),(2)</w:t>
            </w:r>
          </w:p>
        </w:tc>
        <w:tc>
          <w:tcPr>
            <w:tcW w:w="160" w:type="dxa"/>
            <w:vAlign w:val="bottom"/>
            <w:shd w:val="clear" w:color="auto" w:fill="1D3965"/>
          </w:tcPr>
          <w:p>
            <w:pPr>
              <w:spacing w:after="0"/>
              <w:rPr>
                <w:sz w:val="16"/>
                <w:szCs w:val="16"/>
                <w:color w:val="auto"/>
              </w:rPr>
            </w:pPr>
          </w:p>
        </w:tc>
        <w:tc>
          <w:tcPr>
            <w:tcW w:w="600" w:type="dxa"/>
            <w:vAlign w:val="bottom"/>
            <w:shd w:val="clear" w:color="auto" w:fill="1D3965"/>
          </w:tcPr>
          <w:p>
            <w:pPr>
              <w:jc w:val="center"/>
              <w:ind w:right="69"/>
              <w:spacing w:after="0" w:line="189" w:lineRule="exact"/>
              <w:rPr>
                <w:sz w:val="20"/>
                <w:szCs w:val="20"/>
                <w:color w:val="auto"/>
              </w:rPr>
            </w:pPr>
            <w:r>
              <w:rPr>
                <w:rFonts w:ascii="Arial" w:cs="Arial" w:eastAsia="Arial" w:hAnsi="Arial"/>
                <w:sz w:val="19"/>
                <w:szCs w:val="19"/>
                <w:b w:val="1"/>
                <w:bCs w:val="1"/>
                <w:color w:val="FFFFFF"/>
                <w:w w:val="90"/>
                <w:vertAlign w:val="subscript"/>
              </w:rPr>
              <w:t>PEO</w:t>
            </w:r>
            <w:r>
              <w:rPr>
                <w:rFonts w:ascii="Arial" w:cs="Arial" w:eastAsia="Arial" w:hAnsi="Arial"/>
                <w:sz w:val="8"/>
                <w:szCs w:val="8"/>
                <w:b w:val="1"/>
                <w:bCs w:val="1"/>
                <w:color w:val="FFFFFF"/>
                <w:w w:val="90"/>
              </w:rPr>
              <w:t>(1),(3)</w:t>
            </w:r>
          </w:p>
        </w:tc>
        <w:tc>
          <w:tcPr>
            <w:tcW w:w="880" w:type="dxa"/>
            <w:vAlign w:val="bottom"/>
            <w:shd w:val="clear" w:color="auto" w:fill="1D3965"/>
          </w:tcPr>
          <w:p>
            <w:pPr>
              <w:jc w:val="center"/>
              <w:ind w:left="8"/>
              <w:spacing w:after="0"/>
              <w:rPr>
                <w:sz w:val="20"/>
                <w:szCs w:val="20"/>
                <w:color w:val="auto"/>
              </w:rPr>
            </w:pPr>
            <w:r>
              <w:rPr>
                <w:rFonts w:ascii="Arial" w:cs="Arial" w:eastAsia="Arial" w:hAnsi="Arial"/>
                <w:sz w:val="10"/>
                <w:szCs w:val="10"/>
                <w:b w:val="1"/>
                <w:bCs w:val="1"/>
                <w:color w:val="FFFFFF"/>
                <w:w w:val="92"/>
              </w:rPr>
              <w:t>Second PEO</w:t>
            </w:r>
            <w:r>
              <w:rPr>
                <w:rFonts w:ascii="Arial" w:cs="Arial" w:eastAsia="Arial" w:hAnsi="Arial"/>
                <w:sz w:val="16"/>
                <w:szCs w:val="16"/>
                <w:b w:val="1"/>
                <w:bCs w:val="1"/>
                <w:color w:val="FFFFFF"/>
                <w:w w:val="92"/>
                <w:vertAlign w:val="superscript"/>
              </w:rPr>
              <w:t>(1),(2)</w:t>
            </w:r>
          </w:p>
        </w:tc>
        <w:tc>
          <w:tcPr>
            <w:tcW w:w="760" w:type="dxa"/>
            <w:vAlign w:val="bottom"/>
            <w:shd w:val="clear" w:color="auto" w:fill="1D3965"/>
          </w:tcPr>
          <w:p>
            <w:pPr>
              <w:jc w:val="center"/>
              <w:ind w:left="9"/>
              <w:spacing w:after="0" w:line="189" w:lineRule="exact"/>
              <w:rPr>
                <w:sz w:val="20"/>
                <w:szCs w:val="20"/>
                <w:color w:val="auto"/>
              </w:rPr>
            </w:pPr>
            <w:r>
              <w:rPr>
                <w:rFonts w:ascii="Arial" w:cs="Arial" w:eastAsia="Arial" w:hAnsi="Arial"/>
                <w:sz w:val="19"/>
                <w:szCs w:val="19"/>
                <w:b w:val="1"/>
                <w:bCs w:val="1"/>
                <w:color w:val="FFFFFF"/>
                <w:w w:val="86"/>
                <w:vertAlign w:val="subscript"/>
              </w:rPr>
              <w:t>PEO</w:t>
            </w:r>
            <w:r>
              <w:rPr>
                <w:rFonts w:ascii="Arial" w:cs="Arial" w:eastAsia="Arial" w:hAnsi="Arial"/>
                <w:sz w:val="8"/>
                <w:szCs w:val="8"/>
                <w:b w:val="1"/>
                <w:bCs w:val="1"/>
                <w:color w:val="FFFFFF"/>
                <w:w w:val="86"/>
              </w:rPr>
              <w:t>(1),(3)</w:t>
            </w:r>
          </w:p>
        </w:tc>
        <w:tc>
          <w:tcPr>
            <w:tcW w:w="760" w:type="dxa"/>
            <w:vAlign w:val="bottom"/>
            <w:shd w:val="clear" w:color="auto" w:fill="1D3965"/>
          </w:tcPr>
          <w:p>
            <w:pPr>
              <w:jc w:val="center"/>
              <w:ind w:left="9"/>
              <w:spacing w:after="0"/>
              <w:rPr>
                <w:sz w:val="20"/>
                <w:szCs w:val="20"/>
                <w:color w:val="auto"/>
              </w:rPr>
            </w:pPr>
            <w:r>
              <w:rPr>
                <w:rFonts w:ascii="Arial" w:cs="Arial" w:eastAsia="Arial" w:hAnsi="Arial"/>
                <w:sz w:val="10"/>
                <w:szCs w:val="10"/>
                <w:b w:val="1"/>
                <w:bCs w:val="1"/>
                <w:color w:val="FFFFFF"/>
                <w:w w:val="90"/>
              </w:rPr>
              <w:t>Officers</w:t>
            </w:r>
            <w:r>
              <w:rPr>
                <w:rFonts w:ascii="Arial" w:cs="Arial" w:eastAsia="Arial" w:hAnsi="Arial"/>
                <w:sz w:val="16"/>
                <w:szCs w:val="16"/>
                <w:b w:val="1"/>
                <w:bCs w:val="1"/>
                <w:color w:val="FFFFFF"/>
                <w:w w:val="90"/>
                <w:vertAlign w:val="superscript"/>
              </w:rPr>
              <w:t>(4)</w:t>
            </w:r>
          </w:p>
        </w:tc>
        <w:tc>
          <w:tcPr>
            <w:tcW w:w="40" w:type="dxa"/>
            <w:vAlign w:val="bottom"/>
            <w:shd w:val="clear" w:color="auto" w:fill="1D3965"/>
          </w:tcPr>
          <w:p>
            <w:pPr>
              <w:spacing w:after="0"/>
              <w:rPr>
                <w:sz w:val="16"/>
                <w:szCs w:val="16"/>
                <w:color w:val="auto"/>
              </w:rPr>
            </w:pPr>
          </w:p>
        </w:tc>
        <w:tc>
          <w:tcPr>
            <w:tcW w:w="75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4"/>
              </w:rPr>
              <w:t>Officers</w:t>
            </w:r>
            <w:r>
              <w:rPr>
                <w:rFonts w:ascii="Arial" w:cs="Arial" w:eastAsia="Arial" w:hAnsi="Arial"/>
                <w:sz w:val="16"/>
                <w:szCs w:val="16"/>
                <w:b w:val="1"/>
                <w:bCs w:val="1"/>
                <w:color w:val="FFFFFF"/>
                <w:w w:val="94"/>
                <w:vertAlign w:val="superscript"/>
              </w:rPr>
              <w:t>(5)</w:t>
            </w:r>
          </w:p>
        </w:tc>
        <w:tc>
          <w:tcPr>
            <w:tcW w:w="50" w:type="dxa"/>
            <w:vAlign w:val="bottom"/>
            <w:shd w:val="clear" w:color="auto" w:fill="1D3965"/>
          </w:tcPr>
          <w:p>
            <w:pPr>
              <w:spacing w:after="0"/>
              <w:rPr>
                <w:sz w:val="16"/>
                <w:szCs w:val="16"/>
                <w:color w:val="auto"/>
              </w:rPr>
            </w:pPr>
          </w:p>
        </w:tc>
        <w:tc>
          <w:tcPr>
            <w:tcW w:w="5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2"/>
              </w:rPr>
              <w:t>Return</w:t>
            </w:r>
            <w:r>
              <w:rPr>
                <w:rFonts w:ascii="Arial" w:cs="Arial" w:eastAsia="Arial" w:hAnsi="Arial"/>
                <w:sz w:val="16"/>
                <w:szCs w:val="16"/>
                <w:b w:val="1"/>
                <w:bCs w:val="1"/>
                <w:color w:val="FFFFFF"/>
                <w:w w:val="92"/>
                <w:vertAlign w:val="superscript"/>
              </w:rPr>
              <w:t>(6)</w:t>
            </w:r>
          </w:p>
        </w:tc>
        <w:tc>
          <w:tcPr>
            <w:tcW w:w="660" w:type="dxa"/>
            <w:vAlign w:val="bottom"/>
            <w:shd w:val="clear" w:color="auto" w:fill="1D3965"/>
          </w:tcPr>
          <w:p>
            <w:pPr>
              <w:jc w:val="center"/>
              <w:ind w:left="28"/>
              <w:spacing w:after="0"/>
              <w:rPr>
                <w:sz w:val="20"/>
                <w:szCs w:val="20"/>
                <w:color w:val="auto"/>
              </w:rPr>
            </w:pPr>
            <w:r>
              <w:rPr>
                <w:rFonts w:ascii="Arial" w:cs="Arial" w:eastAsia="Arial" w:hAnsi="Arial"/>
                <w:sz w:val="10"/>
                <w:szCs w:val="10"/>
                <w:b w:val="1"/>
                <w:bCs w:val="1"/>
                <w:color w:val="FFFFFF"/>
                <w:w w:val="92"/>
              </w:rPr>
              <w:t>Return</w:t>
            </w:r>
            <w:r>
              <w:rPr>
                <w:rFonts w:ascii="Arial" w:cs="Arial" w:eastAsia="Arial" w:hAnsi="Arial"/>
                <w:sz w:val="16"/>
                <w:szCs w:val="16"/>
                <w:b w:val="1"/>
                <w:bCs w:val="1"/>
                <w:color w:val="FFFFFF"/>
                <w:w w:val="92"/>
                <w:vertAlign w:val="superscript"/>
              </w:rPr>
              <w:t>(7)</w:t>
            </w:r>
          </w:p>
        </w:tc>
        <w:tc>
          <w:tcPr>
            <w:tcW w:w="60" w:type="dxa"/>
            <w:vAlign w:val="bottom"/>
            <w:shd w:val="clear" w:color="auto" w:fill="1D3965"/>
          </w:tcPr>
          <w:p>
            <w:pPr>
              <w:spacing w:after="0"/>
              <w:rPr>
                <w:sz w:val="16"/>
                <w:szCs w:val="16"/>
                <w:color w:val="auto"/>
              </w:rPr>
            </w:pP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9"/>
              </w:rPr>
              <w:t>(in millions)</w:t>
            </w: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6"/>
              </w:rPr>
              <w:t>(in millions)</w:t>
            </w:r>
          </w:p>
        </w:tc>
        <w:tc>
          <w:tcPr>
            <w:tcW w:w="60" w:type="dxa"/>
            <w:vAlign w:val="bottom"/>
            <w:shd w:val="clear" w:color="auto" w:fill="1D396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 w:type="dxa"/>
            <w:vAlign w:val="bottom"/>
            <w:shd w:val="clear" w:color="auto" w:fill="1D3965"/>
          </w:tcPr>
          <w:p>
            <w:pPr>
              <w:ind w:left="180"/>
              <w:spacing w:after="0"/>
              <w:rPr>
                <w:sz w:val="20"/>
                <w:szCs w:val="20"/>
                <w:color w:val="auto"/>
              </w:rPr>
            </w:pPr>
            <w:r>
              <w:rPr>
                <w:rFonts w:ascii="Arial" w:cs="Arial" w:eastAsia="Arial" w:hAnsi="Arial"/>
                <w:sz w:val="10"/>
                <w:szCs w:val="10"/>
                <w:b w:val="1"/>
                <w:bCs w:val="1"/>
                <w:color w:val="FFFFFF"/>
              </w:rPr>
              <w:t>(a)</w:t>
            </w:r>
          </w:p>
        </w:tc>
        <w:tc>
          <w:tcPr>
            <w:tcW w:w="160" w:type="dxa"/>
            <w:vAlign w:val="bottom"/>
            <w:shd w:val="clear" w:color="auto" w:fill="1D3965"/>
          </w:tcPr>
          <w:p>
            <w:pPr>
              <w:spacing w:after="0"/>
              <w:rPr>
                <w:sz w:val="15"/>
                <w:szCs w:val="15"/>
                <w:color w:val="auto"/>
              </w:rPr>
            </w:pPr>
          </w:p>
        </w:tc>
        <w:tc>
          <w:tcPr>
            <w:tcW w:w="600" w:type="dxa"/>
            <w:vAlign w:val="bottom"/>
            <w:shd w:val="clear" w:color="auto" w:fill="1D3965"/>
          </w:tcPr>
          <w:p>
            <w:pPr>
              <w:jc w:val="center"/>
              <w:ind w:right="69"/>
              <w:spacing w:after="0"/>
              <w:rPr>
                <w:sz w:val="20"/>
                <w:szCs w:val="20"/>
                <w:color w:val="auto"/>
              </w:rPr>
            </w:pPr>
            <w:r>
              <w:rPr>
                <w:rFonts w:ascii="Arial" w:cs="Arial" w:eastAsia="Arial" w:hAnsi="Arial"/>
                <w:sz w:val="10"/>
                <w:szCs w:val="10"/>
                <w:b w:val="1"/>
                <w:bCs w:val="1"/>
                <w:color w:val="FFFFFF"/>
                <w:w w:val="93"/>
              </w:rPr>
              <w:t>(b)</w:t>
            </w:r>
          </w:p>
        </w:tc>
        <w:tc>
          <w:tcPr>
            <w:tcW w:w="160" w:type="dxa"/>
            <w:vAlign w:val="bottom"/>
            <w:shd w:val="clear" w:color="auto" w:fill="1D3965"/>
          </w:tcPr>
          <w:p>
            <w:pPr>
              <w:spacing w:after="0"/>
              <w:rPr>
                <w:sz w:val="15"/>
                <w:szCs w:val="15"/>
                <w:color w:val="auto"/>
              </w:rPr>
            </w:pPr>
          </w:p>
        </w:tc>
        <w:tc>
          <w:tcPr>
            <w:tcW w:w="600" w:type="dxa"/>
            <w:vAlign w:val="bottom"/>
            <w:shd w:val="clear" w:color="auto" w:fill="1D3965"/>
          </w:tcPr>
          <w:p>
            <w:pPr>
              <w:jc w:val="center"/>
              <w:ind w:right="69"/>
              <w:spacing w:after="0"/>
              <w:rPr>
                <w:sz w:val="20"/>
                <w:szCs w:val="20"/>
                <w:color w:val="auto"/>
              </w:rPr>
            </w:pPr>
            <w:r>
              <w:rPr>
                <w:rFonts w:ascii="Arial" w:cs="Arial" w:eastAsia="Arial" w:hAnsi="Arial"/>
                <w:sz w:val="10"/>
                <w:szCs w:val="10"/>
                <w:b w:val="1"/>
                <w:bCs w:val="1"/>
                <w:color w:val="FFFFFF"/>
                <w:w w:val="97"/>
              </w:rPr>
              <w:t>(c)</w:t>
            </w:r>
          </w:p>
        </w:tc>
        <w:tc>
          <w:tcPr>
            <w:tcW w:w="8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3"/>
              </w:rPr>
              <w:t>(d)</w:t>
            </w:r>
          </w:p>
        </w:tc>
        <w:tc>
          <w:tcPr>
            <w:tcW w:w="7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7"/>
              </w:rPr>
              <w:t>(e)</w:t>
            </w:r>
          </w:p>
        </w:tc>
        <w:tc>
          <w:tcPr>
            <w:tcW w:w="760" w:type="dxa"/>
            <w:vAlign w:val="bottom"/>
            <w:shd w:val="clear" w:color="auto" w:fill="1D3965"/>
          </w:tcPr>
          <w:p>
            <w:pPr>
              <w:jc w:val="center"/>
              <w:ind w:left="9"/>
              <w:spacing w:after="0"/>
              <w:rPr>
                <w:sz w:val="20"/>
                <w:szCs w:val="20"/>
                <w:color w:val="auto"/>
              </w:rPr>
            </w:pPr>
            <w:r>
              <w:rPr>
                <w:rFonts w:ascii="Arial" w:cs="Arial" w:eastAsia="Arial" w:hAnsi="Arial"/>
                <w:sz w:val="10"/>
                <w:szCs w:val="10"/>
                <w:b w:val="1"/>
                <w:bCs w:val="1"/>
                <w:color w:val="FFFFFF"/>
                <w:w w:val="99"/>
              </w:rPr>
              <w:t>(f)</w:t>
            </w:r>
          </w:p>
        </w:tc>
        <w:tc>
          <w:tcPr>
            <w:tcW w:w="40" w:type="dxa"/>
            <w:vAlign w:val="bottom"/>
            <w:shd w:val="clear" w:color="auto" w:fill="1D3965"/>
          </w:tcPr>
          <w:p>
            <w:pPr>
              <w:spacing w:after="0"/>
              <w:rPr>
                <w:sz w:val="15"/>
                <w:szCs w:val="15"/>
                <w:color w:val="auto"/>
              </w:rPr>
            </w:pPr>
          </w:p>
        </w:tc>
        <w:tc>
          <w:tcPr>
            <w:tcW w:w="75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3"/>
              </w:rPr>
              <w:t>(g)</w:t>
            </w:r>
          </w:p>
        </w:tc>
        <w:tc>
          <w:tcPr>
            <w:tcW w:w="50" w:type="dxa"/>
            <w:vAlign w:val="bottom"/>
            <w:shd w:val="clear" w:color="auto" w:fill="1D3965"/>
          </w:tcPr>
          <w:p>
            <w:pPr>
              <w:spacing w:after="0"/>
              <w:rPr>
                <w:sz w:val="15"/>
                <w:szCs w:val="15"/>
                <w:color w:val="auto"/>
              </w:rPr>
            </w:pPr>
          </w:p>
        </w:tc>
        <w:tc>
          <w:tcPr>
            <w:tcW w:w="58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(h)</w:t>
            </w:r>
          </w:p>
        </w:tc>
        <w:tc>
          <w:tcPr>
            <w:tcW w:w="660" w:type="dxa"/>
            <w:vAlign w:val="bottom"/>
            <w:shd w:val="clear" w:color="auto" w:fill="1D3965"/>
          </w:tcPr>
          <w:p>
            <w:pPr>
              <w:jc w:val="center"/>
              <w:ind w:left="28"/>
              <w:spacing w:after="0"/>
              <w:rPr>
                <w:sz w:val="20"/>
                <w:szCs w:val="20"/>
                <w:color w:val="auto"/>
              </w:rPr>
            </w:pPr>
            <w:r>
              <w:rPr>
                <w:rFonts w:ascii="Arial" w:cs="Arial" w:eastAsia="Arial" w:hAnsi="Arial"/>
                <w:sz w:val="10"/>
                <w:szCs w:val="10"/>
                <w:b w:val="1"/>
                <w:bCs w:val="1"/>
                <w:color w:val="FFFFFF"/>
              </w:rPr>
              <w:t>(i)</w:t>
            </w:r>
          </w:p>
        </w:tc>
        <w:tc>
          <w:tcPr>
            <w:tcW w:w="60" w:type="dxa"/>
            <w:vAlign w:val="bottom"/>
            <w:shd w:val="clear" w:color="auto" w:fill="1D3965"/>
          </w:tcPr>
          <w:p>
            <w:pPr>
              <w:spacing w:after="0"/>
              <w:rPr>
                <w:sz w:val="15"/>
                <w:szCs w:val="15"/>
                <w:color w:val="auto"/>
              </w:rPr>
            </w:pP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rPr>
              <w:t>(j)</w:t>
            </w:r>
          </w:p>
        </w:tc>
        <w:tc>
          <w:tcPr>
            <w:tcW w:w="660" w:type="dxa"/>
            <w:vAlign w:val="bottom"/>
            <w:shd w:val="clear" w:color="auto" w:fill="1D3965"/>
          </w:tcPr>
          <w:p>
            <w:pPr>
              <w:jc w:val="center"/>
              <w:spacing w:after="0"/>
              <w:rPr>
                <w:sz w:val="20"/>
                <w:szCs w:val="20"/>
                <w:color w:val="auto"/>
              </w:rPr>
            </w:pPr>
            <w:r>
              <w:rPr>
                <w:rFonts w:ascii="Arial" w:cs="Arial" w:eastAsia="Arial" w:hAnsi="Arial"/>
                <w:sz w:val="10"/>
                <w:szCs w:val="10"/>
                <w:b w:val="1"/>
                <w:bCs w:val="1"/>
                <w:color w:val="FFFFFF"/>
                <w:w w:val="97"/>
              </w:rPr>
              <w:t>(k)</w:t>
            </w:r>
          </w:p>
        </w:tc>
        <w:tc>
          <w:tcPr>
            <w:tcW w:w="60" w:type="dxa"/>
            <w:vAlign w:val="bottom"/>
            <w:shd w:val="clear" w:color="auto" w:fill="1D3965"/>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 w:type="dxa"/>
            <w:vAlign w:val="bottom"/>
          </w:tcPr>
          <w:p>
            <w:pPr>
              <w:ind w:left="180"/>
              <w:spacing w:after="0"/>
              <w:rPr>
                <w:sz w:val="20"/>
                <w:szCs w:val="20"/>
                <w:color w:val="auto"/>
              </w:rPr>
            </w:pPr>
            <w:r>
              <w:rPr>
                <w:rFonts w:ascii="Arial" w:cs="Arial" w:eastAsia="Arial" w:hAnsi="Arial"/>
                <w:sz w:val="11"/>
                <w:szCs w:val="11"/>
                <w:color w:val="auto"/>
              </w:rPr>
              <w:t>2025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880" w:type="dxa"/>
            <w:vAlign w:val="bottom"/>
          </w:tcPr>
          <w:p>
            <w:pPr>
              <w:ind w:left="160"/>
              <w:spacing w:after="0"/>
              <w:rPr>
                <w:sz w:val="20"/>
                <w:szCs w:val="20"/>
                <w:color w:val="auto"/>
              </w:rPr>
            </w:pPr>
            <w:r>
              <w:rPr>
                <w:rFonts w:ascii="Arial" w:cs="Arial" w:eastAsia="Arial" w:hAnsi="Arial"/>
                <w:sz w:val="11"/>
                <w:szCs w:val="11"/>
                <w:color w:val="auto"/>
              </w:rPr>
              <w:t>$15,947,158</w:t>
            </w:r>
          </w:p>
        </w:tc>
        <w:tc>
          <w:tcPr>
            <w:tcW w:w="760" w:type="dxa"/>
            <w:vAlign w:val="bottom"/>
          </w:tcPr>
          <w:p>
            <w:pPr>
              <w:ind w:left="100"/>
              <w:spacing w:after="0"/>
              <w:rPr>
                <w:sz w:val="20"/>
                <w:szCs w:val="20"/>
                <w:color w:val="auto"/>
              </w:rPr>
            </w:pPr>
            <w:r>
              <w:rPr>
                <w:rFonts w:ascii="Arial" w:cs="Arial" w:eastAsia="Arial" w:hAnsi="Arial"/>
                <w:sz w:val="11"/>
                <w:szCs w:val="11"/>
                <w:color w:val="auto"/>
                <w:w w:val="99"/>
              </w:rPr>
              <w:t>$ 23,511,311</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$5,544,470</w:t>
            </w:r>
          </w:p>
        </w:tc>
        <w:tc>
          <w:tcPr>
            <w:tcW w:w="790" w:type="dxa"/>
            <w:vAlign w:val="bottom"/>
            <w:gridSpan w:val="2"/>
          </w:tcPr>
          <w:p>
            <w:pPr>
              <w:jc w:val="center"/>
              <w:spacing w:after="0"/>
              <w:rPr>
                <w:sz w:val="20"/>
                <w:szCs w:val="20"/>
                <w:color w:val="auto"/>
              </w:rPr>
            </w:pPr>
            <w:r>
              <w:rPr>
                <w:rFonts w:ascii="Arial" w:cs="Arial" w:eastAsia="Arial" w:hAnsi="Arial"/>
                <w:sz w:val="11"/>
                <w:szCs w:val="11"/>
                <w:color w:val="auto"/>
                <w:w w:val="98"/>
              </w:rPr>
              <w:t>$7,060,857</w:t>
            </w:r>
          </w:p>
        </w:tc>
        <w:tc>
          <w:tcPr>
            <w:tcW w:w="630" w:type="dxa"/>
            <w:vAlign w:val="bottom"/>
            <w:gridSpan w:val="2"/>
          </w:tcPr>
          <w:p>
            <w:pPr>
              <w:ind w:left="130"/>
              <w:spacing w:after="0"/>
              <w:rPr>
                <w:sz w:val="20"/>
                <w:szCs w:val="20"/>
                <w:color w:val="auto"/>
              </w:rPr>
            </w:pPr>
            <w:r>
              <w:rPr>
                <w:rFonts w:ascii="Arial" w:cs="Arial" w:eastAsia="Arial" w:hAnsi="Arial"/>
                <w:sz w:val="11"/>
                <w:szCs w:val="11"/>
                <w:color w:val="auto"/>
              </w:rPr>
              <w:t>$109.05</w:t>
            </w:r>
          </w:p>
        </w:tc>
        <w:tc>
          <w:tcPr>
            <w:tcW w:w="660" w:type="dxa"/>
            <w:vAlign w:val="bottom"/>
          </w:tcPr>
          <w:p>
            <w:pPr>
              <w:ind w:left="160"/>
              <w:spacing w:after="0"/>
              <w:rPr>
                <w:sz w:val="20"/>
                <w:szCs w:val="20"/>
                <w:color w:val="auto"/>
              </w:rPr>
            </w:pPr>
            <w:r>
              <w:rPr>
                <w:rFonts w:ascii="Arial" w:cs="Arial" w:eastAsia="Arial" w:hAnsi="Arial"/>
                <w:sz w:val="11"/>
                <w:szCs w:val="11"/>
                <w:color w:val="auto"/>
              </w:rPr>
              <w:t>$258.44</w:t>
            </w: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$198.3</w:t>
            </w:r>
          </w:p>
        </w:tc>
        <w:tc>
          <w:tcPr>
            <w:tcW w:w="660" w:type="dxa"/>
            <w:vAlign w:val="bottom"/>
          </w:tcPr>
          <w:p>
            <w:pPr>
              <w:ind w:left="160"/>
              <w:spacing w:after="0"/>
              <w:rPr>
                <w:sz w:val="20"/>
                <w:szCs w:val="20"/>
                <w:color w:val="auto"/>
              </w:rPr>
            </w:pPr>
            <w:r>
              <w:rPr>
                <w:rFonts w:ascii="Arial" w:cs="Arial" w:eastAsia="Arial" w:hAnsi="Arial"/>
                <w:sz w:val="11"/>
                <w:szCs w:val="11"/>
                <w:color w:val="auto"/>
              </w:rPr>
              <w:t>$669.1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tcPr>
          <w:p>
            <w:pPr>
              <w:ind w:left="180"/>
              <w:spacing w:after="0"/>
              <w:rPr>
                <w:sz w:val="20"/>
                <w:szCs w:val="20"/>
                <w:color w:val="auto"/>
              </w:rPr>
            </w:pPr>
            <w:r>
              <w:rPr>
                <w:rFonts w:ascii="Arial" w:cs="Arial" w:eastAsia="Arial" w:hAnsi="Arial"/>
                <w:sz w:val="11"/>
                <w:szCs w:val="11"/>
                <w:color w:val="auto"/>
              </w:rPr>
              <w:t>2024</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880" w:type="dxa"/>
            <w:vAlign w:val="bottom"/>
          </w:tcPr>
          <w:p>
            <w:pPr>
              <w:ind w:left="160"/>
              <w:spacing w:after="0"/>
              <w:rPr>
                <w:sz w:val="20"/>
                <w:szCs w:val="20"/>
                <w:color w:val="auto"/>
              </w:rPr>
            </w:pPr>
            <w:r>
              <w:rPr>
                <w:rFonts w:ascii="Arial" w:cs="Arial" w:eastAsia="Arial" w:hAnsi="Arial"/>
                <w:sz w:val="11"/>
                <w:szCs w:val="11"/>
                <w:color w:val="auto"/>
              </w:rPr>
              <w:t>$15,650,272</w:t>
            </w:r>
          </w:p>
        </w:tc>
        <w:tc>
          <w:tcPr>
            <w:tcW w:w="760" w:type="dxa"/>
            <w:vAlign w:val="bottom"/>
          </w:tcPr>
          <w:p>
            <w:pPr>
              <w:ind w:left="100"/>
              <w:spacing w:after="0"/>
              <w:rPr>
                <w:sz w:val="20"/>
                <w:szCs w:val="20"/>
                <w:color w:val="auto"/>
              </w:rPr>
            </w:pPr>
            <w:r>
              <w:rPr>
                <w:rFonts w:ascii="Arial" w:cs="Arial" w:eastAsia="Arial" w:hAnsi="Arial"/>
                <w:sz w:val="11"/>
                <w:szCs w:val="11"/>
                <w:color w:val="auto"/>
              </w:rPr>
              <w:t>$ 7,830,649</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$5,514,326</w:t>
            </w:r>
          </w:p>
        </w:tc>
        <w:tc>
          <w:tcPr>
            <w:tcW w:w="790" w:type="dxa"/>
            <w:vAlign w:val="bottom"/>
            <w:gridSpan w:val="2"/>
          </w:tcPr>
          <w:p>
            <w:pPr>
              <w:jc w:val="center"/>
              <w:spacing w:after="0"/>
              <w:rPr>
                <w:sz w:val="20"/>
                <w:szCs w:val="20"/>
                <w:color w:val="auto"/>
              </w:rPr>
            </w:pPr>
            <w:r>
              <w:rPr>
                <w:rFonts w:ascii="Arial" w:cs="Arial" w:eastAsia="Arial" w:hAnsi="Arial"/>
                <w:sz w:val="11"/>
                <w:szCs w:val="11"/>
                <w:color w:val="auto"/>
                <w:w w:val="98"/>
              </w:rPr>
              <w:t>$2,529,577</w:t>
            </w:r>
          </w:p>
        </w:tc>
        <w:tc>
          <w:tcPr>
            <w:tcW w:w="630" w:type="dxa"/>
            <w:vAlign w:val="bottom"/>
            <w:gridSpan w:val="2"/>
          </w:tcPr>
          <w:p>
            <w:pPr>
              <w:ind w:left="130"/>
              <w:spacing w:after="0"/>
              <w:rPr>
                <w:sz w:val="20"/>
                <w:szCs w:val="20"/>
                <w:color w:val="auto"/>
              </w:rPr>
            </w:pPr>
            <w:r>
              <w:rPr>
                <w:rFonts w:ascii="Arial" w:cs="Arial" w:eastAsia="Arial" w:hAnsi="Arial"/>
                <w:sz w:val="11"/>
                <w:szCs w:val="11"/>
                <w:color w:val="auto"/>
              </w:rPr>
              <w:t>$115.06</w:t>
            </w:r>
          </w:p>
        </w:tc>
        <w:tc>
          <w:tcPr>
            <w:tcW w:w="660" w:type="dxa"/>
            <w:vAlign w:val="bottom"/>
          </w:tcPr>
          <w:p>
            <w:pPr>
              <w:ind w:left="160"/>
              <w:spacing w:after="0"/>
              <w:rPr>
                <w:sz w:val="20"/>
                <w:szCs w:val="20"/>
                <w:color w:val="auto"/>
              </w:rPr>
            </w:pPr>
            <w:r>
              <w:rPr>
                <w:rFonts w:ascii="Arial" w:cs="Arial" w:eastAsia="Arial" w:hAnsi="Arial"/>
                <w:sz w:val="11"/>
                <w:szCs w:val="11"/>
                <w:color w:val="auto"/>
              </w:rPr>
              <w:t>$200.98</w:t>
            </w: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$173.7</w:t>
            </w:r>
          </w:p>
        </w:tc>
        <w:tc>
          <w:tcPr>
            <w:tcW w:w="660" w:type="dxa"/>
            <w:vAlign w:val="bottom"/>
          </w:tcPr>
          <w:p>
            <w:pPr>
              <w:ind w:left="160"/>
              <w:spacing w:after="0"/>
              <w:rPr>
                <w:sz w:val="20"/>
                <w:szCs w:val="20"/>
                <w:color w:val="auto"/>
              </w:rPr>
            </w:pPr>
            <w:r>
              <w:rPr>
                <w:rFonts w:ascii="Arial" w:cs="Arial" w:eastAsia="Arial" w:hAnsi="Arial"/>
                <w:sz w:val="11"/>
                <w:szCs w:val="11"/>
                <w:color w:val="auto"/>
              </w:rPr>
              <w:t>$607.6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ind w:left="180"/>
              <w:spacing w:after="0"/>
              <w:rPr>
                <w:sz w:val="20"/>
                <w:szCs w:val="20"/>
                <w:color w:val="auto"/>
              </w:rPr>
            </w:pPr>
            <w:r>
              <w:rPr>
                <w:rFonts w:ascii="Arial" w:cs="Arial" w:eastAsia="Arial" w:hAnsi="Arial"/>
                <w:sz w:val="11"/>
                <w:szCs w:val="11"/>
                <w:color w:val="auto"/>
              </w:rPr>
              <w:t>2023</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880" w:type="dxa"/>
            <w:vAlign w:val="bottom"/>
          </w:tcPr>
          <w:p>
            <w:pPr>
              <w:ind w:left="160"/>
              <w:spacing w:after="0"/>
              <w:rPr>
                <w:sz w:val="20"/>
                <w:szCs w:val="20"/>
                <w:color w:val="auto"/>
              </w:rPr>
            </w:pPr>
            <w:r>
              <w:rPr>
                <w:rFonts w:ascii="Arial" w:cs="Arial" w:eastAsia="Arial" w:hAnsi="Arial"/>
                <w:sz w:val="11"/>
                <w:szCs w:val="11"/>
                <w:color w:val="auto"/>
              </w:rPr>
              <w:t>$ 7,783,232</w:t>
            </w:r>
          </w:p>
        </w:tc>
        <w:tc>
          <w:tcPr>
            <w:tcW w:w="760" w:type="dxa"/>
            <w:vAlign w:val="bottom"/>
          </w:tcPr>
          <w:p>
            <w:pPr>
              <w:ind w:left="100"/>
              <w:spacing w:after="0"/>
              <w:rPr>
                <w:sz w:val="20"/>
                <w:szCs w:val="20"/>
                <w:color w:val="auto"/>
              </w:rPr>
            </w:pPr>
            <w:r>
              <w:rPr>
                <w:rFonts w:ascii="Arial" w:cs="Arial" w:eastAsia="Arial" w:hAnsi="Arial"/>
                <w:sz w:val="11"/>
                <w:szCs w:val="11"/>
                <w:color w:val="auto"/>
              </w:rPr>
              <w:t>$23,974,241</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$2,503,572</w:t>
            </w:r>
          </w:p>
        </w:tc>
        <w:tc>
          <w:tcPr>
            <w:tcW w:w="790" w:type="dxa"/>
            <w:vAlign w:val="bottom"/>
            <w:gridSpan w:val="2"/>
          </w:tcPr>
          <w:p>
            <w:pPr>
              <w:jc w:val="center"/>
              <w:spacing w:after="0"/>
              <w:rPr>
                <w:sz w:val="20"/>
                <w:szCs w:val="20"/>
                <w:color w:val="auto"/>
              </w:rPr>
            </w:pPr>
            <w:r>
              <w:rPr>
                <w:rFonts w:ascii="Arial" w:cs="Arial" w:eastAsia="Arial" w:hAnsi="Arial"/>
                <w:sz w:val="11"/>
                <w:szCs w:val="11"/>
                <w:color w:val="auto"/>
                <w:w w:val="98"/>
              </w:rPr>
              <w:t>$4,719,665</w:t>
            </w:r>
          </w:p>
        </w:tc>
        <w:tc>
          <w:tcPr>
            <w:tcW w:w="630" w:type="dxa"/>
            <w:vAlign w:val="bottom"/>
            <w:gridSpan w:val="2"/>
          </w:tcPr>
          <w:p>
            <w:pPr>
              <w:ind w:left="130"/>
              <w:spacing w:after="0"/>
              <w:rPr>
                <w:sz w:val="20"/>
                <w:szCs w:val="20"/>
                <w:color w:val="auto"/>
              </w:rPr>
            </w:pPr>
            <w:r>
              <w:rPr>
                <w:rFonts w:ascii="Arial" w:cs="Arial" w:eastAsia="Arial" w:hAnsi="Arial"/>
                <w:sz w:val="11"/>
                <w:szCs w:val="11"/>
                <w:color w:val="auto"/>
              </w:rPr>
              <w:t>$161.06</w:t>
            </w:r>
          </w:p>
        </w:tc>
        <w:tc>
          <w:tcPr>
            <w:tcW w:w="660" w:type="dxa"/>
            <w:vAlign w:val="bottom"/>
          </w:tcPr>
          <w:p>
            <w:pPr>
              <w:ind w:left="160"/>
              <w:spacing w:after="0"/>
              <w:rPr>
                <w:sz w:val="20"/>
                <w:szCs w:val="20"/>
                <w:color w:val="auto"/>
              </w:rPr>
            </w:pPr>
            <w:r>
              <w:rPr>
                <w:rFonts w:ascii="Arial" w:cs="Arial" w:eastAsia="Arial" w:hAnsi="Arial"/>
                <w:sz w:val="11"/>
                <w:szCs w:val="11"/>
                <w:color w:val="auto"/>
              </w:rPr>
              <w:t>$147.39</w:t>
            </w: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$151.6</w:t>
            </w:r>
          </w:p>
        </w:tc>
        <w:tc>
          <w:tcPr>
            <w:tcW w:w="660" w:type="dxa"/>
            <w:vAlign w:val="bottom"/>
          </w:tcPr>
          <w:p>
            <w:pPr>
              <w:ind w:left="160"/>
              <w:spacing w:after="0"/>
              <w:rPr>
                <w:sz w:val="20"/>
                <w:szCs w:val="20"/>
                <w:color w:val="auto"/>
              </w:rPr>
            </w:pPr>
            <w:r>
              <w:rPr>
                <w:rFonts w:ascii="Arial" w:cs="Arial" w:eastAsia="Arial" w:hAnsi="Arial"/>
                <w:sz w:val="11"/>
                <w:szCs w:val="11"/>
                <w:color w:val="auto"/>
              </w:rPr>
              <w:t>$554.5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ind w:left="180"/>
              <w:spacing w:after="0"/>
              <w:rPr>
                <w:sz w:val="20"/>
                <w:szCs w:val="20"/>
                <w:color w:val="auto"/>
              </w:rPr>
            </w:pPr>
            <w:r>
              <w:rPr>
                <w:rFonts w:ascii="Arial" w:cs="Arial" w:eastAsia="Arial" w:hAnsi="Arial"/>
                <w:sz w:val="11"/>
                <w:szCs w:val="11"/>
                <w:color w:val="auto"/>
              </w:rPr>
              <w:t>2022</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880" w:type="dxa"/>
            <w:vAlign w:val="bottom"/>
          </w:tcPr>
          <w:p>
            <w:pPr>
              <w:ind w:left="160"/>
              <w:spacing w:after="0"/>
              <w:rPr>
                <w:sz w:val="20"/>
                <w:szCs w:val="20"/>
                <w:color w:val="auto"/>
              </w:rPr>
            </w:pPr>
            <w:r>
              <w:rPr>
                <w:rFonts w:ascii="Arial" w:cs="Arial" w:eastAsia="Arial" w:hAnsi="Arial"/>
                <w:sz w:val="11"/>
                <w:szCs w:val="11"/>
                <w:color w:val="auto"/>
              </w:rPr>
              <w:t>$11,392,553</w:t>
            </w:r>
          </w:p>
        </w:tc>
        <w:tc>
          <w:tcPr>
            <w:tcW w:w="760" w:type="dxa"/>
            <w:vAlign w:val="bottom"/>
          </w:tcPr>
          <w:p>
            <w:pPr>
              <w:ind w:left="100"/>
              <w:spacing w:after="0"/>
              <w:rPr>
                <w:sz w:val="20"/>
                <w:szCs w:val="20"/>
                <w:color w:val="auto"/>
              </w:rPr>
            </w:pPr>
            <w:r>
              <w:rPr>
                <w:rFonts w:ascii="Arial" w:cs="Arial" w:eastAsia="Arial" w:hAnsi="Arial"/>
                <w:sz w:val="11"/>
                <w:szCs w:val="11"/>
                <w:color w:val="auto"/>
              </w:rPr>
              <w:t>$ 5,138,863</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$4,444,562</w:t>
            </w:r>
          </w:p>
        </w:tc>
        <w:tc>
          <w:tcPr>
            <w:tcW w:w="790" w:type="dxa"/>
            <w:vAlign w:val="bottom"/>
            <w:gridSpan w:val="2"/>
          </w:tcPr>
          <w:p>
            <w:pPr>
              <w:jc w:val="center"/>
              <w:spacing w:after="0"/>
              <w:rPr>
                <w:sz w:val="20"/>
                <w:szCs w:val="20"/>
                <w:color w:val="auto"/>
              </w:rPr>
            </w:pPr>
            <w:r>
              <w:rPr>
                <w:rFonts w:ascii="Arial" w:cs="Arial" w:eastAsia="Arial" w:hAnsi="Arial"/>
                <w:sz w:val="11"/>
                <w:szCs w:val="11"/>
                <w:color w:val="auto"/>
                <w:w w:val="98"/>
              </w:rPr>
              <w:t>$2,529,882</w:t>
            </w:r>
          </w:p>
        </w:tc>
        <w:tc>
          <w:tcPr>
            <w:tcW w:w="630" w:type="dxa"/>
            <w:vAlign w:val="bottom"/>
            <w:gridSpan w:val="2"/>
          </w:tcPr>
          <w:p>
            <w:pPr>
              <w:ind w:left="130"/>
              <w:spacing w:after="0"/>
              <w:rPr>
                <w:sz w:val="20"/>
                <w:szCs w:val="20"/>
                <w:color w:val="auto"/>
              </w:rPr>
            </w:pPr>
            <w:r>
              <w:rPr>
                <w:rFonts w:ascii="Arial" w:cs="Arial" w:eastAsia="Arial" w:hAnsi="Arial"/>
                <w:sz w:val="11"/>
                <w:szCs w:val="11"/>
                <w:color w:val="auto"/>
              </w:rPr>
              <w:t>$ 92.09</w:t>
            </w:r>
          </w:p>
        </w:tc>
        <w:tc>
          <w:tcPr>
            <w:tcW w:w="660" w:type="dxa"/>
            <w:vAlign w:val="bottom"/>
          </w:tcPr>
          <w:p>
            <w:pPr>
              <w:ind w:left="160"/>
              <w:spacing w:after="0"/>
              <w:rPr>
                <w:sz w:val="20"/>
                <w:szCs w:val="20"/>
                <w:color w:val="auto"/>
              </w:rPr>
            </w:pPr>
            <w:r>
              <w:rPr>
                <w:rFonts w:ascii="Arial" w:cs="Arial" w:eastAsia="Arial" w:hAnsi="Arial"/>
                <w:sz w:val="11"/>
                <w:szCs w:val="11"/>
                <w:color w:val="auto"/>
              </w:rPr>
              <w:t>$ 88.54</w:t>
            </w: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$108.0</w:t>
            </w:r>
          </w:p>
        </w:tc>
        <w:tc>
          <w:tcPr>
            <w:tcW w:w="660" w:type="dxa"/>
            <w:vAlign w:val="bottom"/>
          </w:tcPr>
          <w:p>
            <w:pPr>
              <w:ind w:left="160"/>
              <w:spacing w:after="0"/>
              <w:rPr>
                <w:sz w:val="20"/>
                <w:szCs w:val="20"/>
                <w:color w:val="auto"/>
              </w:rPr>
            </w:pPr>
            <w:r>
              <w:rPr>
                <w:rFonts w:ascii="Arial" w:cs="Arial" w:eastAsia="Arial" w:hAnsi="Arial"/>
                <w:sz w:val="11"/>
                <w:szCs w:val="11"/>
                <w:color w:val="auto"/>
              </w:rPr>
              <w:t>$489.7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ind w:left="180"/>
              <w:spacing w:after="0"/>
              <w:rPr>
                <w:sz w:val="20"/>
                <w:szCs w:val="20"/>
                <w:color w:val="auto"/>
              </w:rPr>
            </w:pPr>
            <w:r>
              <w:rPr>
                <w:rFonts w:ascii="Arial" w:cs="Arial" w:eastAsia="Arial" w:hAnsi="Arial"/>
                <w:sz w:val="11"/>
                <w:szCs w:val="11"/>
                <w:color w:val="auto"/>
              </w:rPr>
              <w:t>2021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w w:val="94"/>
              </w:rPr>
              <w:t>20,875,111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w w:val="94"/>
              </w:rPr>
              <w:t>16,450,909</w:t>
            </w:r>
          </w:p>
        </w:tc>
        <w:tc>
          <w:tcPr>
            <w:tcW w:w="880" w:type="dxa"/>
            <w:vAlign w:val="bottom"/>
          </w:tcPr>
          <w:p>
            <w:pPr>
              <w:ind w:left="160"/>
              <w:spacing w:after="0"/>
              <w:rPr>
                <w:sz w:val="20"/>
                <w:szCs w:val="20"/>
                <w:color w:val="auto"/>
              </w:rPr>
            </w:pPr>
            <w:r>
              <w:rPr>
                <w:rFonts w:ascii="Arial" w:cs="Arial" w:eastAsia="Arial" w:hAnsi="Arial"/>
                <w:sz w:val="11"/>
                <w:szCs w:val="11"/>
                <w:color w:val="auto"/>
              </w:rPr>
              <w:t>$ 9,396,664</w:t>
            </w:r>
          </w:p>
        </w:tc>
        <w:tc>
          <w:tcPr>
            <w:tcW w:w="760" w:type="dxa"/>
            <w:vAlign w:val="bottom"/>
          </w:tcPr>
          <w:p>
            <w:pPr>
              <w:ind w:left="100"/>
              <w:spacing w:after="0"/>
              <w:rPr>
                <w:sz w:val="20"/>
                <w:szCs w:val="20"/>
                <w:color w:val="auto"/>
              </w:rPr>
            </w:pPr>
            <w:r>
              <w:rPr>
                <w:rFonts w:ascii="Arial" w:cs="Arial" w:eastAsia="Arial" w:hAnsi="Arial"/>
                <w:sz w:val="11"/>
                <w:szCs w:val="11"/>
                <w:color w:val="auto"/>
              </w:rPr>
              <w:t>$12,827,121</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$4,140,001</w:t>
            </w:r>
          </w:p>
        </w:tc>
        <w:tc>
          <w:tcPr>
            <w:tcW w:w="790" w:type="dxa"/>
            <w:vAlign w:val="bottom"/>
            <w:gridSpan w:val="2"/>
          </w:tcPr>
          <w:p>
            <w:pPr>
              <w:jc w:val="center"/>
              <w:spacing w:after="0"/>
              <w:rPr>
                <w:sz w:val="20"/>
                <w:szCs w:val="20"/>
                <w:color w:val="auto"/>
              </w:rPr>
            </w:pPr>
            <w:r>
              <w:rPr>
                <w:rFonts w:ascii="Arial" w:cs="Arial" w:eastAsia="Arial" w:hAnsi="Arial"/>
                <w:sz w:val="11"/>
                <w:szCs w:val="11"/>
                <w:color w:val="auto"/>
                <w:w w:val="98"/>
              </w:rPr>
              <w:t>$5,326,529</w:t>
            </w:r>
          </w:p>
        </w:tc>
        <w:tc>
          <w:tcPr>
            <w:tcW w:w="630" w:type="dxa"/>
            <w:vAlign w:val="bottom"/>
            <w:gridSpan w:val="2"/>
          </w:tcPr>
          <w:p>
            <w:pPr>
              <w:ind w:left="130"/>
              <w:spacing w:after="0"/>
              <w:rPr>
                <w:sz w:val="20"/>
                <w:szCs w:val="20"/>
                <w:color w:val="auto"/>
              </w:rPr>
            </w:pPr>
            <w:r>
              <w:rPr>
                <w:rFonts w:ascii="Arial" w:cs="Arial" w:eastAsia="Arial" w:hAnsi="Arial"/>
                <w:sz w:val="11"/>
                <w:szCs w:val="11"/>
                <w:color w:val="auto"/>
              </w:rPr>
              <w:t>$112.60</w:t>
            </w:r>
          </w:p>
        </w:tc>
        <w:tc>
          <w:tcPr>
            <w:tcW w:w="660" w:type="dxa"/>
            <w:vAlign w:val="bottom"/>
          </w:tcPr>
          <w:p>
            <w:pPr>
              <w:ind w:left="160"/>
              <w:spacing w:after="0"/>
              <w:rPr>
                <w:sz w:val="20"/>
                <w:szCs w:val="20"/>
                <w:color w:val="auto"/>
              </w:rPr>
            </w:pPr>
            <w:r>
              <w:rPr>
                <w:rFonts w:ascii="Arial" w:cs="Arial" w:eastAsia="Arial" w:hAnsi="Arial"/>
                <w:sz w:val="11"/>
                <w:szCs w:val="11"/>
                <w:color w:val="auto"/>
              </w:rPr>
              <w:t>$137.86</w:t>
            </w:r>
          </w:p>
        </w:tc>
        <w:tc>
          <w:tcPr>
            <w:tcW w:w="720" w:type="dxa"/>
            <w:vAlign w:val="bottom"/>
            <w:gridSpan w:val="2"/>
          </w:tcPr>
          <w:p>
            <w:pPr>
              <w:ind w:left="220"/>
              <w:spacing w:after="0"/>
              <w:rPr>
                <w:sz w:val="20"/>
                <w:szCs w:val="20"/>
                <w:color w:val="auto"/>
              </w:rPr>
            </w:pPr>
            <w:r>
              <w:rPr>
                <w:rFonts w:ascii="Arial" w:cs="Arial" w:eastAsia="Arial" w:hAnsi="Arial"/>
                <w:sz w:val="11"/>
                <w:szCs w:val="11"/>
                <w:color w:val="auto"/>
              </w:rPr>
              <w:t>$ 71.0</w:t>
            </w:r>
          </w:p>
        </w:tc>
        <w:tc>
          <w:tcPr>
            <w:tcW w:w="660" w:type="dxa"/>
            <w:vAlign w:val="bottom"/>
          </w:tcPr>
          <w:p>
            <w:pPr>
              <w:ind w:left="160"/>
              <w:spacing w:after="0"/>
              <w:rPr>
                <w:sz w:val="20"/>
                <w:szCs w:val="20"/>
                <w:color w:val="auto"/>
              </w:rPr>
            </w:pPr>
            <w:r>
              <w:rPr>
                <w:rFonts w:ascii="Arial" w:cs="Arial" w:eastAsia="Arial" w:hAnsi="Arial"/>
                <w:sz w:val="11"/>
                <w:szCs w:val="11"/>
                <w:color w:val="auto"/>
              </w:rPr>
              <w:t>$411.2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-1024255</wp:posOffset>
            </wp:positionV>
            <wp:extent cx="4963160" cy="43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63160" cy="437515"/>
                    </a:xfrm>
                    <a:prstGeom prst="rect">
                      <a:avLst/>
                    </a:prstGeom>
                    <a:noFill/>
                  </pic:spPr>
                </pic:pic>
              </a:graphicData>
            </a:graphic>
          </wp:anchor>
        </w:drawing>
      </w:r>
    </w:p>
    <w:p>
      <w:pPr>
        <w:spacing w:after="0" w:line="180" w:lineRule="exact"/>
        <w:rPr>
          <w:sz w:val="20"/>
          <w:szCs w:val="20"/>
          <w:color w:val="auto"/>
        </w:rPr>
      </w:pPr>
    </w:p>
    <w:p>
      <w:pPr>
        <w:ind w:left="1500" w:right="519" w:hanging="344"/>
        <w:spacing w:after="0" w:line="285" w:lineRule="auto"/>
        <w:tabs>
          <w:tab w:leader="none" w:pos="1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first PEO is Philippe F. Courtot, who served as PEO in 2021 through March 19, 2021. The second PEO is Sumedh S. Thakar, who served as PEO beginning on April 27, 2021 and in 2022, 2023, 2024 and 2025.</w:t>
      </w:r>
    </w:p>
    <w:p>
      <w:pPr>
        <w:spacing w:after="0" w:line="49" w:lineRule="exact"/>
        <w:rPr>
          <w:rFonts w:ascii="Arial" w:cs="Arial" w:eastAsia="Arial" w:hAnsi="Arial"/>
          <w:sz w:val="14"/>
          <w:szCs w:val="14"/>
          <w:color w:val="auto"/>
        </w:rPr>
      </w:pPr>
    </w:p>
    <w:p>
      <w:pPr>
        <w:ind w:left="1500" w:right="519" w:hanging="344"/>
        <w:spacing w:after="0" w:line="285" w:lineRule="auto"/>
        <w:tabs>
          <w:tab w:leader="none" w:pos="1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total compensation paid to each of our PEO in each listed year, as shown in our Summary Compensation Table for such listed year.</w:t>
      </w:r>
    </w:p>
    <w:p>
      <w:pPr>
        <w:spacing w:after="0" w:line="49" w:lineRule="exact"/>
        <w:rPr>
          <w:rFonts w:ascii="Arial" w:cs="Arial" w:eastAsia="Arial" w:hAnsi="Arial"/>
          <w:sz w:val="14"/>
          <w:szCs w:val="14"/>
          <w:color w:val="auto"/>
        </w:rPr>
      </w:pPr>
    </w:p>
    <w:p>
      <w:pPr>
        <w:jc w:val="both"/>
        <w:ind w:left="1500" w:right="539" w:hanging="344"/>
        <w:spacing w:after="0" w:line="256" w:lineRule="auto"/>
        <w:tabs>
          <w:tab w:leader="none" w:pos="1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actually paid does not mean that our PEOs were actually paid those amounts in the listed year, but this is a dollar amount derived by adjusting the Summary Compensation Table total compensation under the methodology prescribed in the relevant rules under Item 402(v) of Regulation S-K, as shown in the following tables:</w:t>
      </w:r>
    </w:p>
    <w:p>
      <w:pPr>
        <w:spacing w:after="0" w:line="110"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180" w:type="dxa"/>
            <w:vAlign w:val="bottom"/>
            <w:gridSpan w:val="6"/>
          </w:tcPr>
          <w:p>
            <w:pPr>
              <w:spacing w:after="0"/>
              <w:rPr>
                <w:sz w:val="20"/>
                <w:szCs w:val="20"/>
                <w:color w:val="auto"/>
              </w:rPr>
            </w:pPr>
            <w:r>
              <w:rPr>
                <w:rFonts w:ascii="Arial" w:cs="Arial" w:eastAsia="Arial" w:hAnsi="Arial"/>
                <w:sz w:val="14"/>
                <w:szCs w:val="14"/>
                <w:b w:val="1"/>
                <w:bCs w:val="1"/>
                <w:color w:val="auto"/>
              </w:rPr>
              <w:t>First PEO</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60" w:type="dxa"/>
            <w:vAlign w:val="bottom"/>
            <w:shd w:val="clear" w:color="auto" w:fill="1D3965"/>
          </w:tcPr>
          <w:p>
            <w:pPr>
              <w:spacing w:after="0"/>
              <w:rPr>
                <w:sz w:val="24"/>
                <w:szCs w:val="24"/>
                <w:color w:val="auto"/>
              </w:rPr>
            </w:pPr>
          </w:p>
        </w:tc>
        <w:tc>
          <w:tcPr>
            <w:tcW w:w="260" w:type="dxa"/>
            <w:vAlign w:val="bottom"/>
            <w:shd w:val="clear" w:color="auto" w:fill="1D3965"/>
          </w:tcPr>
          <w:p>
            <w:pPr>
              <w:spacing w:after="0"/>
              <w:rPr>
                <w:sz w:val="24"/>
                <w:szCs w:val="24"/>
                <w:color w:val="auto"/>
              </w:rPr>
            </w:pPr>
          </w:p>
        </w:tc>
        <w:tc>
          <w:tcPr>
            <w:tcW w:w="40" w:type="dxa"/>
            <w:vAlign w:val="bottom"/>
            <w:shd w:val="clear" w:color="auto" w:fill="1D3965"/>
          </w:tcPr>
          <w:p>
            <w:pPr>
              <w:spacing w:after="0"/>
              <w:rPr>
                <w:sz w:val="24"/>
                <w:szCs w:val="24"/>
                <w:color w:val="auto"/>
              </w:rPr>
            </w:pPr>
          </w:p>
        </w:tc>
        <w:tc>
          <w:tcPr>
            <w:tcW w:w="240" w:type="dxa"/>
            <w:vAlign w:val="bottom"/>
            <w:shd w:val="clear" w:color="auto" w:fill="1D3965"/>
          </w:tcPr>
          <w:p>
            <w:pPr>
              <w:spacing w:after="0"/>
              <w:rPr>
                <w:sz w:val="24"/>
                <w:szCs w:val="24"/>
                <w:color w:val="auto"/>
              </w:rPr>
            </w:pPr>
          </w:p>
        </w:tc>
        <w:tc>
          <w:tcPr>
            <w:tcW w:w="60" w:type="dxa"/>
            <w:vAlign w:val="bottom"/>
            <w:shd w:val="clear" w:color="auto" w:fill="1D3965"/>
          </w:tcPr>
          <w:p>
            <w:pPr>
              <w:spacing w:after="0"/>
              <w:rPr>
                <w:sz w:val="24"/>
                <w:szCs w:val="24"/>
                <w:color w:val="auto"/>
              </w:rPr>
            </w:pPr>
          </w:p>
        </w:tc>
        <w:tc>
          <w:tcPr>
            <w:tcW w:w="3420" w:type="dxa"/>
            <w:vAlign w:val="bottom"/>
            <w:shd w:val="clear" w:color="auto" w:fill="1D3965"/>
          </w:tcPr>
          <w:p>
            <w:pPr>
              <w:spacing w:after="0"/>
              <w:rPr>
                <w:sz w:val="24"/>
                <w:szCs w:val="24"/>
                <w:color w:val="auto"/>
              </w:rPr>
            </w:pPr>
          </w:p>
        </w:tc>
        <w:tc>
          <w:tcPr>
            <w:tcW w:w="920" w:type="dxa"/>
            <w:vAlign w:val="bottom"/>
            <w:shd w:val="clear" w:color="auto" w:fill="1D3965"/>
          </w:tcPr>
          <w:p>
            <w:pPr>
              <w:jc w:val="right"/>
              <w:ind w:right="228"/>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1D3965"/>
          </w:tcPr>
          <w:p>
            <w:pPr>
              <w:jc w:val="center"/>
              <w:ind w:right="8"/>
              <w:spacing w:after="0"/>
              <w:rPr>
                <w:sz w:val="20"/>
                <w:szCs w:val="20"/>
                <w:color w:val="auto"/>
              </w:rPr>
            </w:pPr>
            <w:r>
              <w:rPr>
                <w:rFonts w:ascii="Arial" w:cs="Arial" w:eastAsia="Arial" w:hAnsi="Arial"/>
                <w:sz w:val="14"/>
                <w:szCs w:val="14"/>
                <w:b w:val="1"/>
                <w:bCs w:val="1"/>
                <w:color w:val="FFFFFF"/>
              </w:rPr>
              <w:t>2022</w:t>
            </w:r>
          </w:p>
        </w:tc>
        <w:tc>
          <w:tcPr>
            <w:tcW w:w="7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2023</w:t>
            </w:r>
          </w:p>
        </w:tc>
        <w:tc>
          <w:tcPr>
            <w:tcW w:w="7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2024</w:t>
            </w:r>
          </w:p>
        </w:tc>
        <w:tc>
          <w:tcPr>
            <w:tcW w:w="74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4020" w:type="dxa"/>
            <w:vAlign w:val="bottom"/>
            <w:gridSpan w:val="5"/>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20,875,111</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Subtract Grant Date Fair Value of Option Awards and Stock</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Awards Granted in Fiscal Year</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Add Fair Value at Fiscal Year-End of Outstanding and</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4020" w:type="dxa"/>
            <w:vAlign w:val="bottom"/>
            <w:gridSpan w:val="5"/>
          </w:tcPr>
          <w:p>
            <w:pPr>
              <w:spacing w:after="0" w:line="147" w:lineRule="exact"/>
              <w:rPr>
                <w:sz w:val="20"/>
                <w:szCs w:val="20"/>
                <w:color w:val="auto"/>
              </w:rPr>
            </w:pPr>
            <w:r>
              <w:rPr>
                <w:rFonts w:ascii="Arial" w:cs="Arial" w:eastAsia="Arial" w:hAnsi="Arial"/>
                <w:sz w:val="14"/>
                <w:szCs w:val="14"/>
                <w:color w:val="auto"/>
              </w:rPr>
              <w:t>Unvested Option Awards and Stock Awards Granted in Fiscal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Year</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Adjust for Change in Fair Value of Outstanding and Unvested</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5"/>
                <w:szCs w:val="15"/>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Option Awards and Stock Awards Granted in Prior Fiscal Years</w:t>
            </w:r>
          </w:p>
        </w:tc>
        <w:tc>
          <w:tcPr>
            <w:tcW w:w="9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Adjust for Fair Value at Vesting of Option Awards and Stock</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0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Awards</w:t>
            </w:r>
          </w:p>
        </w:tc>
        <w:tc>
          <w:tcPr>
            <w:tcW w:w="3420" w:type="dxa"/>
            <w:vAlign w:val="bottom"/>
          </w:tcPr>
          <w:p>
            <w:pPr>
              <w:spacing w:after="0"/>
              <w:rPr>
                <w:sz w:val="20"/>
                <w:szCs w:val="20"/>
                <w:color w:val="auto"/>
              </w:rPr>
            </w:pPr>
            <w:r>
              <w:rPr>
                <w:rFonts w:ascii="Arial" w:cs="Arial" w:eastAsia="Arial" w:hAnsi="Arial"/>
                <w:sz w:val="14"/>
                <w:szCs w:val="14"/>
                <w:color w:val="auto"/>
              </w:rPr>
              <w:t>Granted in Fiscal Year That Vested During Fiscal Year</w:t>
            </w:r>
          </w:p>
        </w:tc>
        <w:tc>
          <w:tcPr>
            <w:tcW w:w="9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Adjust for Change in Fair Value as of Vesting Date of Option</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4020" w:type="dxa"/>
            <w:vAlign w:val="bottom"/>
            <w:gridSpan w:val="5"/>
          </w:tcPr>
          <w:p>
            <w:pPr>
              <w:spacing w:after="0" w:line="147" w:lineRule="exact"/>
              <w:rPr>
                <w:sz w:val="20"/>
                <w:szCs w:val="20"/>
                <w:color w:val="auto"/>
              </w:rPr>
            </w:pPr>
            <w:r>
              <w:rPr>
                <w:rFonts w:ascii="Arial" w:cs="Arial" w:eastAsia="Arial" w:hAnsi="Arial"/>
                <w:sz w:val="14"/>
                <w:szCs w:val="14"/>
                <w:color w:val="auto"/>
              </w:rPr>
              <w:t>Awards and Stock Awards Granted in Prior Fiscal Years For</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Which Applicable Vesting Conditions Were Satisfied During</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Fiscal Year</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343,840</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Subtract Fair Value as of Prior Fiscal Year-End of Option</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5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Awards</w:t>
            </w:r>
          </w:p>
        </w:tc>
        <w:tc>
          <w:tcPr>
            <w:tcW w:w="3480" w:type="dxa"/>
            <w:vAlign w:val="bottom"/>
            <w:gridSpan w:val="2"/>
          </w:tcPr>
          <w:p>
            <w:pPr>
              <w:spacing w:after="0" w:line="147" w:lineRule="exact"/>
              <w:rPr>
                <w:sz w:val="20"/>
                <w:szCs w:val="20"/>
                <w:color w:val="auto"/>
              </w:rPr>
            </w:pPr>
            <w:r>
              <w:rPr>
                <w:rFonts w:ascii="Arial" w:cs="Arial" w:eastAsia="Arial" w:hAnsi="Arial"/>
                <w:sz w:val="14"/>
                <w:szCs w:val="14"/>
                <w:color w:val="auto"/>
              </w:rPr>
              <w:t>and Stock Awards Granted in Prior Fiscal Years That</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Failed to Meet Applicable Vesting Conditions During Fiscal</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Year</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(4,768,042)</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Add Value of Dividends or other Earnings Paid on Stock or</w:t>
            </w: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4020" w:type="dxa"/>
            <w:vAlign w:val="bottom"/>
            <w:gridSpan w:val="5"/>
          </w:tcPr>
          <w:p>
            <w:pPr>
              <w:spacing w:after="0" w:line="147" w:lineRule="exact"/>
              <w:rPr>
                <w:sz w:val="20"/>
                <w:szCs w:val="20"/>
                <w:color w:val="auto"/>
              </w:rPr>
            </w:pPr>
            <w:r>
              <w:rPr>
                <w:rFonts w:ascii="Arial" w:cs="Arial" w:eastAsia="Arial" w:hAnsi="Arial"/>
                <w:sz w:val="14"/>
                <w:szCs w:val="14"/>
                <w:color w:val="auto"/>
              </w:rPr>
              <w:t>Option Awards not Otherwise Reflected in Fair Value or Total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020" w:type="dxa"/>
            <w:vAlign w:val="bottom"/>
            <w:gridSpan w:val="5"/>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Arial" w:cs="Arial" w:eastAsia="Arial" w:hAnsi="Arial"/>
                <w:sz w:val="14"/>
                <w:szCs w:val="14"/>
                <w:b w:val="1"/>
                <w:bCs w:val="1"/>
                <w:color w:val="auto"/>
              </w:rPr>
              <w:t>Compensation Actually Paid</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16,450,909</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tbl>
      <w:tblPr>
        <w:tblLayout w:type="fixed"/>
        <w:tblInd w:w="500" w:type="dxa"/>
        <w:tblCellMar>
          <w:top w:w="0" w:type="dxa"/>
          <w:left w:w="0" w:type="dxa"/>
          <w:bottom w:w="0" w:type="dxa"/>
          <w:right w:w="0" w:type="dxa"/>
        </w:tblCellMar>
      </w:tblPr>
      <w:tr>
        <w:trPr>
          <w:trHeight w:val="171"/>
        </w:trPr>
        <w:tc>
          <w:tcPr>
            <w:tcW w:w="3400" w:type="dxa"/>
            <w:vAlign w:val="bottom"/>
            <w:gridSpan w:val="6"/>
          </w:tcPr>
          <w:p>
            <w:pPr>
              <w:spacing w:after="0"/>
              <w:rPr>
                <w:sz w:val="20"/>
                <w:szCs w:val="20"/>
                <w:color w:val="auto"/>
              </w:rPr>
            </w:pPr>
            <w:r>
              <w:rPr>
                <w:rFonts w:ascii="Arial" w:cs="Arial" w:eastAsia="Arial" w:hAnsi="Arial"/>
                <w:sz w:val="14"/>
                <w:szCs w:val="14"/>
                <w:b w:val="1"/>
                <w:bCs w:val="1"/>
                <w:color w:val="auto"/>
              </w:rPr>
              <w:t>Second PEO</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60" w:type="dxa"/>
            <w:vAlign w:val="bottom"/>
            <w:shd w:val="clear" w:color="auto" w:fill="1D3965"/>
          </w:tcPr>
          <w:p>
            <w:pPr>
              <w:spacing w:after="0"/>
              <w:rPr>
                <w:sz w:val="24"/>
                <w:szCs w:val="24"/>
                <w:color w:val="auto"/>
              </w:rPr>
            </w:pPr>
          </w:p>
        </w:tc>
        <w:tc>
          <w:tcPr>
            <w:tcW w:w="260" w:type="dxa"/>
            <w:vAlign w:val="bottom"/>
            <w:shd w:val="clear" w:color="auto" w:fill="1D3965"/>
          </w:tcPr>
          <w:p>
            <w:pPr>
              <w:spacing w:after="0"/>
              <w:rPr>
                <w:sz w:val="24"/>
                <w:szCs w:val="24"/>
                <w:color w:val="auto"/>
              </w:rPr>
            </w:pPr>
          </w:p>
        </w:tc>
        <w:tc>
          <w:tcPr>
            <w:tcW w:w="20" w:type="dxa"/>
            <w:vAlign w:val="bottom"/>
            <w:shd w:val="clear" w:color="auto" w:fill="1D3965"/>
          </w:tcPr>
          <w:p>
            <w:pPr>
              <w:spacing w:after="0"/>
              <w:rPr>
                <w:sz w:val="24"/>
                <w:szCs w:val="24"/>
                <w:color w:val="auto"/>
              </w:rPr>
            </w:pPr>
          </w:p>
        </w:tc>
        <w:tc>
          <w:tcPr>
            <w:tcW w:w="260" w:type="dxa"/>
            <w:vAlign w:val="bottom"/>
            <w:shd w:val="clear" w:color="auto" w:fill="1D3965"/>
          </w:tcPr>
          <w:p>
            <w:pPr>
              <w:spacing w:after="0"/>
              <w:rPr>
                <w:sz w:val="24"/>
                <w:szCs w:val="24"/>
                <w:color w:val="auto"/>
              </w:rPr>
            </w:pPr>
          </w:p>
        </w:tc>
        <w:tc>
          <w:tcPr>
            <w:tcW w:w="60" w:type="dxa"/>
            <w:vAlign w:val="bottom"/>
            <w:shd w:val="clear" w:color="auto" w:fill="1D3965"/>
          </w:tcPr>
          <w:p>
            <w:pPr>
              <w:spacing w:after="0"/>
              <w:rPr>
                <w:sz w:val="24"/>
                <w:szCs w:val="24"/>
                <w:color w:val="auto"/>
              </w:rPr>
            </w:pPr>
          </w:p>
        </w:tc>
        <w:tc>
          <w:tcPr>
            <w:tcW w:w="2640" w:type="dxa"/>
            <w:vAlign w:val="bottom"/>
            <w:shd w:val="clear" w:color="auto" w:fill="1D3965"/>
          </w:tcPr>
          <w:p>
            <w:pPr>
              <w:spacing w:after="0"/>
              <w:rPr>
                <w:sz w:val="24"/>
                <w:szCs w:val="24"/>
                <w:color w:val="auto"/>
              </w:rPr>
            </w:pPr>
          </w:p>
        </w:tc>
        <w:tc>
          <w:tcPr>
            <w:tcW w:w="900" w:type="dxa"/>
            <w:vAlign w:val="bottom"/>
            <w:shd w:val="clear" w:color="auto" w:fill="1D3965"/>
          </w:tcPr>
          <w:p>
            <w:pPr>
              <w:jc w:val="right"/>
              <w:ind w:right="22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1D3965"/>
          </w:tcPr>
          <w:p>
            <w:pPr>
              <w:jc w:val="right"/>
              <w:ind w:right="248"/>
              <w:spacing w:after="0"/>
              <w:rPr>
                <w:sz w:val="20"/>
                <w:szCs w:val="20"/>
                <w:color w:val="auto"/>
              </w:rPr>
            </w:pPr>
            <w:r>
              <w:rPr>
                <w:rFonts w:ascii="Arial" w:cs="Arial" w:eastAsia="Arial" w:hAnsi="Arial"/>
                <w:sz w:val="14"/>
                <w:szCs w:val="14"/>
                <w:b w:val="1"/>
                <w:bCs w:val="1"/>
                <w:color w:val="FFFFFF"/>
              </w:rPr>
              <w:t>2022</w:t>
            </w:r>
          </w:p>
        </w:tc>
        <w:tc>
          <w:tcPr>
            <w:tcW w:w="900" w:type="dxa"/>
            <w:vAlign w:val="bottom"/>
            <w:shd w:val="clear" w:color="auto" w:fill="1D3965"/>
          </w:tcPr>
          <w:p>
            <w:pPr>
              <w:jc w:val="right"/>
              <w:ind w:right="228"/>
              <w:spacing w:after="0"/>
              <w:rPr>
                <w:sz w:val="20"/>
                <w:szCs w:val="20"/>
                <w:color w:val="auto"/>
              </w:rPr>
            </w:pPr>
            <w:r>
              <w:rPr>
                <w:rFonts w:ascii="Arial" w:cs="Arial" w:eastAsia="Arial" w:hAnsi="Arial"/>
                <w:sz w:val="14"/>
                <w:szCs w:val="14"/>
                <w:b w:val="1"/>
                <w:bCs w:val="1"/>
                <w:color w:val="FFFFFF"/>
              </w:rPr>
              <w:t>2023</w:t>
            </w:r>
          </w:p>
        </w:tc>
        <w:tc>
          <w:tcPr>
            <w:tcW w:w="920" w:type="dxa"/>
            <w:vAlign w:val="bottom"/>
            <w:shd w:val="clear" w:color="auto" w:fill="1D3965"/>
          </w:tcPr>
          <w:p>
            <w:pPr>
              <w:jc w:val="right"/>
              <w:ind w:right="228"/>
              <w:spacing w:after="0"/>
              <w:rPr>
                <w:sz w:val="20"/>
                <w:szCs w:val="20"/>
                <w:color w:val="auto"/>
              </w:rPr>
            </w:pPr>
            <w:r>
              <w:rPr>
                <w:rFonts w:ascii="Arial" w:cs="Arial" w:eastAsia="Arial" w:hAnsi="Arial"/>
                <w:sz w:val="14"/>
                <w:szCs w:val="14"/>
                <w:b w:val="1"/>
                <w:bCs w:val="1"/>
                <w:color w:val="FFFFFF"/>
              </w:rPr>
              <w:t>2024</w:t>
            </w:r>
          </w:p>
        </w:tc>
        <w:tc>
          <w:tcPr>
            <w:tcW w:w="940" w:type="dxa"/>
            <w:vAlign w:val="bottom"/>
            <w:shd w:val="clear" w:color="auto" w:fill="1D3965"/>
          </w:tcPr>
          <w:p>
            <w:pPr>
              <w:jc w:val="right"/>
              <w:ind w:right="228"/>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240" w:type="dxa"/>
            <w:vAlign w:val="bottom"/>
            <w:gridSpan w:val="5"/>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9,396,664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11,392,553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7,783,232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15,650,272</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15,947,158</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Subtract Grant Date Fair Value of Option Awards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(8,364,620)</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(10,361,307)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(6,931,496)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(14,549,332)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(14,597,565)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and Stock Awards Granted in Fiscal Year</w:t>
            </w: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Add Fair Value at Fiscal Year-End of Outstanding</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2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and</w:t>
            </w:r>
          </w:p>
        </w:tc>
        <w:tc>
          <w:tcPr>
            <w:tcW w:w="20" w:type="dxa"/>
            <w:vAlign w:val="bottom"/>
          </w:tcPr>
          <w:p>
            <w:pPr>
              <w:spacing w:after="0"/>
              <w:rPr>
                <w:sz w:val="12"/>
                <w:szCs w:val="12"/>
                <w:color w:val="auto"/>
              </w:rPr>
            </w:pPr>
          </w:p>
        </w:tc>
        <w:tc>
          <w:tcPr>
            <w:tcW w:w="2960" w:type="dxa"/>
            <w:vAlign w:val="bottom"/>
            <w:gridSpan w:val="3"/>
          </w:tcPr>
          <w:p>
            <w:pPr>
              <w:spacing w:after="0" w:line="147" w:lineRule="exact"/>
              <w:rPr>
                <w:sz w:val="20"/>
                <w:szCs w:val="20"/>
                <w:color w:val="auto"/>
              </w:rPr>
            </w:pPr>
            <w:r>
              <w:rPr>
                <w:rFonts w:ascii="Arial" w:cs="Arial" w:eastAsia="Arial" w:hAnsi="Arial"/>
                <w:sz w:val="14"/>
                <w:szCs w:val="14"/>
                <w:color w:val="auto"/>
              </w:rPr>
              <w:t>Unvested Option Awards and Stock Awards</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Granted in Fiscal Year</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10,149,237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7,236,431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8,940,750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14,661,086</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17,123,551</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Adjust for Change in Fair Value of Outstanding</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240" w:type="dxa"/>
            <w:vAlign w:val="bottom"/>
            <w:gridSpan w:val="5"/>
          </w:tcPr>
          <w:p>
            <w:pPr>
              <w:spacing w:after="0" w:line="147" w:lineRule="exact"/>
              <w:rPr>
                <w:sz w:val="20"/>
                <w:szCs w:val="20"/>
                <w:color w:val="auto"/>
              </w:rPr>
            </w:pPr>
            <w:r>
              <w:rPr>
                <w:rFonts w:ascii="Arial" w:cs="Arial" w:eastAsia="Arial" w:hAnsi="Arial"/>
                <w:sz w:val="14"/>
                <w:szCs w:val="14"/>
                <w:color w:val="auto"/>
              </w:rPr>
              <w:t>and Unvested Option Awards and Stock Awards</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Granted in Prior Fiscal Years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1,821,938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(2,774,012)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12,892,872</w:t>
            </w:r>
          </w:p>
        </w:tc>
        <w:tc>
          <w:tcPr>
            <w:tcW w:w="920" w:type="dxa"/>
            <w:vAlign w:val="bottom"/>
          </w:tcPr>
          <w:p>
            <w:pPr>
              <w:jc w:val="right"/>
              <w:spacing w:after="0"/>
              <w:rPr>
                <w:sz w:val="20"/>
                <w:szCs w:val="20"/>
                <w:color w:val="auto"/>
              </w:rPr>
            </w:pPr>
            <w:r>
              <w:rPr>
                <w:rFonts w:ascii="Arial" w:cs="Arial" w:eastAsia="Arial" w:hAnsi="Arial"/>
                <w:sz w:val="14"/>
                <w:szCs w:val="14"/>
                <w:color w:val="auto"/>
              </w:rPr>
              <w:t>(4,405,419)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(585,066)</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Adjust for Fair Value at Vesting of Option Awards</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6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color w:val="auto"/>
                <w:w w:val="93"/>
              </w:rPr>
              <w:t>and Stock</w:t>
            </w:r>
          </w:p>
        </w:tc>
        <w:tc>
          <w:tcPr>
            <w:tcW w:w="2640" w:type="dxa"/>
            <w:vAlign w:val="bottom"/>
          </w:tcPr>
          <w:p>
            <w:pPr>
              <w:ind w:left="80"/>
              <w:spacing w:after="0" w:line="147" w:lineRule="exact"/>
              <w:rPr>
                <w:sz w:val="20"/>
                <w:szCs w:val="20"/>
                <w:color w:val="auto"/>
              </w:rPr>
            </w:pPr>
            <w:r>
              <w:rPr>
                <w:rFonts w:ascii="Arial" w:cs="Arial" w:eastAsia="Arial" w:hAnsi="Arial"/>
                <w:sz w:val="14"/>
                <w:szCs w:val="14"/>
                <w:color w:val="auto"/>
              </w:rPr>
              <w:t>Awards Granted in Fiscal Year That</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Vested During Fiscal Year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136,595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Adjust for Change in Fair Value as of Vesting</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6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color w:val="auto"/>
              </w:rPr>
              <w:t>Date of</w:t>
            </w:r>
          </w:p>
        </w:tc>
        <w:tc>
          <w:tcPr>
            <w:tcW w:w="2640" w:type="dxa"/>
            <w:vAlign w:val="bottom"/>
          </w:tcPr>
          <w:p>
            <w:pPr>
              <w:spacing w:after="0" w:line="147" w:lineRule="exact"/>
              <w:rPr>
                <w:sz w:val="20"/>
                <w:szCs w:val="20"/>
                <w:color w:val="auto"/>
              </w:rPr>
            </w:pPr>
            <w:r>
              <w:rPr>
                <w:rFonts w:ascii="Arial" w:cs="Arial" w:eastAsia="Arial" w:hAnsi="Arial"/>
                <w:sz w:val="14"/>
                <w:szCs w:val="14"/>
                <w:color w:val="auto"/>
              </w:rPr>
              <w:t>Option Awards and Stock Awards</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Granted in Prior Fiscal Years For Which</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Applicable Vesting Conditions Were Satisfied</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During Fiscal Year</w:t>
            </w:r>
          </w:p>
        </w:tc>
        <w:tc>
          <w:tcPr>
            <w:tcW w:w="900" w:type="dxa"/>
            <w:vAlign w:val="bottom"/>
          </w:tcPr>
          <w:p>
            <w:pPr>
              <w:jc w:val="right"/>
              <w:spacing w:after="0"/>
              <w:rPr>
                <w:sz w:val="20"/>
                <w:szCs w:val="20"/>
                <w:color w:val="auto"/>
              </w:rPr>
            </w:pPr>
            <w:r>
              <w:rPr>
                <w:rFonts w:ascii="Arial" w:cs="Arial" w:eastAsia="Arial" w:hAnsi="Arial"/>
                <w:sz w:val="14"/>
                <w:szCs w:val="14"/>
                <w:color w:val="auto"/>
              </w:rPr>
              <w:t>(312,693)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(354,802)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1,288,883</w:t>
            </w:r>
          </w:p>
        </w:tc>
        <w:tc>
          <w:tcPr>
            <w:tcW w:w="920" w:type="dxa"/>
            <w:vAlign w:val="bottom"/>
          </w:tcPr>
          <w:p>
            <w:pPr>
              <w:jc w:val="right"/>
              <w:spacing w:after="0"/>
              <w:rPr>
                <w:sz w:val="20"/>
                <w:szCs w:val="20"/>
                <w:color w:val="auto"/>
              </w:rPr>
            </w:pPr>
            <w:r>
              <w:rPr>
                <w:rFonts w:ascii="Arial" w:cs="Arial" w:eastAsia="Arial" w:hAnsi="Arial"/>
                <w:sz w:val="14"/>
                <w:szCs w:val="14"/>
                <w:color w:val="auto"/>
              </w:rPr>
              <w:t>(3,525,958)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5,623,233</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Subtract Fair Value as of Prior Fiscal Year-End of</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5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Option</w:t>
            </w:r>
          </w:p>
        </w:tc>
        <w:tc>
          <w:tcPr>
            <w:tcW w:w="2700" w:type="dxa"/>
            <w:vAlign w:val="bottom"/>
            <w:gridSpan w:val="2"/>
          </w:tcPr>
          <w:p>
            <w:pPr>
              <w:spacing w:after="0" w:line="147" w:lineRule="exact"/>
              <w:rPr>
                <w:sz w:val="20"/>
                <w:szCs w:val="20"/>
                <w:color w:val="auto"/>
              </w:rPr>
            </w:pPr>
            <w:r>
              <w:rPr>
                <w:rFonts w:ascii="Arial" w:cs="Arial" w:eastAsia="Arial" w:hAnsi="Arial"/>
                <w:sz w:val="14"/>
                <w:szCs w:val="14"/>
                <w:color w:val="auto"/>
              </w:rPr>
              <w:t>Awards and Stock Awards Granted in</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Prior Fiscal Years That Failed to Meet Applicable</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Vesting Conditions During Fiscal Year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Add Value of Dividends or other Earnings Paid on</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240" w:type="dxa"/>
            <w:vAlign w:val="bottom"/>
            <w:gridSpan w:val="5"/>
          </w:tcPr>
          <w:p>
            <w:pPr>
              <w:spacing w:after="0" w:line="147" w:lineRule="exact"/>
              <w:rPr>
                <w:sz w:val="20"/>
                <w:szCs w:val="20"/>
                <w:color w:val="auto"/>
              </w:rPr>
            </w:pPr>
            <w:r>
              <w:rPr>
                <w:rFonts w:ascii="Arial" w:cs="Arial" w:eastAsia="Arial" w:hAnsi="Arial"/>
                <w:sz w:val="14"/>
                <w:szCs w:val="14"/>
                <w:color w:val="auto"/>
              </w:rPr>
              <w:t>Stock or Option Awards not Otherwise Reflected</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240" w:type="dxa"/>
            <w:vAlign w:val="bottom"/>
            <w:gridSpan w:val="5"/>
          </w:tcPr>
          <w:p>
            <w:pPr>
              <w:spacing w:after="0"/>
              <w:rPr>
                <w:sz w:val="20"/>
                <w:szCs w:val="20"/>
                <w:color w:val="auto"/>
              </w:rPr>
            </w:pPr>
            <w:r>
              <w:rPr>
                <w:rFonts w:ascii="Arial" w:cs="Arial" w:eastAsia="Arial" w:hAnsi="Arial"/>
                <w:sz w:val="14"/>
                <w:szCs w:val="14"/>
                <w:color w:val="auto"/>
              </w:rPr>
              <w:t>in Fair Value or Total Compensation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3240" w:type="dxa"/>
            <w:vAlign w:val="bottom"/>
            <w:gridSpan w:val="5"/>
          </w:tcPr>
          <w:p>
            <w:pPr>
              <w:spacing w:after="0"/>
              <w:rPr>
                <w:sz w:val="20"/>
                <w:szCs w:val="20"/>
                <w:color w:val="auto"/>
              </w:rPr>
            </w:pPr>
            <w:r>
              <w:rPr>
                <w:rFonts w:ascii="Arial" w:cs="Arial" w:eastAsia="Arial" w:hAnsi="Arial"/>
                <w:sz w:val="14"/>
                <w:szCs w:val="14"/>
                <w:b w:val="1"/>
                <w:bCs w:val="1"/>
                <w:color w:val="auto"/>
              </w:rPr>
              <w:t>Compensation Actually Paid</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12,827,121</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5,138,863</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23,974,241</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7,830,649</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23,511,311</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1500" w:right="519" w:hanging="344"/>
        <w:spacing w:after="0" w:line="263" w:lineRule="auto"/>
        <w:tabs>
          <w:tab w:leader="none" w:pos="1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figure is the average of the total compensation paid to our NEOs other than our PEO in each listed year, as shown in our Summary Compensation Table for such listed year. The names of the non-PEO NEOs in each year are listed in the table below.</w:t>
      </w:r>
    </w:p>
    <w:p>
      <w:pPr>
        <w:spacing w:after="0" w:line="74" w:lineRule="exact"/>
        <w:rPr>
          <w:sz w:val="20"/>
          <w:szCs w:val="20"/>
          <w:color w:val="auto"/>
        </w:rPr>
      </w:pPr>
    </w:p>
    <w:tbl>
      <w:tblPr>
        <w:tblLayout w:type="fixed"/>
        <w:tblInd w:w="1580" w:type="dxa"/>
        <w:tblCellMar>
          <w:top w:w="0" w:type="dxa"/>
          <w:left w:w="0" w:type="dxa"/>
          <w:bottom w:w="0" w:type="dxa"/>
          <w:right w:w="0" w:type="dxa"/>
        </w:tblCellMar>
      </w:tblPr>
      <w:tr>
        <w:trPr>
          <w:trHeight w:val="257"/>
        </w:trPr>
        <w:tc>
          <w:tcPr>
            <w:tcW w:w="13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2021</w:t>
            </w:r>
          </w:p>
        </w:tc>
        <w:tc>
          <w:tcPr>
            <w:tcW w:w="1520" w:type="dxa"/>
            <w:vAlign w:val="bottom"/>
            <w:shd w:val="clear" w:color="auto" w:fill="1D3965"/>
          </w:tcPr>
          <w:p>
            <w:pPr>
              <w:jc w:val="center"/>
              <w:ind w:left="48"/>
              <w:spacing w:after="0"/>
              <w:rPr>
                <w:sz w:val="20"/>
                <w:szCs w:val="20"/>
                <w:color w:val="auto"/>
              </w:rPr>
            </w:pPr>
            <w:r>
              <w:rPr>
                <w:rFonts w:ascii="Arial" w:cs="Arial" w:eastAsia="Arial" w:hAnsi="Arial"/>
                <w:sz w:val="14"/>
                <w:szCs w:val="14"/>
                <w:b w:val="1"/>
                <w:bCs w:val="1"/>
                <w:color w:val="FFFFFF"/>
              </w:rPr>
              <w:t>2022</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2023</w:t>
            </w:r>
          </w:p>
        </w:tc>
        <w:tc>
          <w:tcPr>
            <w:tcW w:w="140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2024</w:t>
            </w:r>
          </w:p>
        </w:tc>
        <w:tc>
          <w:tcPr>
            <w:tcW w:w="1300" w:type="dxa"/>
            <w:vAlign w:val="bottom"/>
            <w:shd w:val="clear" w:color="auto" w:fill="1D3965"/>
          </w:tcPr>
          <w:p>
            <w:pPr>
              <w:jc w:val="center"/>
              <w:ind w:left="28"/>
              <w:spacing w:after="0"/>
              <w:rPr>
                <w:sz w:val="20"/>
                <w:szCs w:val="20"/>
                <w:color w:val="auto"/>
              </w:rPr>
            </w:pPr>
            <w:r>
              <w:rPr>
                <w:rFonts w:ascii="Arial" w:cs="Arial" w:eastAsia="Arial" w:hAnsi="Arial"/>
                <w:sz w:val="14"/>
                <w:szCs w:val="14"/>
                <w:b w:val="1"/>
                <w:bCs w:val="1"/>
                <w:color w:val="FFFFFF"/>
              </w:rPr>
              <w:t>2025</w:t>
            </w:r>
          </w:p>
        </w:tc>
      </w:tr>
      <w:tr>
        <w:trPr>
          <w:trHeight w:val="208"/>
        </w:trPr>
        <w:tc>
          <w:tcPr>
            <w:tcW w:w="1300" w:type="dxa"/>
            <w:vAlign w:val="bottom"/>
          </w:tcPr>
          <w:p>
            <w:pPr>
              <w:jc w:val="center"/>
              <w:spacing w:after="0"/>
              <w:rPr>
                <w:sz w:val="20"/>
                <w:szCs w:val="20"/>
                <w:color w:val="auto"/>
              </w:rPr>
            </w:pPr>
            <w:r>
              <w:rPr>
                <w:rFonts w:ascii="Arial" w:cs="Arial" w:eastAsia="Arial" w:hAnsi="Arial"/>
                <w:sz w:val="14"/>
                <w:szCs w:val="14"/>
                <w:color w:val="auto"/>
              </w:rPr>
              <w:t>Kim, Joo Mi</w:t>
            </w:r>
          </w:p>
        </w:tc>
        <w:tc>
          <w:tcPr>
            <w:tcW w:w="1520" w:type="dxa"/>
            <w:vAlign w:val="bottom"/>
          </w:tcPr>
          <w:p>
            <w:pPr>
              <w:jc w:val="center"/>
              <w:ind w:left="28"/>
              <w:spacing w:after="0"/>
              <w:rPr>
                <w:sz w:val="20"/>
                <w:szCs w:val="20"/>
                <w:color w:val="auto"/>
              </w:rPr>
            </w:pPr>
            <w:r>
              <w:rPr>
                <w:rFonts w:ascii="Arial" w:cs="Arial" w:eastAsia="Arial" w:hAnsi="Arial"/>
                <w:sz w:val="14"/>
                <w:szCs w:val="14"/>
                <w:color w:val="auto"/>
              </w:rPr>
              <w:t>Kim, Joo Mi</w:t>
            </w:r>
          </w:p>
        </w:tc>
        <w:tc>
          <w:tcPr>
            <w:tcW w:w="1400" w:type="dxa"/>
            <w:vAlign w:val="bottom"/>
          </w:tcPr>
          <w:p>
            <w:pPr>
              <w:jc w:val="center"/>
              <w:spacing w:after="0"/>
              <w:rPr>
                <w:sz w:val="20"/>
                <w:szCs w:val="20"/>
                <w:color w:val="auto"/>
              </w:rPr>
            </w:pPr>
            <w:r>
              <w:rPr>
                <w:rFonts w:ascii="Arial" w:cs="Arial" w:eastAsia="Arial" w:hAnsi="Arial"/>
                <w:sz w:val="14"/>
                <w:szCs w:val="14"/>
                <w:color w:val="auto"/>
              </w:rPr>
              <w:t>Kim, Joo Mi</w:t>
            </w:r>
          </w:p>
        </w:tc>
        <w:tc>
          <w:tcPr>
            <w:tcW w:w="1400" w:type="dxa"/>
            <w:vAlign w:val="bottom"/>
          </w:tcPr>
          <w:p>
            <w:pPr>
              <w:jc w:val="center"/>
              <w:spacing w:after="0"/>
              <w:rPr>
                <w:sz w:val="20"/>
                <w:szCs w:val="20"/>
                <w:color w:val="auto"/>
              </w:rPr>
            </w:pPr>
            <w:r>
              <w:rPr>
                <w:rFonts w:ascii="Arial" w:cs="Arial" w:eastAsia="Arial" w:hAnsi="Arial"/>
                <w:sz w:val="14"/>
                <w:szCs w:val="14"/>
                <w:color w:val="auto"/>
              </w:rPr>
              <w:t>Kim, Joo Mi</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rPr>
              <w:t>Kim, Joo Mi</w:t>
            </w:r>
          </w:p>
        </w:tc>
      </w:tr>
      <w:tr>
        <w:trPr>
          <w:trHeight w:val="216"/>
        </w:trPr>
        <w:tc>
          <w:tcPr>
            <w:tcW w:w="1300" w:type="dxa"/>
            <w:vAlign w:val="bottom"/>
          </w:tcPr>
          <w:p>
            <w:pPr>
              <w:jc w:val="center"/>
              <w:spacing w:after="0"/>
              <w:rPr>
                <w:sz w:val="20"/>
                <w:szCs w:val="20"/>
                <w:color w:val="auto"/>
              </w:rPr>
            </w:pPr>
            <w:r>
              <w:rPr>
                <w:rFonts w:ascii="Arial" w:cs="Arial" w:eastAsia="Arial" w:hAnsi="Arial"/>
                <w:sz w:val="14"/>
                <w:szCs w:val="14"/>
                <w:color w:val="auto"/>
              </w:rPr>
              <w:t>Posey, Bruce K.</w:t>
            </w:r>
          </w:p>
        </w:tc>
        <w:tc>
          <w:tcPr>
            <w:tcW w:w="1520" w:type="dxa"/>
            <w:vAlign w:val="bottom"/>
          </w:tcPr>
          <w:p>
            <w:pPr>
              <w:jc w:val="center"/>
              <w:ind w:left="28"/>
              <w:spacing w:after="0"/>
              <w:rPr>
                <w:sz w:val="20"/>
                <w:szCs w:val="20"/>
                <w:color w:val="auto"/>
              </w:rPr>
            </w:pPr>
            <w:r>
              <w:rPr>
                <w:rFonts w:ascii="Arial" w:cs="Arial" w:eastAsia="Arial" w:hAnsi="Arial"/>
                <w:sz w:val="14"/>
                <w:szCs w:val="14"/>
                <w:color w:val="auto"/>
              </w:rPr>
              <w:t>Posey, Bruce K.</w:t>
            </w:r>
          </w:p>
        </w:tc>
        <w:tc>
          <w:tcPr>
            <w:tcW w:w="1400" w:type="dxa"/>
            <w:vAlign w:val="bottom"/>
          </w:tcPr>
          <w:p>
            <w:pPr>
              <w:jc w:val="center"/>
              <w:spacing w:after="0"/>
              <w:rPr>
                <w:sz w:val="20"/>
                <w:szCs w:val="20"/>
                <w:color w:val="auto"/>
              </w:rPr>
            </w:pPr>
            <w:r>
              <w:rPr>
                <w:rFonts w:ascii="Arial" w:cs="Arial" w:eastAsia="Arial" w:hAnsi="Arial"/>
                <w:sz w:val="14"/>
                <w:szCs w:val="14"/>
                <w:color w:val="auto"/>
              </w:rPr>
              <w:t>Posey, Bruce K.</w:t>
            </w:r>
          </w:p>
        </w:tc>
        <w:tc>
          <w:tcPr>
            <w:tcW w:w="1400" w:type="dxa"/>
            <w:vAlign w:val="bottom"/>
          </w:tcPr>
          <w:p>
            <w:pPr>
              <w:jc w:val="center"/>
              <w:spacing w:after="0"/>
              <w:rPr>
                <w:sz w:val="20"/>
                <w:szCs w:val="20"/>
                <w:color w:val="auto"/>
              </w:rPr>
            </w:pPr>
            <w:r>
              <w:rPr>
                <w:rFonts w:ascii="Arial" w:cs="Arial" w:eastAsia="Arial" w:hAnsi="Arial"/>
                <w:sz w:val="14"/>
                <w:szCs w:val="14"/>
                <w:color w:val="auto"/>
              </w:rPr>
              <w:t>Posey, Bruce K.</w:t>
            </w:r>
          </w:p>
        </w:tc>
        <w:tc>
          <w:tcPr>
            <w:tcW w:w="1300" w:type="dxa"/>
            <w:vAlign w:val="bottom"/>
          </w:tcPr>
          <w:p>
            <w:pPr>
              <w:jc w:val="center"/>
              <w:ind w:left="48"/>
              <w:spacing w:after="0"/>
              <w:rPr>
                <w:sz w:val="20"/>
                <w:szCs w:val="20"/>
                <w:color w:val="auto"/>
              </w:rPr>
            </w:pPr>
            <w:r>
              <w:rPr>
                <w:rFonts w:ascii="Arial" w:cs="Arial" w:eastAsia="Arial" w:hAnsi="Arial"/>
                <w:sz w:val="14"/>
                <w:szCs w:val="14"/>
                <w:color w:val="auto"/>
              </w:rPr>
              <w:t>Posey, Bruce K.</w:t>
            </w:r>
          </w:p>
        </w:tc>
      </w:tr>
      <w:tr>
        <w:trPr>
          <w:trHeight w:val="216"/>
        </w:trPr>
        <w:tc>
          <w:tcPr>
            <w:tcW w:w="1300" w:type="dxa"/>
            <w:vAlign w:val="bottom"/>
          </w:tcPr>
          <w:p>
            <w:pPr>
              <w:jc w:val="center"/>
              <w:spacing w:after="0"/>
              <w:rPr>
                <w:sz w:val="20"/>
                <w:szCs w:val="20"/>
                <w:color w:val="auto"/>
              </w:rPr>
            </w:pPr>
            <w:r>
              <w:rPr>
                <w:rFonts w:ascii="Arial" w:cs="Arial" w:eastAsia="Arial" w:hAnsi="Arial"/>
                <w:sz w:val="14"/>
                <w:szCs w:val="14"/>
                <w:color w:val="auto"/>
              </w:rPr>
              <w:t>Peters, Allan</w:t>
            </w:r>
          </w:p>
        </w:tc>
        <w:tc>
          <w:tcPr>
            <w:tcW w:w="1520" w:type="dxa"/>
            <w:vAlign w:val="bottom"/>
          </w:tcPr>
          <w:p>
            <w:pPr>
              <w:jc w:val="center"/>
              <w:ind w:left="28"/>
              <w:spacing w:after="0"/>
              <w:rPr>
                <w:sz w:val="20"/>
                <w:szCs w:val="20"/>
                <w:color w:val="auto"/>
              </w:rPr>
            </w:pPr>
            <w:r>
              <w:rPr>
                <w:rFonts w:ascii="Arial" w:cs="Arial" w:eastAsia="Arial" w:hAnsi="Arial"/>
                <w:sz w:val="14"/>
                <w:szCs w:val="14"/>
                <w:color w:val="auto"/>
              </w:rPr>
              <w:t>Peters, Allan</w:t>
            </w:r>
          </w:p>
        </w:tc>
        <w:tc>
          <w:tcPr>
            <w:tcW w:w="1400" w:type="dxa"/>
            <w:vAlign w:val="bottom"/>
          </w:tcPr>
          <w:p>
            <w:pPr>
              <w:jc w:val="center"/>
              <w:spacing w:after="0"/>
              <w:rPr>
                <w:sz w:val="20"/>
                <w:szCs w:val="20"/>
                <w:color w:val="auto"/>
              </w:rPr>
            </w:pPr>
            <w:r>
              <w:rPr>
                <w:rFonts w:ascii="Arial" w:cs="Arial" w:eastAsia="Arial" w:hAnsi="Arial"/>
                <w:sz w:val="14"/>
                <w:szCs w:val="14"/>
                <w:color w:val="auto"/>
              </w:rPr>
              <w:t>Peters, Allan*</w:t>
            </w: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134" w:lineRule="exact"/>
        <w:rPr>
          <w:sz w:val="20"/>
          <w:szCs w:val="20"/>
          <w:color w:val="auto"/>
        </w:rPr>
      </w:pPr>
    </w:p>
    <w:p>
      <w:pPr>
        <w:ind w:left="1940" w:right="519" w:hanging="352"/>
        <w:spacing w:after="0" w:line="285" w:lineRule="auto"/>
        <w:tabs>
          <w:tab w:leader="none" w:pos="19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connection with the termination of his employment on February 7, 2023 with transition services provided through March 31, 2023, all of his unvested awards were forfeited.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79" w:name="page80"/>
    <w:bookmarkEnd w:id="79"/>
    <w:p>
      <w:pPr>
        <w:jc w:val="both"/>
        <w:ind w:left="1940" w:right="519" w:hanging="352"/>
        <w:spacing w:after="0" w:line="250" w:lineRule="auto"/>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figure is the average of the “compensation actually paid” for our NEOs other than our PEO in each listed year. “Compensation actually paid” does not mean that these NEOs were actually paid those amounts in the listed year, but this is a dollar amount derived by adjusting the average of the Summary Compensation Table total compensation figure for all NEOs other than our PEO for the listed year under the methodology prescribed under Item 402(v) of Regulation S-K, as shown in the following table:</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3660" w:type="dxa"/>
            <w:vAlign w:val="bottom"/>
            <w:gridSpan w:val="5"/>
          </w:tcPr>
          <w:p>
            <w:pPr>
              <w:spacing w:after="0"/>
              <w:rPr>
                <w:sz w:val="20"/>
                <w:szCs w:val="20"/>
                <w:color w:val="auto"/>
              </w:rPr>
            </w:pPr>
            <w:r>
              <w:rPr>
                <w:rFonts w:ascii="Arial" w:cs="Arial" w:eastAsia="Arial" w:hAnsi="Arial"/>
                <w:sz w:val="14"/>
                <w:szCs w:val="14"/>
                <w:b w:val="1"/>
                <w:bCs w:val="1"/>
                <w:color w:val="auto"/>
              </w:rPr>
              <w:t>Non-PEO NEOs</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60" w:type="dxa"/>
            <w:vAlign w:val="bottom"/>
            <w:shd w:val="clear" w:color="auto" w:fill="1D3965"/>
          </w:tcPr>
          <w:p>
            <w:pPr>
              <w:spacing w:after="0"/>
              <w:rPr>
                <w:sz w:val="24"/>
                <w:szCs w:val="24"/>
                <w:color w:val="auto"/>
              </w:rPr>
            </w:pPr>
          </w:p>
        </w:tc>
        <w:tc>
          <w:tcPr>
            <w:tcW w:w="260" w:type="dxa"/>
            <w:vAlign w:val="bottom"/>
            <w:shd w:val="clear" w:color="auto" w:fill="1D3965"/>
          </w:tcPr>
          <w:p>
            <w:pPr>
              <w:spacing w:after="0"/>
              <w:rPr>
                <w:sz w:val="24"/>
                <w:szCs w:val="24"/>
                <w:color w:val="auto"/>
              </w:rPr>
            </w:pPr>
          </w:p>
        </w:tc>
        <w:tc>
          <w:tcPr>
            <w:tcW w:w="280" w:type="dxa"/>
            <w:vAlign w:val="bottom"/>
            <w:shd w:val="clear" w:color="auto" w:fill="1D3965"/>
          </w:tcPr>
          <w:p>
            <w:pPr>
              <w:spacing w:after="0"/>
              <w:rPr>
                <w:sz w:val="24"/>
                <w:szCs w:val="24"/>
                <w:color w:val="auto"/>
              </w:rPr>
            </w:pPr>
          </w:p>
        </w:tc>
        <w:tc>
          <w:tcPr>
            <w:tcW w:w="60" w:type="dxa"/>
            <w:vAlign w:val="bottom"/>
            <w:shd w:val="clear" w:color="auto" w:fill="1D3965"/>
          </w:tcPr>
          <w:p>
            <w:pPr>
              <w:spacing w:after="0"/>
              <w:rPr>
                <w:sz w:val="24"/>
                <w:szCs w:val="24"/>
                <w:color w:val="auto"/>
              </w:rPr>
            </w:pPr>
          </w:p>
        </w:tc>
        <w:tc>
          <w:tcPr>
            <w:tcW w:w="2900" w:type="dxa"/>
            <w:vAlign w:val="bottom"/>
            <w:shd w:val="clear" w:color="auto" w:fill="1D3965"/>
          </w:tcPr>
          <w:p>
            <w:pPr>
              <w:spacing w:after="0"/>
              <w:rPr>
                <w:sz w:val="24"/>
                <w:szCs w:val="24"/>
                <w:color w:val="auto"/>
              </w:rPr>
            </w:pPr>
          </w:p>
        </w:tc>
        <w:tc>
          <w:tcPr>
            <w:tcW w:w="90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2021</w:t>
            </w:r>
          </w:p>
        </w:tc>
        <w:tc>
          <w:tcPr>
            <w:tcW w:w="86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2022</w:t>
            </w:r>
          </w:p>
        </w:tc>
        <w:tc>
          <w:tcPr>
            <w:tcW w:w="86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2023</w:t>
            </w:r>
          </w:p>
        </w:tc>
        <w:tc>
          <w:tcPr>
            <w:tcW w:w="86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2024</w:t>
            </w:r>
          </w:p>
        </w:tc>
        <w:tc>
          <w:tcPr>
            <w:tcW w:w="860" w:type="dxa"/>
            <w:vAlign w:val="bottom"/>
            <w:shd w:val="clear" w:color="auto" w:fill="1D3965"/>
          </w:tcPr>
          <w:p>
            <w:pPr>
              <w:jc w:val="right"/>
              <w:ind w:right="208"/>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b w:val="1"/>
                <w:bCs w:val="1"/>
                <w:color w:val="auto"/>
              </w:rPr>
              <w:t>Summary Compensation Table Total</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4,140,001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4,444,562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2,503,572</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5,514,326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5,544,470</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Subtract Grant Date Fair Value of Option Awards and</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(3,625,418)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(3,952,633)</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(2,073,012)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(4,889,855)</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(4,750,605)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60" w:type="dxa"/>
            <w:vAlign w:val="bottom"/>
          </w:tcPr>
          <w:p>
            <w:pPr>
              <w:spacing w:after="0"/>
              <w:rPr>
                <w:sz w:val="15"/>
                <w:szCs w:val="15"/>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Stock Awards Granted in Fiscal Year</w:t>
            </w: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Add Fair Value at Fiscal Year-End of Outstanding and</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500" w:type="dxa"/>
            <w:vAlign w:val="bottom"/>
            <w:gridSpan w:val="4"/>
          </w:tcPr>
          <w:p>
            <w:pPr>
              <w:spacing w:after="0" w:line="147" w:lineRule="exact"/>
              <w:rPr>
                <w:sz w:val="20"/>
                <w:szCs w:val="20"/>
                <w:color w:val="auto"/>
              </w:rPr>
            </w:pPr>
            <w:r>
              <w:rPr>
                <w:rFonts w:ascii="Arial" w:cs="Arial" w:eastAsia="Arial" w:hAnsi="Arial"/>
                <w:sz w:val="14"/>
                <w:szCs w:val="14"/>
                <w:color w:val="auto"/>
              </w:rPr>
              <w:t>Unvested Option Awards and Stock Awards Granted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in Fiscal Year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4,474,781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2,907,240</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2,673,923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5,172,311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5,383,596</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Adjust for Change in Fair Value of Outstanding and</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6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w w:val="97"/>
              </w:rPr>
              <w:t>Unvested</w:t>
            </w:r>
          </w:p>
        </w:tc>
        <w:tc>
          <w:tcPr>
            <w:tcW w:w="2900" w:type="dxa"/>
            <w:vAlign w:val="bottom"/>
          </w:tcPr>
          <w:p>
            <w:pPr>
              <w:ind w:left="40"/>
              <w:spacing w:after="0" w:line="147" w:lineRule="exact"/>
              <w:rPr>
                <w:sz w:val="20"/>
                <w:szCs w:val="20"/>
                <w:color w:val="auto"/>
              </w:rPr>
            </w:pPr>
            <w:r>
              <w:rPr>
                <w:rFonts w:ascii="Arial" w:cs="Arial" w:eastAsia="Arial" w:hAnsi="Arial"/>
                <w:sz w:val="14"/>
                <w:szCs w:val="14"/>
                <w:color w:val="auto"/>
              </w:rPr>
              <w:t>Option Awards and Stock Awards Granted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in Prior Fiscal Years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415,872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(782,777)</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2,872,428</w:t>
            </w:r>
          </w:p>
        </w:tc>
        <w:tc>
          <w:tcPr>
            <w:tcW w:w="860" w:type="dxa"/>
            <w:vAlign w:val="bottom"/>
          </w:tcPr>
          <w:p>
            <w:pPr>
              <w:jc w:val="right"/>
              <w:spacing w:after="0"/>
              <w:rPr>
                <w:sz w:val="20"/>
                <w:szCs w:val="20"/>
                <w:color w:val="auto"/>
              </w:rPr>
            </w:pPr>
            <w:r>
              <w:rPr>
                <w:rFonts w:ascii="Arial" w:cs="Arial" w:eastAsia="Arial" w:hAnsi="Arial"/>
                <w:sz w:val="14"/>
                <w:szCs w:val="14"/>
                <w:color w:val="auto"/>
              </w:rPr>
              <w:t>(2,016,591)</w:t>
            </w:r>
          </w:p>
        </w:tc>
        <w:tc>
          <w:tcPr>
            <w:tcW w:w="860" w:type="dxa"/>
            <w:vAlign w:val="bottom"/>
          </w:tcPr>
          <w:p>
            <w:pPr>
              <w:jc w:val="right"/>
              <w:spacing w:after="0"/>
              <w:rPr>
                <w:sz w:val="20"/>
                <w:szCs w:val="20"/>
                <w:color w:val="auto"/>
              </w:rPr>
            </w:pPr>
            <w:r>
              <w:rPr>
                <w:rFonts w:ascii="Arial" w:cs="Arial" w:eastAsia="Arial" w:hAnsi="Arial"/>
                <w:sz w:val="14"/>
                <w:szCs w:val="14"/>
                <w:color w:val="auto"/>
              </w:rPr>
              <w:t>(262,448)</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Adjust for Fair Value at Vesting of Option Awards and</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500" w:type="dxa"/>
            <w:vAlign w:val="bottom"/>
            <w:gridSpan w:val="4"/>
          </w:tcPr>
          <w:p>
            <w:pPr>
              <w:spacing w:after="0" w:line="147" w:lineRule="exact"/>
              <w:rPr>
                <w:sz w:val="20"/>
                <w:szCs w:val="20"/>
                <w:color w:val="auto"/>
              </w:rPr>
            </w:pPr>
            <w:r>
              <w:rPr>
                <w:rFonts w:ascii="Arial" w:cs="Arial" w:eastAsia="Arial" w:hAnsi="Arial"/>
                <w:sz w:val="14"/>
                <w:szCs w:val="14"/>
                <w:color w:val="auto"/>
              </w:rPr>
              <w:t>Stock Awards Granted in Fiscal Year That Vested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During Fiscal Year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Adjust for Change in Fair Value as of Vesting Date of</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500" w:type="dxa"/>
            <w:vAlign w:val="bottom"/>
            <w:gridSpan w:val="4"/>
          </w:tcPr>
          <w:p>
            <w:pPr>
              <w:spacing w:after="0" w:line="147" w:lineRule="exact"/>
              <w:rPr>
                <w:sz w:val="20"/>
                <w:szCs w:val="20"/>
                <w:color w:val="auto"/>
              </w:rPr>
            </w:pPr>
            <w:r>
              <w:rPr>
                <w:rFonts w:ascii="Arial" w:cs="Arial" w:eastAsia="Arial" w:hAnsi="Arial"/>
                <w:sz w:val="14"/>
                <w:szCs w:val="14"/>
                <w:color w:val="auto"/>
              </w:rPr>
              <w:t>Option Awards and Stock Awards Granted in Prior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Fiscal Years For Which Applicable Vesting Conditions</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Were Satisfied During Fiscal Year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(78,707)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(86,511)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364,682</w:t>
            </w:r>
          </w:p>
        </w:tc>
        <w:tc>
          <w:tcPr>
            <w:tcW w:w="860" w:type="dxa"/>
            <w:vAlign w:val="bottom"/>
          </w:tcPr>
          <w:p>
            <w:pPr>
              <w:jc w:val="right"/>
              <w:spacing w:after="0"/>
              <w:rPr>
                <w:sz w:val="20"/>
                <w:szCs w:val="20"/>
                <w:color w:val="auto"/>
              </w:rPr>
            </w:pPr>
            <w:r>
              <w:rPr>
                <w:rFonts w:ascii="Arial" w:cs="Arial" w:eastAsia="Arial" w:hAnsi="Arial"/>
                <w:sz w:val="14"/>
                <w:szCs w:val="14"/>
                <w:color w:val="auto"/>
              </w:rPr>
              <w:t>(1,250,614)</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1,145,844</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Subtract Fair Value as of Prior Fiscal Year-End of</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5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Option</w:t>
            </w:r>
          </w:p>
        </w:tc>
        <w:tc>
          <w:tcPr>
            <w:tcW w:w="2960" w:type="dxa"/>
            <w:vAlign w:val="bottom"/>
            <w:gridSpan w:val="2"/>
          </w:tcPr>
          <w:p>
            <w:pPr>
              <w:spacing w:after="0" w:line="147" w:lineRule="exact"/>
              <w:rPr>
                <w:sz w:val="20"/>
                <w:szCs w:val="20"/>
                <w:color w:val="auto"/>
              </w:rPr>
            </w:pPr>
            <w:r>
              <w:rPr>
                <w:rFonts w:ascii="Arial" w:cs="Arial" w:eastAsia="Arial" w:hAnsi="Arial"/>
                <w:sz w:val="14"/>
                <w:szCs w:val="14"/>
                <w:color w:val="auto"/>
              </w:rPr>
              <w:t>Awards and Stock Awards Granted in Prior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Fiscal Years That Failed to Meet Applicable Vesting</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Conditions During Fiscal Year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(1,621,928)</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3500" w:type="dxa"/>
            <w:vAlign w:val="bottom"/>
            <w:gridSpan w:val="4"/>
          </w:tcPr>
          <w:p>
            <w:pPr>
              <w:spacing w:after="0" w:line="158" w:lineRule="exact"/>
              <w:rPr>
                <w:sz w:val="20"/>
                <w:szCs w:val="20"/>
                <w:color w:val="auto"/>
              </w:rPr>
            </w:pPr>
            <w:r>
              <w:rPr>
                <w:rFonts w:ascii="Arial" w:cs="Arial" w:eastAsia="Arial" w:hAnsi="Arial"/>
                <w:sz w:val="14"/>
                <w:szCs w:val="14"/>
                <w:color w:val="auto"/>
              </w:rPr>
              <w:t>Add Value of Dividends or other Earnings Paid on</w:t>
            </w: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60" w:type="dxa"/>
            <w:vAlign w:val="bottom"/>
          </w:tcPr>
          <w:p>
            <w:pPr>
              <w:spacing w:after="0"/>
              <w:rPr>
                <w:sz w:val="12"/>
                <w:szCs w:val="12"/>
                <w:color w:val="auto"/>
              </w:rPr>
            </w:pPr>
          </w:p>
        </w:tc>
        <w:tc>
          <w:tcPr>
            <w:tcW w:w="3500" w:type="dxa"/>
            <w:vAlign w:val="bottom"/>
            <w:gridSpan w:val="4"/>
          </w:tcPr>
          <w:p>
            <w:pPr>
              <w:spacing w:after="0" w:line="147" w:lineRule="exact"/>
              <w:rPr>
                <w:sz w:val="20"/>
                <w:szCs w:val="20"/>
                <w:color w:val="auto"/>
              </w:rPr>
            </w:pPr>
            <w:r>
              <w:rPr>
                <w:rFonts w:ascii="Arial" w:cs="Arial" w:eastAsia="Arial" w:hAnsi="Arial"/>
                <w:sz w:val="14"/>
                <w:szCs w:val="14"/>
                <w:color w:val="auto"/>
              </w:rPr>
              <w:t>Stock or Option Awards not Otherwise Reflected in</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3500" w:type="dxa"/>
            <w:vAlign w:val="bottom"/>
            <w:gridSpan w:val="4"/>
          </w:tcPr>
          <w:p>
            <w:pPr>
              <w:spacing w:after="0"/>
              <w:rPr>
                <w:sz w:val="20"/>
                <w:szCs w:val="20"/>
                <w:color w:val="auto"/>
              </w:rPr>
            </w:pPr>
            <w:r>
              <w:rPr>
                <w:rFonts w:ascii="Arial" w:cs="Arial" w:eastAsia="Arial" w:hAnsi="Arial"/>
                <w:sz w:val="14"/>
                <w:szCs w:val="14"/>
                <w:color w:val="auto"/>
              </w:rPr>
              <w:t>Fair Value or Total Compensation</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00" w:type="dxa"/>
            <w:vAlign w:val="bottom"/>
            <w:gridSpan w:val="4"/>
          </w:tcPr>
          <w:p>
            <w:pPr>
              <w:spacing w:after="0"/>
              <w:rPr>
                <w:sz w:val="20"/>
                <w:szCs w:val="20"/>
                <w:color w:val="auto"/>
              </w:rPr>
            </w:pPr>
            <w:r>
              <w:rPr>
                <w:rFonts w:ascii="Arial" w:cs="Arial" w:eastAsia="Arial" w:hAnsi="Arial"/>
                <w:sz w:val="14"/>
                <w:szCs w:val="14"/>
                <w:b w:val="1"/>
                <w:bCs w:val="1"/>
                <w:color w:val="auto"/>
              </w:rPr>
              <w:t>Compensation Actually Paid</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5,326,529</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2,529,882</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4,719,665</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2,529,577</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7,060,857</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500" w:right="519" w:hanging="344"/>
        <w:spacing w:after="0" w:line="285" w:lineRule="auto"/>
        <w:tabs>
          <w:tab w:leader="none" w:pos="1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Total shareholder return is calculated by assuming that a $100 investment was made on the day prior to the first fiscal year reported and reinvesting all dividends until the last day of each reported fiscal year.</w:t>
      </w:r>
    </w:p>
    <w:p>
      <w:pPr>
        <w:spacing w:after="0" w:line="49" w:lineRule="exact"/>
        <w:rPr>
          <w:rFonts w:ascii="Arial" w:cs="Arial" w:eastAsia="Arial" w:hAnsi="Arial"/>
          <w:sz w:val="14"/>
          <w:szCs w:val="14"/>
          <w:color w:val="auto"/>
        </w:rPr>
      </w:pPr>
    </w:p>
    <w:p>
      <w:pPr>
        <w:jc w:val="both"/>
        <w:ind w:left="1500" w:right="519" w:hanging="344"/>
        <w:spacing w:after="0" w:line="256" w:lineRule="auto"/>
        <w:tabs>
          <w:tab w:leader="none" w:pos="1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peer group used is the NASDAQ Computer Index, as used in the Company’s performance graph included in our Annual Report on Form 10-K. Total shareholder return is calculated by assuming that a $100 investment was made on the day prior to the first fiscal year reported below and reinvesting all dividends until the last day of each reported fiscal year.</w:t>
      </w:r>
    </w:p>
    <w:p>
      <w:pPr>
        <w:spacing w:after="0" w:line="69" w:lineRule="exact"/>
        <w:rPr>
          <w:rFonts w:ascii="Arial" w:cs="Arial" w:eastAsia="Arial" w:hAnsi="Arial"/>
          <w:sz w:val="14"/>
          <w:szCs w:val="14"/>
          <w:color w:val="auto"/>
        </w:rPr>
      </w:pPr>
    </w:p>
    <w:p>
      <w:pPr>
        <w:ind w:left="1500" w:right="539" w:hanging="344"/>
        <w:spacing w:after="0" w:line="285" w:lineRule="auto"/>
        <w:tabs>
          <w:tab w:leader="none" w:pos="1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are the Company’s net income reflected in the Company’s audited financial statements for each reported fiscal year.</w:t>
      </w:r>
    </w:p>
    <w:p>
      <w:pPr>
        <w:spacing w:after="0" w:line="49" w:lineRule="exact"/>
        <w:rPr>
          <w:rFonts w:ascii="Arial" w:cs="Arial" w:eastAsia="Arial" w:hAnsi="Arial"/>
          <w:sz w:val="14"/>
          <w:szCs w:val="14"/>
          <w:color w:val="auto"/>
        </w:rPr>
      </w:pPr>
    </w:p>
    <w:p>
      <w:pPr>
        <w:jc w:val="both"/>
        <w:ind w:left="1500" w:right="519" w:hanging="344"/>
        <w:spacing w:after="0" w:line="263" w:lineRule="auto"/>
        <w:tabs>
          <w:tab w:leader="none" w:pos="1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the Company’s assessment, revenues is the financial performance measure that is the most important financial performance measure used by the Company in 2025 to link compensation actually paid to Company performance.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Required Tabular Disclosure of Most Important Performance Measures</w:t>
      </w:r>
    </w:p>
    <w:p>
      <w:pPr>
        <w:spacing w:after="0" w:line="102"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list below includes the four financial performance measures that, in our assessment and in no particular order, represent the most important measures used to link compensation actually paid to our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66040</wp:posOffset>
            </wp:positionV>
            <wp:extent cx="2618740" cy="878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18740" cy="87820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Most Important Performance Measures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Bookings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EBITDA Margin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Earnings per Diluted Share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i w:val="1"/>
          <w:iCs w:val="1"/>
          <w:color w:val="auto"/>
        </w:rPr>
        <w:t>Description of Relationships Between Compensation Actually Paid and Performance</w:t>
      </w:r>
    </w:p>
    <w:p>
      <w:pPr>
        <w:spacing w:after="0" w:line="10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As described in more detail in the section titled “</w:t>
      </w:r>
      <w:r>
        <w:rPr>
          <w:rFonts w:ascii="Arial" w:cs="Arial" w:eastAsia="Arial" w:hAnsi="Arial"/>
          <w:sz w:val="18"/>
          <w:szCs w:val="18"/>
          <w:i w:val="1"/>
          <w:iCs w:val="1"/>
          <w:color w:val="auto"/>
        </w:rPr>
        <w:t>Executive Compensation -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our executive compensation program reflects a pay-for-performance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philosophy. While we utilize several performance measures to align executive compensation with Company performance, not all of those measures are presented in the Pay Versus Performance table. In accordance with Item 402(v) of Regulation S-K, we are providing the following descriptions of the relationships between compensation actually paid and the information presented in the Pay Versus Performance table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Compensation Actually Paid and TSR</w:t>
      </w:r>
    </w:p>
    <w:p>
      <w:pPr>
        <w:spacing w:after="0" w:line="212"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The following chart reflects the amount of compensation actually paid to Mr. Thakar (for 2025, 2024, 2023, 2022 and 2021), Mr. Courtot (for 2021), and the average amount of compensation actually paid to our NEOs as a group (excluding the PEOs in each given year) in relation to our Company’s cumulative TSR over the five years presented in the table. The chart also reflects the relationship between our Company’s cumulative TSR and our peer group’s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149860</wp:posOffset>
            </wp:positionV>
            <wp:extent cx="5074920" cy="2657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7492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u w:val="single" w:color="auto"/>
          <w:color w:val="auto"/>
        </w:rPr>
        <w:t>Compensation Actually Paid and Net Income</w:t>
      </w:r>
    </w:p>
    <w:p>
      <w:pPr>
        <w:spacing w:after="0" w:line="211"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The following chart reflects the amount of compensation actually paid to Mr. Thakar (for 2025, 2024, 2023, 2022 and 2021), Mr. Courtot (for 2021), and the average amount of compensation actually paid to our NEOs as a group (excluding the PEOs in each given year) in relation to the Company’s net income over the five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147955</wp:posOffset>
            </wp:positionV>
            <wp:extent cx="5074920" cy="26574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7492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u w:val="single" w:color="auto"/>
          <w:color w:val="auto"/>
        </w:rPr>
        <w:t>Compensation Actually Paid and Revenues</w:t>
      </w:r>
    </w:p>
    <w:p>
      <w:pPr>
        <w:spacing w:after="0" w:line="211" w:lineRule="exact"/>
        <w:rPr>
          <w:sz w:val="20"/>
          <w:szCs w:val="20"/>
          <w:color w:val="auto"/>
        </w:rPr>
      </w:pPr>
    </w:p>
    <w:p>
      <w:pPr>
        <w:jc w:val="both"/>
        <w:ind w:left="500" w:right="519" w:firstLine="360"/>
        <w:spacing w:after="0"/>
        <w:rPr>
          <w:sz w:val="20"/>
          <w:szCs w:val="20"/>
          <w:color w:val="auto"/>
        </w:rPr>
      </w:pPr>
      <w:r>
        <w:rPr>
          <w:rFonts w:ascii="Arial" w:cs="Arial" w:eastAsia="Arial" w:hAnsi="Arial"/>
          <w:sz w:val="18"/>
          <w:szCs w:val="18"/>
          <w:color w:val="auto"/>
        </w:rPr>
        <w:t>The following chart reflects the amount of compensation actually paid to Mr. Thakar (for 2025, 2024, 2023, 2022 and 2021), Mr. Courtot (for 2021), and the average amount of compensation actually paid to our NEOs as a group (excluding the PEOs in each given year) in relation to the Company’s revenues over the five years presented in the table. While we utilize a number of performance measures to evaluate company performance, we have determined that revenues is the most important financial performance measure (not otherwise required to be disclosed in the table) to link compensation actually paid to the our NEOs to Company performance. We use revenue growth when setting goals for our corporate bonus plan and PRSUs granted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229235</wp:posOffset>
            </wp:positionV>
            <wp:extent cx="5023485" cy="2794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234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1"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14, 2026 for:</w:t>
      </w:r>
    </w:p>
    <w:p>
      <w:pPr>
        <w:ind w:left="1220" w:hanging="280"/>
        <w:spacing w:after="0" w:line="237" w:lineRule="auto"/>
        <w:tabs>
          <w:tab w:leader="none" w:pos="122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each of our directors;</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all of our current directors and executive officers as a group; and</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each person or group, who beneficially owned more than 5% of our common stock.</w:t>
      </w:r>
    </w:p>
    <w:p>
      <w:pPr>
        <w:spacing w:after="0" w:line="180"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9" w:lineRule="exact"/>
        <w:rPr>
          <w:sz w:val="20"/>
          <w:szCs w:val="20"/>
          <w:color w:val="auto"/>
        </w:rPr>
      </w:pPr>
    </w:p>
    <w:p>
      <w:pPr>
        <w:jc w:val="both"/>
        <w:ind w:left="500" w:right="519" w:firstLine="360"/>
        <w:spacing w:after="0" w:line="242" w:lineRule="auto"/>
        <w:rPr>
          <w:sz w:val="20"/>
          <w:szCs w:val="20"/>
          <w:color w:val="auto"/>
        </w:rPr>
      </w:pPr>
      <w:r>
        <w:rPr>
          <w:rFonts w:ascii="Arial" w:cs="Arial" w:eastAsia="Arial" w:hAnsi="Arial"/>
          <w:sz w:val="18"/>
          <w:szCs w:val="18"/>
          <w:color w:val="auto"/>
        </w:rPr>
        <w:t>Applicable percentage ownership is based on 35,289,949 shares of common stock outstanding at April 14, 2026.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14, 2026. However, we did not deem such shares outstanding for the purpose of computing the percentage ownership of any other person.</w:t>
      </w:r>
    </w:p>
    <w:p>
      <w:pPr>
        <w:spacing w:after="0" w:line="179" w:lineRule="exact"/>
        <w:rPr>
          <w:sz w:val="20"/>
          <w:szCs w:val="20"/>
          <w:color w:val="auto"/>
        </w:rPr>
      </w:pPr>
    </w:p>
    <w:p>
      <w:pPr>
        <w:jc w:val="both"/>
        <w:ind w:left="500" w:right="519" w:firstLine="360"/>
        <w:spacing w:after="0" w:line="278"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Foster City, California 94404.</w:t>
      </w:r>
    </w:p>
    <w:p>
      <w:pPr>
        <w:spacing w:after="0" w:line="2" w:lineRule="exact"/>
        <w:rPr>
          <w:sz w:val="20"/>
          <w:szCs w:val="20"/>
          <w:color w:val="auto"/>
        </w:rPr>
      </w:pPr>
    </w:p>
    <w:tbl>
      <w:tblPr>
        <w:tblLayout w:type="fixed"/>
        <w:tblInd w:w="1240" w:type="dxa"/>
        <w:tblCellMar>
          <w:top w:w="0" w:type="dxa"/>
          <w:left w:w="0" w:type="dxa"/>
          <w:bottom w:w="0" w:type="dxa"/>
          <w:right w:w="0" w:type="dxa"/>
        </w:tblCellMar>
      </w:tblPr>
      <w:tr>
        <w:trPr>
          <w:trHeight w:val="246"/>
        </w:trPr>
        <w:tc>
          <w:tcPr>
            <w:tcW w:w="4280" w:type="dxa"/>
            <w:vAlign w:val="bottom"/>
            <w:shd w:val="clear" w:color="auto" w:fill="1D3965"/>
          </w:tcPr>
          <w:p>
            <w:pPr>
              <w:spacing w:after="0"/>
              <w:rPr>
                <w:sz w:val="21"/>
                <w:szCs w:val="21"/>
                <w:color w:val="auto"/>
              </w:rPr>
            </w:pPr>
          </w:p>
        </w:tc>
        <w:tc>
          <w:tcPr>
            <w:tcW w:w="1100" w:type="dxa"/>
            <w:vAlign w:val="bottom"/>
            <w:gridSpan w:val="2"/>
            <w:shd w:val="clear" w:color="auto" w:fill="1D3965"/>
          </w:tcPr>
          <w:p>
            <w:pPr>
              <w:ind w:left="160"/>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1D3965"/>
          </w:tcPr>
          <w:p>
            <w:pPr>
              <w:spacing w:after="0"/>
              <w:rPr>
                <w:sz w:val="21"/>
                <w:szCs w:val="21"/>
                <w:color w:val="auto"/>
              </w:rPr>
            </w:pPr>
          </w:p>
        </w:tc>
      </w:tr>
      <w:tr>
        <w:trPr>
          <w:trHeight w:val="162"/>
        </w:trPr>
        <w:tc>
          <w:tcPr>
            <w:tcW w:w="4280" w:type="dxa"/>
            <w:vAlign w:val="bottom"/>
            <w:shd w:val="clear" w:color="auto" w:fill="1D3965"/>
          </w:tcPr>
          <w:p>
            <w:pPr>
              <w:spacing w:after="0"/>
              <w:rPr>
                <w:sz w:val="14"/>
                <w:szCs w:val="14"/>
                <w:color w:val="auto"/>
              </w:rPr>
            </w:pPr>
          </w:p>
        </w:tc>
        <w:tc>
          <w:tcPr>
            <w:tcW w:w="260" w:type="dxa"/>
            <w:vAlign w:val="bottom"/>
            <w:shd w:val="clear" w:color="auto" w:fill="1D3965"/>
          </w:tcPr>
          <w:p>
            <w:pPr>
              <w:spacing w:after="0"/>
              <w:rPr>
                <w:sz w:val="14"/>
                <w:szCs w:val="14"/>
                <w:color w:val="auto"/>
              </w:rPr>
            </w:pPr>
          </w:p>
        </w:tc>
        <w:tc>
          <w:tcPr>
            <w:tcW w:w="840" w:type="dxa"/>
            <w:vAlign w:val="bottom"/>
            <w:shd w:val="clear" w:color="auto" w:fill="1D3965"/>
          </w:tcPr>
          <w:p>
            <w:pPr>
              <w:jc w:val="center"/>
              <w:ind w:right="241"/>
              <w:spacing w:after="0"/>
              <w:rPr>
                <w:sz w:val="20"/>
                <w:szCs w:val="20"/>
                <w:color w:val="auto"/>
              </w:rPr>
            </w:pPr>
            <w:r>
              <w:rPr>
                <w:rFonts w:ascii="Arial" w:cs="Arial" w:eastAsia="Arial" w:hAnsi="Arial"/>
                <w:sz w:val="14"/>
                <w:szCs w:val="14"/>
                <w:b w:val="1"/>
                <w:bCs w:val="1"/>
                <w:color w:val="FFFFFF"/>
              </w:rPr>
              <w:t>Shares</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4280" w:type="dxa"/>
            <w:vAlign w:val="bottom"/>
            <w:shd w:val="clear" w:color="auto" w:fill="1D3965"/>
          </w:tcPr>
          <w:p>
            <w:pPr>
              <w:spacing w:after="0"/>
              <w:rPr>
                <w:sz w:val="14"/>
                <w:szCs w:val="14"/>
                <w:color w:val="auto"/>
              </w:rPr>
            </w:pPr>
          </w:p>
        </w:tc>
        <w:tc>
          <w:tcPr>
            <w:tcW w:w="1100" w:type="dxa"/>
            <w:vAlign w:val="bottom"/>
            <w:gridSpan w:val="2"/>
            <w:shd w:val="clear" w:color="auto" w:fill="1D3965"/>
          </w:tcPr>
          <w:p>
            <w:pPr>
              <w:jc w:val="center"/>
              <w:spacing w:after="0"/>
              <w:rPr>
                <w:sz w:val="20"/>
                <w:szCs w:val="20"/>
                <w:color w:val="auto"/>
              </w:rPr>
            </w:pPr>
            <w:r>
              <w:rPr>
                <w:rFonts w:ascii="Arial" w:cs="Arial" w:eastAsia="Arial" w:hAnsi="Arial"/>
                <w:sz w:val="14"/>
                <w:szCs w:val="14"/>
                <w:b w:val="1"/>
                <w:bCs w:val="1"/>
                <w:color w:val="FFFFFF"/>
              </w:rPr>
              <w:t>Beneficially</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Beneficially</w:t>
            </w:r>
          </w:p>
        </w:tc>
      </w:tr>
      <w:tr>
        <w:trPr>
          <w:trHeight w:val="171"/>
        </w:trPr>
        <w:tc>
          <w:tcPr>
            <w:tcW w:w="4280" w:type="dxa"/>
            <w:vAlign w:val="bottom"/>
            <w:shd w:val="clear" w:color="auto" w:fill="1D3965"/>
          </w:tcPr>
          <w:p>
            <w:pPr>
              <w:ind w:left="160"/>
              <w:spacing w:after="0"/>
              <w:rPr>
                <w:sz w:val="20"/>
                <w:szCs w:val="20"/>
                <w:color w:val="auto"/>
              </w:rPr>
            </w:pPr>
            <w:r>
              <w:rPr>
                <w:rFonts w:ascii="Arial" w:cs="Arial" w:eastAsia="Arial" w:hAnsi="Arial"/>
                <w:sz w:val="14"/>
                <w:szCs w:val="14"/>
                <w:b w:val="1"/>
                <w:bCs w:val="1"/>
                <w:color w:val="FFFFFF"/>
              </w:rPr>
              <w:t>Name of Beneficial Owner</w:t>
            </w:r>
          </w:p>
        </w:tc>
        <w:tc>
          <w:tcPr>
            <w:tcW w:w="260" w:type="dxa"/>
            <w:vAlign w:val="bottom"/>
            <w:shd w:val="clear" w:color="auto" w:fill="1D3965"/>
          </w:tcPr>
          <w:p>
            <w:pPr>
              <w:spacing w:after="0"/>
              <w:rPr>
                <w:sz w:val="14"/>
                <w:szCs w:val="14"/>
                <w:color w:val="auto"/>
              </w:rPr>
            </w:pPr>
          </w:p>
        </w:tc>
        <w:tc>
          <w:tcPr>
            <w:tcW w:w="840" w:type="dxa"/>
            <w:vAlign w:val="bottom"/>
            <w:shd w:val="clear" w:color="auto" w:fill="1D3965"/>
          </w:tcPr>
          <w:p>
            <w:pPr>
              <w:jc w:val="center"/>
              <w:ind w:right="201"/>
              <w:spacing w:after="0"/>
              <w:rPr>
                <w:sz w:val="20"/>
                <w:szCs w:val="20"/>
                <w:color w:val="auto"/>
              </w:rPr>
            </w:pPr>
            <w:r>
              <w:rPr>
                <w:rFonts w:ascii="Arial" w:cs="Arial" w:eastAsia="Arial" w:hAnsi="Arial"/>
                <w:sz w:val="14"/>
                <w:szCs w:val="14"/>
                <w:b w:val="1"/>
                <w:bCs w:val="1"/>
                <w:color w:val="FFFFFF"/>
              </w:rPr>
              <w:t>Owned</w:t>
            </w:r>
          </w:p>
        </w:tc>
        <w:tc>
          <w:tcPr>
            <w:tcW w:w="1160" w:type="dxa"/>
            <w:vAlign w:val="bottom"/>
            <w:shd w:val="clear" w:color="auto" w:fill="1D3965"/>
          </w:tcPr>
          <w:p>
            <w:pPr>
              <w:jc w:val="center"/>
              <w:spacing w:after="0"/>
              <w:rPr>
                <w:sz w:val="20"/>
                <w:szCs w:val="20"/>
                <w:color w:val="auto"/>
              </w:rPr>
            </w:pPr>
            <w:r>
              <w:rPr>
                <w:rFonts w:ascii="Arial" w:cs="Arial" w:eastAsia="Arial" w:hAnsi="Arial"/>
                <w:sz w:val="14"/>
                <w:szCs w:val="14"/>
                <w:b w:val="1"/>
                <w:bCs w:val="1"/>
                <w:color w:val="FFFFFF"/>
              </w:rPr>
              <w:t>Owned</w:t>
            </w:r>
          </w:p>
        </w:tc>
      </w:tr>
      <w:tr>
        <w:trPr>
          <w:trHeight w:val="176"/>
        </w:trPr>
        <w:tc>
          <w:tcPr>
            <w:tcW w:w="4280" w:type="dxa"/>
            <w:vAlign w:val="bottom"/>
          </w:tcPr>
          <w:p>
            <w:pPr>
              <w:ind w:left="160"/>
              <w:spacing w:after="0" w:line="177" w:lineRule="exact"/>
              <w:rPr>
                <w:sz w:val="20"/>
                <w:szCs w:val="20"/>
                <w:color w:val="auto"/>
              </w:rPr>
            </w:pPr>
            <w:r>
              <w:rPr>
                <w:rFonts w:ascii="Arial" w:cs="Arial" w:eastAsia="Arial" w:hAnsi="Arial"/>
                <w:sz w:val="16"/>
                <w:szCs w:val="16"/>
                <w:b w:val="1"/>
                <w:bCs w:val="1"/>
                <w:color w:val="auto"/>
              </w:rPr>
              <w:t>Named Executive Officers: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Sumedh S. Thakar</w:t>
            </w:r>
            <w:r>
              <w:rPr>
                <w:rFonts w:ascii="Arial" w:cs="Arial" w:eastAsia="Arial" w:hAnsi="Arial"/>
                <w:sz w:val="26"/>
                <w:szCs w:val="26"/>
                <w:color w:val="auto"/>
                <w:vertAlign w:val="superscript"/>
              </w:rPr>
              <w:t>(1)</w:t>
            </w:r>
          </w:p>
        </w:tc>
        <w:tc>
          <w:tcPr>
            <w:tcW w:w="1100" w:type="dxa"/>
            <w:vAlign w:val="bottom"/>
            <w:gridSpan w:val="2"/>
          </w:tcPr>
          <w:p>
            <w:pPr>
              <w:jc w:val="right"/>
              <w:ind w:right="121"/>
              <w:spacing w:after="0"/>
              <w:rPr>
                <w:sz w:val="20"/>
                <w:szCs w:val="20"/>
                <w:color w:val="auto"/>
              </w:rPr>
            </w:pPr>
            <w:r>
              <w:rPr>
                <w:rFonts w:ascii="Arial" w:cs="Arial" w:eastAsia="Arial" w:hAnsi="Arial"/>
                <w:sz w:val="16"/>
                <w:szCs w:val="16"/>
                <w:color w:val="auto"/>
              </w:rPr>
              <w:t>​ 155,940</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Joo Mi Kim</w:t>
            </w:r>
            <w:r>
              <w:rPr>
                <w:rFonts w:ascii="Arial" w:cs="Arial" w:eastAsia="Arial" w:hAnsi="Arial"/>
                <w:sz w:val="26"/>
                <w:szCs w:val="26"/>
                <w:color w:val="auto"/>
                <w:vertAlign w:val="superscript"/>
              </w:rPr>
              <w:t>(2)</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24,536</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340"/>
              <w:spacing w:after="0" w:line="228" w:lineRule="exact"/>
              <w:rPr>
                <w:sz w:val="20"/>
                <w:szCs w:val="20"/>
                <w:color w:val="auto"/>
              </w:rPr>
            </w:pPr>
            <w:r>
              <w:rPr>
                <w:rFonts w:ascii="Arial" w:cs="Arial" w:eastAsia="Arial" w:hAnsi="Arial"/>
                <w:sz w:val="16"/>
                <w:szCs w:val="16"/>
                <w:color w:val="auto"/>
              </w:rPr>
              <w:t>Bruce K. Posey</w:t>
            </w:r>
            <w:r>
              <w:rPr>
                <w:rFonts w:ascii="Arial" w:cs="Arial" w:eastAsia="Arial" w:hAnsi="Arial"/>
                <w:sz w:val="26"/>
                <w:szCs w:val="26"/>
                <w:color w:val="auto"/>
                <w:vertAlign w:val="superscript"/>
              </w:rPr>
              <w:t>(3)</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32,967</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19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Non-Employee Directors: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4280" w:type="dxa"/>
            <w:vAlign w:val="bottom"/>
          </w:tcPr>
          <w:p>
            <w:pPr>
              <w:ind w:left="340"/>
              <w:spacing w:after="0" w:line="228" w:lineRule="exact"/>
              <w:rPr>
                <w:sz w:val="20"/>
                <w:szCs w:val="20"/>
                <w:color w:val="auto"/>
              </w:rPr>
            </w:pPr>
            <w:r>
              <w:rPr>
                <w:rFonts w:ascii="Arial" w:cs="Arial" w:eastAsia="Arial" w:hAnsi="Arial"/>
                <w:sz w:val="16"/>
                <w:szCs w:val="16"/>
                <w:color w:val="auto"/>
              </w:rPr>
              <w:t>Thomas P. Berquist</w:t>
            </w:r>
            <w:r>
              <w:rPr>
                <w:rFonts w:ascii="Arial" w:cs="Arial" w:eastAsia="Arial" w:hAnsi="Arial"/>
                <w:sz w:val="26"/>
                <w:szCs w:val="26"/>
                <w:color w:val="auto"/>
                <w:vertAlign w:val="superscript"/>
              </w:rPr>
              <w:t>(4)</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4,070</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190"/>
        </w:trPr>
        <w:tc>
          <w:tcPr>
            <w:tcW w:w="4280" w:type="dxa"/>
            <w:vAlign w:val="bottom"/>
          </w:tcPr>
          <w:p>
            <w:pPr>
              <w:ind w:left="340"/>
              <w:spacing w:after="0"/>
              <w:rPr>
                <w:sz w:val="20"/>
                <w:szCs w:val="20"/>
                <w:color w:val="auto"/>
              </w:rPr>
            </w:pPr>
            <w:r>
              <w:rPr>
                <w:rFonts w:ascii="Arial" w:cs="Arial" w:eastAsia="Arial" w:hAnsi="Arial"/>
                <w:sz w:val="16"/>
                <w:szCs w:val="16"/>
                <w:color w:val="auto"/>
              </w:rPr>
              <w:t>Bradford L. Brooks</w:t>
            </w:r>
          </w:p>
        </w:tc>
        <w:tc>
          <w:tcPr>
            <w:tcW w:w="260" w:type="dxa"/>
            <w:vAlign w:val="bottom"/>
          </w:tcPr>
          <w:p>
            <w:pPr>
              <w:spacing w:after="0"/>
              <w:rPr>
                <w:sz w:val="16"/>
                <w:szCs w:val="16"/>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Jeffrey P. Hank</w:t>
            </w:r>
            <w:r>
              <w:rPr>
                <w:rFonts w:ascii="Arial" w:cs="Arial" w:eastAsia="Arial" w:hAnsi="Arial"/>
                <w:sz w:val="26"/>
                <w:szCs w:val="26"/>
                <w:color w:val="auto"/>
                <w:vertAlign w:val="superscript"/>
              </w:rPr>
              <w:t>(5)</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13,888</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Wendy M. Pfeiffer</w:t>
            </w:r>
            <w:r>
              <w:rPr>
                <w:rFonts w:ascii="Arial" w:cs="Arial" w:eastAsia="Arial" w:hAnsi="Arial"/>
                <w:sz w:val="26"/>
                <w:szCs w:val="26"/>
                <w:color w:val="auto"/>
                <w:vertAlign w:val="superscript"/>
              </w:rPr>
              <w:t>(6)</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11,082</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Kristi M. Rogers</w:t>
            </w:r>
            <w:r>
              <w:rPr>
                <w:rFonts w:ascii="Arial" w:cs="Arial" w:eastAsia="Arial" w:hAnsi="Arial"/>
                <w:sz w:val="26"/>
                <w:szCs w:val="26"/>
                <w:color w:val="auto"/>
                <w:vertAlign w:val="superscript"/>
              </w:rPr>
              <w:t>(7)</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8,596</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340"/>
              <w:spacing w:after="0" w:line="228" w:lineRule="exact"/>
              <w:rPr>
                <w:sz w:val="20"/>
                <w:szCs w:val="20"/>
                <w:color w:val="auto"/>
              </w:rPr>
            </w:pPr>
            <w:r>
              <w:rPr>
                <w:rFonts w:ascii="Arial" w:cs="Arial" w:eastAsia="Arial" w:hAnsi="Arial"/>
                <w:sz w:val="16"/>
                <w:szCs w:val="16"/>
                <w:color w:val="auto"/>
              </w:rPr>
              <w:t>John A. Zangardi</w:t>
            </w:r>
            <w:r>
              <w:rPr>
                <w:rFonts w:ascii="Arial" w:cs="Arial" w:eastAsia="Arial" w:hAnsi="Arial"/>
                <w:sz w:val="26"/>
                <w:szCs w:val="26"/>
                <w:color w:val="auto"/>
                <w:vertAlign w:val="superscript"/>
              </w:rPr>
              <w:t>(8)</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4,076</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190"/>
        </w:trPr>
        <w:tc>
          <w:tcPr>
            <w:tcW w:w="4280" w:type="dxa"/>
            <w:vAlign w:val="bottom"/>
          </w:tcPr>
          <w:p>
            <w:pPr>
              <w:ind w:left="340"/>
              <w:spacing w:after="0"/>
              <w:rPr>
                <w:sz w:val="20"/>
                <w:szCs w:val="20"/>
                <w:color w:val="auto"/>
              </w:rPr>
            </w:pPr>
            <w:r>
              <w:rPr>
                <w:rFonts w:ascii="Arial" w:cs="Arial" w:eastAsia="Arial" w:hAnsi="Arial"/>
                <w:sz w:val="16"/>
                <w:szCs w:val="16"/>
                <w:color w:val="auto"/>
              </w:rPr>
              <w:t>All current directors and executive officers as a group</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4280" w:type="dxa"/>
            <w:vAlign w:val="bottom"/>
          </w:tcPr>
          <w:p>
            <w:pPr>
              <w:ind w:left="520"/>
              <w:spacing w:after="0" w:line="228" w:lineRule="exact"/>
              <w:rPr>
                <w:sz w:val="20"/>
                <w:szCs w:val="20"/>
                <w:color w:val="auto"/>
              </w:rPr>
            </w:pPr>
            <w:r>
              <w:rPr>
                <w:rFonts w:ascii="Arial" w:cs="Arial" w:eastAsia="Arial" w:hAnsi="Arial"/>
                <w:sz w:val="16"/>
                <w:szCs w:val="16"/>
                <w:color w:val="auto"/>
              </w:rPr>
              <w:t>(9 persons)</w:t>
            </w:r>
            <w:r>
              <w:rPr>
                <w:rFonts w:ascii="Arial" w:cs="Arial" w:eastAsia="Arial" w:hAnsi="Arial"/>
                <w:sz w:val="26"/>
                <w:szCs w:val="26"/>
                <w:color w:val="auto"/>
                <w:vertAlign w:val="superscript"/>
              </w:rPr>
              <w:t>(9)</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255,155</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w:t>
            </w:r>
          </w:p>
        </w:tc>
      </w:tr>
      <w:tr>
        <w:trPr>
          <w:trHeight w:val="19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5% Stockholders: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4280" w:type="dxa"/>
            <w:vAlign w:val="bottom"/>
          </w:tcPr>
          <w:p>
            <w:pPr>
              <w:ind w:left="340"/>
              <w:spacing w:after="0" w:line="230"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(10)</w:t>
            </w:r>
          </w:p>
        </w:tc>
        <w:tc>
          <w:tcPr>
            <w:tcW w:w="1100" w:type="dxa"/>
            <w:vAlign w:val="bottom"/>
            <w:gridSpan w:val="2"/>
          </w:tcPr>
          <w:p>
            <w:pPr>
              <w:jc w:val="right"/>
              <w:ind w:right="121"/>
              <w:spacing w:after="0"/>
              <w:rPr>
                <w:sz w:val="20"/>
                <w:szCs w:val="20"/>
                <w:color w:val="auto"/>
              </w:rPr>
            </w:pPr>
            <w:r>
              <w:rPr>
                <w:rFonts w:ascii="Arial" w:cs="Arial" w:eastAsia="Arial" w:hAnsi="Arial"/>
                <w:sz w:val="16"/>
                <w:szCs w:val="16"/>
                <w:color w:val="auto"/>
              </w:rPr>
              <w:t>5,090,379</w:t>
            </w:r>
          </w:p>
        </w:tc>
        <w:tc>
          <w:tcPr>
            <w:tcW w:w="1160" w:type="dxa"/>
            <w:vAlign w:val="bottom"/>
          </w:tcPr>
          <w:p>
            <w:pPr>
              <w:ind w:left="420"/>
              <w:spacing w:after="0"/>
              <w:rPr>
                <w:sz w:val="20"/>
                <w:szCs w:val="20"/>
                <w:color w:val="auto"/>
              </w:rPr>
            </w:pPr>
            <w:r>
              <w:rPr>
                <w:rFonts w:ascii="Arial" w:cs="Arial" w:eastAsia="Arial" w:hAnsi="Arial"/>
                <w:sz w:val="16"/>
                <w:szCs w:val="16"/>
                <w:color w:val="auto"/>
              </w:rPr>
              <w:t>​14.4 %</w:t>
            </w:r>
          </w:p>
        </w:tc>
      </w:tr>
      <w:tr>
        <w:trPr>
          <w:trHeight w:val="359"/>
        </w:trPr>
        <w:tc>
          <w:tcPr>
            <w:tcW w:w="4280" w:type="dxa"/>
            <w:vAlign w:val="bottom"/>
          </w:tcPr>
          <w:p>
            <w:pPr>
              <w:ind w:left="34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(11)</w:t>
            </w:r>
          </w:p>
        </w:tc>
        <w:tc>
          <w:tcPr>
            <w:tcW w:w="1100" w:type="dxa"/>
            <w:vAlign w:val="bottom"/>
            <w:gridSpan w:val="2"/>
          </w:tcPr>
          <w:p>
            <w:pPr>
              <w:jc w:val="right"/>
              <w:ind w:right="121"/>
              <w:spacing w:after="0"/>
              <w:rPr>
                <w:sz w:val="20"/>
                <w:szCs w:val="20"/>
                <w:color w:val="auto"/>
              </w:rPr>
            </w:pPr>
            <w:r>
              <w:rPr>
                <w:rFonts w:ascii="Arial" w:cs="Arial" w:eastAsia="Arial" w:hAnsi="Arial"/>
                <w:sz w:val="16"/>
                <w:szCs w:val="16"/>
                <w:color w:val="auto"/>
              </w:rPr>
              <w:t>4,181,323​</w:t>
            </w:r>
          </w:p>
        </w:tc>
        <w:tc>
          <w:tcPr>
            <w:tcW w:w="1160" w:type="dxa"/>
            <w:vAlign w:val="bottom"/>
          </w:tcPr>
          <w:p>
            <w:pPr>
              <w:ind w:left="420"/>
              <w:spacing w:after="0"/>
              <w:rPr>
                <w:sz w:val="20"/>
                <w:szCs w:val="20"/>
                <w:color w:val="auto"/>
              </w:rPr>
            </w:pPr>
            <w:r>
              <w:rPr>
                <w:rFonts w:ascii="Arial" w:cs="Arial" w:eastAsia="Arial" w:hAnsi="Arial"/>
                <w:sz w:val="16"/>
                <w:szCs w:val="16"/>
                <w:color w:val="auto"/>
              </w:rPr>
              <w:t>​11.8 %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45720</wp:posOffset>
            </wp:positionV>
            <wp:extent cx="4800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54" w:lineRule="exact"/>
        <w:rPr>
          <w:sz w:val="20"/>
          <w:szCs w:val="20"/>
          <w:color w:val="auto"/>
        </w:rPr>
      </w:pPr>
    </w:p>
    <w:p>
      <w:pPr>
        <w:ind w:left="860" w:hanging="352"/>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04" w:lineRule="exact"/>
        <w:rPr>
          <w:sz w:val="20"/>
          <w:szCs w:val="20"/>
          <w:color w:val="auto"/>
        </w:rPr>
      </w:pPr>
    </w:p>
    <w:p>
      <w:pPr>
        <w:ind w:left="860" w:right="519" w:hanging="352"/>
        <w:spacing w:after="0" w:line="271" w:lineRule="auto"/>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(i) 142,682 shares of common stock held by Mr. Thakar and (ii) 13,258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(i) 16,983 shares of common stock held by Ms. Kim and (ii) 7,553 shares of common stock issuable upon vesting of RSUs within 60 days of April 14, 2026.</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ind w:left="860" w:right="519" w:hanging="352"/>
        <w:spacing w:after="0" w:line="270"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28,511 shares of common stock held by Mr. Posey and (ii) 4,456 shares of common stock issuable upon vesting of RSUs within 60 days of April 14, 2026.</w:t>
      </w:r>
    </w:p>
    <w:p>
      <w:pPr>
        <w:spacing w:after="0" w:line="46" w:lineRule="exact"/>
        <w:rPr>
          <w:rFonts w:ascii="Arial" w:cs="Arial" w:eastAsia="Arial" w:hAnsi="Arial"/>
          <w:sz w:val="18"/>
          <w:szCs w:val="18"/>
          <w:color w:val="auto"/>
        </w:rPr>
      </w:pPr>
    </w:p>
    <w:p>
      <w:pPr>
        <w:ind w:left="860" w:right="53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2,191 shares of common stock held by Mr. Berquist and (ii) 1,879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12,009 shares of common stock held by Mr. Hank and (ii) 1,879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3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9,203 shares of common stock held by Ms. Pfeiffer and (ii) 1,879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3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6,717 shares of common stock held by Ms. Rogers and (ii) 1,879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(i) 2,197 shares of common stock held by Dr. Zangardi and (ii) 1,879 shares of common stock issuable upon vesting of RSUs within 60 days of April 14, 2026.</w:t>
      </w:r>
    </w:p>
    <w:p>
      <w:pPr>
        <w:spacing w:after="0" w:line="45" w:lineRule="exact"/>
        <w:rPr>
          <w:rFonts w:ascii="Arial" w:cs="Arial" w:eastAsia="Arial" w:hAnsi="Arial"/>
          <w:sz w:val="18"/>
          <w:szCs w:val="18"/>
          <w:color w:val="auto"/>
        </w:rPr>
      </w:pPr>
    </w:p>
    <w:p>
      <w:pPr>
        <w:ind w:left="860" w:right="519" w:hanging="352"/>
        <w:spacing w:after="0" w:line="27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(i) 34,662 shares of common stock issuable upon vesting of RSUs within 60 days of April 14, 2026.</w:t>
      </w:r>
    </w:p>
    <w:p>
      <w:pPr>
        <w:spacing w:after="0" w:line="45" w:lineRule="exact"/>
        <w:rPr>
          <w:rFonts w:ascii="Arial" w:cs="Arial" w:eastAsia="Arial" w:hAnsi="Arial"/>
          <w:sz w:val="18"/>
          <w:szCs w:val="18"/>
          <w:color w:val="auto"/>
        </w:rPr>
      </w:pPr>
    </w:p>
    <w:p>
      <w:pPr>
        <w:jc w:val="both"/>
        <w:ind w:left="860" w:right="519" w:hanging="352"/>
        <w:spacing w:after="0" w:line="241"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According to the information reported by BlackRock, Inc. (“BlackRock”) on a Schedule 13G/A filed on April 29, 2025, BlackRock beneficially owns an aggregate of 5,090,379 shares of common stock, which consists of (i) 5,042,201 shares as to which it has sole voting power and</w:t>
      </w:r>
    </w:p>
    <w:p>
      <w:pPr>
        <w:spacing w:after="0" w:line="1" w:lineRule="exact"/>
        <w:rPr>
          <w:rFonts w:ascii="Arial" w:cs="Arial" w:eastAsia="Arial" w:hAnsi="Arial"/>
          <w:sz w:val="18"/>
          <w:szCs w:val="18"/>
          <w:color w:val="auto"/>
        </w:rPr>
      </w:pPr>
    </w:p>
    <w:p>
      <w:pPr>
        <w:ind w:left="860" w:right="519" w:hanging="1"/>
        <w:spacing w:after="0" w:line="250" w:lineRule="auto"/>
        <w:tabs>
          <w:tab w:leader="none" w:pos="11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5,090,379 shares as to which it has sole dispositive power. The principal address of BlackRock is 50 Hudson Yards, New York, NY 10001.</w:t>
      </w:r>
    </w:p>
    <w:p>
      <w:pPr>
        <w:spacing w:after="0" w:line="63" w:lineRule="exact"/>
        <w:rPr>
          <w:rFonts w:ascii="Arial" w:cs="Arial" w:eastAsia="Arial" w:hAnsi="Arial"/>
          <w:sz w:val="18"/>
          <w:szCs w:val="18"/>
          <w:color w:val="auto"/>
        </w:rPr>
      </w:pPr>
    </w:p>
    <w:p>
      <w:pPr>
        <w:jc w:val="both"/>
        <w:ind w:left="860" w:right="519" w:hanging="352"/>
        <w:spacing w:after="0" w:line="238"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According to the information reported by The Vanguard Group (“Vanguard”) on a Schedule 13G/A filed on November 12, 2024, Vanguard beneficially owns an aggregate of 4,181,323 shares of common stock, which consists of (i) 67,797 shares as to which it has shared voting power, (ii) 4,071,455 shares as to which it has sole dispositive power, and (iii) 109,868 shares as to which it has shared dispositive power. The principal address of Vanguard is 100 Vanguard Blvd., Malvern, PA 19355. On March 27, 2026, Vanguard filed a 13G/A reporting that The Vanguard Group, Inc. went through an internal realignment and, certain subsidiaries or business divisions of subsidiaries of The Vanguard Group, Inc., that formerly had, or were deemed to have, beneficial ownership with The Vanguard Group, Inc., will report beneficial ownership separately (on a disaggregated basis) from The Vanguard Group, Inc. The Vanguard Group, Inc. no longer has, or is deemed to have, beneficial ownership over securities beneficially owned by such subsidiaries and/or business divisions.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RELATED PERSON TRANSACTIONS</w:t>
      </w:r>
    </w:p>
    <w:p>
      <w:pPr>
        <w:spacing w:after="0" w:line="211" w:lineRule="exact"/>
        <w:rPr>
          <w:sz w:val="20"/>
          <w:szCs w:val="20"/>
          <w:color w:val="auto"/>
        </w:rPr>
      </w:pPr>
    </w:p>
    <w:p>
      <w:pPr>
        <w:ind w:left="500" w:right="519" w:firstLine="360"/>
        <w:spacing w:after="0" w:line="271" w:lineRule="auto"/>
        <w:rPr>
          <w:sz w:val="20"/>
          <w:szCs w:val="20"/>
          <w:color w:val="auto"/>
        </w:rPr>
      </w:pPr>
      <w:r>
        <w:rPr>
          <w:rFonts w:ascii="Arial" w:cs="Arial" w:eastAsia="Arial" w:hAnsi="Arial"/>
          <w:sz w:val="18"/>
          <w:szCs w:val="18"/>
          <w:color w:val="auto"/>
        </w:rPr>
        <w:t>We describe below transactions and series of similar transactions, since January 1, 2025, to which we were a party or will be a party, in which:</w:t>
      </w:r>
    </w:p>
    <w:p>
      <w:pPr>
        <w:ind w:left="1220" w:hanging="280"/>
        <w:spacing w:after="0" w:line="237" w:lineRule="auto"/>
        <w:tabs>
          <w:tab w:leader="none" w:pos="122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25"/>
          <w:szCs w:val="25"/>
          <w:color w:val="auto"/>
          <w:vertAlign w:val="superscript"/>
        </w:rPr>
      </w:pPr>
    </w:p>
    <w:p>
      <w:pPr>
        <w:ind w:left="1220" w:right="519" w:hanging="280"/>
        <w:spacing w:after="0" w:line="205" w:lineRule="auto"/>
        <w:tabs>
          <w:tab w:leader="none" w:pos="122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81"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Certain Family Relationships</w:t>
      </w:r>
    </w:p>
    <w:p>
      <w:pPr>
        <w:spacing w:after="0" w:line="104" w:lineRule="exact"/>
        <w:rPr>
          <w:sz w:val="20"/>
          <w:szCs w:val="20"/>
          <w:color w:val="auto"/>
        </w:rPr>
      </w:pPr>
    </w:p>
    <w:p>
      <w:pPr>
        <w:jc w:val="both"/>
        <w:ind w:left="500" w:right="519" w:firstLine="360"/>
        <w:spacing w:after="0" w:line="239" w:lineRule="auto"/>
        <w:rPr>
          <w:sz w:val="20"/>
          <w:szCs w:val="20"/>
          <w:color w:val="auto"/>
        </w:rPr>
      </w:pPr>
      <w:r>
        <w:rPr>
          <w:rFonts w:ascii="Arial" w:cs="Arial" w:eastAsia="Arial" w:hAnsi="Arial"/>
          <w:sz w:val="18"/>
          <w:szCs w:val="18"/>
          <w:color w:val="auto"/>
        </w:rPr>
        <w:t>During 2025, Deepti S. Thakar, Sister of Sumedh S. Thakar, our Chief Executive Officer, was employed by us as Product Director, Technical Content Experience. During 2025, Deepti S. Thakar earned total compensation of $248,282, consisting of base salary, bonus and equity compensation. In addition, Deepti S. Thakar participated in our employee benefit plans and arrangements which are generally made available to other employees at her level, including employee equity incentive and benefit plans, including health, vacation, Section 401(k) retirement savings plans and insurance plans. The compensation of Deepti S. Thakar was established in accordance with our employment and compensation practices applicable to employees with equivalent qualifications, experience and responsibilities.</w:t>
      </w:r>
    </w:p>
    <w:p>
      <w:pPr>
        <w:spacing w:after="0" w:line="183" w:lineRule="exact"/>
        <w:rPr>
          <w:sz w:val="20"/>
          <w:szCs w:val="20"/>
          <w:color w:val="auto"/>
        </w:rPr>
      </w:pPr>
    </w:p>
    <w:p>
      <w:pPr>
        <w:jc w:val="both"/>
        <w:ind w:left="500" w:right="519" w:firstLine="360"/>
        <w:spacing w:after="0" w:line="253"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our Audit and Risk Committee in accordance with our related party transaction policy described below.</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4" w:lineRule="exact"/>
        <w:rPr>
          <w:sz w:val="20"/>
          <w:szCs w:val="20"/>
          <w:color w:val="auto"/>
        </w:rPr>
      </w:pPr>
    </w:p>
    <w:p>
      <w:pPr>
        <w:jc w:val="both"/>
        <w:ind w:left="500" w:right="519" w:firstLine="360"/>
        <w:spacing w:after="0" w:line="271" w:lineRule="auto"/>
        <w:rPr>
          <w:sz w:val="20"/>
          <w:szCs w:val="20"/>
          <w:color w:val="auto"/>
        </w:rPr>
      </w:pPr>
      <w:r>
        <w:rPr>
          <w:rFonts w:ascii="Arial" w:cs="Arial" w:eastAsia="Arial" w:hAnsi="Arial"/>
          <w:sz w:val="18"/>
          <w:szCs w:val="18"/>
          <w:color w:val="auto"/>
        </w:rPr>
        <w:t>Our Audit and Risk Committee has the primary responsibility for reviewing and approving or ratifying transactions with related parties.</w:t>
      </w:r>
    </w:p>
    <w:p>
      <w:pPr>
        <w:spacing w:after="0" w:line="154" w:lineRule="exact"/>
        <w:rPr>
          <w:sz w:val="20"/>
          <w:szCs w:val="20"/>
          <w:color w:val="auto"/>
        </w:rPr>
      </w:pPr>
    </w:p>
    <w:p>
      <w:pPr>
        <w:jc w:val="both"/>
        <w:ind w:left="500" w:right="519" w:firstLine="360"/>
        <w:spacing w:after="0" w:line="238"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any person or entity known to be the beneficial owner of more than 5% of any class of our voting securities, any immediate family member of any of the foregoing persons, and any firm, corporation, or other entity in which any of the foregoing persons is employed, is a general partner or principal or in a similar position, or in which such person has a 5% or greater beneficial ownership interest (each, a “Related Party”), are/is not permitted to enter into a “Related Party Transaction” with us without the consent of our Audit and Risk Committee. For the purposes of this policy, a “Related Party Transaction” is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material interest (including any transactions requiring disclosure under Item 404 of Regulation S-K promulgated under the Exchange Act), other than transactions available to all U.S. employees of the Company.</w:t>
      </w:r>
    </w:p>
    <w:p>
      <w:pPr>
        <w:spacing w:after="0" w:line="180" w:lineRule="exact"/>
        <w:rPr>
          <w:sz w:val="20"/>
          <w:szCs w:val="20"/>
          <w:color w:val="auto"/>
        </w:rPr>
      </w:pPr>
    </w:p>
    <w:p>
      <w:pPr>
        <w:jc w:val="both"/>
        <w:ind w:left="500" w:right="519" w:firstLine="360"/>
        <w:spacing w:after="0" w:line="244" w:lineRule="auto"/>
        <w:rPr>
          <w:sz w:val="20"/>
          <w:szCs w:val="20"/>
          <w:color w:val="auto"/>
        </w:rPr>
      </w:pPr>
      <w:r>
        <w:rPr>
          <w:rFonts w:ascii="Arial" w:cs="Arial" w:eastAsia="Arial" w:hAnsi="Arial"/>
          <w:sz w:val="18"/>
          <w:szCs w:val="18"/>
          <w:color w:val="auto"/>
        </w:rPr>
        <w:t>In determining whether to approve a Related Party Transaction, our Audit and Risk Committee is to consider the relevant facts and circumstances available and deemed relevant to the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rules to furnish us with copies of all Section 16(a) reports they file.</w:t>
      </w:r>
    </w:p>
    <w:p>
      <w:pPr>
        <w:spacing w:after="0" w:line="17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SEC rules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2025, all Section 16(a) filing requirements were satisfied on a timely basis.</w:t>
      </w: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2025 Annual Report and SEC Filings</w:t>
      </w:r>
    </w:p>
    <w:p>
      <w:pPr>
        <w:spacing w:after="0" w:line="104" w:lineRule="exact"/>
        <w:rPr>
          <w:sz w:val="20"/>
          <w:szCs w:val="20"/>
          <w:color w:val="auto"/>
        </w:rPr>
      </w:pPr>
    </w:p>
    <w:p>
      <w:pPr>
        <w:jc w:val="both"/>
        <w:ind w:left="500" w:right="519" w:firstLine="360"/>
        <w:spacing w:after="0" w:line="250" w:lineRule="auto"/>
        <w:rPr>
          <w:sz w:val="20"/>
          <w:szCs w:val="20"/>
          <w:color w:val="auto"/>
        </w:rPr>
      </w:pPr>
      <w:r>
        <w:rPr>
          <w:rFonts w:ascii="Arial" w:cs="Arial" w:eastAsia="Arial" w:hAnsi="Arial"/>
          <w:sz w:val="18"/>
          <w:szCs w:val="18"/>
          <w:color w:val="auto"/>
        </w:rPr>
        <w:t>Our financial statements for the fiscal year ended December 31, 2025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Foster City, California 94404.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74" w:lineRule="exact"/>
        <w:rPr>
          <w:sz w:val="20"/>
          <w:szCs w:val="20"/>
          <w:color w:val="auto"/>
        </w:rPr>
      </w:pPr>
    </w:p>
    <w:p>
      <w:pPr>
        <w:jc w:val="both"/>
        <w:ind w:left="500" w:right="519" w:firstLine="360"/>
        <w:spacing w:after="0" w:line="247"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7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THE BOARD OF DIRECTORS</w:t>
      </w:r>
    </w:p>
    <w:p>
      <w:pPr>
        <w:spacing w:after="0" w:line="2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Foster City, California</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April 22, 2026</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w:t>
      </w:r>
    </w:p>
    <w:p>
      <w:pPr>
        <w:jc w:val="center"/>
        <w:ind w:right="19"/>
        <w:spacing w:after="0" w:line="234" w:lineRule="auto"/>
        <w:rPr>
          <w:sz w:val="20"/>
          <w:szCs w:val="20"/>
          <w:color w:val="auto"/>
        </w:rPr>
      </w:pPr>
      <w:r>
        <w:rPr>
          <w:rFonts w:ascii="Arial" w:cs="Arial" w:eastAsia="Arial" w:hAnsi="Arial"/>
          <w:sz w:val="18"/>
          <w:szCs w:val="18"/>
          <w:b w:val="1"/>
          <w:bCs w:val="1"/>
          <w:color w:val="auto"/>
        </w:rPr>
        <w:t>QUALYS, INC.</w:t>
      </w:r>
    </w:p>
    <w:p>
      <w:pPr>
        <w:jc w:val="center"/>
        <w:ind w:right="139"/>
        <w:spacing w:after="0" w:line="235" w:lineRule="auto"/>
        <w:rPr>
          <w:sz w:val="20"/>
          <w:szCs w:val="20"/>
          <w:color w:val="auto"/>
        </w:rPr>
      </w:pPr>
      <w:r>
        <w:rPr>
          <w:rFonts w:ascii="Arial" w:cs="Arial" w:eastAsia="Arial" w:hAnsi="Arial"/>
          <w:sz w:val="18"/>
          <w:szCs w:val="18"/>
          <w:b w:val="1"/>
          <w:bCs w:val="1"/>
          <w:color w:val="auto"/>
        </w:rPr>
        <w:t> </w:t>
      </w:r>
    </w:p>
    <w:p>
      <w:pPr>
        <w:jc w:val="center"/>
        <w:ind w:right="59"/>
        <w:spacing w:after="0" w:line="235" w:lineRule="auto"/>
        <w:rPr>
          <w:sz w:val="20"/>
          <w:szCs w:val="20"/>
          <w:color w:val="auto"/>
        </w:rPr>
      </w:pPr>
      <w:r>
        <w:rPr>
          <w:rFonts w:ascii="Arial" w:cs="Arial" w:eastAsia="Arial" w:hAnsi="Arial"/>
          <w:sz w:val="18"/>
          <w:szCs w:val="18"/>
          <w:b w:val="1"/>
          <w:bCs w:val="1"/>
          <w:color w:val="auto"/>
        </w:rPr>
        <w:t>2012 EQUITY INCENTIVE PLAN</w:t>
      </w:r>
    </w:p>
    <w:p>
      <w:pPr>
        <w:jc w:val="center"/>
        <w:ind w:right="19"/>
        <w:spacing w:after="0"/>
        <w:rPr>
          <w:sz w:val="20"/>
          <w:szCs w:val="20"/>
          <w:color w:val="auto"/>
        </w:rPr>
      </w:pPr>
      <w:r>
        <w:rPr>
          <w:rFonts w:ascii="Arial" w:cs="Arial" w:eastAsia="Arial" w:hAnsi="Arial"/>
          <w:sz w:val="18"/>
          <w:szCs w:val="18"/>
          <w:b w:val="1"/>
          <w:bCs w:val="1"/>
          <w:i w:val="1"/>
          <w:iCs w:val="1"/>
          <w:color w:val="auto"/>
        </w:rPr>
        <w:t>(as amended and restated at the 2026 Annual General Meeting)</w:t>
      </w:r>
    </w:p>
    <w:p>
      <w:pPr>
        <w:spacing w:after="0" w:line="194" w:lineRule="exact"/>
        <w:rPr>
          <w:sz w:val="20"/>
          <w:szCs w:val="20"/>
          <w:color w:val="auto"/>
        </w:rPr>
      </w:pPr>
    </w:p>
    <w:p>
      <w:pPr>
        <w:ind w:left="860" w:hanging="352"/>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54" w:lineRule="exact"/>
        <w:rPr>
          <w:rFonts w:ascii="Arial" w:cs="Arial" w:eastAsia="Arial" w:hAnsi="Arial"/>
          <w:sz w:val="18"/>
          <w:szCs w:val="18"/>
          <w:color w:val="auto"/>
        </w:rPr>
      </w:pPr>
    </w:p>
    <w:p>
      <w:pPr>
        <w:ind w:left="1220" w:hanging="280"/>
        <w:spacing w:after="0"/>
        <w:tabs>
          <w:tab w:leader="none" w:pos="1220" w:val="left"/>
        </w:tabs>
        <w:numPr>
          <w:ilvl w:val="1"/>
          <w:numId w:val="70"/>
        </w:numPr>
        <w:rPr>
          <w:rFonts w:ascii="Arial" w:cs="Arial" w:eastAsia="Arial" w:hAnsi="Arial"/>
          <w:sz w:val="25"/>
          <w:szCs w:val="25"/>
          <w:color w:val="auto"/>
          <w:vertAlign w:val="superscript"/>
        </w:rPr>
      </w:pPr>
      <w:r>
        <w:rPr>
          <w:rFonts w:ascii="Arial" w:cs="Arial" w:eastAsia="Arial" w:hAnsi="Arial"/>
          <w:sz w:val="18"/>
          <w:szCs w:val="18"/>
          <w:color w:val="auto"/>
        </w:rPr>
        <w:t>to attract and retain the best available personnel for positions of substantial responsibility,</w:t>
      </w:r>
    </w:p>
    <w:p>
      <w:pPr>
        <w:spacing w:after="0" w:line="89"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1"/>
          <w:numId w:val="70"/>
        </w:numPr>
        <w:rPr>
          <w:rFonts w:ascii="Arial" w:cs="Arial" w:eastAsia="Arial" w:hAnsi="Arial"/>
          <w:sz w:val="25"/>
          <w:szCs w:val="25"/>
          <w:color w:val="auto"/>
          <w:vertAlign w:val="superscript"/>
        </w:rPr>
      </w:pPr>
      <w:r>
        <w:rPr>
          <w:rFonts w:ascii="Arial" w:cs="Arial" w:eastAsia="Arial" w:hAnsi="Arial"/>
          <w:sz w:val="18"/>
          <w:szCs w:val="18"/>
          <w:color w:val="auto"/>
        </w:rPr>
        <w:t>to provide additional incentive to Employees, Directors and Consultants, and</w:t>
      </w:r>
    </w:p>
    <w:p>
      <w:pPr>
        <w:spacing w:after="0" w:line="90" w:lineRule="exact"/>
        <w:rPr>
          <w:rFonts w:ascii="Arial" w:cs="Arial" w:eastAsia="Arial" w:hAnsi="Arial"/>
          <w:sz w:val="25"/>
          <w:szCs w:val="25"/>
          <w:color w:val="auto"/>
          <w:vertAlign w:val="superscript"/>
        </w:rPr>
      </w:pPr>
    </w:p>
    <w:p>
      <w:pPr>
        <w:ind w:left="1220" w:hanging="280"/>
        <w:spacing w:after="0" w:line="184" w:lineRule="auto"/>
        <w:tabs>
          <w:tab w:leader="none" w:pos="1220" w:val="left"/>
        </w:tabs>
        <w:numPr>
          <w:ilvl w:val="1"/>
          <w:numId w:val="70"/>
        </w:numPr>
        <w:rPr>
          <w:rFonts w:ascii="Arial" w:cs="Arial" w:eastAsia="Arial" w:hAnsi="Arial"/>
          <w:sz w:val="25"/>
          <w:szCs w:val="25"/>
          <w:color w:val="auto"/>
          <w:vertAlign w:val="superscript"/>
        </w:rPr>
      </w:pPr>
      <w:r>
        <w:rPr>
          <w:rFonts w:ascii="Arial" w:cs="Arial" w:eastAsia="Arial" w:hAnsi="Arial"/>
          <w:sz w:val="18"/>
          <w:szCs w:val="18"/>
          <w:color w:val="auto"/>
        </w:rPr>
        <w:t>to promote the success of the Company’s business.</w:t>
      </w:r>
    </w:p>
    <w:p>
      <w:pPr>
        <w:spacing w:after="0" w:line="180" w:lineRule="exact"/>
        <w:rPr>
          <w:sz w:val="20"/>
          <w:szCs w:val="20"/>
          <w:color w:val="auto"/>
        </w:rPr>
      </w:pPr>
    </w:p>
    <w:p>
      <w:pPr>
        <w:jc w:val="both"/>
        <w:ind w:left="500" w:right="519"/>
        <w:spacing w:after="0" w:line="253"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and Performance Shares.</w:t>
      </w:r>
    </w:p>
    <w:p>
      <w:pPr>
        <w:spacing w:after="0" w:line="169" w:lineRule="exact"/>
        <w:rPr>
          <w:sz w:val="20"/>
          <w:szCs w:val="20"/>
          <w:color w:val="auto"/>
        </w:rPr>
      </w:pPr>
    </w:p>
    <w:p>
      <w:pPr>
        <w:ind w:left="860" w:hanging="352"/>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11"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2022 Restatement</w:t>
      </w:r>
      <w:r>
        <w:rPr>
          <w:rFonts w:ascii="Arial" w:cs="Arial" w:eastAsia="Arial" w:hAnsi="Arial"/>
          <w:sz w:val="18"/>
          <w:szCs w:val="18"/>
          <w:color w:val="auto"/>
        </w:rPr>
        <w:t>” means the amendment and restatement of the Plan that became effective on the date of the 2022 Annual General Meeting of the Company’s stockholders (such date, the “</w:t>
      </w:r>
      <w:r>
        <w:rPr>
          <w:rFonts w:ascii="Arial" w:cs="Arial" w:eastAsia="Arial" w:hAnsi="Arial"/>
          <w:sz w:val="18"/>
          <w:szCs w:val="18"/>
          <w:u w:val="single" w:color="auto"/>
          <w:color w:val="auto"/>
        </w:rPr>
        <w:t>2022 Restatement Date</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300" w:right="519" w:hanging="360"/>
        <w:spacing w:after="0" w:line="271"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will be administering the Plan, in accordance with Section 4 of the Plan.</w:t>
      </w:r>
    </w:p>
    <w:p>
      <w:pPr>
        <w:spacing w:after="0" w:line="153"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68"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8" w:lineRule="exact"/>
        <w:rPr>
          <w:rFonts w:ascii="Arial" w:cs="Arial" w:eastAsia="Arial" w:hAnsi="Arial"/>
          <w:sz w:val="18"/>
          <w:szCs w:val="18"/>
          <w:color w:val="auto"/>
        </w:rPr>
      </w:pPr>
    </w:p>
    <w:p>
      <w:pPr>
        <w:ind w:left="1300" w:hanging="36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color w:val="auto"/>
        </w:rPr>
      </w:pPr>
    </w:p>
    <w:p>
      <w:pPr>
        <w:ind w:left="1300" w:hanging="36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11" w:lineRule="exact"/>
        <w:rPr>
          <w:rFonts w:ascii="Arial" w:cs="Arial" w:eastAsia="Arial" w:hAnsi="Arial"/>
          <w:sz w:val="18"/>
          <w:szCs w:val="18"/>
          <w:color w:val="auto"/>
        </w:rPr>
      </w:pPr>
    </w:p>
    <w:p>
      <w:pPr>
        <w:jc w:val="both"/>
        <w:ind w:left="1720" w:right="519" w:hanging="348"/>
        <w:spacing w:after="0"/>
        <w:tabs>
          <w:tab w:leader="none" w:pos="17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8" w:name="page89"/>
    <w:bookmarkEnd w:id="88"/>
    <w:p>
      <w:pPr>
        <w:jc w:val="both"/>
        <w:ind w:left="1720" w:right="519" w:hanging="348"/>
        <w:spacing w:after="0"/>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3" w:lineRule="exact"/>
        <w:rPr>
          <w:rFonts w:ascii="Arial" w:cs="Arial" w:eastAsia="Arial" w:hAnsi="Arial"/>
          <w:sz w:val="18"/>
          <w:szCs w:val="18"/>
          <w:color w:val="auto"/>
        </w:rPr>
      </w:pPr>
    </w:p>
    <w:p>
      <w:pPr>
        <w:jc w:val="both"/>
        <w:ind w:left="1720" w:right="519" w:hanging="348"/>
        <w:spacing w:after="0" w:line="236" w:lineRule="auto"/>
        <w:tabs>
          <w:tab w:leader="none" w:pos="17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5" w:lineRule="exact"/>
        <w:rPr>
          <w:rFonts w:ascii="Arial" w:cs="Arial" w:eastAsia="Arial" w:hAnsi="Arial"/>
          <w:sz w:val="18"/>
          <w:szCs w:val="18"/>
          <w:color w:val="auto"/>
        </w:rPr>
      </w:pPr>
    </w:p>
    <w:p>
      <w:pPr>
        <w:jc w:val="both"/>
        <w:ind w:left="1740" w:right="519"/>
        <w:spacing w:after="0" w:line="253" w:lineRule="auto"/>
        <w:rPr>
          <w:rFonts w:ascii="Arial" w:cs="Arial" w:eastAsia="Arial" w:hAnsi="Arial"/>
          <w:sz w:val="18"/>
          <w:szCs w:val="18"/>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8" w:lineRule="exact"/>
        <w:rPr>
          <w:rFonts w:ascii="Arial" w:cs="Arial" w:eastAsia="Arial" w:hAnsi="Arial"/>
          <w:sz w:val="18"/>
          <w:szCs w:val="18"/>
          <w:color w:val="auto"/>
        </w:rPr>
      </w:pPr>
    </w:p>
    <w:p>
      <w:pPr>
        <w:jc w:val="both"/>
        <w:ind w:left="1740" w:right="519"/>
        <w:spacing w:after="0" w:line="244" w:lineRule="auto"/>
        <w:rPr>
          <w:rFonts w:ascii="Arial" w:cs="Arial" w:eastAsia="Arial" w:hAnsi="Arial"/>
          <w:sz w:val="18"/>
          <w:szCs w:val="18"/>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rFonts w:ascii="Arial" w:cs="Arial" w:eastAsia="Arial" w:hAnsi="Arial"/>
          <w:sz w:val="18"/>
          <w:szCs w:val="18"/>
          <w:color w:val="auto"/>
        </w:rPr>
      </w:pPr>
    </w:p>
    <w:p>
      <w:pPr>
        <w:jc w:val="both"/>
        <w:ind w:left="1740" w:right="519"/>
        <w:spacing w:after="0" w:line="244" w:lineRule="auto"/>
        <w:rPr>
          <w:rFonts w:ascii="Arial" w:cs="Arial" w:eastAsia="Arial" w:hAnsi="Arial"/>
          <w:sz w:val="18"/>
          <w:szCs w:val="18"/>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a duly authorized committee of the Board, in accordance with Section 4 hereof.</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ind w:left="1300"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0" w:lineRule="exact"/>
        <w:rPr>
          <w:rFonts w:ascii="Arial" w:cs="Arial" w:eastAsia="Arial" w:hAnsi="Arial"/>
          <w:sz w:val="18"/>
          <w:szCs w:val="18"/>
          <w:color w:val="auto"/>
        </w:rPr>
      </w:pPr>
    </w:p>
    <w:p>
      <w:pPr>
        <w:ind w:left="1300"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Qualys, Inc., a Delaware corporation, or any successor thereto.</w:t>
      </w:r>
    </w:p>
    <w:p>
      <w:pPr>
        <w:spacing w:after="0" w:line="211" w:lineRule="exact"/>
        <w:rPr>
          <w:rFonts w:ascii="Arial" w:cs="Arial" w:eastAsia="Arial" w:hAnsi="Arial"/>
          <w:sz w:val="18"/>
          <w:szCs w:val="18"/>
          <w:color w:val="auto"/>
        </w:rPr>
      </w:pPr>
    </w:p>
    <w:p>
      <w:pPr>
        <w:ind w:left="1300" w:right="539" w:hanging="360"/>
        <w:spacing w:after="0" w:line="271"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to such entity.</w:t>
      </w:r>
    </w:p>
    <w:p>
      <w:pPr>
        <w:spacing w:after="0" w:line="153" w:lineRule="exact"/>
        <w:rPr>
          <w:rFonts w:ascii="Arial" w:cs="Arial" w:eastAsia="Arial" w:hAnsi="Arial"/>
          <w:sz w:val="18"/>
          <w:szCs w:val="18"/>
          <w:color w:val="auto"/>
        </w:rPr>
      </w:pPr>
    </w:p>
    <w:p>
      <w:pPr>
        <w:ind w:left="1300"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3" w:lineRule="exact"/>
        <w:rPr>
          <w:rFonts w:ascii="Arial" w:cs="Arial" w:eastAsia="Arial" w:hAnsi="Arial"/>
          <w:sz w:val="18"/>
          <w:szCs w:val="18"/>
          <w:color w:val="auto"/>
        </w:rPr>
      </w:pPr>
    </w:p>
    <w:p>
      <w:pPr>
        <w:ind w:left="1300"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jc w:val="both"/>
        <w:ind w:left="1300" w:right="519"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4" w:lineRule="exact"/>
        <w:rPr>
          <w:rFonts w:ascii="Arial" w:cs="Arial" w:eastAsia="Arial" w:hAnsi="Arial"/>
          <w:sz w:val="18"/>
          <w:szCs w:val="18"/>
          <w:color w:val="auto"/>
        </w:rPr>
      </w:pPr>
    </w:p>
    <w:p>
      <w:pPr>
        <w:ind w:left="1300" w:right="539" w:hanging="360"/>
        <w:spacing w:after="0" w:line="271"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53" w:lineRule="exact"/>
        <w:rPr>
          <w:rFonts w:ascii="Arial" w:cs="Arial" w:eastAsia="Arial" w:hAnsi="Arial"/>
          <w:sz w:val="18"/>
          <w:szCs w:val="18"/>
          <w:color w:val="auto"/>
        </w:rPr>
      </w:pPr>
    </w:p>
    <w:p>
      <w:pPr>
        <w:jc w:val="both"/>
        <w:ind w:left="1720" w:right="519" w:hanging="348"/>
        <w:spacing w:after="0"/>
        <w:tabs>
          <w:tab w:leader="none" w:pos="1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4" w:lineRule="exact"/>
        <w:rPr>
          <w:rFonts w:ascii="Arial" w:cs="Arial" w:eastAsia="Arial" w:hAnsi="Arial"/>
          <w:sz w:val="18"/>
          <w:szCs w:val="18"/>
          <w:color w:val="auto"/>
        </w:rPr>
      </w:pPr>
    </w:p>
    <w:p>
      <w:pPr>
        <w:jc w:val="both"/>
        <w:ind w:left="1720" w:right="519" w:hanging="348"/>
        <w:spacing w:after="0" w:line="242" w:lineRule="auto"/>
        <w:tabs>
          <w:tab w:leader="none" w:pos="1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78" w:lineRule="exact"/>
        <w:rPr>
          <w:rFonts w:ascii="Arial" w:cs="Arial" w:eastAsia="Arial" w:hAnsi="Arial"/>
          <w:sz w:val="18"/>
          <w:szCs w:val="18"/>
          <w:color w:val="auto"/>
        </w:rPr>
      </w:pPr>
    </w:p>
    <w:p>
      <w:pPr>
        <w:ind w:left="1720" w:right="519" w:hanging="348"/>
        <w:spacing w:after="0" w:line="271" w:lineRule="auto"/>
        <w:tabs>
          <w:tab w:leader="none" w:pos="1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53" w:lineRule="exact"/>
        <w:rPr>
          <w:rFonts w:ascii="Arial" w:cs="Arial" w:eastAsia="Arial" w:hAnsi="Arial"/>
          <w:sz w:val="18"/>
          <w:szCs w:val="18"/>
          <w:color w:val="auto"/>
        </w:rPr>
      </w:pPr>
    </w:p>
    <w:p>
      <w:pPr>
        <w:ind w:left="1300" w:hanging="36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0" w:name="page91"/>
    <w:bookmarkEnd w:id="90"/>
    <w:p>
      <w:pPr>
        <w:jc w:val="both"/>
        <w:ind w:left="1300" w:right="519" w:hanging="360"/>
        <w:spacing w:after="0" w:line="25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1300" w:hanging="36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11" w:lineRule="exact"/>
        <w:rPr>
          <w:rFonts w:ascii="Arial" w:cs="Arial" w:eastAsia="Arial" w:hAnsi="Arial"/>
          <w:sz w:val="18"/>
          <w:szCs w:val="18"/>
          <w:color w:val="auto"/>
        </w:rPr>
      </w:pPr>
    </w:p>
    <w:p>
      <w:pPr>
        <w:ind w:left="1300" w:right="519" w:hanging="360"/>
        <w:spacing w:after="0" w:line="27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 Option.</w:t>
      </w:r>
    </w:p>
    <w:p>
      <w:pPr>
        <w:spacing w:after="0" w:line="153" w:lineRule="exact"/>
        <w:rPr>
          <w:rFonts w:ascii="Arial" w:cs="Arial" w:eastAsia="Arial" w:hAnsi="Arial"/>
          <w:sz w:val="18"/>
          <w:szCs w:val="18"/>
          <w:color w:val="auto"/>
        </w:rPr>
      </w:pPr>
    </w:p>
    <w:p>
      <w:pPr>
        <w:ind w:left="1300" w:right="519" w:hanging="360"/>
        <w:spacing w:after="0" w:line="27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53" w:lineRule="exact"/>
        <w:rPr>
          <w:rFonts w:ascii="Arial" w:cs="Arial" w:eastAsia="Arial" w:hAnsi="Arial"/>
          <w:sz w:val="18"/>
          <w:szCs w:val="18"/>
          <w:color w:val="auto"/>
        </w:rPr>
      </w:pPr>
    </w:p>
    <w:p>
      <w:pPr>
        <w:ind w:left="1300" w:hanging="36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11" w:lineRule="exact"/>
        <w:rPr>
          <w:rFonts w:ascii="Arial" w:cs="Arial" w:eastAsia="Arial" w:hAnsi="Arial"/>
          <w:sz w:val="18"/>
          <w:szCs w:val="18"/>
          <w:color w:val="auto"/>
        </w:rPr>
      </w:pPr>
    </w:p>
    <w:p>
      <w:pPr>
        <w:ind w:left="1300" w:hanging="36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11" w:lineRule="exact"/>
        <w:rPr>
          <w:rFonts w:ascii="Arial" w:cs="Arial" w:eastAsia="Arial" w:hAnsi="Arial"/>
          <w:sz w:val="18"/>
          <w:szCs w:val="18"/>
          <w:color w:val="auto"/>
        </w:rPr>
      </w:pPr>
    </w:p>
    <w:p>
      <w:pPr>
        <w:ind w:left="1300" w:right="539" w:hanging="360"/>
        <w:spacing w:after="0" w:line="27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54" w:lineRule="exact"/>
        <w:rPr>
          <w:sz w:val="20"/>
          <w:szCs w:val="20"/>
          <w:color w:val="auto"/>
        </w:rPr>
      </w:pPr>
    </w:p>
    <w:p>
      <w:pPr>
        <w:ind w:left="1380" w:hanging="440"/>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11" w:lineRule="exact"/>
        <w:rPr>
          <w:rFonts w:ascii="Arial" w:cs="Arial" w:eastAsia="Arial" w:hAnsi="Arial"/>
          <w:sz w:val="18"/>
          <w:szCs w:val="18"/>
          <w:color w:val="auto"/>
        </w:rPr>
      </w:pPr>
    </w:p>
    <w:p>
      <w:pPr>
        <w:jc w:val="both"/>
        <w:ind w:left="1380" w:right="519" w:hanging="440"/>
        <w:spacing w:after="0" w:line="253"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8" w:lineRule="exact"/>
        <w:rPr>
          <w:rFonts w:ascii="Arial" w:cs="Arial" w:eastAsia="Arial" w:hAnsi="Arial"/>
          <w:sz w:val="18"/>
          <w:szCs w:val="18"/>
          <w:color w:val="auto"/>
        </w:rPr>
      </w:pPr>
    </w:p>
    <w:p>
      <w:pPr>
        <w:jc w:val="both"/>
        <w:ind w:left="1380" w:right="519" w:hanging="440"/>
        <w:spacing w:after="0" w:line="247"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3" w:lineRule="exact"/>
        <w:rPr>
          <w:rFonts w:ascii="Arial" w:cs="Arial" w:eastAsia="Arial" w:hAnsi="Arial"/>
          <w:sz w:val="18"/>
          <w:szCs w:val="18"/>
          <w:color w:val="auto"/>
        </w:rPr>
      </w:pPr>
    </w:p>
    <w:p>
      <w:pPr>
        <w:jc w:val="both"/>
        <w:ind w:left="1380" w:right="519" w:hanging="440"/>
        <w:spacing w:after="0" w:line="244"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6" w:lineRule="exact"/>
        <w:rPr>
          <w:rFonts w:ascii="Arial" w:cs="Arial" w:eastAsia="Arial" w:hAnsi="Arial"/>
          <w:sz w:val="18"/>
          <w:szCs w:val="18"/>
          <w:color w:val="auto"/>
        </w:rPr>
      </w:pPr>
    </w:p>
    <w:p>
      <w:pPr>
        <w:ind w:left="1380" w:hanging="440"/>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2012 Equity Incentive Plan, as amended and restated.</w:t>
      </w:r>
    </w:p>
    <w:p>
      <w:pPr>
        <w:spacing w:after="0" w:line="211" w:lineRule="exact"/>
        <w:rPr>
          <w:rFonts w:ascii="Arial" w:cs="Arial" w:eastAsia="Arial" w:hAnsi="Arial"/>
          <w:sz w:val="18"/>
          <w:szCs w:val="18"/>
          <w:color w:val="auto"/>
        </w:rPr>
      </w:pPr>
    </w:p>
    <w:p>
      <w:pPr>
        <w:ind w:left="1380" w:right="519" w:hanging="440"/>
        <w:spacing w:after="0" w:line="271"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153" w:lineRule="exact"/>
        <w:rPr>
          <w:rFonts w:ascii="Arial" w:cs="Arial" w:eastAsia="Arial" w:hAnsi="Arial"/>
          <w:sz w:val="18"/>
          <w:szCs w:val="18"/>
          <w:color w:val="auto"/>
        </w:rPr>
      </w:pPr>
    </w:p>
    <w:p>
      <w:pPr>
        <w:jc w:val="both"/>
        <w:ind w:left="1380" w:right="519" w:hanging="440"/>
        <w:spacing w:after="0" w:line="253"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8" w:lineRule="exact"/>
        <w:rPr>
          <w:rFonts w:ascii="Arial" w:cs="Arial" w:eastAsia="Arial" w:hAnsi="Arial"/>
          <w:sz w:val="18"/>
          <w:szCs w:val="18"/>
          <w:color w:val="auto"/>
        </w:rPr>
      </w:pPr>
    </w:p>
    <w:p>
      <w:pPr>
        <w:ind w:left="1380" w:right="519" w:hanging="440"/>
        <w:spacing w:after="0" w:line="271" w:lineRule="auto"/>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53" w:lineRule="exact"/>
        <w:rPr>
          <w:rFonts w:ascii="Arial" w:cs="Arial" w:eastAsia="Arial" w:hAnsi="Arial"/>
          <w:sz w:val="18"/>
          <w:szCs w:val="18"/>
          <w:color w:val="auto"/>
        </w:rPr>
      </w:pPr>
    </w:p>
    <w:p>
      <w:pPr>
        <w:ind w:left="1380" w:hanging="440"/>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11" w:lineRule="exact"/>
        <w:rPr>
          <w:rFonts w:ascii="Arial" w:cs="Arial" w:eastAsia="Arial" w:hAnsi="Arial"/>
          <w:sz w:val="18"/>
          <w:szCs w:val="18"/>
          <w:color w:val="auto"/>
        </w:rPr>
      </w:pPr>
    </w:p>
    <w:p>
      <w:pPr>
        <w:ind w:left="1380" w:hanging="440"/>
        <w:spacing w:after="0"/>
        <w:tabs>
          <w:tab w:leader="none" w:pos="1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ind w:left="1380" w:right="519" w:hanging="440"/>
        <w:spacing w:after="0" w:line="270"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54" w:lineRule="exact"/>
        <w:rPr>
          <w:rFonts w:ascii="Arial" w:cs="Arial" w:eastAsia="Arial" w:hAnsi="Arial"/>
          <w:sz w:val="18"/>
          <w:szCs w:val="18"/>
          <w:color w:val="auto"/>
        </w:rPr>
      </w:pPr>
    </w:p>
    <w:p>
      <w:pPr>
        <w:ind w:left="1380" w:right="519" w:hanging="440"/>
        <w:spacing w:after="0" w:line="271"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53" w:lineRule="exact"/>
        <w:rPr>
          <w:rFonts w:ascii="Arial" w:cs="Arial" w:eastAsia="Arial" w:hAnsi="Arial"/>
          <w:sz w:val="18"/>
          <w:szCs w:val="18"/>
          <w:color w:val="auto"/>
        </w:rPr>
      </w:pPr>
    </w:p>
    <w:p>
      <w:pPr>
        <w:ind w:left="1380" w:right="519" w:hanging="440"/>
        <w:spacing w:after="0" w:line="271"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53" w:lineRule="exact"/>
        <w:rPr>
          <w:rFonts w:ascii="Arial" w:cs="Arial" w:eastAsia="Arial" w:hAnsi="Arial"/>
          <w:sz w:val="18"/>
          <w:szCs w:val="18"/>
          <w:color w:val="auto"/>
        </w:rPr>
      </w:pPr>
    </w:p>
    <w:p>
      <w:pPr>
        <w:ind w:left="860" w:hanging="352"/>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3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pursuant to Awards granted after the 2022 Restatement became effective is (i) 5,481,000 Shares, plus (ii) any Shares subject to Awards under the previous version of this Plan that had been in place prior to the 2022 Restatement Date (the “</w:t>
      </w:r>
      <w:r>
        <w:rPr>
          <w:rFonts w:ascii="Arial" w:cs="Arial" w:eastAsia="Arial" w:hAnsi="Arial"/>
          <w:sz w:val="18"/>
          <w:szCs w:val="18"/>
          <w:u w:val="single" w:color="auto"/>
          <w:color w:val="auto"/>
        </w:rPr>
        <w:t>Existing Plan</w:t>
      </w:r>
      <w:r>
        <w:rPr>
          <w:rFonts w:ascii="Arial" w:cs="Arial" w:eastAsia="Arial" w:hAnsi="Arial"/>
          <w:sz w:val="18"/>
          <w:szCs w:val="18"/>
          <w:color w:val="auto"/>
        </w:rPr>
        <w:t>”) that, on or after the 2022 Restatement Date, expire or otherwise terminate without having been exercised in full, or that are forfeited to or repurchased by the Company, with the maximum number of Shares to be added to the Plan as a result of clause (ii) equal to 2,712,691, minus (iii) any Shares subject to Awards granted under the Existing Plan after March 31, 2022, but before the 2022 Restatement Date. For clarity, Shares used to pay the exercise price of an award granted under the Existing Plan or to satisfy the tax withholding obligations related to an award granted under the Existing Plan will not be added to the Plan pursuant to clause (ii) of the previous sentence. The Shares may be authorized, but unissued, or reacquired Common Stock.</w:t>
      </w:r>
    </w:p>
    <w:p>
      <w:pPr>
        <w:spacing w:after="0" w:line="189" w:lineRule="exact"/>
        <w:rPr>
          <w:rFonts w:ascii="Arial" w:cs="Arial" w:eastAsia="Arial" w:hAnsi="Arial"/>
          <w:sz w:val="18"/>
          <w:szCs w:val="18"/>
          <w:color w:val="auto"/>
        </w:rPr>
      </w:pPr>
    </w:p>
    <w:p>
      <w:pPr>
        <w:ind w:left="1300" w:hanging="360"/>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[REDACTED]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36"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Lapsed Awards</w:t>
      </w:r>
      <w:r>
        <w:rPr>
          <w:rFonts w:ascii="Arial" w:cs="Arial" w:eastAsia="Arial" w:hAnsi="Arial"/>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all Shares granted (i.e.,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92" w:lineRule="exact"/>
        <w:rPr>
          <w:rFonts w:ascii="Arial" w:cs="Arial" w:eastAsia="Arial" w:hAnsi="Arial"/>
          <w:sz w:val="18"/>
          <w:szCs w:val="18"/>
          <w:color w:val="auto"/>
        </w:rPr>
      </w:pPr>
    </w:p>
    <w:p>
      <w:pPr>
        <w:jc w:val="both"/>
        <w:ind w:left="1300" w:right="539" w:hanging="360"/>
        <w:spacing w:after="0" w:line="253"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ind w:left="860" w:hanging="352"/>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00" w:hanging="360"/>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 administer the Plan.</w:t>
      </w:r>
    </w:p>
    <w:p>
      <w:pPr>
        <w:spacing w:after="0" w:line="153" w:lineRule="exact"/>
        <w:rPr>
          <w:rFonts w:ascii="Arial" w:cs="Arial" w:eastAsia="Arial" w:hAnsi="Arial"/>
          <w:sz w:val="18"/>
          <w:szCs w:val="18"/>
          <w:color w:val="auto"/>
        </w:rPr>
      </w:pPr>
    </w:p>
    <w:p>
      <w:pPr>
        <w:jc w:val="both"/>
        <w:ind w:left="1720" w:right="519" w:hanging="348"/>
        <w:spacing w:after="0" w:line="244" w:lineRule="auto"/>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6" w:lineRule="exact"/>
        <w:rPr>
          <w:rFonts w:ascii="Arial" w:cs="Arial" w:eastAsia="Arial" w:hAnsi="Arial"/>
          <w:sz w:val="18"/>
          <w:szCs w:val="18"/>
          <w:color w:val="auto"/>
        </w:rPr>
      </w:pPr>
    </w:p>
    <w:p>
      <w:pPr>
        <w:jc w:val="both"/>
        <w:ind w:left="1720" w:right="519" w:hanging="348"/>
        <w:spacing w:after="0" w:line="253" w:lineRule="auto"/>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8" w:lineRule="exact"/>
        <w:rPr>
          <w:rFonts w:ascii="Arial" w:cs="Arial" w:eastAsia="Arial" w:hAnsi="Arial"/>
          <w:sz w:val="18"/>
          <w:szCs w:val="18"/>
          <w:color w:val="auto"/>
        </w:rPr>
      </w:pPr>
    </w:p>
    <w:p>
      <w:pPr>
        <w:ind w:left="1720"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w:t>
      </w:r>
    </w:p>
    <w:p>
      <w:pPr>
        <w:spacing w:after="0" w:line="13" w:lineRule="exact"/>
        <w:rPr>
          <w:rFonts w:ascii="Arial" w:cs="Arial" w:eastAsia="Arial" w:hAnsi="Arial"/>
          <w:sz w:val="18"/>
          <w:szCs w:val="18"/>
          <w:color w:val="auto"/>
        </w:rPr>
      </w:pPr>
    </w:p>
    <w:p>
      <w:pPr>
        <w:ind w:left="1720" w:right="519" w:firstLine="3"/>
        <w:spacing w:after="0" w:line="250" w:lineRule="auto"/>
        <w:tabs>
          <w:tab w:leader="none" w:pos="2045" w:val="left"/>
        </w:tabs>
        <w:numPr>
          <w:ilvl w:val="3"/>
          <w:numId w:val="79"/>
        </w:numPr>
        <w:rPr>
          <w:rFonts w:ascii="Arial" w:cs="Arial" w:eastAsia="Arial" w:hAnsi="Arial"/>
          <w:sz w:val="18"/>
          <w:szCs w:val="18"/>
          <w:color w:val="auto"/>
        </w:rPr>
      </w:pPr>
      <w:r>
        <w:rPr>
          <w:rFonts w:ascii="Arial" w:cs="Arial" w:eastAsia="Arial" w:hAnsi="Arial"/>
          <w:sz w:val="18"/>
          <w:szCs w:val="18"/>
          <w:color w:val="auto"/>
        </w:rPr>
        <w:t>the Board or (B) a Committee, which committee will be constituted to satisfy Applicable Laws.</w:t>
      </w:r>
    </w:p>
    <w:p>
      <w:pPr>
        <w:spacing w:after="0" w:line="171"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8" w:lineRule="exact"/>
        <w:rPr>
          <w:rFonts w:ascii="Arial" w:cs="Arial" w:eastAsia="Arial" w:hAnsi="Arial"/>
          <w:sz w:val="18"/>
          <w:szCs w:val="18"/>
          <w:color w:val="auto"/>
        </w:rPr>
      </w:pPr>
    </w:p>
    <w:p>
      <w:pPr>
        <w:ind w:left="1720"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11" w:lineRule="exact"/>
        <w:rPr>
          <w:rFonts w:ascii="Arial" w:cs="Arial" w:eastAsia="Arial" w:hAnsi="Arial"/>
          <w:sz w:val="18"/>
          <w:szCs w:val="18"/>
          <w:color w:val="auto"/>
        </w:rPr>
      </w:pPr>
    </w:p>
    <w:p>
      <w:pPr>
        <w:ind w:left="1720"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11" w:lineRule="exact"/>
        <w:rPr>
          <w:rFonts w:ascii="Arial" w:cs="Arial" w:eastAsia="Arial" w:hAnsi="Arial"/>
          <w:sz w:val="18"/>
          <w:szCs w:val="18"/>
          <w:color w:val="auto"/>
        </w:rPr>
      </w:pPr>
    </w:p>
    <w:p>
      <w:pPr>
        <w:ind w:left="1720"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11" w:lineRule="exact"/>
        <w:rPr>
          <w:rFonts w:ascii="Arial" w:cs="Arial" w:eastAsia="Arial" w:hAnsi="Arial"/>
          <w:sz w:val="18"/>
          <w:szCs w:val="18"/>
          <w:color w:val="auto"/>
        </w:rPr>
      </w:pPr>
    </w:p>
    <w:p>
      <w:pPr>
        <w:ind w:left="1720"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11" w:lineRule="exact"/>
        <w:rPr>
          <w:rFonts w:ascii="Arial" w:cs="Arial" w:eastAsia="Arial" w:hAnsi="Arial"/>
          <w:sz w:val="18"/>
          <w:szCs w:val="18"/>
          <w:color w:val="auto"/>
        </w:rPr>
      </w:pPr>
    </w:p>
    <w:p>
      <w:pPr>
        <w:jc w:val="both"/>
        <w:ind w:left="1720" w:right="519" w:hanging="348"/>
        <w:spacing w:after="0"/>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4"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53" w:lineRule="exact"/>
        <w:rPr>
          <w:rFonts w:ascii="Arial" w:cs="Arial" w:eastAsia="Arial" w:hAnsi="Arial"/>
          <w:sz w:val="18"/>
          <w:szCs w:val="18"/>
          <w:color w:val="auto"/>
        </w:rPr>
      </w:pPr>
    </w:p>
    <w:p>
      <w:pPr>
        <w:jc w:val="both"/>
        <w:ind w:left="1720" w:right="519" w:hanging="348"/>
        <w:spacing w:after="0" w:line="247" w:lineRule="auto"/>
        <w:tabs>
          <w:tab w:leader="none" w:pos="17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4" w:lineRule="exact"/>
        <w:rPr>
          <w:sz w:val="20"/>
          <w:szCs w:val="20"/>
          <w:color w:val="auto"/>
        </w:rPr>
      </w:pPr>
    </w:p>
    <w:p>
      <w:pPr>
        <w:jc w:val="both"/>
        <w:ind w:left="1720" w:right="519" w:hanging="350"/>
        <w:spacing w:after="0" w:line="247" w:lineRule="auto"/>
        <w:rPr>
          <w:sz w:val="20"/>
          <w:szCs w:val="20"/>
          <w:color w:val="auto"/>
        </w:rPr>
      </w:pPr>
      <w:r>
        <w:rPr>
          <w:rFonts w:ascii="Arial" w:cs="Arial" w:eastAsia="Arial" w:hAnsi="Arial"/>
          <w:sz w:val="18"/>
          <w:szCs w:val="18"/>
          <w:color w:val="auto"/>
        </w:rPr>
        <w:t>(viii)to modify or amend each Award (subject to Sections 5 and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ind w:left="1720" w:right="519" w:hanging="348"/>
        <w:spacing w:after="0" w:line="270" w:lineRule="auto"/>
        <w:tabs>
          <w:tab w:leader="none" w:pos="17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such manner as prescribed in Section 14 of the Plan;</w:t>
      </w:r>
    </w:p>
    <w:p>
      <w:pPr>
        <w:spacing w:after="0" w:line="154"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53"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53"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53" w:lineRule="exact"/>
        <w:rPr>
          <w:rFonts w:ascii="Arial" w:cs="Arial" w:eastAsia="Arial" w:hAnsi="Arial"/>
          <w:sz w:val="18"/>
          <w:szCs w:val="18"/>
          <w:color w:val="auto"/>
        </w:rPr>
      </w:pPr>
    </w:p>
    <w:p>
      <w:pPr>
        <w:jc w:val="both"/>
        <w:ind w:left="1300" w:right="519" w:hanging="360"/>
        <w:spacing w:after="0" w:line="301" w:lineRule="auto"/>
        <w:tabs>
          <w:tab w:leader="none" w:pos="130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The Administrator’s decisions, determinations and interpretations will be final and binding on all Participants and any other holders of Awards.</w:t>
      </w:r>
    </w:p>
    <w:p>
      <w:pPr>
        <w:spacing w:after="0" w:line="130" w:lineRule="exact"/>
        <w:rPr>
          <w:rFonts w:ascii="Arial" w:cs="Arial" w:eastAsia="Arial" w:hAnsi="Arial"/>
          <w:sz w:val="17"/>
          <w:szCs w:val="17"/>
          <w:color w:val="auto"/>
        </w:rPr>
      </w:pPr>
    </w:p>
    <w:p>
      <w:pPr>
        <w:ind w:left="860" w:hanging="352"/>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Eligibility &amp; 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8" w:lineRule="exact"/>
        <w:rPr>
          <w:rFonts w:ascii="Arial" w:cs="Arial" w:eastAsia="Arial" w:hAnsi="Arial"/>
          <w:sz w:val="18"/>
          <w:szCs w:val="18"/>
          <w:color w:val="auto"/>
        </w:rPr>
      </w:pPr>
    </w:p>
    <w:p>
      <w:pPr>
        <w:ind w:left="1300" w:hanging="360"/>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720" w:right="519" w:hanging="348"/>
        <w:spacing w:after="0"/>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Outside Director Limitations</w:t>
      </w:r>
      <w:r>
        <w:rPr>
          <w:rFonts w:ascii="Arial" w:cs="Arial" w:eastAsia="Arial" w:hAnsi="Arial"/>
          <w:sz w:val="18"/>
          <w:szCs w:val="18"/>
          <w:color w:val="auto"/>
        </w:rPr>
        <w:t>. No Outside Director may, in any Fiscal Year, be paid cash compensation and granted Awards with an aggregate value (determined under GAAP with respect to Awards) greater than $1,000,000, except that such limit will be increased to $2,000,000 in the Fiscal Year of his or her initial service as an Outside Director. Any cash compensation paid or Awards granted to an individual for his or her services as an Employee, or for his or her services as a Consultant (other than as an Outside Director), will not count for purpose of this limitation.</w:t>
      </w:r>
    </w:p>
    <w:p>
      <w:pPr>
        <w:spacing w:after="0" w:line="184"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No dividends or other distributions shall be paid with respect to any Shares underlying any unvested portion of an Award.</w:t>
      </w:r>
    </w:p>
    <w:p>
      <w:pPr>
        <w:spacing w:after="0" w:line="153" w:lineRule="exact"/>
        <w:rPr>
          <w:rFonts w:ascii="Arial" w:cs="Arial" w:eastAsia="Arial" w:hAnsi="Arial"/>
          <w:sz w:val="18"/>
          <w:szCs w:val="18"/>
          <w:color w:val="auto"/>
        </w:rPr>
      </w:pPr>
    </w:p>
    <w:p>
      <w:pPr>
        <w:jc w:val="both"/>
        <w:ind w:left="1720" w:right="519" w:hanging="348"/>
        <w:spacing w:after="0" w:line="242" w:lineRule="auto"/>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Sections 4 and/or 13(c), the Administrator may not exercise discretion in a Change in Control to accelerate the vesting of Awards. For clarity, the exercise discretion does not include automatic acceleration for Awards not assumed in Section 13(c), Outside Director Awards set forth in Section 13(d) and any accelerated vesting terms set forth in an Award Agreement, a contract or a policy.</w:t>
      </w:r>
    </w:p>
    <w:p>
      <w:pPr>
        <w:spacing w:after="0" w:line="178"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No Exchange Programs</w:t>
      </w:r>
      <w:r>
        <w:rPr>
          <w:rFonts w:ascii="Arial" w:cs="Arial" w:eastAsia="Arial" w:hAnsi="Arial"/>
          <w:sz w:val="18"/>
          <w:szCs w:val="18"/>
          <w:color w:val="auto"/>
        </w:rPr>
        <w:t>. The Administrator may not implement an Exchange Program.</w:t>
      </w:r>
    </w:p>
    <w:p>
      <w:pPr>
        <w:spacing w:after="0" w:line="153" w:lineRule="exact"/>
        <w:rPr>
          <w:rFonts w:ascii="Arial" w:cs="Arial" w:eastAsia="Arial" w:hAnsi="Arial"/>
          <w:sz w:val="18"/>
          <w:szCs w:val="18"/>
          <w:color w:val="auto"/>
        </w:rPr>
      </w:pPr>
    </w:p>
    <w:p>
      <w:pPr>
        <w:jc w:val="both"/>
        <w:ind w:left="1720" w:right="519" w:hanging="348"/>
        <w:spacing w:after="0" w:line="247" w:lineRule="auto"/>
        <w:tabs>
          <w:tab w:leader="none" w:pos="172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No Section 4999 Excise Tax Gross-Up</w:t>
      </w:r>
      <w:r>
        <w:rPr>
          <w:rFonts w:ascii="Arial" w:cs="Arial" w:eastAsia="Arial" w:hAnsi="Arial"/>
          <w:sz w:val="18"/>
          <w:szCs w:val="18"/>
          <w:color w:val="auto"/>
        </w:rPr>
        <w:t>. The Administrator may not provide for any tax gross up payment to any Participant, or otherwise provide any Participant with a right to indemnification or reimbursement, for any excise tax imposed by Section 4999 of the Code or any similar law.</w:t>
      </w:r>
    </w:p>
    <w:p>
      <w:pPr>
        <w:spacing w:after="0" w:line="173" w:lineRule="exact"/>
        <w:rPr>
          <w:rFonts w:ascii="Arial" w:cs="Arial" w:eastAsia="Arial" w:hAnsi="Arial"/>
          <w:sz w:val="18"/>
          <w:szCs w:val="18"/>
          <w:color w:val="auto"/>
        </w:rPr>
      </w:pPr>
    </w:p>
    <w:p>
      <w:pPr>
        <w:ind w:left="860" w:hanging="352"/>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both"/>
        <w:ind w:left="1300" w:right="519"/>
        <w:spacing w:after="0" w:line="241" w:lineRule="auto"/>
        <w:rPr>
          <w:sz w:val="20"/>
          <w:szCs w:val="20"/>
          <w:color w:val="auto"/>
        </w:rPr>
      </w:pPr>
      <w:r>
        <w:rPr>
          <w:rFonts w:ascii="Arial" w:cs="Arial" w:eastAsia="Arial" w:hAnsi="Arial"/>
          <w:sz w:val="18"/>
          <w:szCs w:val="18"/>
          <w:color w:val="auto"/>
        </w:rPr>
        <w:t>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3" w:lineRule="exact"/>
        <w:rPr>
          <w:sz w:val="20"/>
          <w:szCs w:val="20"/>
          <w:color w:val="auto"/>
        </w:rPr>
      </w:pPr>
    </w:p>
    <w:p>
      <w:pPr>
        <w:jc w:val="both"/>
        <w:ind w:left="1300" w:right="519" w:hanging="36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0" w:lineRule="exact"/>
        <w:rPr>
          <w:rFonts w:ascii="Arial" w:cs="Arial" w:eastAsia="Arial" w:hAnsi="Arial"/>
          <w:sz w:val="18"/>
          <w:szCs w:val="18"/>
          <w:color w:val="auto"/>
        </w:rPr>
      </w:pPr>
    </w:p>
    <w:p>
      <w:pPr>
        <w:ind w:left="1300" w:hanging="36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720" w:right="519" w:hanging="348"/>
        <w:spacing w:after="0" w:line="253" w:lineRule="auto"/>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68" w:lineRule="exact"/>
        <w:rPr>
          <w:rFonts w:ascii="Arial" w:cs="Arial" w:eastAsia="Arial" w:hAnsi="Arial"/>
          <w:sz w:val="18"/>
          <w:szCs w:val="18"/>
          <w:color w:val="auto"/>
        </w:rPr>
      </w:pPr>
    </w:p>
    <w:p>
      <w:pPr>
        <w:ind w:left="2160" w:hanging="356"/>
        <w:spacing w:after="0"/>
        <w:tabs>
          <w:tab w:leader="none" w:pos="21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11" w:lineRule="exact"/>
        <w:rPr>
          <w:rFonts w:ascii="Arial" w:cs="Arial" w:eastAsia="Arial" w:hAnsi="Arial"/>
          <w:sz w:val="18"/>
          <w:szCs w:val="18"/>
          <w:color w:val="auto"/>
        </w:rPr>
      </w:pPr>
    </w:p>
    <w:p>
      <w:pPr>
        <w:jc w:val="both"/>
        <w:ind w:left="2580" w:right="519" w:hanging="344"/>
        <w:spacing w:after="0" w:line="242" w:lineRule="auto"/>
        <w:tabs>
          <w:tab w:leader="none" w:pos="2580" w:val="left"/>
        </w:tabs>
        <w:numPr>
          <w:ilvl w:val="3"/>
          <w:numId w:val="83"/>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8" w:lineRule="exact"/>
        <w:rPr>
          <w:rFonts w:ascii="Arial" w:cs="Arial" w:eastAsia="Arial" w:hAnsi="Arial"/>
          <w:sz w:val="18"/>
          <w:szCs w:val="18"/>
          <w:color w:val="auto"/>
        </w:rPr>
      </w:pPr>
    </w:p>
    <w:p>
      <w:pPr>
        <w:ind w:left="2580" w:hanging="344"/>
        <w:spacing w:after="0"/>
        <w:tabs>
          <w:tab w:leader="none" w:pos="2580" w:val="left"/>
        </w:tabs>
        <w:numPr>
          <w:ilvl w:val="3"/>
          <w:numId w:val="83"/>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w:t>
      </w:r>
    </w:p>
    <w:p>
      <w:pPr>
        <w:spacing w:after="0" w:line="13" w:lineRule="exact"/>
        <w:rPr>
          <w:rFonts w:ascii="Arial" w:cs="Arial" w:eastAsia="Arial" w:hAnsi="Arial"/>
          <w:sz w:val="18"/>
          <w:szCs w:val="18"/>
          <w:color w:val="auto"/>
        </w:rPr>
      </w:pPr>
    </w:p>
    <w:p>
      <w:pPr>
        <w:jc w:val="both"/>
        <w:ind w:left="2580" w:right="519" w:firstLine="7"/>
        <w:spacing w:after="0" w:line="242" w:lineRule="auto"/>
        <w:tabs>
          <w:tab w:leader="none" w:pos="2887" w:val="left"/>
        </w:tabs>
        <w:numPr>
          <w:ilvl w:val="4"/>
          <w:numId w:val="83"/>
        </w:numPr>
        <w:rPr>
          <w:rFonts w:ascii="Arial" w:cs="Arial" w:eastAsia="Arial" w:hAnsi="Arial"/>
          <w:sz w:val="18"/>
          <w:szCs w:val="18"/>
          <w:color w:val="auto"/>
        </w:rPr>
      </w:pPr>
      <w:r>
        <w:rPr>
          <w:rFonts w:ascii="Arial" w:cs="Arial" w:eastAsia="Arial" w:hAnsi="Arial"/>
          <w:sz w:val="18"/>
          <w:szCs w:val="18"/>
          <w:color w:val="auto"/>
        </w:rPr>
        <w:t>immediately above, the per Share exercise price will be no less than one hundred percent (100%) of the Fair Market Value per Share on the date of grant.</w:t>
      </w:r>
    </w:p>
    <w:p>
      <w:pPr>
        <w:spacing w:after="0" w:line="179" w:lineRule="exact"/>
        <w:rPr>
          <w:rFonts w:ascii="Arial" w:cs="Arial" w:eastAsia="Arial" w:hAnsi="Arial"/>
          <w:sz w:val="18"/>
          <w:szCs w:val="18"/>
          <w:color w:val="auto"/>
        </w:rPr>
      </w:pPr>
    </w:p>
    <w:p>
      <w:pPr>
        <w:jc w:val="both"/>
        <w:ind w:left="2160" w:right="519" w:hanging="356"/>
        <w:spacing w:after="0" w:line="253" w:lineRule="auto"/>
        <w:tabs>
          <w:tab w:leader="none" w:pos="21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68" w:lineRule="exact"/>
        <w:rPr>
          <w:rFonts w:ascii="Arial" w:cs="Arial" w:eastAsia="Arial" w:hAnsi="Arial"/>
          <w:sz w:val="18"/>
          <w:szCs w:val="18"/>
          <w:color w:val="auto"/>
        </w:rPr>
      </w:pPr>
    </w:p>
    <w:p>
      <w:pPr>
        <w:jc w:val="both"/>
        <w:ind w:left="2160" w:right="519" w:hanging="356"/>
        <w:spacing w:after="0" w:line="247" w:lineRule="auto"/>
        <w:tabs>
          <w:tab w:leader="none" w:pos="21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3" w:lineRule="exact"/>
        <w:rPr>
          <w:rFonts w:ascii="Arial" w:cs="Arial" w:eastAsia="Arial" w:hAnsi="Arial"/>
          <w:sz w:val="18"/>
          <w:szCs w:val="18"/>
          <w:color w:val="auto"/>
        </w:rPr>
      </w:pPr>
    </w:p>
    <w:p>
      <w:pPr>
        <w:jc w:val="both"/>
        <w:ind w:left="1720" w:right="519" w:hanging="348"/>
        <w:spacing w:after="0" w:line="253" w:lineRule="auto"/>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8" w:lineRule="exact"/>
        <w:rPr>
          <w:rFonts w:ascii="Arial" w:cs="Arial" w:eastAsia="Arial" w:hAnsi="Arial"/>
          <w:sz w:val="18"/>
          <w:szCs w:val="18"/>
          <w:color w:val="auto"/>
        </w:rPr>
      </w:pPr>
    </w:p>
    <w:p>
      <w:pPr>
        <w:jc w:val="both"/>
        <w:ind w:left="1720" w:right="519" w:hanging="348"/>
        <w:spacing w:after="0" w:line="242" w:lineRule="auto"/>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jc w:val="both"/>
        <w:ind w:left="1740" w:right="519"/>
        <w:spacing w:after="0" w:line="238" w:lineRule="auto"/>
        <w:rPr>
          <w:sz w:val="20"/>
          <w:szCs w:val="20"/>
          <w:color w:val="auto"/>
        </w:rPr>
      </w:pPr>
      <w:r>
        <w:rPr>
          <w:rFonts w:ascii="Arial" w:cs="Arial" w:eastAsia="Arial" w:hAnsi="Arial"/>
          <w:sz w:val="18"/>
          <w:szCs w:val="18"/>
          <w:color w:val="auto"/>
        </w:rPr>
        <w:t>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8" w:lineRule="exact"/>
        <w:rPr>
          <w:sz w:val="20"/>
          <w:szCs w:val="20"/>
          <w:color w:val="auto"/>
        </w:rPr>
      </w:pPr>
    </w:p>
    <w:p>
      <w:pPr>
        <w:ind w:left="1300" w:hanging="36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720" w:right="519" w:hanging="348"/>
        <w:spacing w:after="0" w:line="247" w:lineRule="auto"/>
        <w:tabs>
          <w:tab w:leader="none" w:pos="17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3" w:lineRule="exact"/>
        <w:rPr>
          <w:rFonts w:ascii="Arial" w:cs="Arial" w:eastAsia="Arial" w:hAnsi="Arial"/>
          <w:sz w:val="18"/>
          <w:szCs w:val="18"/>
          <w:color w:val="auto"/>
        </w:rPr>
      </w:pPr>
    </w:p>
    <w:p>
      <w:pPr>
        <w:jc w:val="both"/>
        <w:ind w:left="1740" w:right="519"/>
        <w:spacing w:after="0" w:line="237" w:lineRule="auto"/>
        <w:rPr>
          <w:rFonts w:ascii="Arial" w:cs="Arial" w:eastAsia="Arial" w:hAnsi="Arial"/>
          <w:sz w:val="18"/>
          <w:szCs w:val="18"/>
          <w:color w:val="auto"/>
        </w:rPr>
      </w:pPr>
      <w:r>
        <w:rPr>
          <w:rFonts w:ascii="Arial" w:cs="Arial" w:eastAsia="Arial" w:hAnsi="Arial"/>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5" w:lineRule="exact"/>
        <w:rPr>
          <w:rFonts w:ascii="Arial" w:cs="Arial" w:eastAsia="Arial" w:hAnsi="Arial"/>
          <w:sz w:val="18"/>
          <w:szCs w:val="18"/>
          <w:color w:val="auto"/>
        </w:rPr>
      </w:pPr>
    </w:p>
    <w:p>
      <w:pPr>
        <w:jc w:val="both"/>
        <w:ind w:left="1740" w:right="519"/>
        <w:spacing w:after="0" w:line="253" w:lineRule="auto"/>
        <w:rPr>
          <w:rFonts w:ascii="Arial" w:cs="Arial" w:eastAsia="Arial" w:hAnsi="Arial"/>
          <w:sz w:val="18"/>
          <w:szCs w:val="18"/>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8" w:lineRule="exact"/>
        <w:rPr>
          <w:rFonts w:ascii="Arial" w:cs="Arial" w:eastAsia="Arial" w:hAnsi="Arial"/>
          <w:sz w:val="18"/>
          <w:szCs w:val="18"/>
          <w:color w:val="auto"/>
        </w:rPr>
      </w:pPr>
    </w:p>
    <w:p>
      <w:pPr>
        <w:jc w:val="both"/>
        <w:ind w:left="1720" w:right="519" w:hanging="348"/>
        <w:spacing w:after="0" w:line="237" w:lineRule="auto"/>
        <w:tabs>
          <w:tab w:leader="none" w:pos="17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w:t>
      </w:r>
    </w:p>
    <w:p>
      <w:pPr>
        <w:spacing w:after="0" w:line="4" w:lineRule="exact"/>
        <w:rPr>
          <w:rFonts w:ascii="Arial" w:cs="Arial" w:eastAsia="Arial" w:hAnsi="Arial"/>
          <w:sz w:val="18"/>
          <w:szCs w:val="18"/>
          <w:color w:val="auto"/>
        </w:rPr>
      </w:pPr>
    </w:p>
    <w:p>
      <w:pPr>
        <w:jc w:val="both"/>
        <w:ind w:left="1720" w:right="519"/>
        <w:spacing w:after="0" w:line="238" w:lineRule="auto"/>
        <w:rPr>
          <w:rFonts w:ascii="Arial" w:cs="Arial" w:eastAsia="Arial" w:hAnsi="Arial"/>
          <w:sz w:val="18"/>
          <w:szCs w:val="18"/>
          <w:color w:val="auto"/>
        </w:rPr>
      </w:pPr>
      <w:r>
        <w:rPr>
          <w:rFonts w:ascii="Arial" w:cs="Arial" w:eastAsia="Arial" w:hAnsi="Arial"/>
          <w:sz w:val="18"/>
          <w:szCs w:val="18"/>
          <w:color w:val="auto"/>
        </w:rPr>
        <w:t>(3)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both"/>
        <w:ind w:left="1720" w:right="519" w:hanging="348"/>
        <w:spacing w:after="0" w:line="238" w:lineRule="auto"/>
        <w:tabs>
          <w:tab w:leader="none" w:pos="172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2" w:lineRule="exact"/>
        <w:rPr>
          <w:rFonts w:ascii="Arial" w:cs="Arial" w:eastAsia="Arial" w:hAnsi="Arial"/>
          <w:sz w:val="18"/>
          <w:szCs w:val="18"/>
          <w:color w:val="auto"/>
        </w:rPr>
      </w:pPr>
    </w:p>
    <w:p>
      <w:pPr>
        <w:jc w:val="both"/>
        <w:ind w:left="1720" w:right="519" w:hanging="348"/>
        <w:spacing w:after="0" w:line="237" w:lineRule="auto"/>
        <w:tabs>
          <w:tab w:leader="none" w:pos="172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3" w:lineRule="exact"/>
        <w:rPr>
          <w:rFonts w:ascii="Arial" w:cs="Arial" w:eastAsia="Arial" w:hAnsi="Arial"/>
          <w:sz w:val="18"/>
          <w:szCs w:val="18"/>
          <w:color w:val="auto"/>
        </w:rPr>
      </w:pPr>
    </w:p>
    <w:p>
      <w:pPr>
        <w:ind w:left="860" w:hanging="352"/>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3" w:lineRule="exact"/>
        <w:rPr>
          <w:rFonts w:ascii="Arial" w:cs="Arial" w:eastAsia="Arial" w:hAnsi="Arial"/>
          <w:sz w:val="18"/>
          <w:szCs w:val="18"/>
          <w:color w:val="auto"/>
        </w:rPr>
      </w:pPr>
    </w:p>
    <w:p>
      <w:pPr>
        <w:jc w:val="both"/>
        <w:ind w:left="1300" w:right="519" w:hanging="360"/>
        <w:spacing w:after="0" w:line="261"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Restricted Stock Agreement</w:t>
      </w:r>
      <w:r>
        <w:rPr>
          <w:rFonts w:ascii="Arial" w:cs="Arial" w:eastAsia="Arial" w:hAnsi="Arial"/>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65" w:lineRule="exact"/>
        <w:rPr>
          <w:rFonts w:ascii="Arial" w:cs="Arial" w:eastAsia="Arial" w:hAnsi="Arial"/>
          <w:sz w:val="17"/>
          <w:szCs w:val="17"/>
          <w:color w:val="auto"/>
        </w:rPr>
      </w:pPr>
    </w:p>
    <w:p>
      <w:pPr>
        <w:jc w:val="both"/>
        <w:ind w:left="1300" w:right="539" w:hanging="360"/>
        <w:spacing w:after="0" w:line="25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8" w:lineRule="exact"/>
        <w:rPr>
          <w:rFonts w:ascii="Arial" w:cs="Arial" w:eastAsia="Arial" w:hAnsi="Arial"/>
          <w:sz w:val="18"/>
          <w:szCs w:val="18"/>
          <w:color w:val="auto"/>
        </w:rPr>
      </w:pPr>
    </w:p>
    <w:p>
      <w:pPr>
        <w:ind w:left="1300" w:right="519" w:hanging="36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3"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jc w:val="both"/>
        <w:ind w:left="1300" w:right="519"/>
        <w:spacing w:after="0" w:line="252" w:lineRule="auto"/>
        <w:rPr>
          <w:sz w:val="20"/>
          <w:szCs w:val="20"/>
          <w:color w:val="auto"/>
        </w:rPr>
      </w:pPr>
      <w:r>
        <w:rPr>
          <w:rFonts w:ascii="Arial" w:cs="Arial" w:eastAsia="Arial" w:hAnsi="Arial"/>
          <w:sz w:val="18"/>
          <w:szCs w:val="18"/>
          <w:color w:val="auto"/>
        </w:rPr>
        <w:t>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1" w:lineRule="exact"/>
        <w:rPr>
          <w:sz w:val="20"/>
          <w:szCs w:val="20"/>
          <w:color w:val="auto"/>
        </w:rPr>
      </w:pPr>
    </w:p>
    <w:p>
      <w:pPr>
        <w:jc w:val="both"/>
        <w:ind w:left="1300" w:right="519" w:hanging="360"/>
        <w:spacing w:after="0" w:line="253"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8"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8"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68" w:lineRule="exact"/>
        <w:rPr>
          <w:rFonts w:ascii="Arial" w:cs="Arial" w:eastAsia="Arial" w:hAnsi="Arial"/>
          <w:sz w:val="18"/>
          <w:szCs w:val="18"/>
          <w:color w:val="auto"/>
        </w:rPr>
      </w:pPr>
    </w:p>
    <w:p>
      <w:pPr>
        <w:ind w:left="860" w:hanging="352"/>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6" w:lineRule="exact"/>
        <w:rPr>
          <w:rFonts w:ascii="Arial" w:cs="Arial" w:eastAsia="Arial" w:hAnsi="Arial"/>
          <w:sz w:val="18"/>
          <w:szCs w:val="18"/>
          <w:color w:val="auto"/>
        </w:rPr>
      </w:pPr>
    </w:p>
    <w:p>
      <w:pPr>
        <w:jc w:val="both"/>
        <w:ind w:left="1300" w:right="519" w:hanging="36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4"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3" w:lineRule="exact"/>
        <w:rPr>
          <w:rFonts w:ascii="Arial" w:cs="Arial" w:eastAsia="Arial" w:hAnsi="Arial"/>
          <w:sz w:val="18"/>
          <w:szCs w:val="18"/>
          <w:color w:val="auto"/>
        </w:rPr>
      </w:pPr>
    </w:p>
    <w:p>
      <w:pPr>
        <w:ind w:left="1300" w:right="539" w:hanging="360"/>
        <w:spacing w:after="0" w:line="271"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 Company.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ind w:left="860" w:hanging="352"/>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8" w:lineRule="exact"/>
        <w:rPr>
          <w:rFonts w:ascii="Arial" w:cs="Arial" w:eastAsia="Arial" w:hAnsi="Arial"/>
          <w:sz w:val="18"/>
          <w:szCs w:val="18"/>
          <w:color w:val="auto"/>
        </w:rPr>
      </w:pPr>
    </w:p>
    <w:p>
      <w:pPr>
        <w:ind w:left="1300" w:right="539" w:hanging="360"/>
        <w:spacing w:after="0" w:line="271"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3"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8"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3"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6"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68" w:lineRule="exact"/>
        <w:rPr>
          <w:rFonts w:ascii="Arial" w:cs="Arial" w:eastAsia="Arial" w:hAnsi="Arial"/>
          <w:sz w:val="18"/>
          <w:szCs w:val="18"/>
          <w:color w:val="auto"/>
        </w:rPr>
      </w:pPr>
    </w:p>
    <w:p>
      <w:pPr>
        <w:ind w:left="1720" w:right="519" w:hanging="348"/>
        <w:spacing w:after="0" w:line="271" w:lineRule="auto"/>
        <w:tabs>
          <w:tab w:leader="none" w:pos="17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53" w:lineRule="exact"/>
        <w:rPr>
          <w:rFonts w:ascii="Arial" w:cs="Arial" w:eastAsia="Arial" w:hAnsi="Arial"/>
          <w:sz w:val="18"/>
          <w:szCs w:val="18"/>
          <w:color w:val="auto"/>
        </w:rPr>
      </w:pPr>
    </w:p>
    <w:p>
      <w:pPr>
        <w:ind w:left="1720" w:right="539" w:hanging="348"/>
        <w:spacing w:after="0" w:line="271" w:lineRule="auto"/>
        <w:tabs>
          <w:tab w:leader="none" w:pos="17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54" w:lineRule="exact"/>
        <w:rPr>
          <w:sz w:val="20"/>
          <w:szCs w:val="20"/>
          <w:color w:val="auto"/>
        </w:rPr>
      </w:pPr>
    </w:p>
    <w:p>
      <w:pPr>
        <w:ind w:left="500" w:right="519"/>
        <w:spacing w:after="0" w:line="271"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54" w:lineRule="exact"/>
        <w:rPr>
          <w:sz w:val="20"/>
          <w:szCs w:val="20"/>
          <w:color w:val="auto"/>
        </w:rPr>
      </w:pPr>
    </w:p>
    <w:p>
      <w:pPr>
        <w:ind w:left="860" w:hanging="352"/>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6" w:lineRule="exact"/>
        <w:rPr>
          <w:rFonts w:ascii="Arial" w:cs="Arial" w:eastAsia="Arial" w:hAnsi="Arial"/>
          <w:sz w:val="18"/>
          <w:szCs w:val="18"/>
          <w:color w:val="auto"/>
        </w:rPr>
      </w:pPr>
    </w:p>
    <w:p>
      <w:pPr>
        <w:jc w:val="both"/>
        <w:ind w:left="1300" w:right="539" w:hanging="360"/>
        <w:spacing w:after="0" w:line="247"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jc w:val="both"/>
        <w:ind w:left="1300" w:right="519" w:hanging="360"/>
        <w:spacing w:after="0" w:line="238"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2" w:lineRule="exact"/>
        <w:rPr>
          <w:rFonts w:ascii="Arial" w:cs="Arial" w:eastAsia="Arial" w:hAnsi="Arial"/>
          <w:sz w:val="18"/>
          <w:szCs w:val="18"/>
          <w:color w:val="auto"/>
        </w:rPr>
      </w:pPr>
    </w:p>
    <w:p>
      <w:pPr>
        <w:jc w:val="both"/>
        <w:ind w:left="1300" w:right="519" w:hanging="360"/>
        <w:spacing w:after="0"/>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4"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8" w:lineRule="exact"/>
        <w:rPr>
          <w:rFonts w:ascii="Arial" w:cs="Arial" w:eastAsia="Arial" w:hAnsi="Arial"/>
          <w:sz w:val="18"/>
          <w:szCs w:val="18"/>
          <w:color w:val="auto"/>
        </w:rPr>
      </w:pPr>
    </w:p>
    <w:p>
      <w:pPr>
        <w:jc w:val="both"/>
        <w:ind w:left="1300" w:right="519" w:hanging="360"/>
        <w:spacing w:after="0" w:line="253"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68" w:lineRule="exact"/>
        <w:rPr>
          <w:rFonts w:ascii="Arial" w:cs="Arial" w:eastAsia="Arial" w:hAnsi="Arial"/>
          <w:sz w:val="18"/>
          <w:szCs w:val="18"/>
          <w:color w:val="auto"/>
        </w:rPr>
      </w:pPr>
    </w:p>
    <w:p>
      <w:pPr>
        <w:jc w:val="both"/>
        <w:ind w:left="860" w:right="519" w:hanging="352"/>
        <w:spacing w:after="0" w:line="239" w:lineRule="auto"/>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79" w:lineRule="exact"/>
        <w:rPr>
          <w:rFonts w:ascii="Arial" w:cs="Arial" w:eastAsia="Arial" w:hAnsi="Arial"/>
          <w:sz w:val="18"/>
          <w:szCs w:val="18"/>
          <w:color w:val="auto"/>
        </w:rPr>
      </w:pPr>
    </w:p>
    <w:p>
      <w:pPr>
        <w:jc w:val="both"/>
        <w:ind w:left="860" w:right="519" w:hanging="352"/>
        <w:spacing w:after="0" w:line="242" w:lineRule="auto"/>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ind w:left="860" w:hanging="352"/>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300" w:right="519" w:hanging="360"/>
        <w:spacing w:after="0" w:line="239"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83"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6"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78" w:lineRule="exact"/>
        <w:rPr>
          <w:rFonts w:ascii="Arial" w:cs="Arial" w:eastAsia="Arial" w:hAnsi="Arial"/>
          <w:sz w:val="18"/>
          <w:szCs w:val="18"/>
          <w:color w:val="auto"/>
        </w:rPr>
      </w:pPr>
    </w:p>
    <w:p>
      <w:pPr>
        <w:jc w:val="both"/>
        <w:ind w:left="1300" w:right="519"/>
        <w:spacing w:after="0" w:line="238" w:lineRule="auto"/>
        <w:rPr>
          <w:rFonts w:ascii="Arial" w:cs="Arial" w:eastAsia="Arial" w:hAnsi="Arial"/>
          <w:sz w:val="18"/>
          <w:szCs w:val="18"/>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2" w:lineRule="exact"/>
        <w:rPr>
          <w:rFonts w:ascii="Arial" w:cs="Arial" w:eastAsia="Arial" w:hAnsi="Arial"/>
          <w:sz w:val="18"/>
          <w:szCs w:val="18"/>
          <w:color w:val="auto"/>
        </w:rPr>
      </w:pPr>
    </w:p>
    <w:p>
      <w:pPr>
        <w:jc w:val="both"/>
        <w:ind w:left="1300" w:right="519"/>
        <w:spacing w:after="0" w:line="237" w:lineRule="auto"/>
        <w:rPr>
          <w:rFonts w:ascii="Arial" w:cs="Arial" w:eastAsia="Arial" w:hAnsi="Arial"/>
          <w:sz w:val="18"/>
          <w:szCs w:val="18"/>
          <w:color w:val="auto"/>
        </w:rPr>
      </w:pPr>
      <w:r>
        <w:rPr>
          <w:rFonts w:ascii="Arial" w:cs="Arial" w:eastAsia="Arial" w:hAnsi="Arial"/>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jc w:val="both"/>
        <w:ind w:left="1300" w:right="519"/>
        <w:spacing w:after="0" w:line="241" w:lineRule="auto"/>
        <w:rPr>
          <w:sz w:val="20"/>
          <w:szCs w:val="20"/>
          <w:color w:val="auto"/>
        </w:rPr>
      </w:pPr>
      <w:r>
        <w:rPr>
          <w:rFonts w:ascii="Arial" w:cs="Arial" w:eastAsia="Arial" w:hAnsi="Arial"/>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3" w:lineRule="exact"/>
        <w:rPr>
          <w:sz w:val="20"/>
          <w:szCs w:val="20"/>
          <w:color w:val="auto"/>
        </w:rPr>
      </w:pPr>
    </w:p>
    <w:p>
      <w:pPr>
        <w:jc w:val="both"/>
        <w:ind w:left="1300" w:right="519" w:hanging="360"/>
        <w:spacing w:after="0" w:line="238"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85" w:lineRule="exact"/>
        <w:rPr>
          <w:rFonts w:ascii="Arial" w:cs="Arial" w:eastAsia="Arial" w:hAnsi="Arial"/>
          <w:sz w:val="18"/>
          <w:szCs w:val="18"/>
          <w:color w:val="auto"/>
        </w:rPr>
      </w:pPr>
    </w:p>
    <w:p>
      <w:pPr>
        <w:ind w:left="860" w:hanging="352"/>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8" w:lineRule="exact"/>
        <w:rPr>
          <w:rFonts w:ascii="Arial" w:cs="Arial" w:eastAsia="Arial" w:hAnsi="Arial"/>
          <w:sz w:val="18"/>
          <w:szCs w:val="18"/>
          <w:color w:val="auto"/>
        </w:rPr>
      </w:pPr>
    </w:p>
    <w:p>
      <w:pPr>
        <w:jc w:val="both"/>
        <w:ind w:left="1300" w:right="519" w:hanging="360"/>
        <w:spacing w:after="0" w:line="239"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83" w:lineRule="exact"/>
        <w:rPr>
          <w:rFonts w:ascii="Arial" w:cs="Arial" w:eastAsia="Arial" w:hAnsi="Arial"/>
          <w:sz w:val="18"/>
          <w:szCs w:val="18"/>
          <w:color w:val="auto"/>
        </w:rPr>
      </w:pPr>
    </w:p>
    <w:p>
      <w:pPr>
        <w:jc w:val="both"/>
        <w:ind w:left="1300" w:right="519" w:hanging="360"/>
        <w:spacing w:after="0" w:line="238"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jc w:val="both"/>
        <w:ind w:left="860" w:right="519" w:hanging="352"/>
        <w:spacing w:after="0" w:line="243" w:lineRule="auto"/>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9" w:lineRule="exact"/>
        <w:rPr>
          <w:rFonts w:ascii="Arial" w:cs="Arial" w:eastAsia="Arial" w:hAnsi="Arial"/>
          <w:sz w:val="18"/>
          <w:szCs w:val="18"/>
          <w:color w:val="auto"/>
        </w:rPr>
      </w:pPr>
    </w:p>
    <w:p>
      <w:pPr>
        <w:jc w:val="both"/>
        <w:ind w:left="860" w:right="519" w:hanging="352"/>
        <w:spacing w:after="0" w:line="247" w:lineRule="auto"/>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3" w:lineRule="exact"/>
        <w:rPr>
          <w:rFonts w:ascii="Arial" w:cs="Arial" w:eastAsia="Arial" w:hAnsi="Arial"/>
          <w:sz w:val="18"/>
          <w:szCs w:val="18"/>
          <w:color w:val="auto"/>
        </w:rPr>
      </w:pPr>
    </w:p>
    <w:p>
      <w:pPr>
        <w:jc w:val="both"/>
        <w:ind w:left="860" w:right="519" w:hanging="352"/>
        <w:spacing w:after="0" w:line="247" w:lineRule="auto"/>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this amended and restated Plan will become effective upon the date of the 2026 Annual General Meeting of the Company’s stockholders. It will continue in effect for a term of ten (10) years from the date the 2022 Restatement was approved by the Board, unless terminated earlier under Section 18 of the Plan.</w:t>
      </w:r>
    </w:p>
    <w:p>
      <w:pPr>
        <w:spacing w:after="0" w:line="173" w:lineRule="exact"/>
        <w:rPr>
          <w:rFonts w:ascii="Arial" w:cs="Arial" w:eastAsia="Arial" w:hAnsi="Arial"/>
          <w:sz w:val="18"/>
          <w:szCs w:val="18"/>
          <w:color w:val="auto"/>
        </w:rPr>
      </w:pPr>
    </w:p>
    <w:p>
      <w:pPr>
        <w:ind w:left="860" w:hanging="352"/>
        <w:spacing w:after="0"/>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00" w:right="539" w:hanging="360"/>
        <w:spacing w:after="0" w:line="271"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153" w:lineRule="exact"/>
        <w:rPr>
          <w:rFonts w:ascii="Arial" w:cs="Arial" w:eastAsia="Arial" w:hAnsi="Arial"/>
          <w:sz w:val="18"/>
          <w:szCs w:val="18"/>
          <w:color w:val="auto"/>
        </w:rPr>
      </w:pPr>
    </w:p>
    <w:p>
      <w:pPr>
        <w:ind w:left="1300" w:right="539" w:hanging="360"/>
        <w:spacing w:after="0" w:line="271"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53" w:lineRule="exact"/>
        <w:rPr>
          <w:rFonts w:ascii="Arial" w:cs="Arial" w:eastAsia="Arial" w:hAnsi="Arial"/>
          <w:sz w:val="18"/>
          <w:szCs w:val="18"/>
          <w:color w:val="auto"/>
        </w:rPr>
      </w:pPr>
    </w:p>
    <w:p>
      <w:pPr>
        <w:jc w:val="both"/>
        <w:ind w:left="1300" w:right="519" w:hanging="360"/>
        <w:spacing w:after="0" w:line="242"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8" w:lineRule="exact"/>
        <w:rPr>
          <w:rFonts w:ascii="Arial" w:cs="Arial" w:eastAsia="Arial" w:hAnsi="Arial"/>
          <w:sz w:val="18"/>
          <w:szCs w:val="18"/>
          <w:color w:val="auto"/>
        </w:rPr>
      </w:pPr>
    </w:p>
    <w:p>
      <w:pPr>
        <w:ind w:left="860" w:hanging="352"/>
        <w:spacing w:after="0"/>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4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3" w:lineRule="exact"/>
        <w:rPr>
          <w:rFonts w:ascii="Arial" w:cs="Arial" w:eastAsia="Arial" w:hAnsi="Arial"/>
          <w:sz w:val="18"/>
          <w:szCs w:val="18"/>
          <w:color w:val="auto"/>
        </w:rPr>
      </w:pPr>
    </w:p>
    <w:p>
      <w:pPr>
        <w:jc w:val="both"/>
        <w:ind w:left="1300" w:right="519" w:hanging="360"/>
        <w:spacing w:after="0" w:line="244"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rFonts w:ascii="Arial" w:cs="Arial" w:eastAsia="Arial" w:hAnsi="Arial"/>
          <w:sz w:val="18"/>
          <w:szCs w:val="18"/>
          <w:color w:val="auto"/>
        </w:rPr>
      </w:pPr>
    </w:p>
    <w:p>
      <w:pPr>
        <w:jc w:val="both"/>
        <w:ind w:left="860" w:right="519" w:hanging="352"/>
        <w:spacing w:after="0"/>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jc w:val="both"/>
        <w:ind w:left="860" w:right="519"/>
        <w:spacing w:after="0" w:line="252" w:lineRule="auto"/>
        <w:rPr>
          <w:sz w:val="20"/>
          <w:szCs w:val="20"/>
          <w:color w:val="auto"/>
        </w:rPr>
      </w:pPr>
      <w:r>
        <w:rPr>
          <w:rFonts w:ascii="Arial" w:cs="Arial" w:eastAsia="Arial" w:hAnsi="Arial"/>
          <w:sz w:val="18"/>
          <w:szCs w:val="18"/>
          <w:color w:val="auto"/>
        </w:rPr>
        <w:t>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1" w:lineRule="exact"/>
        <w:rPr>
          <w:sz w:val="20"/>
          <w:szCs w:val="20"/>
          <w:color w:val="auto"/>
        </w:rPr>
      </w:pPr>
    </w:p>
    <w:p>
      <w:pPr>
        <w:jc w:val="both"/>
        <w:ind w:left="860" w:right="519" w:hanging="352"/>
        <w:spacing w:after="0" w:line="253" w:lineRule="auto"/>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8" w:lineRule="exact"/>
        <w:rPr>
          <w:rFonts w:ascii="Arial" w:cs="Arial" w:eastAsia="Arial" w:hAnsi="Arial"/>
          <w:sz w:val="18"/>
          <w:szCs w:val="18"/>
          <w:color w:val="auto"/>
        </w:rPr>
      </w:pPr>
    </w:p>
    <w:p>
      <w:pPr>
        <w:ind w:left="860" w:hanging="352"/>
        <w:spacing w:after="0"/>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300" w:right="519" w:hanging="360"/>
        <w:spacing w:after="0" w:line="238"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80" w:lineRule="exact"/>
        <w:rPr>
          <w:rFonts w:ascii="Arial" w:cs="Arial" w:eastAsia="Arial" w:hAnsi="Arial"/>
          <w:sz w:val="18"/>
          <w:szCs w:val="18"/>
          <w:color w:val="auto"/>
        </w:rPr>
      </w:pPr>
    </w:p>
    <w:p>
      <w:pPr>
        <w:jc w:val="both"/>
        <w:ind w:left="1300" w:right="519" w:hanging="360"/>
        <w:spacing w:after="0"/>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154940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APPENDIX B</w:t>
      </w:r>
    </w:p>
    <w:p>
      <w:pPr>
        <w:spacing w:after="0" w:line="37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04" w:lineRule="exact"/>
        <w:rPr>
          <w:sz w:val="20"/>
          <w:szCs w:val="20"/>
          <w:color w:val="auto"/>
        </w:rPr>
      </w:pPr>
    </w:p>
    <w:p>
      <w:pPr>
        <w:jc w:val="both"/>
        <w:ind w:left="1500" w:right="1520" w:firstLine="360"/>
        <w:spacing w:after="0" w:line="253" w:lineRule="auto"/>
        <w:rPr>
          <w:sz w:val="20"/>
          <w:szCs w:val="20"/>
          <w:color w:val="auto"/>
        </w:rPr>
      </w:pPr>
      <w:r>
        <w:rPr>
          <w:rFonts w:ascii="Arial" w:cs="Arial" w:eastAsia="Arial" w:hAnsi="Arial"/>
          <w:sz w:val="18"/>
          <w:szCs w:val="18"/>
          <w:color w:val="auto"/>
        </w:rPr>
        <w:t>Qualys reports its financial results in accordance with generally accepted accounting principles in the United States (“GAAP”). However, management believes that certain non-GAAP financial measures provide users with additional meaningful financial information.</w:t>
      </w:r>
    </w:p>
    <w:p>
      <w:pPr>
        <w:spacing w:after="0" w:line="169" w:lineRule="exact"/>
        <w:rPr>
          <w:sz w:val="20"/>
          <w:szCs w:val="20"/>
          <w:color w:val="auto"/>
        </w:rPr>
      </w:pPr>
    </w:p>
    <w:p>
      <w:pPr>
        <w:jc w:val="both"/>
        <w:ind w:left="1500" w:right="1520" w:firstLine="360"/>
        <w:spacing w:after="0"/>
        <w:rPr>
          <w:sz w:val="20"/>
          <w:szCs w:val="20"/>
          <w:color w:val="auto"/>
        </w:rPr>
      </w:pPr>
      <w:r>
        <w:rPr>
          <w:rFonts w:ascii="Arial" w:cs="Arial" w:eastAsia="Arial" w:hAnsi="Arial"/>
          <w:sz w:val="18"/>
          <w:szCs w:val="18"/>
          <w:color w:val="auto"/>
        </w:rPr>
        <w:t>The non-GAAP measures presented in this proxy statement include non-GAAP earnings per share (“EPS”) and Adjusted EBITDA.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2025, and our subsequent filings with the SEC for additional information about the non-GAAP measures presented herein, including a description of the use of such measures.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74930</wp:posOffset>
            </wp:positionV>
            <wp:extent cx="5074920" cy="462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74920" cy="462915"/>
                    </a:xfrm>
                    <a:prstGeom prst="rect">
                      <a:avLst/>
                    </a:prstGeom>
                    <a:noFill/>
                  </pic:spPr>
                </pic:pic>
              </a:graphicData>
            </a:graphic>
          </wp:anchor>
        </w:drawing>
      </w:r>
    </w:p>
    <w:p>
      <w:pPr>
        <w:spacing w:after="0" w:line="19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FFFFFF"/>
        </w:rPr>
        <w:t>Twelve Months Ended</w:t>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FFFFFF"/>
        </w:rPr>
        <w:t>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40" w:type="dxa"/>
            <w:vAlign w:val="bottom"/>
            <w:shd w:val="clear" w:color="auto" w:fill="1D3965"/>
          </w:tcPr>
          <w:p>
            <w:pPr>
              <w:spacing w:after="0"/>
              <w:rPr>
                <w:sz w:val="21"/>
                <w:szCs w:val="21"/>
                <w:color w:val="auto"/>
              </w:rPr>
            </w:pPr>
          </w:p>
        </w:tc>
        <w:tc>
          <w:tcPr>
            <w:tcW w:w="100" w:type="dxa"/>
            <w:vAlign w:val="bottom"/>
            <w:shd w:val="clear" w:color="auto" w:fill="1D3965"/>
          </w:tcPr>
          <w:p>
            <w:pPr>
              <w:spacing w:after="0"/>
              <w:rPr>
                <w:sz w:val="21"/>
                <w:szCs w:val="21"/>
                <w:color w:val="auto"/>
              </w:rPr>
            </w:pPr>
          </w:p>
        </w:tc>
        <w:tc>
          <w:tcPr>
            <w:tcW w:w="640" w:type="dxa"/>
            <w:vAlign w:val="bottom"/>
            <w:shd w:val="clear" w:color="auto" w:fill="1D3965"/>
          </w:tcPr>
          <w:p>
            <w:pPr>
              <w:jc w:val="right"/>
              <w:ind w:right="92"/>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1D3965"/>
          </w:tcPr>
          <w:p>
            <w:pPr>
              <w:spacing w:after="0"/>
              <w:rPr>
                <w:sz w:val="21"/>
                <w:szCs w:val="21"/>
                <w:color w:val="auto"/>
              </w:rPr>
            </w:pPr>
          </w:p>
        </w:tc>
        <w:tc>
          <w:tcPr>
            <w:tcW w:w="180" w:type="dxa"/>
            <w:vAlign w:val="bottom"/>
            <w:shd w:val="clear" w:color="auto" w:fill="1D3965"/>
          </w:tcPr>
          <w:p>
            <w:pPr>
              <w:spacing w:after="0"/>
              <w:rPr>
                <w:sz w:val="21"/>
                <w:szCs w:val="21"/>
                <w:color w:val="auto"/>
              </w:rPr>
            </w:pPr>
          </w:p>
        </w:tc>
        <w:tc>
          <w:tcPr>
            <w:tcW w:w="120" w:type="dxa"/>
            <w:vAlign w:val="bottom"/>
            <w:shd w:val="clear" w:color="auto" w:fill="1D3965"/>
          </w:tcPr>
          <w:p>
            <w:pPr>
              <w:spacing w:after="0"/>
              <w:rPr>
                <w:sz w:val="21"/>
                <w:szCs w:val="21"/>
                <w:color w:val="auto"/>
              </w:rPr>
            </w:pPr>
          </w:p>
        </w:tc>
        <w:tc>
          <w:tcPr>
            <w:tcW w:w="100" w:type="dxa"/>
            <w:vAlign w:val="bottom"/>
            <w:shd w:val="clear" w:color="auto" w:fill="1D3965"/>
          </w:tcPr>
          <w:p>
            <w:pPr>
              <w:spacing w:after="0"/>
              <w:rPr>
                <w:sz w:val="21"/>
                <w:szCs w:val="21"/>
                <w:color w:val="auto"/>
              </w:rPr>
            </w:pPr>
          </w:p>
        </w:tc>
        <w:tc>
          <w:tcPr>
            <w:tcW w:w="640" w:type="dxa"/>
            <w:vAlign w:val="bottom"/>
            <w:shd w:val="clear" w:color="auto" w:fill="1D3965"/>
          </w:tcPr>
          <w:p>
            <w:pPr>
              <w:jc w:val="right"/>
              <w:ind w:right="72"/>
              <w:spacing w:after="0"/>
              <w:rPr>
                <w:sz w:val="20"/>
                <w:szCs w:val="20"/>
                <w:color w:val="auto"/>
              </w:rPr>
            </w:pPr>
            <w:r>
              <w:rPr>
                <w:rFonts w:ascii="Arial" w:cs="Arial" w:eastAsia="Arial" w:hAnsi="Arial"/>
                <w:sz w:val="14"/>
                <w:szCs w:val="14"/>
                <w:b w:val="1"/>
                <w:bCs w:val="1"/>
                <w:color w:val="FFFFFF"/>
              </w:rPr>
              <w:t>2024</w:t>
            </w:r>
          </w:p>
        </w:tc>
        <w:tc>
          <w:tcPr>
            <w:tcW w:w="20" w:type="dxa"/>
            <w:vAlign w:val="bottom"/>
            <w:shd w:val="clear" w:color="auto" w:fill="1D3965"/>
          </w:tcPr>
          <w:p>
            <w:pPr>
              <w:spacing w:after="0"/>
              <w:rPr>
                <w:sz w:val="21"/>
                <w:szCs w:val="21"/>
                <w:color w:val="auto"/>
              </w:rPr>
            </w:pPr>
          </w:p>
        </w:tc>
        <w:tc>
          <w:tcPr>
            <w:tcW w:w="120" w:type="dxa"/>
            <w:vAlign w:val="bottom"/>
            <w:shd w:val="clear" w:color="auto" w:fill="1D3965"/>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320" w:type="dxa"/>
            <w:vAlign w:val="bottom"/>
          </w:tcPr>
          <w:p>
            <w:pPr>
              <w:ind w:left="1660"/>
              <w:spacing w:after="0"/>
              <w:rPr>
                <w:sz w:val="20"/>
                <w:szCs w:val="20"/>
                <w:color w:val="auto"/>
              </w:rPr>
            </w:pPr>
            <w:r>
              <w:rPr>
                <w:rFonts w:ascii="Arial" w:cs="Arial" w:eastAsia="Arial" w:hAnsi="Arial"/>
                <w:sz w:val="18"/>
                <w:szCs w:val="18"/>
                <w:color w:val="auto"/>
              </w:rPr>
              <w:t>GAAP 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198,320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173,680</w:t>
            </w: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Plus: Stock-based compensation</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76,966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77,133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Plus: Amortization of intangible assets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Less: Tax adjustment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(20,028)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(24,728)</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7320" w:type="dxa"/>
            <w:vAlign w:val="bottom"/>
            <w:vMerge w:val="restart"/>
          </w:tcPr>
          <w:p>
            <w:pPr>
              <w:ind w:left="1660"/>
              <w:spacing w:after="0"/>
              <w:rPr>
                <w:sz w:val="20"/>
                <w:szCs w:val="20"/>
                <w:color w:val="auto"/>
              </w:rPr>
            </w:pPr>
            <w:r>
              <w:rPr>
                <w:rFonts w:ascii="Arial" w:cs="Arial" w:eastAsia="Arial" w:hAnsi="Arial"/>
                <w:sz w:val="18"/>
                <w:szCs w:val="18"/>
                <w:color w:val="auto"/>
              </w:rPr>
              <w:t>Non-GAAP Net income</w:t>
            </w:r>
          </w:p>
        </w:tc>
        <w:tc>
          <w:tcPr>
            <w:tcW w:w="24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3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257,815</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228,988</w:t>
            </w:r>
          </w:p>
        </w:tc>
        <w:tc>
          <w:tcPr>
            <w:tcW w:w="2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tcPr>
          <w:p>
            <w:pPr>
              <w:ind w:left="1660"/>
              <w:spacing w:after="0"/>
              <w:rPr>
                <w:sz w:val="20"/>
                <w:szCs w:val="20"/>
                <w:color w:val="auto"/>
              </w:rPr>
            </w:pPr>
            <w:r>
              <w:rPr>
                <w:rFonts w:ascii="Arial" w:cs="Arial" w:eastAsia="Arial" w:hAnsi="Arial"/>
                <w:sz w:val="18"/>
                <w:szCs w:val="18"/>
                <w:color w:val="auto"/>
              </w:rPr>
              <w:t>GAAP Net income per share:</w:t>
            </w: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660"/>
              <w:spacing w:after="0"/>
              <w:rPr>
                <w:sz w:val="20"/>
                <w:szCs w:val="20"/>
                <w:color w:val="auto"/>
              </w:rPr>
            </w:pPr>
            <w:r>
              <w:rPr>
                <w:rFonts w:ascii="Arial" w:cs="Arial" w:eastAsia="Arial" w:hAnsi="Arial"/>
                <w:sz w:val="18"/>
                <w:szCs w:val="18"/>
                <w:color w:val="auto"/>
              </w:rPr>
              <w:t>Non-GAAP Net income per share: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660"/>
              <w:spacing w:after="0"/>
              <w:rPr>
                <w:sz w:val="20"/>
                <w:szCs w:val="20"/>
                <w:color w:val="auto"/>
              </w:rPr>
            </w:pPr>
            <w:r>
              <w:rPr>
                <w:rFonts w:ascii="Arial" w:cs="Arial" w:eastAsia="Arial" w:hAnsi="Arial"/>
                <w:sz w:val="18"/>
                <w:szCs w:val="18"/>
                <w:color w:val="auto"/>
              </w:rPr>
              <w:t>Weighted average shares used in GAAP and non-GAAP net income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184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36,142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36,799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8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36,453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37,353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7"/>
        </w:trPr>
        <w:tc>
          <w:tcPr>
            <w:tcW w:w="7320" w:type="dxa"/>
            <w:vAlign w:val="bottom"/>
          </w:tcPr>
          <w:p>
            <w:pPr>
              <w:ind w:left="5360"/>
              <w:spacing w:after="0"/>
              <w:rPr>
                <w:sz w:val="20"/>
                <w:szCs w:val="20"/>
                <w:color w:val="auto"/>
              </w:rPr>
            </w:pPr>
            <w:r>
              <w:rPr>
                <w:rFonts w:ascii="Arial" w:cs="Arial" w:eastAsia="Arial" w:hAnsi="Arial"/>
                <w:sz w:val="18"/>
                <w:szCs w:val="18"/>
                <w:color w:val="auto"/>
              </w:rPr>
              <w:t>B-1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05" w:name="page106"/>
    <w:bookmarkEnd w:id="105"/>
    <w:p>
      <w:pPr>
        <w:jc w:val="center"/>
        <w:ind w:right="60"/>
        <w:spacing w:after="0"/>
        <w:rPr>
          <w:sz w:val="20"/>
          <w:szCs w:val="20"/>
          <w:color w:val="auto"/>
        </w:rPr>
      </w:pPr>
      <w:r>
        <w:rPr>
          <w:rFonts w:ascii="Arial" w:cs="Arial" w:eastAsia="Arial" w:hAnsi="Arial"/>
          <w:sz w:val="18"/>
          <w:szCs w:val="18"/>
          <w:b w:val="1"/>
          <w:bCs w:val="1"/>
          <w:color w:val="auto"/>
        </w:rPr>
        <w:t>ADJUSTED EBITDA</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74930</wp:posOffset>
            </wp:positionV>
            <wp:extent cx="5074920" cy="462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74920" cy="462915"/>
                    </a:xfrm>
                    <a:prstGeom prst="rect">
                      <a:avLst/>
                    </a:prstGeom>
                    <a:noFill/>
                  </pic:spPr>
                </pic:pic>
              </a:graphicData>
            </a:graphic>
          </wp:anchor>
        </w:drawing>
      </w:r>
    </w:p>
    <w:p>
      <w:pPr>
        <w:spacing w:after="0" w:line="197"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FFFFFF"/>
        </w:rPr>
        <w:t>Twelve Months Ended</w:t>
      </w:r>
    </w:p>
    <w:p>
      <w:pPr>
        <w:spacing w:after="0" w:line="1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FFFFFF"/>
        </w:rPr>
        <w:t>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60" w:type="dxa"/>
            <w:vAlign w:val="bottom"/>
          </w:tcPr>
          <w:p>
            <w:pPr>
              <w:spacing w:after="0"/>
              <w:rPr>
                <w:sz w:val="21"/>
                <w:szCs w:val="21"/>
                <w:color w:val="auto"/>
              </w:rPr>
            </w:pPr>
          </w:p>
        </w:tc>
        <w:tc>
          <w:tcPr>
            <w:tcW w:w="920" w:type="dxa"/>
            <w:vAlign w:val="bottom"/>
            <w:gridSpan w:val="2"/>
            <w:shd w:val="clear" w:color="auto" w:fill="1D3965"/>
          </w:tcPr>
          <w:p>
            <w:pPr>
              <w:jc w:val="right"/>
              <w:ind w:right="70"/>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1D3965"/>
          </w:tcPr>
          <w:p>
            <w:pPr>
              <w:spacing w:after="0"/>
              <w:rPr>
                <w:sz w:val="21"/>
                <w:szCs w:val="21"/>
                <w:color w:val="auto"/>
              </w:rPr>
            </w:pPr>
          </w:p>
        </w:tc>
        <w:tc>
          <w:tcPr>
            <w:tcW w:w="320" w:type="dxa"/>
            <w:vAlign w:val="bottom"/>
            <w:shd w:val="clear" w:color="auto" w:fill="1D3965"/>
          </w:tcPr>
          <w:p>
            <w:pPr>
              <w:spacing w:after="0"/>
              <w:rPr>
                <w:sz w:val="21"/>
                <w:szCs w:val="21"/>
                <w:color w:val="auto"/>
              </w:rPr>
            </w:pPr>
          </w:p>
        </w:tc>
        <w:tc>
          <w:tcPr>
            <w:tcW w:w="760" w:type="dxa"/>
            <w:vAlign w:val="bottom"/>
            <w:shd w:val="clear" w:color="auto" w:fill="1D3965"/>
          </w:tcPr>
          <w:p>
            <w:pPr>
              <w:jc w:val="right"/>
              <w:ind w:right="72"/>
              <w:spacing w:after="0"/>
              <w:rPr>
                <w:sz w:val="20"/>
                <w:szCs w:val="20"/>
                <w:color w:val="auto"/>
              </w:rPr>
            </w:pPr>
            <w:r>
              <w:rPr>
                <w:rFonts w:ascii="Arial" w:cs="Arial" w:eastAsia="Arial" w:hAnsi="Arial"/>
                <w:sz w:val="14"/>
                <w:szCs w:val="14"/>
                <w:b w:val="1"/>
                <w:bCs w:val="1"/>
                <w:color w:val="FFFFFF"/>
              </w:rPr>
              <w:t>2024</w:t>
            </w:r>
          </w:p>
        </w:tc>
        <w:tc>
          <w:tcPr>
            <w:tcW w:w="20" w:type="dxa"/>
            <w:vAlign w:val="bottom"/>
            <w:shd w:val="clear" w:color="auto" w:fill="1D3965"/>
          </w:tcPr>
          <w:p>
            <w:pPr>
              <w:spacing w:after="0"/>
              <w:rPr>
                <w:sz w:val="21"/>
                <w:szCs w:val="21"/>
                <w:color w:val="auto"/>
              </w:rPr>
            </w:pPr>
          </w:p>
        </w:tc>
        <w:tc>
          <w:tcPr>
            <w:tcW w:w="200" w:type="dxa"/>
            <w:vAlign w:val="bottom"/>
            <w:shd w:val="clear" w:color="auto" w:fill="1D3965"/>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260" w:type="dxa"/>
            <w:vAlign w:val="bottom"/>
          </w:tcPr>
          <w:p>
            <w:pPr>
              <w:ind w:left="166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$198,320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$173,680</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660"/>
              <w:spacing w:after="0"/>
              <w:rPr>
                <w:sz w:val="20"/>
                <w:szCs w:val="20"/>
                <w:color w:val="auto"/>
              </w:rPr>
            </w:pPr>
            <w:r>
              <w:rPr>
                <w:rFonts w:ascii="Arial" w:cs="Arial" w:eastAsia="Arial" w:hAnsi="Arial"/>
                <w:sz w:val="18"/>
                <w:szCs w:val="18"/>
                <w:color w:val="auto"/>
              </w:rPr>
              <w:t>Net income as a percentage of revenues</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40"/>
              <w:spacing w:after="0"/>
              <w:rPr>
                <w:sz w:val="20"/>
                <w:szCs w:val="20"/>
                <w:color w:val="auto"/>
              </w:rPr>
            </w:pPr>
            <w:r>
              <w:rPr>
                <w:rFonts w:ascii="Arial" w:cs="Arial" w:eastAsia="Arial" w:hAnsi="Arial"/>
                <w:sz w:val="18"/>
                <w:szCs w:val="18"/>
                <w:color w:val="auto"/>
              </w:rPr>
              <w:t>Depreciation and amortization of property and equipment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11,934</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4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2,903</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40"/>
              <w:spacing w:after="0"/>
              <w:rPr>
                <w:sz w:val="20"/>
                <w:szCs w:val="20"/>
                <w:color w:val="auto"/>
              </w:rPr>
            </w:pPr>
            <w:r>
              <w:rPr>
                <w:rFonts w:ascii="Arial" w:cs="Arial" w:eastAsia="Arial" w:hAnsi="Arial"/>
                <w:sz w:val="18"/>
                <w:szCs w:val="18"/>
                <w:color w:val="auto"/>
              </w:rPr>
              <w:t>Income tax provision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48,508</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36,142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76,966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77,133</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40"/>
              <w:spacing w:after="0"/>
              <w:rPr>
                <w:sz w:val="20"/>
                <w:szCs w:val="20"/>
                <w:color w:val="auto"/>
              </w:rPr>
            </w:pPr>
            <w:r>
              <w:rPr>
                <w:rFonts w:ascii="Arial" w:cs="Arial" w:eastAsia="Arial" w:hAnsi="Arial"/>
                <w:sz w:val="18"/>
                <w:szCs w:val="18"/>
                <w:color w:val="auto"/>
              </w:rPr>
              <w:t>Total other income, net</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(24,876)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(22,626)</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7260" w:type="dxa"/>
            <w:vAlign w:val="bottom"/>
            <w:vMerge w:val="restart"/>
          </w:tcPr>
          <w:p>
            <w:pPr>
              <w:ind w:left="1660"/>
              <w:spacing w:after="0"/>
              <w:rPr>
                <w:sz w:val="20"/>
                <w:szCs w:val="20"/>
                <w:color w:val="auto"/>
              </w:rPr>
            </w:pPr>
            <w:r>
              <w:rPr>
                <w:rFonts w:ascii="Arial" w:cs="Arial" w:eastAsia="Arial" w:hAnsi="Arial"/>
                <w:sz w:val="18"/>
                <w:szCs w:val="18"/>
                <w:color w:val="auto"/>
              </w:rPr>
              <w:t>Adjusted EBITDA</w:t>
            </w:r>
          </w:p>
        </w:tc>
        <w:tc>
          <w:tcPr>
            <w:tcW w:w="180" w:type="dxa"/>
            <w:vAlign w:val="bottom"/>
            <w:vMerge w:val="restart"/>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26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$313,409</w:t>
            </w:r>
          </w:p>
        </w:tc>
        <w:tc>
          <w:tcPr>
            <w:tcW w:w="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$282,842</w:t>
            </w:r>
          </w:p>
        </w:tc>
        <w:tc>
          <w:tcPr>
            <w:tcW w:w="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60" w:type="dxa"/>
            <w:vAlign w:val="bottom"/>
            <w:vMerge w:val="restart"/>
          </w:tcPr>
          <w:p>
            <w:pPr>
              <w:ind w:left="1660"/>
              <w:spacing w:after="0"/>
              <w:rPr>
                <w:sz w:val="20"/>
                <w:szCs w:val="20"/>
                <w:color w:val="auto"/>
              </w:rPr>
            </w:pPr>
            <w:r>
              <w:rPr>
                <w:rFonts w:ascii="Arial" w:cs="Arial" w:eastAsia="Arial" w:hAnsi="Arial"/>
                <w:sz w:val="18"/>
                <w:szCs w:val="18"/>
                <w:color w:val="auto"/>
              </w:rPr>
              <w:t>Adjusted EBITDA as a percentage of revenues</w:t>
            </w:r>
          </w:p>
        </w:tc>
        <w:tc>
          <w:tcPr>
            <w:tcW w:w="180" w:type="dxa"/>
            <w:vAlign w:val="bottom"/>
            <w:vMerge w:val="restart"/>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726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260" w:type="dxa"/>
            <w:vAlign w:val="bottom"/>
          </w:tcPr>
          <w:p>
            <w:pPr>
              <w:ind w:left="5360"/>
              <w:spacing w:after="0"/>
              <w:rPr>
                <w:sz w:val="20"/>
                <w:szCs w:val="20"/>
                <w:color w:val="auto"/>
              </w:rPr>
            </w:pPr>
            <w:r>
              <w:rPr>
                <w:rFonts w:ascii="Arial" w:cs="Arial" w:eastAsia="Arial" w:hAnsi="Arial"/>
                <w:sz w:val="18"/>
                <w:szCs w:val="18"/>
                <w:color w:val="auto"/>
              </w:rPr>
              <w:t>B-2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143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143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lvl w:ilvl="1">
      <w:lvlJc w:val="left"/>
      <w:lvlText w:val="☐"/>
      <w:numFmt w:val="bullet"/>
      <w:start w:val="1"/>
    </w:lvl>
  </w:abstractNum>
  <w:abstractNum w:abstractNumId="1">
    <w:nsid w:val="579478FE"/>
    <w:multiLevelType w:val="hybridMultilevel"/>
    <w:lvl w:ilvl="0">
      <w:lvlJc w:val="left"/>
      <w:lvlText w:val="☒"/>
      <w:numFmt w:val="bullet"/>
      <w:start w:val="1"/>
    </w:lvl>
    <w:lvl w:ilvl="1">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650"/>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2"/>
    </w:lvl>
  </w:abstractNum>
  <w:abstractNum w:abstractNumId="16">
    <w:nsid w:val="1CF10FD8"/>
    <w:multiLevelType w:val="hybridMultilevel"/>
    <w:lvl w:ilvl="0">
      <w:lvlJc w:val="left"/>
      <w:lvlText w:val="(%1)"/>
      <w:numFmt w:val="decimal"/>
      <w:start w:val="3"/>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Roman"/>
      <w:start w:val="3"/>
    </w:lvl>
  </w:abstractNum>
  <w:abstractNum w:abstractNumId="21">
    <w:nsid w:val="15B5AF5C"/>
    <w:multiLevelType w:val="hybridMultilevel"/>
    <w:lvl w:ilvl="0">
      <w:lvlJc w:val="left"/>
      <w:lvlText w:val="(%1)"/>
      <w:numFmt w:val="lowerRoman"/>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x"/>
      <w:numFmt w:val="bullet"/>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 "/>
      <w:numFmt w:val="bullet"/>
      <w:start w:val="1"/>
    </w:lvl>
  </w:abstractNum>
  <w:abstractNum w:abstractNumId="40">
    <w:nsid w:val="6590700B"/>
    <w:multiLevelType w:val="hybridMultilevel"/>
    <w:lvl w:ilvl="0">
      <w:lvlJc w:val="left"/>
      <w:lvlText w:val=" "/>
      <w:numFmt w:val="bullet"/>
      <w:start w:val="1"/>
    </w:lvl>
  </w:abstractNum>
  <w:abstractNum w:abstractNumId="41">
    <w:nsid w:val="15014ACB"/>
    <w:multiLevelType w:val="hybridMultilevel"/>
    <w:lvl w:ilvl="0">
      <w:lvlJc w:val="left"/>
      <w:lvlText w:val=" "/>
      <w:numFmt w:val="bullet"/>
      <w:start w:val="1"/>
    </w:lvl>
  </w:abstractNum>
  <w:abstractNum w:abstractNumId="42">
    <w:nsid w:val="5F5E7FD0"/>
    <w:multiLevelType w:val="hybridMultilevel"/>
    <w:lvl w:ilvl="0">
      <w:lvlJc w:val="left"/>
      <w:lvlText w:val=" "/>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2"/>
    </w:lvl>
  </w:abstractNum>
  <w:abstractNum w:abstractNumId="47">
    <w:nsid w:val="168E121F"/>
    <w:multiLevelType w:val="hybridMultilevel"/>
    <w:lvl w:ilvl="0">
      <w:lvlJc w:val="left"/>
      <w:lvlText w:val="(%1)"/>
      <w:numFmt w:val="decimal"/>
      <w:start w:val="14"/>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3"/>
    </w:lvl>
  </w:abstractNum>
  <w:abstractNum w:abstractNumId="51">
    <w:nsid w:val="540A471C"/>
    <w:multiLevelType w:val="hybridMultilevel"/>
    <w:lvl w:ilvl="0">
      <w:lvlJc w:val="left"/>
      <w:lvlText w:val="(%1)"/>
      <w:numFmt w:val="decimal"/>
      <w:start w:val="10"/>
    </w:lvl>
    <w:lvl w:ilvl="1">
      <w:lvlJc w:val="left"/>
      <w:lvlText w:val="(%2)"/>
      <w:numFmt w:val="lowerRoman"/>
      <w:start w:val="3"/>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3"/>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4"/>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decimal"/>
      <w:start w:val="5"/>
    </w:lvl>
  </w:abstractNum>
  <w:abstractNum w:abstractNumId="63">
    <w:nsid w:val="4962813B"/>
    <w:multiLevelType w:val="hybridMultilevel"/>
    <w:lvl w:ilvl="0">
      <w:lvlJc w:val="left"/>
      <w:lvlText w:val="(%1)"/>
      <w:numFmt w:val="decimal"/>
      <w:start w:val="6"/>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3"/>
    </w:lvl>
    <w:lvl w:ilvl="1">
      <w:lvlJc w:val="left"/>
      <w:lvlText w:val="(%2)"/>
      <w:numFmt w:val="lowerRoman"/>
      <w:start w:val="2"/>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decimal"/>
      <w:start w:val="1"/>
    </w:lvl>
    <w:lvl w:ilvl="1">
      <w:lvlJc w:val="left"/>
      <w:lvlText w:val="•"/>
      <w:numFmt w:val="bullet"/>
      <w:start w:val="1"/>
    </w:lvl>
  </w:abstractNum>
  <w:abstractNum w:abstractNumId="70">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1">
    <w:nsid w:val="7FB7E0AA"/>
    <w:multiLevelType w:val="hybridMultilevel"/>
    <w:lvl w:ilvl="0">
      <w:lvlJc w:val="left"/>
      <w:lvlText w:val="%1"/>
      <w:numFmt w:val="lowerLetter"/>
      <w:start w:val="1"/>
    </w:lvl>
    <w:lvl w:ilvl="1">
      <w:lvlJc w:val="left"/>
      <w:lvlText w:val="(%2)"/>
      <w:numFmt w:val="lowerRoman"/>
      <w:start w:val="2"/>
    </w:lvl>
  </w:abstractNum>
  <w:abstractNum w:abstractNumId="72">
    <w:nsid w:val="6EB5BD4"/>
    <w:multiLevelType w:val="hybridMultilevel"/>
    <w:lvl w:ilvl="0">
      <w:lvlJc w:val="left"/>
      <w:lvlText w:val="(%1)"/>
      <w:numFmt w:val="lowerLetter"/>
      <w:start w:val="8"/>
    </w:lvl>
    <w:lvl w:ilvl="1">
      <w:lvlJc w:val="left"/>
      <w:lvlText w:val="%2"/>
      <w:numFmt w:val="lowerRoman"/>
      <w:start w:val="1"/>
    </w:lvl>
  </w:abstractNum>
  <w:abstractNum w:abstractNumId="73">
    <w:nsid w:val="6F6DD9AC"/>
    <w:multiLevelType w:val="hybridMultilevel"/>
    <w:lvl w:ilvl="0">
      <w:lvlJc w:val="left"/>
      <w:lvlText w:val="(%1)"/>
      <w:numFmt w:val="lowerLetter"/>
      <w:start w:val="10"/>
    </w:lvl>
    <w:lvl w:ilvl="1">
      <w:lvlJc w:val="left"/>
      <w:lvlText w:val="(%2)"/>
      <w:numFmt w:val="lowerRoman"/>
      <w:start w:val="1"/>
    </w:lvl>
  </w:abstractNum>
  <w:abstractNum w:abstractNumId="74">
    <w:nsid w:val="94211F2"/>
    <w:multiLevelType w:val="hybridMultilevel"/>
    <w:lvl w:ilvl="0">
      <w:lvlJc w:val="left"/>
      <w:lvlText w:val="(%1)"/>
      <w:numFmt w:val="lowerLetter"/>
      <w:start w:val="20"/>
    </w:lvl>
  </w:abstractNum>
  <w:abstractNum w:abstractNumId="75">
    <w:nsid w:val="885E1B"/>
    <w:multiLevelType w:val="hybridMultilevel"/>
    <w:lvl w:ilvl="0">
      <w:lvlJc w:val="left"/>
      <w:lvlText w:val="(%1)"/>
      <w:numFmt w:val="lowerLetter"/>
      <w:start w:val="27"/>
    </w:lvl>
  </w:abstractNum>
  <w:abstractNum w:abstractNumId="76">
    <w:nsid w:val="76272110"/>
    <w:multiLevelType w:val="hybridMultilevel"/>
    <w:lvl w:ilvl="0">
      <w:lvlJc w:val="left"/>
      <w:lvlText w:val="%1"/>
      <w:numFmt w:val="decimal"/>
      <w:start w:val="1"/>
    </w:lvl>
    <w:lvl w:ilvl="1">
      <w:lvlJc w:val="left"/>
      <w:lvlText w:val="(%2)"/>
      <w:numFmt w:val="lowerLetter"/>
      <w:start w:val="37"/>
    </w:lvl>
  </w:abstractNum>
  <w:abstractNum w:abstractNumId="77">
    <w:nsid w:val="4C04A8AF"/>
    <w:multiLevelType w:val="hybridMultilevel"/>
    <w:lvl w:ilvl="0">
      <w:lvlJc w:val="left"/>
      <w:lvlText w:val="%1."/>
      <w:numFmt w:val="decimal"/>
      <w:start w:val="3"/>
    </w:lvl>
    <w:lvl w:ilvl="1">
      <w:lvlJc w:val="left"/>
      <w:lvlText w:val="(%2)"/>
      <w:numFmt w:val="lowerLetter"/>
      <w:start w:val="1"/>
    </w:lvl>
  </w:abstractNum>
  <w:abstractNum w:abstractNumId="78">
    <w:nsid w:val="171670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9">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80">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1">
    <w:nsid w:val="74DE0EE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2">
    <w:nsid w:val="68EBC55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5)"/>
      <w:numFmt w:val="upperLetter"/>
      <w:start w:val="1"/>
    </w:lvl>
  </w:abstractNum>
  <w:abstractNum w:abstractNumId="83">
    <w:nsid w:val="2DF6D648"/>
    <w:multiLevelType w:val="hybridMultilevel"/>
    <w:lvl w:ilvl="0">
      <w:lvlJc w:val="left"/>
      <w:lvlText w:val="(%1)"/>
      <w:numFmt w:val="lowerLetter"/>
      <w:start w:val="4"/>
    </w:lvl>
    <w:lvl w:ilvl="1">
      <w:lvlJc w:val="left"/>
      <w:lvlText w:val="(%2)"/>
      <w:numFmt w:val="lowerRoman"/>
      <w:start w:val="1"/>
    </w:lvl>
  </w:abstractNum>
  <w:abstractNum w:abstractNumId="84">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5">
    <w:nsid w:val="4A2AC31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6">
    <w:nsid w:val="39EE015C"/>
    <w:multiLevelType w:val="hybridMultilevel"/>
    <w:lvl w:ilvl="0">
      <w:lvlJc w:val="left"/>
      <w:lvlText w:val="%1"/>
      <w:numFmt w:val="decimal"/>
      <w:start w:val="1"/>
    </w:lvl>
    <w:lvl w:ilvl="1">
      <w:lvlJc w:val="left"/>
      <w:lvlText w:val="(%2)"/>
      <w:numFmt w:val="lowerLetter"/>
      <w:start w:val="6"/>
    </w:lvl>
  </w:abstractNum>
  <w:abstractNum w:abstractNumId="87">
    <w:nsid w:val="57FC4FBB"/>
    <w:multiLevelType w:val="hybridMultilevel"/>
    <w:lvl w:ilvl="0">
      <w:lvlJc w:val="left"/>
      <w:lvlText w:val="%1."/>
      <w:numFmt w:val="decimal"/>
      <w:start w:val="8"/>
    </w:lvl>
    <w:lvl w:ilvl="1">
      <w:lvlJc w:val="left"/>
      <w:lvlText w:val="(%2)"/>
      <w:numFmt w:val="lowerLetter"/>
      <w:start w:val="1"/>
    </w:lvl>
  </w:abstractNum>
  <w:abstractNum w:abstractNumId="88">
    <w:nsid w:val="CC1016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9">
    <w:nsid w:val="43F18422"/>
    <w:multiLevelType w:val="hybridMultilevel"/>
    <w:lvl w:ilvl="0">
      <w:lvlJc w:val="left"/>
      <w:lvlText w:val="%1."/>
      <w:numFmt w:val="decimal"/>
      <w:start w:val="10"/>
    </w:lvl>
    <w:lvl w:ilvl="1">
      <w:lvlJc w:val="left"/>
      <w:lvlText w:val="(%2)"/>
      <w:numFmt w:val="lowerLetter"/>
      <w:start w:val="1"/>
    </w:lvl>
  </w:abstractNum>
  <w:abstractNum w:abstractNumId="90">
    <w:nsid w:val="60EF0119"/>
    <w:multiLevelType w:val="hybridMultilevel"/>
    <w:lvl w:ilvl="0">
      <w:lvlJc w:val="left"/>
      <w:lvlText w:val="%1"/>
      <w:numFmt w:val="decimal"/>
      <w:start w:val="1"/>
    </w:lvl>
    <w:lvl w:ilvl="1">
      <w:lvlJc w:val="left"/>
      <w:lvlText w:val="(%2)"/>
      <w:numFmt w:val="lowerLetter"/>
      <w:start w:val="3"/>
    </w:lvl>
  </w:abstractNum>
  <w:abstractNum w:abstractNumId="91">
    <w:nsid w:val="26F324BA"/>
    <w:multiLevelType w:val="hybridMultilevel"/>
    <w:lvl w:ilvl="0">
      <w:lvlJc w:val="left"/>
      <w:lvlText w:val="%1."/>
      <w:numFmt w:val="decimal"/>
      <w:start w:val="11"/>
    </w:lvl>
    <w:lvl w:ilvl="1">
      <w:lvlJc w:val="left"/>
      <w:lvlText w:val="%2"/>
      <w:numFmt w:val="lowerLetter"/>
      <w:start w:val="1"/>
    </w:lvl>
  </w:abstractNum>
  <w:abstractNum w:abstractNumId="92">
    <w:nsid w:val="7F01579B"/>
    <w:multiLevelType w:val="hybridMultilevel"/>
    <w:lvl w:ilvl="0">
      <w:lvlJc w:val="left"/>
      <w:lvlText w:val="%1."/>
      <w:numFmt w:val="decimal"/>
      <w:start w:val="13"/>
    </w:lvl>
    <w:lvl w:ilvl="1">
      <w:lvlJc w:val="left"/>
      <w:lvlText w:val="(%2)"/>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4"/>
    </w:lvl>
  </w:abstractNum>
  <w:abstractNum w:abstractNumId="94">
    <w:nsid w:val="7055A5F5"/>
    <w:multiLevelType w:val="hybridMultilevel"/>
    <w:lvl w:ilvl="0">
      <w:lvlJc w:val="left"/>
      <w:lvlText w:val="%1."/>
      <w:numFmt w:val="decimal"/>
      <w:start w:val="14"/>
    </w:lvl>
    <w:lvl w:ilvl="1">
      <w:lvlJc w:val="left"/>
      <w:lvlText w:val="(%2)"/>
      <w:numFmt w:val="lowerLetter"/>
      <w:start w:val="1"/>
    </w:lvl>
  </w:abstractNum>
  <w:abstractNum w:abstractNumId="95">
    <w:nsid w:val="5FB8370B"/>
    <w:multiLevelType w:val="hybridMultilevel"/>
    <w:lvl w:ilvl="0">
      <w:lvlJc w:val="left"/>
      <w:lvlText w:val="%1."/>
      <w:numFmt w:val="decimal"/>
      <w:start w:val="15"/>
    </w:lvl>
    <w:lvl w:ilvl="1">
      <w:lvlJc w:val="left"/>
      <w:lvlText w:val="(%2)"/>
      <w:numFmt w:val="lowerLetter"/>
      <w:start w:val="1"/>
    </w:lvl>
  </w:abstractNum>
  <w:abstractNum w:abstractNumId="96">
    <w:nsid w:val="50801EE1"/>
    <w:multiLevelType w:val="hybridMultilevel"/>
    <w:lvl w:ilvl="0">
      <w:lvlJc w:val="left"/>
      <w:lvlText w:val="%1."/>
      <w:numFmt w:val="decimal"/>
      <w:start w:val="2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2026-04-22T15:14:32Z</dcterms:created>
  <dcterms:modified xsi:type="dcterms:W3CDTF">2026-04-22T15:14:32Z</dcterms:modified>
</cp:coreProperties>
</file>