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5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5"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4" w:lineRule="exact"/>
        <w:rPr>
          <w:sz w:val="24"/>
          <w:szCs w:val="24"/>
          <w:color w:val="auto"/>
        </w:rPr>
      </w:pPr>
    </w:p>
    <w:p>
      <w:pPr>
        <w:ind w:left="380" w:hanging="345"/>
        <w:spacing w:after="0"/>
        <w:tabs>
          <w:tab w:leader="none" w:pos="3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2" w:lineRule="exact"/>
        <w:rPr>
          <w:rFonts w:ascii="Times New Roman" w:cs="Times New Roman" w:eastAsia="Times New Roman" w:hAnsi="Times New Roman"/>
          <w:sz w:val="18"/>
          <w:szCs w:val="18"/>
          <w:color w:val="auto"/>
        </w:rPr>
      </w:pPr>
    </w:p>
    <w:p>
      <w:pPr>
        <w:ind w:left="3920"/>
        <w:spacing w:after="0"/>
        <w:rPr>
          <w:rFonts w:ascii="Times New Roman" w:cs="Times New Roman" w:eastAsia="Times New Roman" w:hAnsi="Times New Roman"/>
          <w:sz w:val="18"/>
          <w:szCs w:val="18"/>
          <w:color w:val="auto"/>
        </w:rPr>
      </w:pPr>
      <w:r>
        <w:rPr>
          <w:rFonts w:ascii="Arial" w:cs="Arial" w:eastAsia="Arial" w:hAnsi="Arial"/>
          <w:sz w:val="16"/>
          <w:szCs w:val="16"/>
          <w:b w:val="1"/>
          <w:bCs w:val="1"/>
          <w:color w:val="auto"/>
        </w:rPr>
        <w:t>For the Quarterly Period Ended March 31, 2015</w:t>
      </w:r>
    </w:p>
    <w:p>
      <w:pPr>
        <w:spacing w:after="0" w:line="365" w:lineRule="exact"/>
        <w:rPr>
          <w:sz w:val="24"/>
          <w:szCs w:val="24"/>
          <w:color w:val="auto"/>
        </w:rPr>
      </w:pPr>
    </w:p>
    <w:p>
      <w:pPr>
        <w:ind w:left="540" w:hanging="505"/>
        <w:spacing w:after="0"/>
        <w:tabs>
          <w:tab w:leader="none" w:pos="5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2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2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11"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2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0"/>
        </w:trPr>
        <w:tc>
          <w:tcPr>
            <w:tcW w:w="2160" w:type="dxa"/>
            <w:vAlign w:val="bottom"/>
          </w:tcPr>
          <w:p>
            <w:pPr>
              <w:spacing w:after="0"/>
              <w:rPr>
                <w:sz w:val="24"/>
                <w:szCs w:val="24"/>
                <w:color w:val="auto"/>
              </w:rPr>
            </w:pPr>
          </w:p>
        </w:tc>
        <w:tc>
          <w:tcPr>
            <w:tcW w:w="6140" w:type="dxa"/>
            <w:vAlign w:val="bottom"/>
          </w:tcPr>
          <w:p>
            <w:pPr>
              <w:jc w:val="center"/>
              <w:ind w:right="1833"/>
              <w:spacing w:after="0" w:line="439" w:lineRule="exact"/>
              <w:rPr>
                <w:sz w:val="20"/>
                <w:szCs w:val="20"/>
                <w:color w:val="auto"/>
              </w:rPr>
            </w:pPr>
            <w:r>
              <w:rPr>
                <w:rFonts w:ascii="Arial" w:cs="Arial" w:eastAsia="Arial" w:hAnsi="Arial"/>
                <w:sz w:val="40"/>
                <w:szCs w:val="40"/>
                <w:b w:val="1"/>
                <w:bCs w:val="1"/>
                <w:color w:val="231F20"/>
                <w:w w:val="97"/>
              </w:rPr>
              <w:t>QUALYS, INC.</w:t>
            </w:r>
          </w:p>
        </w:tc>
      </w:tr>
      <w:tr>
        <w:trPr>
          <w:trHeight w:val="150"/>
        </w:trPr>
        <w:tc>
          <w:tcPr>
            <w:tcW w:w="2160" w:type="dxa"/>
            <w:vAlign w:val="bottom"/>
          </w:tcPr>
          <w:p>
            <w:pPr>
              <w:spacing w:after="0"/>
              <w:rPr>
                <w:sz w:val="13"/>
                <w:szCs w:val="13"/>
                <w:color w:val="auto"/>
              </w:rPr>
            </w:pPr>
          </w:p>
        </w:tc>
        <w:tc>
          <w:tcPr>
            <w:tcW w:w="6140" w:type="dxa"/>
            <w:vAlign w:val="bottom"/>
          </w:tcPr>
          <w:p>
            <w:pPr>
              <w:jc w:val="center"/>
              <w:ind w:right="1833"/>
              <w:spacing w:after="0" w:line="151"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53"/>
        </w:trPr>
        <w:tc>
          <w:tcPr>
            <w:tcW w:w="2160" w:type="dxa"/>
            <w:vAlign w:val="bottom"/>
          </w:tcPr>
          <w:p>
            <w:pPr>
              <w:spacing w:after="0"/>
              <w:rPr>
                <w:sz w:val="21"/>
                <w:szCs w:val="21"/>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3"/>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11"/>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202"/>
        </w:trPr>
        <w:tc>
          <w:tcPr>
            <w:tcW w:w="2160" w:type="dxa"/>
            <w:vAlign w:val="bottom"/>
          </w:tcPr>
          <w:p>
            <w:pPr>
              <w:spacing w:after="0"/>
              <w:rPr>
                <w:sz w:val="17"/>
                <w:szCs w:val="17"/>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73"/>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50"/>
        </w:trPr>
        <w:tc>
          <w:tcPr>
            <w:tcW w:w="2160" w:type="dxa"/>
            <w:vAlign w:val="bottom"/>
          </w:tcPr>
          <w:p>
            <w:pPr>
              <w:spacing w:after="0"/>
              <w:rPr>
                <w:sz w:val="13"/>
                <w:szCs w:val="13"/>
                <w:color w:val="auto"/>
              </w:rPr>
            </w:pPr>
          </w:p>
        </w:tc>
        <w:tc>
          <w:tcPr>
            <w:tcW w:w="6140" w:type="dxa"/>
            <w:vAlign w:val="bottom"/>
          </w:tcPr>
          <w:p>
            <w:pPr>
              <w:jc w:val="center"/>
              <w:ind w:right="1813"/>
              <w:spacing w:after="0" w:line="151"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53"/>
        </w:trPr>
        <w:tc>
          <w:tcPr>
            <w:tcW w:w="2160" w:type="dxa"/>
            <w:vAlign w:val="bottom"/>
          </w:tcPr>
          <w:p>
            <w:pPr>
              <w:spacing w:after="0"/>
              <w:rPr>
                <w:sz w:val="21"/>
                <w:szCs w:val="21"/>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94"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6"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ind w:right="8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29" w:right="319" w:bottom="1440" w:gutter="0" w:footer="0" w:header="0"/>
          <w:type w:val="continuous"/>
        </w:sectPr>
      </w:pPr>
    </w:p>
    <w:p>
      <w:pPr>
        <w:spacing w:after="0" w:line="189"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68"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2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2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2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63" w:lineRule="exact"/>
        <w:rPr>
          <w:sz w:val="24"/>
          <w:szCs w:val="24"/>
          <w:color w:val="auto"/>
        </w:rPr>
      </w:pPr>
    </w:p>
    <w:p>
      <w:pPr>
        <w:sectPr>
          <w:pgSz w:w="11900" w:h="16838" w:orient="portrait"/>
          <w:cols w:equalWidth="0" w:num="3">
            <w:col w:w="8780" w:space="160"/>
            <w:col w:w="200" w:space="80"/>
            <w:col w:w="2120"/>
          </w:cols>
          <w:pgMar w:left="240" w:top="22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April 30, 2015 was 33,955,829.</w:t>
      </w:r>
    </w:p>
    <w:p>
      <w:pPr>
        <w:sectPr>
          <w:pgSz w:w="11900" w:h="16838" w:orient="portrait"/>
          <w:cols w:equalWidth="0" w:num="1">
            <w:col w:w="11340"/>
          </w:cols>
          <w:pgMar w:left="240" w:top="22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51"/>
        </w:trPr>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20" w:type="dxa"/>
            <w:vAlign w:val="bottom"/>
            <w:gridSpan w:val="10"/>
          </w:tcPr>
          <w:p>
            <w:pPr>
              <w:ind w:left="88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4"/>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180" w:type="dxa"/>
            <w:vAlign w:val="bottom"/>
            <w:gridSpan w:val="13"/>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40" w:type="dxa"/>
            <w:vAlign w:val="bottom"/>
          </w:tcPr>
          <w:p>
            <w:pPr>
              <w:spacing w:after="0"/>
              <w:rPr>
                <w:sz w:val="21"/>
                <w:szCs w:val="21"/>
                <w:color w:val="auto"/>
              </w:rPr>
            </w:pPr>
          </w:p>
        </w:tc>
        <w:tc>
          <w:tcPr>
            <w:tcW w:w="6360" w:type="dxa"/>
            <w:vAlign w:val="bottom"/>
            <w:tcBorders>
              <w:bottom w:val="single" w:sz="8" w:color="0000FF"/>
            </w:tcBorders>
            <w:gridSpan w:val="1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 xml:space="preserve">Condensed Consolidated Balance Sheets as of </w:t>
              </w:r>
            </w:hyperlink>
            <w:r>
              <w:rPr>
                <w:rFonts w:ascii="Arial" w:cs="Arial" w:eastAsia="Arial" w:hAnsi="Arial"/>
                <w:sz w:val="16"/>
                <w:szCs w:val="16"/>
                <w:color w:val="0000FF"/>
              </w:rPr>
              <w:t>March 31, 2015 and December 31, 2014</w:t>
            </w:r>
          </w:p>
        </w:tc>
        <w:tc>
          <w:tcPr>
            <w:tcW w:w="3340" w:type="dxa"/>
            <w:vAlign w:val="bottom"/>
            <w:gridSpan w:val="5"/>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 xml:space="preserve">Condensed Consolidated Statements of Operations for the three </w:t>
              </w:r>
            </w:hyperlink>
            <w:r>
              <w:rPr>
                <w:rFonts w:ascii="Arial" w:cs="Arial" w:eastAsia="Arial" w:hAnsi="Arial"/>
                <w:sz w:val="16"/>
                <w:szCs w:val="16"/>
                <w:color w:val="0000FF"/>
              </w:rPr>
              <w:t>months ended March 31, 2015 and 2014</w:t>
            </w:r>
          </w:p>
        </w:tc>
        <w:tc>
          <w:tcPr>
            <w:tcW w:w="80" w:type="dxa"/>
            <w:vAlign w:val="bottom"/>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Comprehensive Income (Loss) for the three </w:t>
              </w:r>
            </w:hyperlink>
            <w:r>
              <w:rPr>
                <w:rFonts w:ascii="Arial" w:cs="Arial" w:eastAsia="Arial" w:hAnsi="Arial"/>
                <w:sz w:val="16"/>
                <w:szCs w:val="16"/>
                <w:color w:val="0000FF"/>
              </w:rPr>
              <w:t>months</w:t>
            </w:r>
            <w:r>
              <w:rPr>
                <w:rFonts w:ascii="Arial" w:cs="Arial" w:eastAsia="Arial" w:hAnsi="Arial"/>
                <w:sz w:val="16"/>
                <w:szCs w:val="16"/>
                <w:color w:val="0000EE"/>
              </w:rPr>
              <w:t xml:space="preserve"> </w:t>
            </w:r>
            <w:r>
              <w:rPr>
                <w:rFonts w:ascii="Arial" w:cs="Arial" w:eastAsia="Arial" w:hAnsi="Arial"/>
                <w:sz w:val="16"/>
                <w:szCs w:val="16"/>
                <w:color w:val="0000FF"/>
              </w:rPr>
              <w:t>ended March 31, 2015 and 2014</w:t>
            </w:r>
          </w:p>
        </w:tc>
        <w:tc>
          <w:tcPr>
            <w:tcW w:w="80" w:type="dxa"/>
            <w:vAlign w:val="bottom"/>
          </w:tcPr>
          <w:p>
            <w:pPr>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 xml:space="preserve">Condensed Consolidated Statements of Cash Flows for the </w:t>
              </w:r>
            </w:hyperlink>
            <w:r>
              <w:rPr>
                <w:rFonts w:ascii="Arial" w:cs="Arial" w:eastAsia="Arial" w:hAnsi="Arial"/>
                <w:sz w:val="16"/>
                <w:szCs w:val="16"/>
                <w:color w:val="0000FF"/>
              </w:rPr>
              <w:t>three months ended March 31, 2015 and 2014</w:t>
            </w:r>
          </w:p>
        </w:tc>
        <w:tc>
          <w:tcPr>
            <w:tcW w:w="80" w:type="dxa"/>
            <w:vAlign w:val="bottom"/>
          </w:tcPr>
          <w:p>
            <w:pPr>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640" w:type="dxa"/>
            <w:vAlign w:val="bottom"/>
            <w:tcBorders>
              <w:top w:val="single" w:sz="8" w:color="0000FF"/>
            </w:tcBorders>
            <w:gridSpan w:val="17"/>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Condensed Consolidated Financial Statements</w:t>
              </w:r>
            </w:hyperlink>
          </w:p>
        </w:tc>
        <w:tc>
          <w:tcPr>
            <w:tcW w:w="2060" w:type="dxa"/>
            <w:vAlign w:val="bottom"/>
            <w:gridSpan w:val="2"/>
          </w:tcPr>
          <w:p>
            <w:pPr>
              <w:spacing w:after="0"/>
              <w:rPr>
                <w:sz w:val="21"/>
                <w:szCs w:val="21"/>
                <w:color w:val="auto"/>
              </w:rPr>
            </w:pPr>
          </w:p>
        </w:tc>
        <w:tc>
          <w:tcPr>
            <w:tcW w:w="80" w:type="dxa"/>
            <w:vAlign w:val="bottom"/>
            <w:tcBorders>
              <w:top w:val="single" w:sz="8" w:color="0000FF"/>
            </w:tcBorders>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5"/>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Management’s Discussion and Analysis of Financial Condition and Results of Operations</w:t>
              </w:r>
            </w:hyperlink>
          </w:p>
        </w:tc>
        <w:tc>
          <w:tcPr>
            <w:tcW w:w="3320" w:type="dxa"/>
            <w:vAlign w:val="bottom"/>
            <w:gridSpan w:val="4"/>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23">
              <w:r>
                <w:rPr>
                  <w:rFonts w:ascii="Arial" w:cs="Arial" w:eastAsia="Arial" w:hAnsi="Arial"/>
                  <w:sz w:val="16"/>
                  <w:szCs w:val="16"/>
                  <w:color w:val="0000FF"/>
                  <w:w w:val="89"/>
                </w:rPr>
                <w:t>23</w:t>
              </w:r>
            </w:hyperlink>
          </w:p>
        </w:tc>
        <w:tc>
          <w:tcPr>
            <w:tcW w:w="200" w:type="dxa"/>
            <w:vAlign w:val="bottom"/>
          </w:tcPr>
          <w:p>
            <w:pPr>
              <w:spacing w:after="0"/>
              <w:rPr>
                <w:sz w:val="24"/>
                <w:szCs w:val="24"/>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9700" w:type="dxa"/>
            <w:vAlign w:val="bottom"/>
            <w:gridSpan w:val="19"/>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Quantitative and Qualitative Disclosures About Market Risk</w:t>
              </w:r>
            </w:hyperlink>
          </w:p>
        </w:tc>
        <w:tc>
          <w:tcPr>
            <w:tcW w:w="380" w:type="dxa"/>
            <w:vAlign w:val="bottom"/>
            <w:gridSpan w:val="3"/>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11"/>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Controls and Procedures</w:t>
              </w:r>
            </w:hyperlink>
          </w:p>
        </w:tc>
        <w:tc>
          <w:tcPr>
            <w:tcW w:w="5460" w:type="dxa"/>
            <w:vAlign w:val="bottom"/>
            <w:gridSpan w:val="8"/>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37</w:t>
              </w:r>
            </w:hyperlink>
          </w:p>
        </w:tc>
        <w:tc>
          <w:tcPr>
            <w:tcW w:w="200" w:type="dxa"/>
            <w:vAlign w:val="bottom"/>
          </w:tcPr>
          <w:p>
            <w:pPr>
              <w:spacing w:after="0"/>
              <w:rPr>
                <w:sz w:val="19"/>
                <w:szCs w:val="19"/>
                <w:color w:val="auto"/>
              </w:rPr>
            </w:pPr>
          </w:p>
        </w:tc>
      </w:tr>
      <w:tr>
        <w:trPr>
          <w:trHeight w:val="270"/>
        </w:trPr>
        <w:tc>
          <w:tcPr>
            <w:tcW w:w="1140" w:type="dxa"/>
            <w:vAlign w:val="bottom"/>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Pr>
          <w:p>
            <w:pPr>
              <w:spacing w:after="0"/>
              <w:rPr>
                <w:sz w:val="23"/>
                <w:szCs w:val="23"/>
                <w:color w:val="auto"/>
              </w:rPr>
            </w:pPr>
          </w:p>
        </w:tc>
        <w:tc>
          <w:tcPr>
            <w:tcW w:w="7420" w:type="dxa"/>
            <w:vAlign w:val="bottom"/>
            <w:gridSpan w:val="10"/>
          </w:tcPr>
          <w:p>
            <w:pPr>
              <w:ind w:left="110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Pr>
          <w:p>
            <w:pPr>
              <w:spacing w:after="0"/>
              <w:rPr>
                <w:sz w:val="23"/>
                <w:szCs w:val="23"/>
                <w:color w:val="auto"/>
              </w:rPr>
            </w:pPr>
          </w:p>
        </w:tc>
      </w:tr>
      <w:tr>
        <w:trPr>
          <w:trHeight w:val="197"/>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9700" w:type="dxa"/>
            <w:vAlign w:val="bottom"/>
            <w:gridSpan w:val="19"/>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Legal Proceedings</w:t>
              </w:r>
            </w:hyperlink>
          </w:p>
        </w:tc>
        <w:tc>
          <w:tcPr>
            <w:tcW w:w="380" w:type="dxa"/>
            <w:vAlign w:val="bottom"/>
            <w:gridSpan w:val="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Risk Factors</w:t>
              </w:r>
            </w:hyperlink>
          </w:p>
        </w:tc>
        <w:tc>
          <w:tcPr>
            <w:tcW w:w="8360" w:type="dxa"/>
            <w:vAlign w:val="bottom"/>
            <w:gridSpan w:val="14"/>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38">
              <w:r>
                <w:rPr>
                  <w:rFonts w:ascii="Arial" w:cs="Arial" w:eastAsia="Arial" w:hAnsi="Arial"/>
                  <w:sz w:val="16"/>
                  <w:szCs w:val="16"/>
                  <w:color w:val="0000FF"/>
                  <w:w w:val="89"/>
                </w:rPr>
                <w:t>38</w:t>
              </w:r>
            </w:hyperlink>
          </w:p>
        </w:tc>
        <w:tc>
          <w:tcPr>
            <w:tcW w:w="2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FF"/>
            </w:tcBorders>
            <w:gridSpan w:val="12"/>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Unregistered Sales of Equity Securities and Use of Proceeds</w:t>
              </w:r>
            </w:hyperlink>
          </w:p>
        </w:tc>
        <w:tc>
          <w:tcPr>
            <w:tcW w:w="5320" w:type="dxa"/>
            <w:vAlign w:val="bottom"/>
            <w:gridSpan w:val="7"/>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59</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2280" w:type="dxa"/>
            <w:vAlign w:val="bottom"/>
            <w:tcBorders>
              <w:bottom w:val="single" w:sz="8" w:color="0000FF"/>
            </w:tcBorders>
            <w:gridSpan w:val="9"/>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Defaults upon Senior Securities</w:t>
              </w:r>
            </w:hyperlink>
          </w:p>
        </w:tc>
        <w:tc>
          <w:tcPr>
            <w:tcW w:w="7420" w:type="dxa"/>
            <w:vAlign w:val="bottom"/>
            <w:gridSpan w:val="10"/>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59</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9700" w:type="dxa"/>
            <w:vAlign w:val="bottom"/>
            <w:gridSpan w:val="19"/>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Mine Safety Disclosures</w:t>
              </w:r>
            </w:hyperlink>
          </w:p>
        </w:tc>
        <w:tc>
          <w:tcPr>
            <w:tcW w:w="380" w:type="dxa"/>
            <w:vAlign w:val="bottom"/>
            <w:gridSpan w:val="3"/>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59</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7"/>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Other Information</w:t>
              </w:r>
            </w:hyperlink>
          </w:p>
        </w:tc>
        <w:tc>
          <w:tcPr>
            <w:tcW w:w="7960" w:type="dxa"/>
            <w:vAlign w:val="bottom"/>
            <w:gridSpan w:val="12"/>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59</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tcPr>
          <w:p>
            <w:pPr>
              <w:spacing w:after="0"/>
              <w:rPr>
                <w:rFonts w:ascii="Arial" w:cs="Arial" w:eastAsia="Arial" w:hAnsi="Arial"/>
                <w:sz w:val="16"/>
                <w:szCs w:val="16"/>
                <w:color w:val="0000FF"/>
                <w:w w:val="99"/>
              </w:rPr>
            </w:pPr>
            <w:hyperlink w:anchor="page59">
              <w:r>
                <w:rPr>
                  <w:rFonts w:ascii="Arial" w:cs="Arial" w:eastAsia="Arial" w:hAnsi="Arial"/>
                  <w:sz w:val="16"/>
                  <w:szCs w:val="16"/>
                  <w:color w:val="0000FF"/>
                  <w:w w:val="99"/>
                </w:rPr>
                <w:t>Exhibits</w:t>
              </w:r>
            </w:hyperlink>
          </w:p>
        </w:tc>
        <w:tc>
          <w:tcPr>
            <w:tcW w:w="680" w:type="dxa"/>
            <w:vAlign w:val="bottom"/>
            <w:tcBorders>
              <w:top w:val="single" w:sz="8" w:color="0000FF"/>
            </w:tcBorders>
            <w:gridSpan w:val="3"/>
          </w:tcPr>
          <w:p>
            <w:pPr>
              <w:spacing w:after="0"/>
              <w:rPr>
                <w:sz w:val="19"/>
                <w:szCs w:val="19"/>
                <w:color w:val="auto"/>
              </w:rPr>
            </w:pPr>
          </w:p>
        </w:tc>
        <w:tc>
          <w:tcPr>
            <w:tcW w:w="8440" w:type="dxa"/>
            <w:vAlign w:val="bottom"/>
            <w:gridSpan w:val="15"/>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59</w:t>
              </w:r>
            </w:hyperlink>
          </w:p>
        </w:tc>
        <w:tc>
          <w:tcPr>
            <w:tcW w:w="200" w:type="dxa"/>
            <w:vAlign w:val="bottom"/>
          </w:tcPr>
          <w:p>
            <w:pPr>
              <w:spacing w:after="0"/>
              <w:rPr>
                <w:sz w:val="19"/>
                <w:szCs w:val="19"/>
                <w:color w:val="auto"/>
              </w:rPr>
            </w:pPr>
          </w:p>
        </w:tc>
      </w:tr>
      <w:tr>
        <w:trPr>
          <w:trHeight w:val="250"/>
        </w:trPr>
        <w:tc>
          <w:tcPr>
            <w:tcW w:w="1140" w:type="dxa"/>
            <w:vAlign w:val="bottom"/>
          </w:tcPr>
          <w:p>
            <w:pPr>
              <w:spacing w:after="0"/>
              <w:rPr>
                <w:sz w:val="21"/>
                <w:szCs w:val="21"/>
                <w:color w:val="auto"/>
              </w:rPr>
            </w:pPr>
          </w:p>
        </w:tc>
        <w:tc>
          <w:tcPr>
            <w:tcW w:w="78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59">
              <w:r>
                <w:rPr>
                  <w:rFonts w:ascii="Arial" w:cs="Arial" w:eastAsia="Arial" w:hAnsi="Arial"/>
                  <w:sz w:val="16"/>
                  <w:szCs w:val="16"/>
                  <w:color w:val="0000FF"/>
                  <w:w w:val="99"/>
                </w:rPr>
                <w:t>Signatures</w:t>
              </w:r>
            </w:hyperlink>
          </w:p>
        </w:tc>
        <w:tc>
          <w:tcPr>
            <w:tcW w:w="8920" w:type="dxa"/>
            <w:vAlign w:val="bottom"/>
            <w:gridSpan w:val="17"/>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60</w:t>
              </w:r>
            </w:hyperlink>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2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17"/>
                <w:szCs w:val="17"/>
                <w:color w:val="auto"/>
              </w:rPr>
            </w:pPr>
          </w:p>
        </w:tc>
        <w:tc>
          <w:tcPr>
            <w:tcW w:w="11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8"/>
        </w:trPr>
        <w:tc>
          <w:tcPr>
            <w:tcW w:w="84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4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78,018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76,504</w:t>
            </w:r>
          </w:p>
        </w:tc>
        <w:tc>
          <w:tcPr>
            <w:tcW w:w="0" w:type="dxa"/>
            <w:vAlign w:val="bottom"/>
          </w:tcPr>
          <w:p>
            <w:pPr>
              <w:spacing w:after="0"/>
              <w:rPr>
                <w:sz w:val="1"/>
                <w:szCs w:val="1"/>
                <w:color w:val="auto"/>
              </w:rPr>
            </w:pPr>
          </w:p>
        </w:tc>
      </w:tr>
      <w:tr>
        <w:trPr>
          <w:trHeight w:val="266"/>
        </w:trPr>
        <w:tc>
          <w:tcPr>
            <w:tcW w:w="848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64,932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50,714</w:t>
            </w:r>
          </w:p>
        </w:tc>
        <w:tc>
          <w:tcPr>
            <w:tcW w:w="0" w:type="dxa"/>
            <w:vAlign w:val="bottom"/>
          </w:tcPr>
          <w:p>
            <w:pPr>
              <w:spacing w:after="0"/>
              <w:rPr>
                <w:sz w:val="1"/>
                <w:szCs w:val="1"/>
                <w:color w:val="auto"/>
              </w:rPr>
            </w:pPr>
          </w:p>
        </w:tc>
      </w:tr>
      <w:tr>
        <w:trPr>
          <w:trHeight w:val="274"/>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$602 and $590 at March 31, 2015 and December 31, 2014, respectively</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32,993</w:t>
            </w:r>
          </w:p>
        </w:tc>
        <w:tc>
          <w:tcPr>
            <w:tcW w:w="0" w:type="dxa"/>
            <w:vAlign w:val="bottom"/>
          </w:tcPr>
          <w:p>
            <w:pPr>
              <w:spacing w:after="0"/>
              <w:rPr>
                <w:sz w:val="1"/>
                <w:szCs w:val="1"/>
                <w:color w:val="auto"/>
              </w:rPr>
            </w:pPr>
          </w:p>
        </w:tc>
      </w:tr>
      <w:tr>
        <w:trPr>
          <w:trHeight w:val="266"/>
        </w:trPr>
        <w:tc>
          <w:tcPr>
            <w:tcW w:w="8480" w:type="dxa"/>
            <w:vAlign w:val="bottom"/>
          </w:tcPr>
          <w:p>
            <w:pPr>
              <w:ind w:left="280"/>
              <w:spacing w:after="0"/>
              <w:rPr>
                <w:sz w:val="20"/>
                <w:szCs w:val="20"/>
                <w:color w:val="auto"/>
              </w:rPr>
            </w:pPr>
            <w:r>
              <w:rPr>
                <w:rFonts w:ascii="Arial" w:cs="Arial" w:eastAsia="Arial" w:hAnsi="Arial"/>
                <w:sz w:val="14"/>
                <w:szCs w:val="14"/>
                <w:color w:val="auto"/>
              </w:rPr>
              <w:t>Deferred tax assets, current</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6,862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8,520</w:t>
            </w:r>
          </w:p>
        </w:tc>
        <w:tc>
          <w:tcPr>
            <w:tcW w:w="0" w:type="dxa"/>
            <w:vAlign w:val="bottom"/>
          </w:tcPr>
          <w:p>
            <w:pPr>
              <w:spacing w:after="0"/>
              <w:rPr>
                <w:sz w:val="1"/>
                <w:szCs w:val="1"/>
                <w:color w:val="auto"/>
              </w:rPr>
            </w:pPr>
          </w:p>
        </w:tc>
      </w:tr>
      <w:tr>
        <w:trPr>
          <w:trHeight w:val="270"/>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7,305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6,528</w:t>
            </w:r>
          </w:p>
        </w:tc>
        <w:tc>
          <w:tcPr>
            <w:tcW w:w="0" w:type="dxa"/>
            <w:vAlign w:val="bottom"/>
          </w:tcPr>
          <w:p>
            <w:pPr>
              <w:spacing w:after="0"/>
              <w:rPr>
                <w:sz w:val="1"/>
                <w:szCs w:val="1"/>
                <w:color w:val="auto"/>
              </w:rPr>
            </w:pPr>
          </w:p>
        </w:tc>
      </w:tr>
      <w:tr>
        <w:trPr>
          <w:trHeight w:val="250"/>
        </w:trPr>
        <w:tc>
          <w:tcPr>
            <w:tcW w:w="848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195,849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175,259</w:t>
            </w:r>
          </w:p>
        </w:tc>
        <w:tc>
          <w:tcPr>
            <w:tcW w:w="0" w:type="dxa"/>
            <w:vAlign w:val="bottom"/>
          </w:tcPr>
          <w:p>
            <w:pPr>
              <w:spacing w:after="0"/>
              <w:rPr>
                <w:sz w:val="1"/>
                <w:szCs w:val="1"/>
                <w:color w:val="auto"/>
              </w:rPr>
            </w:pPr>
          </w:p>
        </w:tc>
      </w:tr>
      <w:tr>
        <w:trPr>
          <w:trHeight w:val="274"/>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39,448</w:t>
            </w:r>
          </w:p>
        </w:tc>
        <w:tc>
          <w:tcPr>
            <w:tcW w:w="0" w:type="dxa"/>
            <w:vAlign w:val="bottom"/>
          </w:tcPr>
          <w:p>
            <w:pPr>
              <w:spacing w:after="0"/>
              <w:rPr>
                <w:sz w:val="1"/>
                <w:szCs w:val="1"/>
                <w:color w:val="auto"/>
              </w:rPr>
            </w:pPr>
          </w:p>
        </w:tc>
      </w:tr>
      <w:tr>
        <w:trPr>
          <w:trHeight w:val="266"/>
        </w:trPr>
        <w:tc>
          <w:tcPr>
            <w:tcW w:w="848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28,279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26,618</w:t>
            </w:r>
          </w:p>
        </w:tc>
        <w:tc>
          <w:tcPr>
            <w:tcW w:w="0" w:type="dxa"/>
            <w:vAlign w:val="bottom"/>
          </w:tcPr>
          <w:p>
            <w:pPr>
              <w:spacing w:after="0"/>
              <w:rPr>
                <w:sz w:val="1"/>
                <w:szCs w:val="1"/>
                <w:color w:val="auto"/>
              </w:rPr>
            </w:pPr>
          </w:p>
        </w:tc>
      </w:tr>
      <w:tr>
        <w:trPr>
          <w:trHeight w:val="274"/>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14,119</w:t>
            </w:r>
          </w:p>
        </w:tc>
        <w:tc>
          <w:tcPr>
            <w:tcW w:w="0" w:type="dxa"/>
            <w:vAlign w:val="bottom"/>
          </w:tcPr>
          <w:p>
            <w:pPr>
              <w:spacing w:after="0"/>
              <w:rPr>
                <w:sz w:val="1"/>
                <w:szCs w:val="1"/>
                <w:color w:val="auto"/>
              </w:rPr>
            </w:pPr>
          </w:p>
        </w:tc>
      </w:tr>
      <w:tr>
        <w:trPr>
          <w:trHeight w:val="266"/>
        </w:trPr>
        <w:tc>
          <w:tcPr>
            <w:tcW w:w="848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274"/>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66"/>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273,908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260,024</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48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2,052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5,661</w:t>
            </w:r>
          </w:p>
        </w:tc>
        <w:tc>
          <w:tcPr>
            <w:tcW w:w="0" w:type="dxa"/>
            <w:vAlign w:val="bottom"/>
          </w:tcPr>
          <w:p>
            <w:pPr>
              <w:spacing w:after="0"/>
              <w:rPr>
                <w:sz w:val="1"/>
                <w:szCs w:val="1"/>
                <w:color w:val="auto"/>
              </w:rPr>
            </w:pPr>
          </w:p>
        </w:tc>
      </w:tr>
      <w:tr>
        <w:trPr>
          <w:trHeight w:val="274"/>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10,353</w:t>
            </w:r>
          </w:p>
        </w:tc>
        <w:tc>
          <w:tcPr>
            <w:tcW w:w="0" w:type="dxa"/>
            <w:vAlign w:val="bottom"/>
          </w:tcPr>
          <w:p>
            <w:pPr>
              <w:spacing w:after="0"/>
              <w:rPr>
                <w:sz w:val="1"/>
                <w:szCs w:val="1"/>
                <w:color w:val="auto"/>
              </w:rPr>
            </w:pPr>
          </w:p>
        </w:tc>
      </w:tr>
      <w:tr>
        <w:trPr>
          <w:trHeight w:val="266"/>
        </w:trPr>
        <w:tc>
          <w:tcPr>
            <w:tcW w:w="84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revenues, current</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87,929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81,147</w:t>
            </w:r>
          </w:p>
        </w:tc>
        <w:tc>
          <w:tcPr>
            <w:tcW w:w="0" w:type="dxa"/>
            <w:vAlign w:val="bottom"/>
          </w:tcPr>
          <w:p>
            <w:pPr>
              <w:spacing w:after="0"/>
              <w:rPr>
                <w:sz w:val="1"/>
                <w:szCs w:val="1"/>
                <w:color w:val="auto"/>
              </w:rPr>
            </w:pPr>
          </w:p>
        </w:tc>
      </w:tr>
      <w:tr>
        <w:trPr>
          <w:trHeight w:val="254"/>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100,528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97,161</w:t>
            </w:r>
          </w:p>
        </w:tc>
        <w:tc>
          <w:tcPr>
            <w:tcW w:w="0" w:type="dxa"/>
            <w:vAlign w:val="bottom"/>
          </w:tcPr>
          <w:p>
            <w:pPr>
              <w:spacing w:after="0"/>
              <w:rPr>
                <w:sz w:val="1"/>
                <w:szCs w:val="1"/>
                <w:color w:val="auto"/>
              </w:rPr>
            </w:pPr>
          </w:p>
        </w:tc>
      </w:tr>
      <w:tr>
        <w:trPr>
          <w:trHeight w:val="266"/>
        </w:trPr>
        <w:tc>
          <w:tcPr>
            <w:tcW w:w="848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10,064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50"/>
        </w:trPr>
        <w:tc>
          <w:tcPr>
            <w:tcW w:w="848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111,634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108,197</w:t>
            </w:r>
          </w:p>
        </w:tc>
        <w:tc>
          <w:tcPr>
            <w:tcW w:w="0" w:type="dxa"/>
            <w:vAlign w:val="bottom"/>
          </w:tcPr>
          <w:p>
            <w:pPr>
              <w:spacing w:after="0"/>
              <w:rPr>
                <w:sz w:val="1"/>
                <w:szCs w:val="1"/>
                <w:color w:val="auto"/>
              </w:rPr>
            </w:pPr>
          </w:p>
        </w:tc>
      </w:tr>
      <w:tr>
        <w:trPr>
          <w:trHeight w:val="274"/>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5)</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48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March 31, 2015 and</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December 31, 2014</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48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33,934,868 and 33,594,285 shares issued and outstanding</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80" w:type="dxa"/>
            <w:vAlign w:val="bottom"/>
          </w:tcPr>
          <w:p>
            <w:pPr>
              <w:ind w:left="280"/>
              <w:spacing w:after="0"/>
              <w:rPr>
                <w:sz w:val="20"/>
                <w:szCs w:val="20"/>
                <w:color w:val="auto"/>
              </w:rPr>
            </w:pPr>
            <w:r>
              <w:rPr>
                <w:rFonts w:ascii="Arial" w:cs="Arial" w:eastAsia="Arial" w:hAnsi="Arial"/>
                <w:sz w:val="14"/>
                <w:szCs w:val="14"/>
                <w:color w:val="auto"/>
              </w:rPr>
              <w:t>at March 31, 2015 and December 31, 2014, respectively</w:t>
            </w:r>
          </w:p>
        </w:tc>
        <w:tc>
          <w:tcPr>
            <w:tcW w:w="16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4"/>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202,553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195,133</w:t>
            </w:r>
          </w:p>
        </w:tc>
        <w:tc>
          <w:tcPr>
            <w:tcW w:w="0" w:type="dxa"/>
            <w:vAlign w:val="bottom"/>
          </w:tcPr>
          <w:p>
            <w:pPr>
              <w:spacing w:after="0"/>
              <w:rPr>
                <w:sz w:val="1"/>
                <w:szCs w:val="1"/>
                <w:color w:val="auto"/>
              </w:rPr>
            </w:pPr>
          </w:p>
        </w:tc>
      </w:tr>
      <w:tr>
        <w:trPr>
          <w:trHeight w:val="266"/>
        </w:trPr>
        <w:tc>
          <w:tcPr>
            <w:tcW w:w="8480" w:type="dxa"/>
            <w:vAlign w:val="bottom"/>
          </w:tcPr>
          <w:p>
            <w:pPr>
              <w:ind w:left="28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(40,348)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(43,350)</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162,274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151,827</w:t>
            </w: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273,908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260,024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21" w:right="3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1"/>
        </w:trPr>
        <w:tc>
          <w:tcPr>
            <w:tcW w:w="85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37,493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30,356</w:t>
            </w:r>
          </w:p>
        </w:tc>
        <w:tc>
          <w:tcPr>
            <w:tcW w:w="0" w:type="dxa"/>
            <w:vAlign w:val="bottom"/>
          </w:tcPr>
          <w:p>
            <w:pPr>
              <w:spacing w:after="0"/>
              <w:rPr>
                <w:sz w:val="1"/>
                <w:szCs w:val="1"/>
                <w:color w:val="auto"/>
              </w:rPr>
            </w:pPr>
          </w:p>
        </w:tc>
      </w:tr>
      <w:tr>
        <w:trPr>
          <w:trHeight w:val="266"/>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7,964</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6,846</w:t>
            </w:r>
          </w:p>
        </w:tc>
        <w:tc>
          <w:tcPr>
            <w:tcW w:w="0" w:type="dxa"/>
            <w:vAlign w:val="bottom"/>
          </w:tcPr>
          <w:p>
            <w:pPr>
              <w:spacing w:after="0"/>
              <w:rPr>
                <w:sz w:val="1"/>
                <w:szCs w:val="1"/>
                <w:color w:val="auto"/>
              </w:rPr>
            </w:pPr>
          </w:p>
        </w:tc>
      </w:tr>
      <w:tr>
        <w:trPr>
          <w:trHeight w:val="254"/>
        </w:trPr>
        <w:tc>
          <w:tcPr>
            <w:tcW w:w="8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23,510</w:t>
            </w:r>
          </w:p>
        </w:tc>
        <w:tc>
          <w:tcPr>
            <w:tcW w:w="0" w:type="dxa"/>
            <w:vAlign w:val="bottom"/>
          </w:tcPr>
          <w:p>
            <w:pPr>
              <w:spacing w:after="0"/>
              <w:rPr>
                <w:sz w:val="1"/>
                <w:szCs w:val="1"/>
                <w:color w:val="auto"/>
              </w:rPr>
            </w:pPr>
          </w:p>
        </w:tc>
      </w:tr>
      <w:tr>
        <w:trPr>
          <w:trHeight w:val="266"/>
        </w:trPr>
        <w:tc>
          <w:tcPr>
            <w:tcW w:w="85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7,150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6,404</w:t>
            </w:r>
          </w:p>
        </w:tc>
        <w:tc>
          <w:tcPr>
            <w:tcW w:w="0" w:type="dxa"/>
            <w:vAlign w:val="bottom"/>
          </w:tcPr>
          <w:p>
            <w:pPr>
              <w:spacing w:after="0"/>
              <w:rPr>
                <w:sz w:val="1"/>
                <w:szCs w:val="1"/>
                <w:color w:val="auto"/>
              </w:rPr>
            </w:pPr>
          </w:p>
        </w:tc>
      </w:tr>
      <w:tr>
        <w:trPr>
          <w:trHeight w:val="266"/>
        </w:trPr>
        <w:tc>
          <w:tcPr>
            <w:tcW w:w="85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11,443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12,492</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6,016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4,875</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24,609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23,771</w:t>
            </w:r>
          </w:p>
        </w:tc>
        <w:tc>
          <w:tcPr>
            <w:tcW w:w="0" w:type="dxa"/>
            <w:vAlign w:val="bottom"/>
          </w:tcPr>
          <w:p>
            <w:pPr>
              <w:spacing w:after="0"/>
              <w:rPr>
                <w:sz w:val="1"/>
                <w:szCs w:val="1"/>
                <w:color w:val="auto"/>
              </w:rPr>
            </w:pPr>
          </w:p>
        </w:tc>
      </w:tr>
      <w:tr>
        <w:trPr>
          <w:trHeight w:val="254"/>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66"/>
        </w:trPr>
        <w:tc>
          <w:tcPr>
            <w:tcW w:w="856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6"/>
        </w:trPr>
        <w:tc>
          <w:tcPr>
            <w:tcW w:w="85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4"/>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66"/>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41"/>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Arial" w:cs="Arial" w:eastAsia="Arial" w:hAnsi="Arial"/>
                <w:sz w:val="14"/>
                <w:szCs w:val="14"/>
                <w:color w:val="auto"/>
              </w:rPr>
              <w:t>Net income (loss)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5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(loss) per share: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33,775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32,516</w:t>
            </w:r>
          </w:p>
        </w:tc>
        <w:tc>
          <w:tcPr>
            <w:tcW w:w="0" w:type="dxa"/>
            <w:vAlign w:val="bottom"/>
          </w:tcPr>
          <w:p>
            <w:pPr>
              <w:spacing w:after="0"/>
              <w:rPr>
                <w:sz w:val="1"/>
                <w:szCs w:val="1"/>
                <w:color w:val="auto"/>
              </w:rPr>
            </w:pPr>
          </w:p>
        </w:tc>
      </w:tr>
      <w:tr>
        <w:trPr>
          <w:trHeight w:val="21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38,235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32,516</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Pr>
          <w:p>
            <w:pPr>
              <w:spacing w:after="0"/>
              <w:rPr>
                <w:sz w:val="17"/>
                <w:szCs w:val="17"/>
                <w:color w:val="auto"/>
              </w:rPr>
            </w:pPr>
          </w:p>
        </w:tc>
        <w:tc>
          <w:tcPr>
            <w:tcW w:w="238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7"/>
                <w:szCs w:val="17"/>
                <w:color w:val="auto"/>
              </w:rPr>
            </w:pPr>
          </w:p>
        </w:tc>
      </w:tr>
      <w:tr>
        <w:trPr>
          <w:trHeight w:val="271"/>
        </w:trPr>
        <w:tc>
          <w:tcPr>
            <w:tcW w:w="858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23"/>
                <w:szCs w:val="23"/>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8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r>
      <w:tr>
        <w:trPr>
          <w:trHeight w:val="266"/>
        </w:trPr>
        <w:tc>
          <w:tcPr>
            <w:tcW w:w="8580" w:type="dxa"/>
            <w:vAlign w:val="bottom"/>
          </w:tcPr>
          <w:p>
            <w:pPr>
              <w:ind w:left="180"/>
              <w:spacing w:after="0"/>
              <w:rPr>
                <w:sz w:val="20"/>
                <w:szCs w:val="20"/>
                <w:color w:val="auto"/>
              </w:rPr>
            </w:pPr>
            <w:r>
              <w:rPr>
                <w:rFonts w:ascii="Arial" w:cs="Arial" w:eastAsia="Arial" w:hAnsi="Arial"/>
                <w:sz w:val="14"/>
                <w:szCs w:val="14"/>
                <w:color w:val="auto"/>
              </w:rPr>
              <w:t>Available-for-sale investments:</w:t>
            </w: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net unrealized gain (loss) on investments, net of zero tax</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6"/>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Less: reclassification adjustment for net realized gain included in net income</w:t>
            </w:r>
          </w:p>
        </w:tc>
        <w:tc>
          <w:tcPr>
            <w:tcW w:w="8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5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net of zero tax</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50"/>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comprehensive income, net</w:t>
            </w:r>
          </w:p>
        </w:tc>
        <w:tc>
          <w:tcPr>
            <w:tcW w:w="88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231F20"/>
            </w:tcBorders>
          </w:tcPr>
          <w:p>
            <w:pPr>
              <w:spacing w:after="0"/>
              <w:rPr>
                <w:sz w:val="21"/>
                <w:szCs w:val="21"/>
                <w:color w:val="auto"/>
              </w:rPr>
            </w:pPr>
          </w:p>
        </w:tc>
        <w:tc>
          <w:tcPr>
            <w:tcW w:w="4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12</w:t>
            </w:r>
          </w:p>
        </w:tc>
      </w:tr>
      <w:tr>
        <w:trPr>
          <w:trHeight w:val="24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(loss)</w:t>
            </w:r>
          </w:p>
        </w:tc>
        <w:tc>
          <w:tcPr>
            <w:tcW w:w="88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r>
      <w:tr>
        <w:trPr>
          <w:trHeight w:val="265"/>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3,002</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834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3,182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2,805</w:t>
            </w:r>
          </w:p>
        </w:tc>
      </w:tr>
      <w:tr>
        <w:trPr>
          <w:trHeight w:val="27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66"/>
        </w:trPr>
        <w:tc>
          <w:tcPr>
            <w:tcW w:w="834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2,126</w:t>
            </w:r>
          </w:p>
        </w:tc>
      </w:tr>
      <w:tr>
        <w:trPr>
          <w:trHeight w:val="266"/>
        </w:trPr>
        <w:tc>
          <w:tcPr>
            <w:tcW w:w="8340" w:type="dxa"/>
            <w:vAlign w:val="bottom"/>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136</w:t>
            </w:r>
          </w:p>
        </w:tc>
      </w:tr>
      <w:tr>
        <w:trPr>
          <w:trHeight w:val="27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6"/>
        </w:trPr>
        <w:tc>
          <w:tcPr>
            <w:tcW w:w="8340" w:type="dxa"/>
            <w:vAlign w:val="bottom"/>
          </w:tcPr>
          <w:p>
            <w:pPr>
              <w:ind w:left="50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834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(5,914)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6,680</w:t>
            </w:r>
          </w:p>
        </w:tc>
      </w:tr>
      <w:tr>
        <w:trPr>
          <w:trHeight w:val="274"/>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r>
      <w:tr>
        <w:trPr>
          <w:trHeight w:val="266"/>
        </w:trPr>
        <w:tc>
          <w:tcPr>
            <w:tcW w:w="834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(3,609)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88</w:t>
            </w:r>
          </w:p>
        </w:tc>
      </w:tr>
      <w:tr>
        <w:trPr>
          <w:trHeight w:val="274"/>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r>
      <w:tr>
        <w:trPr>
          <w:trHeight w:val="266"/>
        </w:trPr>
        <w:tc>
          <w:tcPr>
            <w:tcW w:w="834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6,782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3,924</w:t>
            </w:r>
          </w:p>
        </w:tc>
      </w:tr>
      <w:tr>
        <w:trPr>
          <w:trHeight w:val="270"/>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r>
      <w:tr>
        <w:trPr>
          <w:trHeight w:val="25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10,026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15,106</w:t>
            </w:r>
          </w:p>
        </w:tc>
      </w:tr>
      <w:tr>
        <w:trPr>
          <w:trHeight w:val="268"/>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Purchases of investments</w:t>
            </w:r>
          </w:p>
        </w:tc>
        <w:tc>
          <w:tcPr>
            <w:tcW w:w="3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(31,781)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(47,451)</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investments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25,977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41,062</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(6,148)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(3,802)</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Capitalized software development costs</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(12,051)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(10,191)</w:t>
            </w:r>
          </w:p>
        </w:tc>
      </w:tr>
      <w:tr>
        <w:trPr>
          <w:trHeight w:val="268"/>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1,256</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250"/>
        </w:trPr>
        <w:tc>
          <w:tcPr>
            <w:tcW w:w="834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3,539</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1,006</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54"/>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5,927</w:t>
            </w:r>
          </w:p>
        </w:tc>
      </w:tr>
      <w:tr>
        <w:trPr>
          <w:trHeight w:val="26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76,504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42,369</w:t>
            </w: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78,018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48,296</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2"/>
        </w:trPr>
        <w:tc>
          <w:tcPr>
            <w:tcW w:w="8340" w:type="dxa"/>
            <w:vAlign w:val="bottom"/>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w:t>
            </w: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71"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7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2014</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month period ended March 31, 2015 is not necessarily indicative of the results of operations expected for the entire year ending December 31, 2015 or for any other future annual or interim period.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2014</w:t>
      </w:r>
      <w:r>
        <w:rPr>
          <w:rFonts w:ascii="Arial" w:cs="Arial" w:eastAsia="Arial" w:hAnsi="Arial"/>
          <w:sz w:val="18"/>
          <w:szCs w:val="18"/>
          <w:color w:val="231F20"/>
        </w:rPr>
        <w:t xml:space="preserve"> filed with the SEC on March 6, 2015.</w:t>
      </w:r>
    </w:p>
    <w:p>
      <w:pPr>
        <w:spacing w:after="0" w:line="180" w:lineRule="exact"/>
        <w:rPr>
          <w:sz w:val="20"/>
          <w:szCs w:val="20"/>
          <w:color w:val="auto"/>
        </w:rPr>
      </w:pPr>
    </w:p>
    <w:p>
      <w:pPr>
        <w:ind w:right="280" w:firstLine="486"/>
        <w:spacing w:after="0" w:line="271" w:lineRule="auto"/>
        <w:rPr>
          <w:sz w:val="20"/>
          <w:szCs w:val="20"/>
          <w:color w:val="auto"/>
        </w:rPr>
      </w:pPr>
      <w:r>
        <w:rPr>
          <w:rFonts w:ascii="Arial" w:cs="Arial" w:eastAsia="Arial" w:hAnsi="Arial"/>
          <w:sz w:val="18"/>
          <w:szCs w:val="18"/>
          <w:color w:val="231F20"/>
        </w:rPr>
        <w:t>Certain prior year amounts related to income taxes have been reclassified to conform to the current year presentation. These reclassifications did not change previously reported total assets, liabilities, stockholders' equity, income (loss) from operations or net income (loss).</w:t>
      </w:r>
    </w:p>
    <w:p>
      <w:pPr>
        <w:spacing w:after="0" w:line="3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171" w:lineRule="exact"/>
        <w:rPr>
          <w:sz w:val="20"/>
          <w:szCs w:val="20"/>
          <w:color w:val="auto"/>
        </w:rPr>
      </w:pPr>
    </w:p>
    <w:p>
      <w:pPr>
        <w:ind w:right="860" w:firstLine="486"/>
        <w:spacing w:after="0" w:line="29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majority-owned subsidiaries. All significant intercompany transactions and balances have been eliminated upon consolidation.</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Correction of Immaterial Error</w:t>
      </w:r>
    </w:p>
    <w:p>
      <w:pPr>
        <w:spacing w:after="0" w:line="117" w:lineRule="exact"/>
        <w:rPr>
          <w:sz w:val="20"/>
          <w:szCs w:val="20"/>
          <w:color w:val="auto"/>
        </w:rPr>
      </w:pPr>
    </w:p>
    <w:p>
      <w:pPr>
        <w:ind w:right="140" w:firstLine="405"/>
        <w:spacing w:after="0" w:line="258" w:lineRule="auto"/>
        <w:rPr>
          <w:sz w:val="20"/>
          <w:szCs w:val="20"/>
          <w:color w:val="auto"/>
        </w:rPr>
      </w:pPr>
      <w:r>
        <w:rPr>
          <w:rFonts w:ascii="Arial" w:cs="Arial" w:eastAsia="Arial" w:hAnsi="Arial"/>
          <w:sz w:val="18"/>
          <w:szCs w:val="18"/>
          <w:color w:val="auto"/>
        </w:rPr>
        <w:t>During the fourth quarter of 2014, the Company identified an immaterial error in the financial statements of its foreign subsidiaries reporting in the applicable local foreign currencies as their functional currencies, resulting in translation adjustments included as a component of accumulated other comprehensive income (loss) in stockholders' equity. It was determined that the functional currency for the Company's local subsidiaries should be the U.S. dollar. Accordingly, remeasurement gains and losses on monetary assets and liabilities denominated in foreign currencies should be recorded to foreign exchange gains and losses in other income (expense) in the condensed consolidated statements of operations in accordance with GAAP.</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38"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 xml:space="preserve">The Company reviewed the accounting error utilizing SEC Staff Accounting Bulletin No. 99, “Materiality” and SEC Staff Accounting Bulletin No. 108, “Effects of Prior Year Misstatements on Current Year Financial Statements.” Management evaluated the materiality of this error from a qualitative and quantitative perspective and determined the impact of the errors did not have a material impact on any individual prior period presentation or affect the trend of financial results. However, because the adjustment to correct the cumulative error on the consolidated balance sheets and statements of stockholders' equity would have had a material effect to the Company's consolidated statements of operations for the year ended December 31, 2014, the Company revised its previously reported financial statements for the 2012 and 2013 annual periods in </w:t>
      </w:r>
      <w:r>
        <w:rPr>
          <w:rFonts w:ascii="Arial" w:cs="Arial" w:eastAsia="Arial" w:hAnsi="Arial"/>
          <w:sz w:val="18"/>
          <w:szCs w:val="18"/>
          <w:color w:val="231F20"/>
        </w:rPr>
        <w:t>the Company’s Annual Report on Form 10-K for the year ended</w:t>
      </w:r>
      <w:r>
        <w:rPr>
          <w:rFonts w:ascii="Arial" w:cs="Arial" w:eastAsia="Arial" w:hAnsi="Arial"/>
          <w:sz w:val="18"/>
          <w:szCs w:val="18"/>
          <w:color w:val="auto"/>
        </w:rPr>
        <w:t xml:space="preserve"> December 31, 2014 </w:t>
      </w:r>
      <w:r>
        <w:rPr>
          <w:rFonts w:ascii="Arial" w:cs="Arial" w:eastAsia="Arial" w:hAnsi="Arial"/>
          <w:sz w:val="18"/>
          <w:szCs w:val="18"/>
          <w:color w:val="231F20"/>
        </w:rPr>
        <w:t>filed with the SEC on March 6,</w:t>
      </w:r>
      <w:r>
        <w:rPr>
          <w:rFonts w:ascii="Arial" w:cs="Arial" w:eastAsia="Arial" w:hAnsi="Arial"/>
          <w:sz w:val="18"/>
          <w:szCs w:val="18"/>
          <w:color w:val="auto"/>
        </w:rPr>
        <w:t xml:space="preserve"> </w:t>
      </w:r>
      <w:r>
        <w:rPr>
          <w:rFonts w:ascii="Arial" w:cs="Arial" w:eastAsia="Arial" w:hAnsi="Arial"/>
          <w:sz w:val="18"/>
          <w:szCs w:val="18"/>
          <w:color w:val="231F20"/>
        </w:rPr>
        <w:t xml:space="preserve">2015, </w:t>
      </w:r>
      <w:r>
        <w:rPr>
          <w:rFonts w:ascii="Arial" w:cs="Arial" w:eastAsia="Arial" w:hAnsi="Arial"/>
          <w:sz w:val="18"/>
          <w:szCs w:val="18"/>
          <w:color w:val="000000"/>
        </w:rPr>
        <w:t>to reflect the impact of the immaterial errors that had been corrected</w:t>
      </w:r>
      <w:r>
        <w:rPr>
          <w:rFonts w:ascii="Arial" w:cs="Arial" w:eastAsia="Arial" w:hAnsi="Arial"/>
          <w:sz w:val="18"/>
          <w:szCs w:val="18"/>
          <w:color w:val="231F20"/>
        </w:rPr>
        <w:t>.</w:t>
      </w:r>
    </w:p>
    <w:p>
      <w:pPr>
        <w:spacing w:after="0" w:line="70" w:lineRule="exact"/>
        <w:rPr>
          <w:sz w:val="20"/>
          <w:szCs w:val="20"/>
          <w:color w:val="auto"/>
        </w:rPr>
      </w:pPr>
    </w:p>
    <w:p>
      <w:pPr>
        <w:ind w:firstLine="405"/>
        <w:spacing w:after="0" w:line="292" w:lineRule="auto"/>
        <w:rPr>
          <w:sz w:val="20"/>
          <w:szCs w:val="20"/>
          <w:color w:val="auto"/>
        </w:rPr>
      </w:pPr>
      <w:r>
        <w:rPr>
          <w:rFonts w:ascii="Arial" w:cs="Arial" w:eastAsia="Arial" w:hAnsi="Arial"/>
          <w:sz w:val="18"/>
          <w:szCs w:val="18"/>
          <w:color w:val="auto"/>
        </w:rPr>
        <w:t>The following table summarizes the correction of previously reported amounts for the three month period ended March 31, 2014 presented in the accompanying condensed consolidated financial statements (in thousands,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5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March 31, 2014</w:t>
            </w:r>
          </w:p>
        </w:tc>
      </w:tr>
      <w:tr>
        <w:trPr>
          <w:trHeight w:val="258"/>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as reported</w:t>
            </w:r>
          </w:p>
        </w:tc>
        <w:tc>
          <w:tcPr>
            <w:tcW w:w="220" w:type="dxa"/>
            <w:vAlign w:val="bottom"/>
          </w:tcPr>
          <w:p>
            <w:pPr>
              <w:spacing w:after="0"/>
              <w:rPr>
                <w:sz w:val="22"/>
                <w:szCs w:val="22"/>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as adjusted</w:t>
            </w:r>
          </w:p>
        </w:tc>
      </w:tr>
      <w:tr>
        <w:trPr>
          <w:trHeight w:val="269"/>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Condensed Consolidated Statements of Operations:</w:t>
            </w:r>
          </w:p>
        </w:tc>
        <w:tc>
          <w:tcPr>
            <w:tcW w:w="2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r>
      <w:tr>
        <w:trPr>
          <w:trHeight w:val="27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Total other income (expense), net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Net loss per share:</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4"/>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266"/>
        </w:trPr>
        <w:tc>
          <w:tcPr>
            <w:tcW w:w="8580" w:type="dxa"/>
            <w:vAlign w:val="bottom"/>
          </w:tcPr>
          <w:p>
            <w:pPr>
              <w:ind w:left="18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328"/>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9"/>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Condensed Consolidated Statements of Comprehensive Income:</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foreign currency translation gain, net of zero tax</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2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(419)</w:t>
            </w:r>
          </w:p>
        </w:tc>
      </w:tr>
      <w:tr>
        <w:trPr>
          <w:trHeight w:val="328"/>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9"/>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15,075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15,106</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(10,167)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(10,191)</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62"/>
        </w:trPr>
        <w:tc>
          <w:tcPr>
            <w:tcW w:w="85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5,927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5,927</w:t>
            </w:r>
          </w:p>
        </w:tc>
      </w:tr>
    </w:tbl>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71"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stock-based compensation and provision for income taxes. Actual results could differ from those estimates and such differences may be material to the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271"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In addition, the Company’s credit risk is mitigated by the relatively short collection period. Collateral is not required for accounts receivable. The Company maintains an allowance for potential credit losses based upon the expected collectability of accounts receivable. The Company writes off its receivables once collection efforts are unsuccessful. As of </w:t>
      </w:r>
      <w:r>
        <w:rPr>
          <w:rFonts w:ascii="Arial" w:cs="Arial" w:eastAsia="Arial" w:hAnsi="Arial"/>
          <w:sz w:val="18"/>
          <w:szCs w:val="18"/>
          <w:color w:val="000000"/>
        </w:rPr>
        <w:t>March 31, 2015</w:t>
      </w:r>
      <w:r>
        <w:rPr>
          <w:rFonts w:ascii="Arial" w:cs="Arial" w:eastAsia="Arial" w:hAnsi="Arial"/>
          <w:sz w:val="18"/>
          <w:szCs w:val="18"/>
          <w:color w:val="231F20"/>
        </w:rPr>
        <w:t xml:space="preserve"> and </w:t>
      </w:r>
      <w:r>
        <w:rPr>
          <w:rFonts w:ascii="Arial" w:cs="Arial" w:eastAsia="Arial" w:hAnsi="Arial"/>
          <w:sz w:val="18"/>
          <w:szCs w:val="18"/>
          <w:color w:val="000000"/>
        </w:rPr>
        <w:t>December 31, 2014</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225"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231F20"/>
        </w:rPr>
        <w:t xml:space="preserve">Cash and cash equivalents include cash held in banks and highly liquid money market funds, commercial paper and fixed-income U.S. government agency securities,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28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25"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 Company will comply with new or revised accounting standards on the relevant dates on which adoption of such standards is required from non-emerging growth companies.</w:t>
      </w:r>
    </w:p>
    <w:p>
      <w:pPr>
        <w:spacing w:after="0" w:line="170"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231F20"/>
        </w:rPr>
        <w:t>In May 2014, the Financial Accounting Standards Board (“FASB”) issued an Accounting Standard Update (“ASU”) amending revenue recognition guidance and requiring more detailed disclosures to enable users of financial statements to understand the nature, amount, timing, and uncertainty of revenue and cash flows arising from contracts with customers. On April 1, 2015, the FASB tentatively decided to defer the effective date of ASU 2014-09. If the proposed changes are finalized, ASU 2014-09 will be effective for fiscal years, and interim periods within those years, beginning after December 15, 2017, but entities will be permitted to early adopt the standard as of the original effective date. The new revenue standard may be applied retrospectively to each prior period presented or retrospectively with</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231F20"/>
        </w:rPr>
        <w:t>the cumulative effect recognized on date of adoption. The Company is currently evaluating the impact this ASU will have on its consolidated financial statements.</w:t>
      </w:r>
    </w:p>
    <w:p>
      <w:pPr>
        <w:spacing w:after="0" w:line="145" w:lineRule="exact"/>
        <w:rPr>
          <w:sz w:val="20"/>
          <w:szCs w:val="20"/>
          <w:color w:val="auto"/>
        </w:rPr>
      </w:pPr>
    </w:p>
    <w:p>
      <w:pPr>
        <w:ind w:right="100" w:firstLine="405"/>
        <w:spacing w:after="0" w:line="260" w:lineRule="auto"/>
        <w:rPr>
          <w:sz w:val="20"/>
          <w:szCs w:val="20"/>
          <w:color w:val="auto"/>
        </w:rPr>
      </w:pPr>
      <w:r>
        <w:rPr>
          <w:rFonts w:ascii="Arial" w:cs="Arial" w:eastAsia="Arial" w:hAnsi="Arial"/>
          <w:sz w:val="18"/>
          <w:szCs w:val="18"/>
          <w:color w:val="auto"/>
        </w:rPr>
        <w:t xml:space="preserve">In January 2015, the FASB issued an ASU eliminating from U.S. GAAP the concept of extraordinary items, which required that an entity separately classify, present, and disclose extraordinary events and transactions. </w:t>
      </w:r>
      <w:r>
        <w:rPr>
          <w:rFonts w:ascii="Times New Roman" w:cs="Times New Roman" w:eastAsia="Times New Roman" w:hAnsi="Times New Roman"/>
          <w:sz w:val="18"/>
          <w:szCs w:val="18"/>
          <w:color w:val="auto"/>
        </w:rPr>
        <w:t>T</w:t>
      </w:r>
      <w:r>
        <w:rPr>
          <w:rFonts w:ascii="Arial" w:cs="Arial" w:eastAsia="Arial" w:hAnsi="Arial"/>
          <w:sz w:val="18"/>
          <w:szCs w:val="18"/>
          <w:color w:val="auto"/>
        </w:rPr>
        <w:t>he guidance is effective for fiscal years, and interim periods within those fiscal years, beginning after December 15, 2015. A reporting entity may apply the amendments prospectively or retrospectively to all prior periods presented in the financial statements. Early adoption is permitted provided that the guidance is applied from the beginning of the fiscal year of adoption. The Company does not expect the adoption of this ASU to be material to their consolidated financial statements.</w:t>
      </w:r>
    </w:p>
    <w:p>
      <w:pPr>
        <w:spacing w:after="0" w:line="17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231F20"/>
        </w:rPr>
        <w:t xml:space="preserve">In April 2015, the FASB issued an ASU amending existing guidance which clarifies that software licenses contained in a cloud computing arrangement should be capitalized if the customer has the right to take possession of the software and the ability to run the software outside of the cloud computing arrangement. If a cloud computing arrangement does not include a software license, the customer should account for the arrangement as a service contract under existing guidelines. This guidance is effective for </w:t>
      </w:r>
      <w:r>
        <w:rPr>
          <w:rFonts w:ascii="Arial" w:cs="Arial" w:eastAsia="Arial" w:hAnsi="Arial"/>
          <w:sz w:val="18"/>
          <w:szCs w:val="18"/>
          <w:color w:val="000000"/>
        </w:rPr>
        <w:t>fiscal years, and interim periods within those fiscal</w:t>
      </w:r>
      <w:r>
        <w:rPr>
          <w:rFonts w:ascii="Arial" w:cs="Arial" w:eastAsia="Arial" w:hAnsi="Arial"/>
          <w:sz w:val="18"/>
          <w:szCs w:val="18"/>
          <w:color w:val="231F20"/>
        </w:rPr>
        <w:t xml:space="preserve"> </w:t>
      </w:r>
      <w:r>
        <w:rPr>
          <w:rFonts w:ascii="Arial" w:cs="Arial" w:eastAsia="Arial" w:hAnsi="Arial"/>
          <w:sz w:val="18"/>
          <w:szCs w:val="18"/>
          <w:color w:val="000000"/>
        </w:rPr>
        <w:t xml:space="preserve">years, </w:t>
      </w:r>
      <w:r>
        <w:rPr>
          <w:rFonts w:ascii="Arial" w:cs="Arial" w:eastAsia="Arial" w:hAnsi="Arial"/>
          <w:sz w:val="18"/>
          <w:szCs w:val="18"/>
          <w:color w:val="231F20"/>
        </w:rPr>
        <w:t>beginning after December 15, 2015.</w:t>
      </w:r>
      <w:r>
        <w:rPr>
          <w:rFonts w:ascii="Arial" w:cs="Arial" w:eastAsia="Arial" w:hAnsi="Arial"/>
          <w:sz w:val="18"/>
          <w:szCs w:val="18"/>
          <w:color w:val="000000"/>
        </w:rPr>
        <w:t xml:space="preserve"> A reporting entity may apply the amendments prospectively to all arrangements entered into or materially modified after the effective date or retrospectively. </w:t>
      </w:r>
      <w:r>
        <w:rPr>
          <w:rFonts w:ascii="Arial" w:cs="Arial" w:eastAsia="Arial" w:hAnsi="Arial"/>
          <w:sz w:val="18"/>
          <w:szCs w:val="18"/>
          <w:color w:val="231F20"/>
        </w:rPr>
        <w:t>Early adoption is permitted. The Company is currently evaluating the impact this</w:t>
      </w:r>
      <w:r>
        <w:rPr>
          <w:rFonts w:ascii="Arial" w:cs="Arial" w:eastAsia="Arial" w:hAnsi="Arial"/>
          <w:sz w:val="18"/>
          <w:szCs w:val="18"/>
          <w:color w:val="000000"/>
        </w:rPr>
        <w:t xml:space="preserve"> </w:t>
      </w:r>
      <w:r>
        <w:rPr>
          <w:rFonts w:ascii="Arial" w:cs="Arial" w:eastAsia="Arial" w:hAnsi="Arial"/>
          <w:sz w:val="18"/>
          <w:szCs w:val="18"/>
          <w:color w:val="231F20"/>
        </w:rPr>
        <w:t>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3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 due to the relatively short maturity of these balances.</w:t>
      </w:r>
    </w:p>
    <w:p>
      <w:pPr>
        <w:spacing w:after="0" w:line="170" w:lineRule="exact"/>
        <w:rPr>
          <w:sz w:val="20"/>
          <w:szCs w:val="20"/>
          <w:color w:val="auto"/>
        </w:rPr>
      </w:pPr>
    </w:p>
    <w:p>
      <w:pPr>
        <w:jc w:val="both"/>
        <w:ind w:right="40" w:firstLine="405"/>
        <w:spacing w:after="0" w:line="260"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63"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4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and asset-backed securities and</w:t>
      </w:r>
      <w:r>
        <w:rPr>
          <w:rFonts w:ascii="Arial" w:cs="Arial" w:eastAsia="Arial" w:hAnsi="Arial"/>
          <w:sz w:val="18"/>
          <w:szCs w:val="18"/>
          <w:color w:val="231F20"/>
        </w:rPr>
        <w:t xml:space="preserve"> </w:t>
      </w:r>
      <w:r>
        <w:rPr>
          <w:rFonts w:ascii="Arial" w:cs="Arial" w:eastAsia="Arial" w:hAnsi="Arial"/>
          <w:sz w:val="18"/>
          <w:szCs w:val="18"/>
          <w:color w:val="000000"/>
        </w:rPr>
        <w:t xml:space="preserve">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w:t>
      </w:r>
      <w:r>
        <w:rPr>
          <w:rFonts w:ascii="Arial" w:cs="Arial" w:eastAsia="Arial" w:hAnsi="Arial"/>
          <w:sz w:val="18"/>
          <w:szCs w:val="18"/>
          <w:color w:val="000000"/>
        </w:rPr>
        <w:t xml:space="preserve"> </w:t>
      </w:r>
      <w:r>
        <w:rPr>
          <w:rFonts w:ascii="Arial" w:cs="Arial" w:eastAsia="Arial" w:hAnsi="Arial"/>
          <w:sz w:val="18"/>
          <w:szCs w:val="18"/>
          <w:color w:val="231F20"/>
        </w:rPr>
        <w:t>are valued usi</w:t>
      </w:r>
      <w:r>
        <w:rPr>
          <w:rFonts w:ascii="Arial" w:cs="Arial" w:eastAsia="Arial" w:hAnsi="Arial"/>
          <w:sz w:val="18"/>
          <w:szCs w:val="18"/>
          <w:color w:val="000000"/>
        </w:rPr>
        <w:t>ng observable inputs, such as quotations on forward foreign exchange points and foreign interest rates.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21" w:right="29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March 31, 2015</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33,097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33,097</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41,722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41,722</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3,199</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78,017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78,018</w:t>
            </w:r>
          </w:p>
        </w:tc>
      </w:tr>
      <w:tr>
        <w:trPr>
          <w:trHeight w:val="256"/>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8,936</w:t>
            </w: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11,206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11,209</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44,547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44,562</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64,907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64,932</w:t>
            </w:r>
          </w:p>
        </w:tc>
      </w:tr>
      <w:tr>
        <w:trPr>
          <w:trHeight w:val="256"/>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13,875</w:t>
            </w: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13,907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13,916</w:t>
            </w:r>
          </w:p>
        </w:tc>
      </w:tr>
      <w:tr>
        <w:trPr>
          <w:trHeight w:val="271"/>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3,100</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30,882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30,891</w:t>
            </w:r>
          </w:p>
        </w:tc>
      </w:tr>
      <w:tr>
        <w:trPr>
          <w:trHeight w:val="24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173,806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173,841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December 31, 2014</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36,024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36,024</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39,180</w:t>
            </w: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271"/>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50"/>
        </w:trPr>
        <w:tc>
          <w:tcPr>
            <w:tcW w:w="470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76,504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76,504</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4,998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4,999</w:t>
            </w: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12,438</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33,280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33,277</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50,716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50,714</w:t>
            </w:r>
          </w:p>
        </w:tc>
      </w:tr>
      <w:tr>
        <w:trPr>
          <w:trHeight w:val="256"/>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16,094</w:t>
            </w: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20,243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20,255</w:t>
            </w:r>
          </w:p>
        </w:tc>
      </w:tr>
      <w:tr>
        <w:trPr>
          <w:trHeight w:val="271"/>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3,099</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39,436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39,448</w:t>
            </w:r>
          </w:p>
        </w:tc>
      </w:tr>
      <w:tr>
        <w:trPr>
          <w:trHeight w:val="26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166,656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166,666</w:t>
            </w: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6" w:lineRule="exact"/>
        <w:rPr>
          <w:sz w:val="20"/>
          <w:szCs w:val="20"/>
          <w:color w:val="auto"/>
        </w:rPr>
      </w:pPr>
    </w:p>
    <w:p>
      <w:pPr>
        <w:ind w:right="60" w:firstLine="405"/>
        <w:spacing w:after="0" w:line="29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March 31, 2015</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12,135</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12,135</w:t>
            </w: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58,478</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58,478</w:t>
            </w: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14,309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14,309</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14,100</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14,100</w:t>
            </w:r>
          </w:p>
        </w:tc>
      </w:tr>
      <w:tr>
        <w:trPr>
          <w:trHeight w:val="242"/>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99,022</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99,022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December 31, 2014</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5,999</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53,832</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53,832</w:t>
            </w: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15,537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15,537</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16,094</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16,094</w:t>
            </w:r>
          </w:p>
        </w:tc>
      </w:tr>
      <w:tr>
        <w:trPr>
          <w:trHeight w:val="242"/>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91,462</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91,462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6"/>
                <w:szCs w:val="16"/>
                <w:b w:val="1"/>
                <w:bCs w:val="1"/>
                <w:color w:val="auto"/>
              </w:rPr>
              <w:t>March 31, 2015</w:t>
            </w: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Mature within One</w:t>
            </w:r>
          </w:p>
        </w:tc>
        <w:tc>
          <w:tcPr>
            <w:tcW w:w="120" w:type="dxa"/>
            <w:vAlign w:val="bottom"/>
          </w:tcPr>
          <w:p>
            <w:pPr>
              <w:spacing w:after="0"/>
              <w:rPr>
                <w:sz w:val="16"/>
                <w:szCs w:val="16"/>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After One Year through</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4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Two Years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3"/>
          </w:tcPr>
          <w:p>
            <w:pPr>
              <w:jc w:val="center"/>
              <w:ind w:left="999"/>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4"/>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12,135</w:t>
            </w:r>
          </w:p>
        </w:tc>
      </w:tr>
      <w:tr>
        <w:trPr>
          <w:trHeight w:val="262"/>
        </w:trPr>
        <w:tc>
          <w:tcPr>
            <w:tcW w:w="40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44,562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13,916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58,478</w:t>
            </w:r>
          </w:p>
        </w:tc>
      </w:tr>
      <w:tr>
        <w:trPr>
          <w:trHeight w:val="278"/>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14,309</w:t>
            </w:r>
          </w:p>
        </w:tc>
      </w:tr>
      <w:tr>
        <w:trPr>
          <w:trHeight w:val="26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14,100</w:t>
            </w:r>
          </w:p>
        </w:tc>
      </w:tr>
      <w:tr>
        <w:trPr>
          <w:trHeight w:val="242"/>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99,022</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5"/>
        </w:trPr>
        <w:tc>
          <w:tcPr>
            <w:tcW w:w="4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6"/>
                <w:szCs w:val="16"/>
                <w:b w:val="1"/>
                <w:bCs w:val="1"/>
                <w:color w:val="auto"/>
              </w:rPr>
              <w:t>December 31, 2014</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Mature within One</w:t>
            </w:r>
          </w:p>
        </w:tc>
        <w:tc>
          <w:tcPr>
            <w:tcW w:w="120" w:type="dxa"/>
            <w:vAlign w:val="bottom"/>
          </w:tcPr>
          <w:p>
            <w:pPr>
              <w:spacing w:after="0"/>
              <w:rPr>
                <w:sz w:val="16"/>
                <w:szCs w:val="16"/>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After One Year through</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4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Two Years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3"/>
          </w:tcPr>
          <w:p>
            <w:pPr>
              <w:jc w:val="center"/>
              <w:ind w:left="999"/>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4"/>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5,999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r>
      <w:tr>
        <w:trPr>
          <w:trHeight w:val="262"/>
        </w:trPr>
        <w:tc>
          <w:tcPr>
            <w:tcW w:w="40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33,577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20,255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53,832</w:t>
            </w:r>
          </w:p>
        </w:tc>
      </w:tr>
      <w:tr>
        <w:trPr>
          <w:trHeight w:val="278"/>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15,537</w:t>
            </w:r>
          </w:p>
        </w:tc>
      </w:tr>
      <w:tr>
        <w:trPr>
          <w:trHeight w:val="264"/>
        </w:trPr>
        <w:tc>
          <w:tcPr>
            <w:tcW w:w="402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22"/>
                <w:szCs w:val="22"/>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7,327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8,767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16,094</w:t>
            </w:r>
          </w:p>
        </w:tc>
      </w:tr>
      <w:tr>
        <w:trPr>
          <w:trHeight w:val="242"/>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91,462</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6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177"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22222"/>
        </w:rPr>
        <w:t>At March 31, 2015, the Company had two outstanding forward contrac</w:t>
      </w:r>
      <w:r>
        <w:rPr>
          <w:rFonts w:ascii="Arial" w:cs="Arial" w:eastAsia="Arial" w:hAnsi="Arial"/>
          <w:sz w:val="18"/>
          <w:szCs w:val="18"/>
          <w:color w:val="000000"/>
        </w:rPr>
        <w:t>ts with notional amounts of 5.1 million Euros and 2.1 million British</w:t>
      </w:r>
      <w:r>
        <w:rPr>
          <w:rFonts w:ascii="Arial" w:cs="Arial" w:eastAsia="Arial" w:hAnsi="Arial"/>
          <w:sz w:val="18"/>
          <w:szCs w:val="18"/>
          <w:color w:val="222222"/>
        </w:rPr>
        <w:t xml:space="preserve"> </w:t>
      </w:r>
      <w:r>
        <w:rPr>
          <w:rFonts w:ascii="Arial" w:cs="Arial" w:eastAsia="Arial" w:hAnsi="Arial"/>
          <w:sz w:val="18"/>
          <w:szCs w:val="18"/>
          <w:color w:val="000000"/>
        </w:rPr>
        <w:t xml:space="preserve">Pounds, which expired on April 30, 2015. </w:t>
      </w:r>
      <w:r>
        <w:rPr>
          <w:rFonts w:ascii="Arial" w:cs="Arial" w:eastAsia="Arial" w:hAnsi="Arial"/>
          <w:sz w:val="18"/>
          <w:szCs w:val="18"/>
          <w:color w:val="222222"/>
        </w:rPr>
        <w:t>At December 31, 2014, the Company had two outstanding forward contracts with notional amounts of</w:t>
      </w:r>
      <w:r>
        <w:rPr>
          <w:rFonts w:ascii="Arial" w:cs="Arial" w:eastAsia="Arial" w:hAnsi="Arial"/>
          <w:sz w:val="18"/>
          <w:szCs w:val="18"/>
          <w:color w:val="000000"/>
        </w:rPr>
        <w:t xml:space="preserve"> </w:t>
      </w:r>
      <w:r>
        <w:rPr>
          <w:rFonts w:ascii="Arial" w:cs="Arial" w:eastAsia="Arial" w:hAnsi="Arial"/>
          <w:sz w:val="18"/>
          <w:szCs w:val="18"/>
          <w:color w:val="222222"/>
        </w:rPr>
        <w:t xml:space="preserve">6.0 million Euros and 2.1 million British Pounds, which expired on </w:t>
      </w:r>
      <w:r>
        <w:rPr>
          <w:rFonts w:ascii="Arial" w:cs="Arial" w:eastAsia="Arial" w:hAnsi="Arial"/>
          <w:sz w:val="18"/>
          <w:szCs w:val="18"/>
          <w:color w:val="000000"/>
        </w:rPr>
        <w:t>January 31, 2015</w:t>
      </w:r>
      <w:r>
        <w:rPr>
          <w:rFonts w:ascii="Arial" w:cs="Arial" w:eastAsia="Arial" w:hAnsi="Arial"/>
          <w:sz w:val="18"/>
          <w:szCs w:val="18"/>
          <w:color w:val="222222"/>
        </w:rPr>
        <w:t xml:space="preserve">. These </w:t>
      </w:r>
      <w:r>
        <w:rPr>
          <w:rFonts w:ascii="Arial" w:cs="Arial" w:eastAsia="Arial" w:hAnsi="Arial"/>
          <w:sz w:val="18"/>
          <w:szCs w:val="18"/>
          <w:color w:val="231F20"/>
        </w:rPr>
        <w:t>forward contracts were entered into at the end of</w:t>
      </w:r>
      <w:r>
        <w:rPr>
          <w:rFonts w:ascii="Arial" w:cs="Arial" w:eastAsia="Arial" w:hAnsi="Arial"/>
          <w:sz w:val="18"/>
          <w:szCs w:val="18"/>
          <w:color w:val="222222"/>
        </w:rPr>
        <w:t xml:space="preserve"> </w:t>
      </w:r>
      <w:r>
        <w:rPr>
          <w:rFonts w:ascii="Arial" w:cs="Arial" w:eastAsia="Arial" w:hAnsi="Arial"/>
          <w:sz w:val="18"/>
          <w:szCs w:val="18"/>
          <w:color w:val="231F20"/>
        </w:rPr>
        <w:t xml:space="preserve">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March 31, 2015</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2014</w:t>
      </w:r>
      <w:r>
        <w:rPr>
          <w:rFonts w:ascii="Arial" w:cs="Arial" w:eastAsia="Arial" w:hAnsi="Arial"/>
          <w:sz w:val="18"/>
          <w:szCs w:val="18"/>
          <w:color w:val="222222"/>
        </w:rPr>
        <w:t>.</w:t>
      </w:r>
      <w:r>
        <w:rPr>
          <w:rFonts w:ascii="Arial" w:cs="Arial" w:eastAsia="Arial" w:hAnsi="Arial"/>
          <w:sz w:val="18"/>
          <w:szCs w:val="18"/>
          <w:color w:val="231F20"/>
        </w:rPr>
        <w:t xml:space="preserve"> The Company recorded a gain of $0.8 million from these forward contracts, which were more than offset by foreign currency transaction losses of $0.9 million for the three months ended March 31, 2015. The Company recorded losses of $0.2 million from these forward contracts, which were partially offset by foreign currency transaction gains of $0.1 million in the three months ended March 31, 2014. These derivatives did not meet the criteria to be designated as hedges. These instruments were valued using Level 2 inputs.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9"/>
                <w:szCs w:val="19"/>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74"/>
        </w:trPr>
        <w:tc>
          <w:tcPr>
            <w:tcW w:w="79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250"/>
        </w:trPr>
        <w:tc>
          <w:tcPr>
            <w:tcW w:w="7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35,576</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11,523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10,899</w:t>
            </w: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2,931</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3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20,783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19,861</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2,681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2,622</w:t>
            </w:r>
          </w:p>
        </w:tc>
      </w:tr>
      <w:tr>
        <w:trPr>
          <w:trHeight w:val="249"/>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30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76,436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71,889</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(48,157)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(45,271)</w:t>
            </w:r>
          </w:p>
        </w:tc>
      </w:tr>
      <w:tr>
        <w:trPr>
          <w:trHeight w:val="242"/>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28,279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26,618</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$ 6.3 million and </w:t>
      </w:r>
      <w:r>
        <w:rPr>
          <w:rFonts w:ascii="Arial" w:cs="Arial" w:eastAsia="Arial" w:hAnsi="Arial"/>
          <w:sz w:val="18"/>
          <w:szCs w:val="18"/>
          <w:color w:val="000000"/>
        </w:rPr>
        <w:t>$ 6.0</w:t>
      </w:r>
      <w:r>
        <w:rPr>
          <w:rFonts w:ascii="Arial" w:cs="Arial" w:eastAsia="Arial" w:hAnsi="Arial"/>
          <w:sz w:val="18"/>
          <w:szCs w:val="18"/>
          <w:color w:val="231F20"/>
        </w:rPr>
        <w:t xml:space="preserve"> million at </w:t>
      </w:r>
      <w:r>
        <w:rPr>
          <w:rFonts w:ascii="Arial" w:cs="Arial" w:eastAsia="Arial" w:hAnsi="Arial"/>
          <w:sz w:val="18"/>
          <w:szCs w:val="18"/>
          <w:color w:val="000000"/>
        </w:rPr>
        <w:t>March 31, 2015</w:t>
      </w:r>
      <w:r>
        <w:rPr>
          <w:rFonts w:ascii="Arial" w:cs="Arial" w:eastAsia="Arial" w:hAnsi="Arial"/>
          <w:sz w:val="18"/>
          <w:szCs w:val="18"/>
          <w:color w:val="231F20"/>
        </w:rPr>
        <w:t xml:space="preserve"> and December 31, 2014, respectively, including assets that have not been placed in service of $1.3 million and </w:t>
      </w:r>
      <w:r>
        <w:rPr>
          <w:rFonts w:ascii="Arial" w:cs="Arial" w:eastAsia="Arial" w:hAnsi="Arial"/>
          <w:sz w:val="18"/>
          <w:szCs w:val="18"/>
          <w:color w:val="000000"/>
        </w:rPr>
        <w:t>$1.4</w:t>
      </w:r>
      <w:r>
        <w:rPr>
          <w:rFonts w:ascii="Arial" w:cs="Arial" w:eastAsia="Arial" w:hAnsi="Arial"/>
          <w:sz w:val="18"/>
          <w:szCs w:val="18"/>
          <w:color w:val="231F20"/>
        </w:rPr>
        <w:t xml:space="preserve"> million, respectively. Other fixed assets not placed in service at </w:t>
      </w:r>
      <w:r>
        <w:rPr>
          <w:rFonts w:ascii="Arial" w:cs="Arial" w:eastAsia="Arial" w:hAnsi="Arial"/>
          <w:sz w:val="18"/>
          <w:szCs w:val="18"/>
          <w:color w:val="000000"/>
        </w:rPr>
        <w:t>March 31, 2015</w:t>
      </w:r>
      <w:r>
        <w:rPr>
          <w:rFonts w:ascii="Arial" w:cs="Arial" w:eastAsia="Arial" w:hAnsi="Arial"/>
          <w:sz w:val="18"/>
          <w:szCs w:val="18"/>
          <w:color w:val="231F20"/>
        </w:rPr>
        <w:t xml:space="preserve"> and December 31, 2014, included in computer equipment and leasehold improvements, of approximately $4.8 million and </w:t>
      </w:r>
      <w:r>
        <w:rPr>
          <w:rFonts w:ascii="Arial" w:cs="Arial" w:eastAsia="Arial" w:hAnsi="Arial"/>
          <w:sz w:val="18"/>
          <w:szCs w:val="18"/>
          <w:color w:val="000000"/>
        </w:rPr>
        <w:t>$2.8</w:t>
      </w:r>
      <w:r>
        <w:rPr>
          <w:rFonts w:ascii="Arial" w:cs="Arial" w:eastAsia="Arial" w:hAnsi="Arial"/>
          <w:sz w:val="18"/>
          <w:szCs w:val="18"/>
          <w:color w:val="231F20"/>
        </w:rPr>
        <w:t xml:space="preserve"> million, respectively. Depreciation and amortization expense relating to property and equipment was $3.1 million and $2.7 million for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and 2014,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27" w:lineRule="exact"/>
        <w:rPr>
          <w:sz w:val="20"/>
          <w:szCs w:val="20"/>
          <w:color w:val="auto"/>
        </w:rPr>
      </w:pPr>
    </w:p>
    <w:p>
      <w:pPr>
        <w:ind w:right="880" w:firstLine="486"/>
        <w:spacing w:after="0" w:line="323"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2014</w:t>
            </w:r>
          </w:p>
        </w:tc>
      </w:tr>
      <w:tr>
        <w:trPr>
          <w:trHeight w:val="168"/>
        </w:trPr>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r>
      <w:tr>
        <w:trPr>
          <w:trHeight w:val="203"/>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966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Non-competition agreements and other</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 years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81"/>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3,469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(1,861)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1,608</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1,706</w:t>
            </w:r>
          </w:p>
        </w:tc>
      </w:tr>
      <w:tr>
        <w:trPr>
          <w:trHeight w:val="24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41"/>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2,001</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Intangibles amortization expense was $0.1 million for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2015</w:t>
      </w:r>
      <w:r>
        <w:rPr>
          <w:rFonts w:ascii="Arial" w:cs="Arial" w:eastAsia="Arial" w:hAnsi="Arial"/>
          <w:sz w:val="18"/>
          <w:szCs w:val="18"/>
          <w:color w:val="231F20"/>
        </w:rPr>
        <w:t>, the Company expects amortization expense in future periods to be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2015</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r>
      <w:tr>
        <w:trPr>
          <w:trHeight w:val="235"/>
        </w:trPr>
        <w:tc>
          <w:tcPr>
            <w:tcW w:w="9940" w:type="dxa"/>
            <w:vAlign w:val="bottom"/>
          </w:tcPr>
          <w:p>
            <w:pPr>
              <w:ind w:left="40"/>
              <w:spacing w:after="0"/>
              <w:rPr>
                <w:sz w:val="20"/>
                <w:szCs w:val="20"/>
                <w:color w:val="auto"/>
              </w:rPr>
            </w:pPr>
            <w:r>
              <w:rPr>
                <w:rFonts w:ascii="Arial" w:cs="Arial" w:eastAsia="Arial" w:hAnsi="Arial"/>
                <w:sz w:val="16"/>
                <w:szCs w:val="16"/>
                <w:color w:val="auto"/>
              </w:rPr>
              <w:t>2016</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373</w:t>
            </w:r>
          </w:p>
        </w:tc>
      </w:tr>
      <w:tr>
        <w:trPr>
          <w:trHeight w:val="251"/>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r>
      <w:tr>
        <w:trPr>
          <w:trHeight w:val="235"/>
        </w:trPr>
        <w:tc>
          <w:tcPr>
            <w:tcW w:w="9940" w:type="dxa"/>
            <w:vAlign w:val="bottom"/>
          </w:tcPr>
          <w:p>
            <w:pPr>
              <w:ind w:left="40"/>
              <w:spacing w:after="0"/>
              <w:rPr>
                <w:sz w:val="20"/>
                <w:szCs w:val="20"/>
                <w:color w:val="auto"/>
              </w:rPr>
            </w:pPr>
            <w:r>
              <w:rPr>
                <w:rFonts w:ascii="Arial" w:cs="Arial" w:eastAsia="Arial" w:hAnsi="Arial"/>
                <w:sz w:val="16"/>
                <w:szCs w:val="16"/>
                <w:color w:val="auto"/>
              </w:rPr>
              <w:t>2018</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51"/>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2020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w:t>
            </w:r>
          </w:p>
        </w:tc>
      </w:tr>
      <w:tr>
        <w:trPr>
          <w:trHeight w:val="242"/>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1,608</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$0.3 million as of </w:t>
      </w:r>
      <w:r>
        <w:rPr>
          <w:rFonts w:ascii="Arial" w:cs="Arial" w:eastAsia="Arial" w:hAnsi="Arial"/>
          <w:sz w:val="18"/>
          <w:szCs w:val="18"/>
          <w:color w:val="000000"/>
        </w:rPr>
        <w:t>March 31, 2015</w:t>
      </w:r>
      <w:r>
        <w:rPr>
          <w:rFonts w:ascii="Arial" w:cs="Arial" w:eastAsia="Arial" w:hAnsi="Arial"/>
          <w:sz w:val="18"/>
          <w:szCs w:val="18"/>
          <w:color w:val="231F20"/>
        </w:rPr>
        <w:t xml:space="preserve"> and December 31,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71" w:lineRule="exact"/>
        <w:rPr>
          <w:sz w:val="20"/>
          <w:szCs w:val="20"/>
          <w:color w:val="auto"/>
        </w:rPr>
      </w:pPr>
    </w:p>
    <w:p>
      <w:pPr>
        <w:ind w:right="560" w:firstLine="486"/>
        <w:spacing w:after="0" w:line="29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2019.</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March 31, 2015</w:t>
      </w:r>
      <w:r>
        <w:rPr>
          <w:rFonts w:ascii="Arial" w:cs="Arial" w:eastAsia="Arial" w:hAnsi="Arial"/>
          <w:sz w:val="18"/>
          <w:szCs w:val="18"/>
          <w:color w:val="231F20"/>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Operating Leases</w:t>
            </w:r>
          </w:p>
        </w:tc>
      </w:tr>
      <w:tr>
        <w:trPr>
          <w:trHeight w:val="250"/>
        </w:trPr>
        <w:tc>
          <w:tcPr>
            <w:tcW w:w="9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219"/>
              <w:spacing w:after="0"/>
              <w:rPr>
                <w:sz w:val="20"/>
                <w:szCs w:val="20"/>
                <w:color w:val="auto"/>
              </w:rPr>
            </w:pPr>
            <w:r>
              <w:rPr>
                <w:rFonts w:ascii="Arial" w:cs="Arial" w:eastAsia="Arial" w:hAnsi="Arial"/>
                <w:sz w:val="16"/>
                <w:szCs w:val="16"/>
                <w:b w:val="1"/>
                <w:bCs w:val="1"/>
                <w:color w:val="auto"/>
              </w:rPr>
              <w:t>(in thousands)</w:t>
            </w:r>
          </w:p>
        </w:tc>
      </w:tr>
      <w:tr>
        <w:trPr>
          <w:trHeight w:val="247"/>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3,172</w:t>
            </w:r>
          </w:p>
        </w:tc>
      </w:tr>
      <w:tr>
        <w:trPr>
          <w:trHeight w:val="235"/>
        </w:trPr>
        <w:tc>
          <w:tcPr>
            <w:tcW w:w="9720" w:type="dxa"/>
            <w:vAlign w:val="bottom"/>
          </w:tcPr>
          <w:p>
            <w:pPr>
              <w:ind w:left="40"/>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3,025</w:t>
            </w:r>
          </w:p>
        </w:tc>
      </w:tr>
      <w:tr>
        <w:trPr>
          <w:trHeight w:val="251"/>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1,817</w:t>
            </w:r>
          </w:p>
        </w:tc>
      </w:tr>
      <w:tr>
        <w:trPr>
          <w:trHeight w:val="235"/>
        </w:trPr>
        <w:tc>
          <w:tcPr>
            <w:tcW w:w="9720" w:type="dxa"/>
            <w:vAlign w:val="bottom"/>
          </w:tcPr>
          <w:p>
            <w:pPr>
              <w:ind w:left="4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430</w:t>
            </w:r>
          </w:p>
        </w:tc>
      </w:tr>
      <w:tr>
        <w:trPr>
          <w:trHeight w:val="244"/>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r>
      <w:tr>
        <w:trPr>
          <w:trHeight w:val="242"/>
        </w:trPr>
        <w:tc>
          <w:tcPr>
            <w:tcW w:w="9720" w:type="dxa"/>
            <w:vAlign w:val="bottom"/>
          </w:tcPr>
          <w:p>
            <w:pPr>
              <w:ind w:left="40"/>
              <w:spacing w:after="0"/>
              <w:rPr>
                <w:sz w:val="20"/>
                <w:szCs w:val="20"/>
                <w:color w:val="auto"/>
              </w:rPr>
            </w:pPr>
            <w:r>
              <w:rPr>
                <w:rFonts w:ascii="Arial" w:cs="Arial" w:eastAsia="Arial" w:hAnsi="Arial"/>
                <w:sz w:val="16"/>
                <w:szCs w:val="16"/>
                <w:color w:val="auto"/>
              </w:rPr>
              <w:t>Total minimum lease payments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8,661</w:t>
            </w: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20" w:firstLine="486"/>
        <w:spacing w:after="0" w:line="260" w:lineRule="auto"/>
        <w:rPr>
          <w:sz w:val="20"/>
          <w:szCs w:val="20"/>
          <w:color w:val="auto"/>
        </w:rPr>
      </w:pPr>
      <w:r>
        <w:rPr>
          <w:rFonts w:ascii="Arial" w:cs="Arial" w:eastAsia="Arial" w:hAnsi="Arial"/>
          <w:sz w:val="18"/>
          <w:szCs w:val="18"/>
          <w:color w:val="231F20"/>
        </w:rPr>
        <w:t xml:space="preserve">Rent expense was $1.6 million and $1.5 million for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xml:space="preserve">,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March 31, 2015</w:t>
      </w:r>
      <w:r>
        <w:rPr>
          <w:rFonts w:ascii="Arial" w:cs="Arial" w:eastAsia="Arial" w:hAnsi="Arial"/>
          <w:sz w:val="18"/>
          <w:szCs w:val="18"/>
          <w:color w:val="231F20"/>
        </w:rPr>
        <w:t xml:space="preserve"> and </w:t>
      </w:r>
      <w:r>
        <w:rPr>
          <w:rFonts w:ascii="Arial" w:cs="Arial" w:eastAsia="Arial" w:hAnsi="Arial"/>
          <w:sz w:val="18"/>
          <w:szCs w:val="18"/>
          <w:color w:val="000000"/>
        </w:rPr>
        <w:t>December 31, 2014</w:t>
      </w:r>
      <w:r>
        <w:rPr>
          <w:rFonts w:ascii="Arial" w:cs="Arial" w:eastAsia="Arial" w:hAnsi="Arial"/>
          <w:sz w:val="18"/>
          <w:szCs w:val="18"/>
          <w:color w:val="231F20"/>
        </w:rPr>
        <w:t>, the Company has accrued $0.5 million of deferred rent related to these agreements, which is reflected in accrued liabilities and other noncurrent liabilities in the accompanying condensed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18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amounts to the respective government authorities. For those jurisdictions where the Company has not yet billed sales tax to its customers and believes it is probable it may have exposure and can reasonably estimate such exposure, it has recorded a liability of </w:t>
      </w:r>
      <w:r>
        <w:rPr>
          <w:rFonts w:ascii="Arial" w:cs="Arial" w:eastAsia="Arial" w:hAnsi="Arial"/>
          <w:sz w:val="18"/>
          <w:szCs w:val="18"/>
          <w:color w:val="000000"/>
        </w:rPr>
        <w:t>$0.5 million</w:t>
      </w:r>
      <w:r>
        <w:rPr>
          <w:rFonts w:ascii="Arial" w:cs="Arial" w:eastAsia="Arial" w:hAnsi="Arial"/>
          <w:sz w:val="18"/>
          <w:szCs w:val="18"/>
          <w:color w:val="231F20"/>
        </w:rPr>
        <w:t xml:space="preserve"> at </w:t>
      </w:r>
      <w:r>
        <w:rPr>
          <w:rFonts w:ascii="Arial" w:cs="Arial" w:eastAsia="Arial" w:hAnsi="Arial"/>
          <w:sz w:val="18"/>
          <w:szCs w:val="18"/>
          <w:color w:val="000000"/>
        </w:rPr>
        <w:t>March 31, 2015</w:t>
      </w:r>
      <w:r>
        <w:rPr>
          <w:rFonts w:ascii="Arial" w:cs="Arial" w:eastAsia="Arial" w:hAnsi="Arial"/>
          <w:sz w:val="18"/>
          <w:szCs w:val="18"/>
          <w:color w:val="231F20"/>
        </w:rPr>
        <w:t xml:space="preserve"> and </w:t>
      </w:r>
      <w:r>
        <w:rPr>
          <w:rFonts w:ascii="Arial" w:cs="Arial" w:eastAsia="Arial" w:hAnsi="Arial"/>
          <w:sz w:val="18"/>
          <w:szCs w:val="18"/>
          <w:color w:val="000000"/>
        </w:rPr>
        <w:t>December 31, 2014</w:t>
      </w:r>
      <w:r>
        <w:rPr>
          <w:rFonts w:ascii="Arial" w:cs="Arial" w:eastAsia="Arial" w:hAnsi="Arial"/>
          <w:sz w:val="18"/>
          <w:szCs w:val="18"/>
          <w:color w:val="231F20"/>
        </w:rPr>
        <w:t xml:space="preserve">, which is recorded within accrued liabilities in the condensed consolidated balance sheets. However, taxing jurisdictions have differing rules and regulations, which are subject to varying interpretations that may change over time. Other than the liability that the Company has accrued in its condensed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March 31, 2015</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7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77" w:lineRule="exact"/>
        <w:rPr>
          <w:sz w:val="20"/>
          <w:szCs w:val="20"/>
          <w:color w:val="auto"/>
        </w:rPr>
      </w:pPr>
    </w:p>
    <w:p>
      <w:pPr>
        <w:ind w:right="560" w:firstLine="486"/>
        <w:spacing w:after="0" w:line="29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71" w:lineRule="exact"/>
        <w:rPr>
          <w:sz w:val="20"/>
          <w:szCs w:val="20"/>
          <w:color w:val="auto"/>
        </w:rPr>
      </w:pPr>
    </w:p>
    <w:p>
      <w:pPr>
        <w:ind w:right="400" w:firstLine="486"/>
        <w:spacing w:after="0" w:line="271"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March 31, 2015</w:t>
      </w:r>
      <w:r>
        <w:rPr>
          <w:rFonts w:ascii="Arial" w:cs="Arial" w:eastAsia="Arial" w:hAnsi="Arial"/>
          <w:sz w:val="18"/>
          <w:szCs w:val="18"/>
          <w:color w:val="231F20"/>
        </w:rPr>
        <w:t>, the Company has not recorded any material liabilities in accordance with accounting for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23" w:lineRule="exact"/>
        <w:rPr>
          <w:sz w:val="20"/>
          <w:szCs w:val="20"/>
          <w:color w:val="auto"/>
        </w:rPr>
      </w:pPr>
    </w:p>
    <w:p>
      <w:pPr>
        <w:ind w:right="60" w:firstLine="405"/>
        <w:spacing w:after="0" w:line="260" w:lineRule="auto"/>
        <w:rPr>
          <w:sz w:val="20"/>
          <w:szCs w:val="20"/>
          <w:color w:val="auto"/>
        </w:rPr>
      </w:pPr>
      <w:r>
        <w:rPr>
          <w:rFonts w:ascii="Arial" w:cs="Arial" w:eastAsia="Arial" w:hAnsi="Arial"/>
          <w:sz w:val="18"/>
          <w:szCs w:val="18"/>
          <w:color w:val="231F20"/>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6,348,478 shares of common stock. Options may be granted with an exercise price that is at least equal to the fair market value of the Company's stock at the date of grant and are exercisable when vested. As of March 31, 2015, 2,358,920 shares were available for grant under the 2012 Plan.</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23"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issuance under the 2000 Plan. The 2000 Plan continues to govern outstanding awards granted thereunder.</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Employee Stock-based Compensation</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Employee stock-based compensation is included in the condensed consolidated statements of operations as follows: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4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3"/>
                <w:szCs w:val="23"/>
                <w:color w:val="auto"/>
              </w:rPr>
            </w:pPr>
          </w:p>
        </w:tc>
      </w:tr>
      <w:tr>
        <w:trPr>
          <w:trHeight w:val="264"/>
        </w:trPr>
        <w:tc>
          <w:tcPr>
            <w:tcW w:w="84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0"/>
        </w:trPr>
        <w:tc>
          <w:tcPr>
            <w:tcW w:w="8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0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8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r>
      <w:tr>
        <w:trPr>
          <w:trHeight w:val="262"/>
        </w:trPr>
        <w:tc>
          <w:tcPr>
            <w:tcW w:w="84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435</w:t>
            </w:r>
          </w:p>
        </w:tc>
      </w:tr>
      <w:tr>
        <w:trPr>
          <w:trHeight w:val="278"/>
        </w:trPr>
        <w:tc>
          <w:tcPr>
            <w:tcW w:w="8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r>
      <w:tr>
        <w:trPr>
          <w:trHeight w:val="264"/>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773</w:t>
            </w:r>
          </w:p>
        </w:tc>
      </w:tr>
      <w:tr>
        <w:trPr>
          <w:trHeight w:val="242"/>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employee stock-based compensation</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1,930</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540" w:firstLine="486"/>
        <w:spacing w:after="0" w:line="29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45"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2015</w:t>
      </w:r>
      <w:r>
        <w:rPr>
          <w:rFonts w:ascii="Arial" w:cs="Arial" w:eastAsia="Arial" w:hAnsi="Arial"/>
          <w:sz w:val="18"/>
          <w:szCs w:val="18"/>
          <w:color w:val="231F20"/>
        </w:rPr>
        <w:t xml:space="preserve">, the Company had </w:t>
      </w:r>
      <w:r>
        <w:rPr>
          <w:rFonts w:ascii="Arial" w:cs="Arial" w:eastAsia="Arial" w:hAnsi="Arial"/>
          <w:sz w:val="18"/>
          <w:szCs w:val="18"/>
          <w:color w:val="000000"/>
        </w:rPr>
        <w:t>$25.6 million</w:t>
      </w:r>
      <w:r>
        <w:rPr>
          <w:rFonts w:ascii="Arial" w:cs="Arial" w:eastAsia="Arial" w:hAnsi="Arial"/>
          <w:sz w:val="18"/>
          <w:szCs w:val="18"/>
          <w:color w:val="231F20"/>
        </w:rPr>
        <w:t xml:space="preserve"> of total unrecognized employee compensation cost related to nonvested awards that it expects to recognize over a weighted-average period of </w:t>
      </w:r>
      <w:r>
        <w:rPr>
          <w:rFonts w:ascii="Arial" w:cs="Arial" w:eastAsia="Arial" w:hAnsi="Arial"/>
          <w:sz w:val="18"/>
          <w:szCs w:val="18"/>
          <w:color w:val="000000"/>
        </w:rPr>
        <w:t>2.2</w:t>
      </w:r>
      <w:r>
        <w:rPr>
          <w:rFonts w:ascii="Arial" w:cs="Arial" w:eastAsia="Arial" w:hAnsi="Arial"/>
          <w:sz w:val="18"/>
          <w:szCs w:val="18"/>
          <w:color w:val="231F20"/>
        </w:rPr>
        <w:t xml:space="preserve"> years.</w:t>
      </w:r>
    </w:p>
    <w:p>
      <w:pPr>
        <w:spacing w:after="0" w:line="185" w:lineRule="exact"/>
        <w:rPr>
          <w:sz w:val="20"/>
          <w:szCs w:val="20"/>
          <w:color w:val="auto"/>
        </w:rPr>
      </w:pPr>
    </w:p>
    <w:p>
      <w:pPr>
        <w:ind w:right="40" w:firstLine="486"/>
        <w:spacing w:after="0" w:line="29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9"/>
                <w:szCs w:val="19"/>
                <w:color w:val="auto"/>
              </w:rPr>
            </w:pPr>
          </w:p>
        </w:tc>
      </w:tr>
      <w:tr>
        <w:trPr>
          <w:trHeight w:val="274"/>
        </w:trPr>
        <w:tc>
          <w:tcPr>
            <w:tcW w:w="790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23"/>
                <w:szCs w:val="23"/>
                <w:color w:val="auto"/>
              </w:rPr>
            </w:pPr>
          </w:p>
        </w:tc>
      </w:tr>
      <w:tr>
        <w:trPr>
          <w:trHeight w:val="264"/>
        </w:trPr>
        <w:tc>
          <w:tcPr>
            <w:tcW w:w="7900" w:type="dxa"/>
            <w:vAlign w:val="bottom"/>
          </w:tcPr>
          <w:p>
            <w:pPr>
              <w:spacing w:after="0"/>
              <w:rPr>
                <w:sz w:val="22"/>
                <w:szCs w:val="22"/>
                <w:color w:val="auto"/>
              </w:rPr>
            </w:pPr>
          </w:p>
        </w:tc>
        <w:tc>
          <w:tcPr>
            <w:tcW w:w="134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rPr>
              <w:t>2015</w:t>
            </w:r>
          </w:p>
        </w:tc>
        <w:tc>
          <w:tcPr>
            <w:tcW w:w="218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rPr>
              <w:t>2014</w:t>
            </w:r>
          </w:p>
        </w:tc>
      </w:tr>
      <w:tr>
        <w:trPr>
          <w:trHeight w:val="254"/>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to</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3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940" w:type="dxa"/>
            <w:vAlign w:val="bottom"/>
          </w:tcPr>
          <w:p>
            <w:pPr>
              <w:jc w:val="right"/>
              <w:spacing w:after="0"/>
              <w:rPr>
                <w:sz w:val="20"/>
                <w:szCs w:val="20"/>
                <w:color w:val="auto"/>
              </w:rPr>
            </w:pPr>
            <w:r>
              <w:rPr>
                <w:rFonts w:ascii="Arial" w:cs="Arial" w:eastAsia="Arial" w:hAnsi="Arial"/>
                <w:sz w:val="16"/>
                <w:szCs w:val="16"/>
                <w:color w:val="auto"/>
              </w:rPr>
              <w:t>47% to</w:t>
            </w:r>
          </w:p>
        </w:tc>
        <w:tc>
          <w:tcPr>
            <w:tcW w:w="400" w:type="dxa"/>
            <w:vAlign w:val="bottom"/>
          </w:tcPr>
          <w:p>
            <w:pPr>
              <w:ind w:left="20"/>
              <w:spacing w:after="0"/>
              <w:rPr>
                <w:sz w:val="20"/>
                <w:szCs w:val="20"/>
                <w:color w:val="auto"/>
              </w:rPr>
            </w:pPr>
            <w:r>
              <w:rPr>
                <w:rFonts w:ascii="Arial" w:cs="Arial" w:eastAsia="Arial" w:hAnsi="Arial"/>
                <w:sz w:val="16"/>
                <w:szCs w:val="16"/>
                <w:color w:val="auto"/>
              </w:rPr>
              <w:t>48%</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 to</w:t>
            </w:r>
          </w:p>
        </w:tc>
        <w:tc>
          <w:tcPr>
            <w:tcW w:w="760" w:type="dxa"/>
            <w:vAlign w:val="bottom"/>
          </w:tcPr>
          <w:p>
            <w:pPr>
              <w:ind w:left="20"/>
              <w:spacing w:after="0"/>
              <w:rPr>
                <w:sz w:val="20"/>
                <w:szCs w:val="20"/>
                <w:color w:val="auto"/>
              </w:rPr>
            </w:pPr>
            <w:r>
              <w:rPr>
                <w:rFonts w:ascii="Arial" w:cs="Arial" w:eastAsia="Arial" w:hAnsi="Arial"/>
                <w:sz w:val="16"/>
                <w:szCs w:val="16"/>
                <w:color w:val="auto"/>
              </w:rPr>
              <w:t>52%</w:t>
            </w: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3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rPr>
              <w:t>1.3%</w:t>
            </w:r>
          </w:p>
        </w:tc>
        <w:tc>
          <w:tcPr>
            <w:tcW w:w="2180" w:type="dxa"/>
            <w:vAlign w:val="bottom"/>
            <w:gridSpan w:val="4"/>
            <w:shd w:val="clear" w:color="auto" w:fill="CCEEFF"/>
          </w:tcPr>
          <w:p>
            <w:pPr>
              <w:jc w:val="center"/>
              <w:ind w:left="399"/>
              <w:spacing w:after="0"/>
              <w:rPr>
                <w:sz w:val="20"/>
                <w:szCs w:val="20"/>
                <w:color w:val="auto"/>
              </w:rPr>
            </w:pPr>
            <w:r>
              <w:rPr>
                <w:rFonts w:ascii="Arial" w:cs="Arial" w:eastAsia="Arial" w:hAnsi="Arial"/>
                <w:sz w:val="16"/>
                <w:szCs w:val="16"/>
                <w:color w:val="auto"/>
              </w:rPr>
              <w:t>1.5%</w:t>
            </w:r>
          </w:p>
        </w:tc>
      </w:tr>
      <w:tr>
        <w:trPr>
          <w:trHeight w:val="255"/>
        </w:trPr>
        <w:tc>
          <w:tcPr>
            <w:tcW w:w="790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940" w:type="dxa"/>
            <w:vAlign w:val="bottom"/>
          </w:tcPr>
          <w:p>
            <w:pPr>
              <w:jc w:val="center"/>
              <w:ind w:left="699"/>
              <w:spacing w:after="0"/>
              <w:rPr>
                <w:sz w:val="20"/>
                <w:szCs w:val="20"/>
                <w:color w:val="auto"/>
              </w:rPr>
            </w:pPr>
            <w:r>
              <w:rPr>
                <w:rFonts w:ascii="Arial" w:cs="Arial" w:eastAsia="Arial" w:hAnsi="Arial"/>
                <w:sz w:val="16"/>
                <w:szCs w:val="16"/>
                <w:color w:val="auto"/>
                <w:w w:val="99"/>
              </w:rPr>
              <w:t>—</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ind w:left="6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2"/>
                <w:szCs w:val="22"/>
                <w:color w:val="auto"/>
              </w:rPr>
            </w:pPr>
          </w:p>
        </w:tc>
      </w:tr>
    </w:tbl>
    <w:p>
      <w:pPr>
        <w:spacing w:after="0" w:line="209"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issued any dividends and does not expect to in the future.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2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$0.1 million and $ 0.2 million for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respectively. Non-employee stock-based compensation is recognized over the vesting periods of the options. The value of options granted to non-employees is remeasured as they vest over a performance period.</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Stock Option Plan Activity</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32"/>
        </w:trPr>
        <w:tc>
          <w:tcPr>
            <w:tcW w:w="5020" w:type="dxa"/>
            <w:vAlign w:val="bottom"/>
          </w:tcPr>
          <w:p>
            <w:pPr>
              <w:spacing w:after="0"/>
              <w:rPr>
                <w:sz w:val="20"/>
                <w:szCs w:val="20"/>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20"/>
                <w:szCs w:val="20"/>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64"/>
        </w:trPr>
        <w:tc>
          <w:tcPr>
            <w:tcW w:w="502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7,605,407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188,743</w:t>
            </w:r>
          </w:p>
        </w:tc>
      </w:tr>
      <w:tr>
        <w:trPr>
          <w:trHeight w:val="262"/>
        </w:trPr>
        <w:tc>
          <w:tcPr>
            <w:tcW w:w="50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309,350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40.89</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8"/>
        </w:trPr>
        <w:tc>
          <w:tcPr>
            <w:tcW w:w="5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(194,968)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27.35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2"/>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2015</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7,379,206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240,749</w:t>
            </w: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20" w:type="dxa"/>
            <w:vAlign w:val="bottom"/>
          </w:tcPr>
          <w:p>
            <w:pPr>
              <w:ind w:left="40"/>
              <w:spacing w:after="0"/>
              <w:rPr>
                <w:sz w:val="20"/>
                <w:szCs w:val="20"/>
                <w:color w:val="auto"/>
              </w:rPr>
            </w:pPr>
            <w:r>
              <w:rPr>
                <w:rFonts w:ascii="Arial" w:cs="Arial" w:eastAsia="Arial" w:hAnsi="Arial"/>
                <w:sz w:val="16"/>
                <w:szCs w:val="16"/>
                <w:color w:val="auto"/>
              </w:rPr>
              <w:t>Vested and expected to vest - March 31, 2015</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6,875,241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230,746</w:t>
            </w:r>
          </w:p>
        </w:tc>
      </w:tr>
      <w:tr>
        <w:trPr>
          <w:trHeight w:val="278"/>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March 31, 2015</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4,581,711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182,589</w:t>
            </w: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 xml:space="preserve">The terms and conditions of </w:t>
      </w:r>
      <w:r>
        <w:rPr>
          <w:rFonts w:ascii="Arial" w:cs="Arial" w:eastAsia="Arial" w:hAnsi="Arial"/>
          <w:sz w:val="18"/>
          <w:szCs w:val="18"/>
          <w:color w:val="231F20"/>
        </w:rPr>
        <w:t>RSAs</w:t>
      </w:r>
      <w:r>
        <w:rPr>
          <w:rFonts w:ascii="Arial" w:cs="Arial" w:eastAsia="Arial" w:hAnsi="Arial"/>
          <w:sz w:val="18"/>
          <w:szCs w:val="18"/>
          <w:color w:val="auto"/>
        </w:rPr>
        <w:t xml:space="preserve">, including vesting criteria and timing are set by the board of directors. The cost of </w:t>
      </w:r>
      <w:r>
        <w:rPr>
          <w:rFonts w:ascii="Arial" w:cs="Arial" w:eastAsia="Arial" w:hAnsi="Arial"/>
          <w:sz w:val="18"/>
          <w:szCs w:val="18"/>
          <w:color w:val="231F20"/>
        </w:rPr>
        <w:t>RSAs</w:t>
      </w:r>
      <w:r>
        <w:rPr>
          <w:rFonts w:ascii="Arial" w:cs="Arial" w:eastAsia="Arial" w:hAnsi="Arial"/>
          <w:sz w:val="18"/>
          <w:szCs w:val="18"/>
          <w:color w:val="auto"/>
        </w:rPr>
        <w:t xml:space="preserve"> is determined using the fair value of the Company’s common stock on the date of the grant. Compensation cost is recognized on a straight-line basis over the requisite service period of each grant adjusted for estimated forfeitures. Recipients of </w:t>
      </w:r>
      <w:r>
        <w:rPr>
          <w:rFonts w:ascii="Arial" w:cs="Arial" w:eastAsia="Arial" w:hAnsi="Arial"/>
          <w:sz w:val="18"/>
          <w:szCs w:val="18"/>
          <w:color w:val="231F20"/>
        </w:rPr>
        <w:t>RSAs</w:t>
      </w:r>
      <w:r>
        <w:rPr>
          <w:rFonts w:ascii="Arial" w:cs="Arial" w:eastAsia="Arial" w:hAnsi="Arial"/>
          <w:sz w:val="18"/>
          <w:szCs w:val="18"/>
          <w:color w:val="auto"/>
        </w:rPr>
        <w:t xml:space="preserve"> generally have voting and dividend rights without regard to vesting. The Company has the right to repurchase shares that do not vest.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did not issue restricted stock during the three months ended March 31, 2015 or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231F20"/>
        </w:rPr>
        <w:t>NOTE 7. Other Income (Expense), Net</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0" w:type="dxa"/>
            <w:vAlign w:val="bottom"/>
          </w:tcPr>
          <w:p>
            <w:pPr>
              <w:spacing w:after="0"/>
              <w:rPr>
                <w:sz w:val="19"/>
                <w:szCs w:val="19"/>
                <w:color w:val="auto"/>
              </w:rPr>
            </w:pPr>
          </w:p>
        </w:tc>
        <w:tc>
          <w:tcPr>
            <w:tcW w:w="238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9"/>
                <w:szCs w:val="19"/>
                <w:color w:val="auto"/>
              </w:rPr>
            </w:pPr>
          </w:p>
        </w:tc>
      </w:tr>
      <w:tr>
        <w:trPr>
          <w:trHeight w:val="274"/>
        </w:trPr>
        <w:tc>
          <w:tcPr>
            <w:tcW w:w="840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6"/>
                <w:szCs w:val="16"/>
                <w:b w:val="1"/>
                <w:bCs w:val="1"/>
                <w:color w:val="auto"/>
              </w:rPr>
              <w:t>March 31,</w:t>
            </w:r>
          </w:p>
        </w:tc>
        <w:tc>
          <w:tcPr>
            <w:tcW w:w="420" w:type="dxa"/>
            <w:vAlign w:val="bottom"/>
            <w:tcBorders>
              <w:bottom w:val="single" w:sz="8" w:color="auto"/>
            </w:tcBorders>
          </w:tcPr>
          <w:p>
            <w:pPr>
              <w:spacing w:after="0"/>
              <w:rPr>
                <w:sz w:val="23"/>
                <w:szCs w:val="23"/>
                <w:color w:val="auto"/>
              </w:rPr>
            </w:pPr>
          </w:p>
        </w:tc>
      </w:tr>
      <w:tr>
        <w:trPr>
          <w:trHeight w:val="264"/>
        </w:trPr>
        <w:tc>
          <w:tcPr>
            <w:tcW w:w="84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20" w:type="dxa"/>
            <w:vAlign w:val="bottom"/>
            <w:tcBorders>
              <w:bottom w:val="single" w:sz="8" w:color="auto"/>
            </w:tcBorders>
          </w:tcPr>
          <w:p>
            <w:pPr>
              <w:spacing w:after="0"/>
              <w:rPr>
                <w:sz w:val="22"/>
                <w:szCs w:val="22"/>
                <w:color w:val="auto"/>
              </w:rPr>
            </w:pPr>
          </w:p>
        </w:tc>
      </w:tr>
      <w:tr>
        <w:trPr>
          <w:trHeight w:val="250"/>
        </w:trPr>
        <w:tc>
          <w:tcPr>
            <w:tcW w:w="8400" w:type="dxa"/>
            <w:vAlign w:val="bottom"/>
          </w:tcPr>
          <w:p>
            <w:pPr>
              <w:spacing w:after="0"/>
              <w:rPr>
                <w:sz w:val="21"/>
                <w:szCs w:val="21"/>
                <w:color w:val="auto"/>
              </w:rPr>
            </w:pPr>
          </w:p>
        </w:tc>
        <w:tc>
          <w:tcPr>
            <w:tcW w:w="238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21"/>
                <w:szCs w:val="21"/>
                <w:color w:val="auto"/>
              </w:rPr>
            </w:pPr>
          </w:p>
        </w:tc>
      </w:tr>
      <w:tr>
        <w:trPr>
          <w:trHeight w:val="274"/>
        </w:trPr>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losses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8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42"/>
        </w:trPr>
        <w:tc>
          <w:tcPr>
            <w:tcW w:w="8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8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574" w:right="4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recorded a tax provision of $1.8 million and $ 0.2 million for the three months ended March 31, 2015 and 2014, respectively. The increase in the tax provision recorded for the three months ended March 31, 2015 is primarily due to the taxes on its U.S. federal income, as well as certain states and foreign jurisdictions, and changes to unrecognized tax benefits related to uncertain tax positions. Prior to the fourth quarter of 2014, the Company maintained a valuation allowance on its U.S. federal and state deferred tax assets, and its taxes were primarily related to taxes in its foreign jurisdictions and certain states in the U.S, as well as changes to unrecognized tax benefits related to uncertain tax positions. The Company's effective income tax rates was approximately 38% in the three months ended March 31, 2015.</w:t>
      </w:r>
    </w:p>
    <w:p>
      <w:pPr>
        <w:spacing w:after="0" w:line="177"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231F20"/>
        </w:rPr>
        <w:t xml:space="preserve">As of both March 31, 2015 and December 31, 2014, the Company had unrecognized tax benefits of </w:t>
      </w:r>
      <w:r>
        <w:rPr>
          <w:rFonts w:ascii="Arial" w:cs="Arial" w:eastAsia="Arial" w:hAnsi="Arial"/>
          <w:sz w:val="18"/>
          <w:szCs w:val="18"/>
          <w:color w:val="000000"/>
        </w:rPr>
        <w:t>$3.3 million</w:t>
      </w:r>
      <w:r>
        <w:rPr>
          <w:rFonts w:ascii="Arial" w:cs="Arial" w:eastAsia="Arial" w:hAnsi="Arial"/>
          <w:sz w:val="18"/>
          <w:szCs w:val="18"/>
          <w:color w:val="231F20"/>
        </w:rPr>
        <w:t xml:space="preserve">, of which </w:t>
      </w:r>
      <w:r>
        <w:rPr>
          <w:rFonts w:ascii="Arial" w:cs="Arial" w:eastAsia="Arial" w:hAnsi="Arial"/>
          <w:sz w:val="18"/>
          <w:szCs w:val="18"/>
          <w:color w:val="000000"/>
        </w:rPr>
        <w:t>$2.1 million</w:t>
      </w:r>
      <w:r>
        <w:rPr>
          <w:rFonts w:ascii="Arial" w:cs="Arial" w:eastAsia="Arial" w:hAnsi="Arial"/>
          <w:sz w:val="18"/>
          <w:szCs w:val="18"/>
          <w:color w:val="231F20"/>
        </w:rPr>
        <w:t>, if recognized, would favorably impact the Company's effective tax rate.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color w:val="231F20"/>
        </w:rPr>
        <w:t>Segment Information and Information about Geographic Area</w:t>
      </w:r>
    </w:p>
    <w:p>
      <w:pPr>
        <w:spacing w:after="0" w:line="22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80" w:type="dxa"/>
            <w:vAlign w:val="bottom"/>
          </w:tcPr>
          <w:p>
            <w:pPr>
              <w:spacing w:after="0"/>
              <w:rPr>
                <w:sz w:val="19"/>
                <w:szCs w:val="19"/>
                <w:color w:val="auto"/>
              </w:rPr>
            </w:pPr>
          </w:p>
        </w:tc>
        <w:tc>
          <w:tcPr>
            <w:tcW w:w="268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9"/>
                <w:szCs w:val="19"/>
                <w:color w:val="auto"/>
              </w:rPr>
            </w:pPr>
          </w:p>
        </w:tc>
      </w:tr>
      <w:tr>
        <w:trPr>
          <w:trHeight w:val="274"/>
        </w:trPr>
        <w:tc>
          <w:tcPr>
            <w:tcW w:w="808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6"/>
                <w:szCs w:val="16"/>
                <w:b w:val="1"/>
                <w:bCs w:val="1"/>
                <w:color w:val="auto"/>
              </w:rPr>
              <w:t>March 31,</w:t>
            </w:r>
          </w:p>
        </w:tc>
        <w:tc>
          <w:tcPr>
            <w:tcW w:w="600" w:type="dxa"/>
            <w:vAlign w:val="bottom"/>
            <w:tcBorders>
              <w:bottom w:val="single" w:sz="8" w:color="auto"/>
            </w:tcBorders>
          </w:tcPr>
          <w:p>
            <w:pPr>
              <w:spacing w:after="0"/>
              <w:rPr>
                <w:sz w:val="23"/>
                <w:szCs w:val="23"/>
                <w:color w:val="auto"/>
              </w:rPr>
            </w:pPr>
          </w:p>
        </w:tc>
      </w:tr>
      <w:tr>
        <w:trPr>
          <w:trHeight w:val="264"/>
        </w:trPr>
        <w:tc>
          <w:tcPr>
            <w:tcW w:w="80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00" w:type="dxa"/>
            <w:vAlign w:val="bottom"/>
            <w:tcBorders>
              <w:bottom w:val="single" w:sz="8" w:color="auto"/>
            </w:tcBorders>
          </w:tcPr>
          <w:p>
            <w:pPr>
              <w:spacing w:after="0"/>
              <w:rPr>
                <w:sz w:val="22"/>
                <w:szCs w:val="22"/>
                <w:color w:val="auto"/>
              </w:rPr>
            </w:pPr>
          </w:p>
        </w:tc>
      </w:tr>
      <w:tr>
        <w:trPr>
          <w:trHeight w:val="250"/>
        </w:trPr>
        <w:tc>
          <w:tcPr>
            <w:tcW w:w="8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0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1"/>
                <w:szCs w:val="21"/>
                <w:color w:val="auto"/>
              </w:rPr>
            </w:pPr>
          </w:p>
        </w:tc>
      </w:tr>
      <w:tr>
        <w:trPr>
          <w:trHeight w:val="274"/>
        </w:trPr>
        <w:tc>
          <w:tcPr>
            <w:tcW w:w="8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26,341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21,327</w:t>
            </w:r>
          </w:p>
        </w:tc>
      </w:tr>
      <w:tr>
        <w:trPr>
          <w:trHeight w:val="264"/>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11,152</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9,029</w:t>
            </w:r>
          </w:p>
        </w:tc>
      </w:tr>
      <w:tr>
        <w:trPr>
          <w:trHeight w:val="242"/>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37,493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30,356</w:t>
            </w: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9"/>
                <w:szCs w:val="19"/>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74"/>
        </w:trPr>
        <w:tc>
          <w:tcPr>
            <w:tcW w:w="80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250"/>
        </w:trPr>
        <w:tc>
          <w:tcPr>
            <w:tcW w:w="8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23,650</w:t>
            </w:r>
          </w:p>
        </w:tc>
      </w:tr>
      <w:tr>
        <w:trPr>
          <w:trHeight w:val="264"/>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2,968</w:t>
            </w:r>
          </w:p>
        </w:tc>
      </w:tr>
      <w:tr>
        <w:trPr>
          <w:trHeight w:val="242"/>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and equipment,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26,618</w:t>
            </w: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(Loss) Per Share</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(loss) per share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5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jc w:val="center"/>
              <w:ind w:left="73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23"/>
                <w:szCs w:val="23"/>
                <w:color w:val="auto"/>
              </w:rPr>
            </w:pPr>
          </w:p>
        </w:tc>
      </w:tr>
      <w:tr>
        <w:trPr>
          <w:trHeight w:val="264"/>
        </w:trPr>
        <w:tc>
          <w:tcPr>
            <w:tcW w:w="8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193"/>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(in thousands, except per share</w:t>
            </w:r>
          </w:p>
        </w:tc>
      </w:tr>
      <w:tr>
        <w:trPr>
          <w:trHeight w:val="229"/>
        </w:trPr>
        <w:tc>
          <w:tcPr>
            <w:tcW w:w="8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3"/>
          </w:tcPr>
          <w:p>
            <w:pPr>
              <w:jc w:val="center"/>
              <w:ind w:left="739"/>
              <w:spacing w:after="0"/>
              <w:rPr>
                <w:sz w:val="20"/>
                <w:szCs w:val="20"/>
                <w:color w:val="auto"/>
              </w:rPr>
            </w:pPr>
            <w:r>
              <w:rPr>
                <w:rFonts w:ascii="Arial" w:cs="Arial" w:eastAsia="Arial" w:hAnsi="Arial"/>
                <w:sz w:val="16"/>
                <w:szCs w:val="16"/>
                <w:b w:val="1"/>
                <w:bCs w:val="1"/>
                <w:color w:val="auto"/>
                <w:w w:val="99"/>
              </w:rPr>
              <w:t>data)</w:t>
            </w:r>
          </w:p>
        </w:tc>
        <w:tc>
          <w:tcPr>
            <w:tcW w:w="960" w:type="dxa"/>
            <w:vAlign w:val="bottom"/>
          </w:tcPr>
          <w:p>
            <w:pPr>
              <w:spacing w:after="0"/>
              <w:rPr>
                <w:sz w:val="19"/>
                <w:szCs w:val="19"/>
                <w:color w:val="auto"/>
              </w:rPr>
            </w:pPr>
          </w:p>
        </w:tc>
      </w:tr>
      <w:tr>
        <w:trPr>
          <w:trHeight w:val="270"/>
        </w:trPr>
        <w:tc>
          <w:tcPr>
            <w:tcW w:w="8560" w:type="dxa"/>
            <w:vAlign w:val="bottom"/>
          </w:tcPr>
          <w:p>
            <w:pPr>
              <w:ind w:left="40"/>
              <w:spacing w:after="0"/>
              <w:rPr>
                <w:sz w:val="20"/>
                <w:szCs w:val="20"/>
                <w:color w:val="auto"/>
              </w:rPr>
            </w:pPr>
            <w:r>
              <w:rPr>
                <w:rFonts w:ascii="Arial" w:cs="Arial" w:eastAsia="Arial" w:hAnsi="Arial"/>
                <w:sz w:val="16"/>
                <w:szCs w:val="16"/>
                <w:color w:val="auto"/>
              </w:rPr>
              <w:t>Numerator:</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8"/>
        </w:trPr>
        <w:tc>
          <w:tcPr>
            <w:tcW w:w="8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3,002</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56"/>
        </w:trPr>
        <w:tc>
          <w:tcPr>
            <w:tcW w:w="856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8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income (loss) per share:</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2"/>
        </w:trPr>
        <w:tc>
          <w:tcPr>
            <w:tcW w:w="8560" w:type="dxa"/>
            <w:vAlign w:val="bottom"/>
          </w:tcPr>
          <w:p>
            <w:pPr>
              <w:ind w:left="50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33,775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32,516</w:t>
            </w:r>
          </w:p>
        </w:tc>
      </w:tr>
      <w:tr>
        <w:trPr>
          <w:trHeight w:val="278"/>
        </w:trPr>
        <w:tc>
          <w:tcPr>
            <w:tcW w:w="85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85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Common stock options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57"/>
        </w:trPr>
        <w:tc>
          <w:tcPr>
            <w:tcW w:w="85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38,235</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32,516</w:t>
            </w:r>
          </w:p>
        </w:tc>
      </w:tr>
      <w:tr>
        <w:trPr>
          <w:trHeight w:val="256"/>
        </w:trPr>
        <w:tc>
          <w:tcPr>
            <w:tcW w:w="8560" w:type="dxa"/>
            <w:vAlign w:val="bottom"/>
          </w:tcPr>
          <w:p>
            <w:pPr>
              <w:ind w:left="40"/>
              <w:spacing w:after="0"/>
              <w:rPr>
                <w:sz w:val="20"/>
                <w:szCs w:val="20"/>
                <w:color w:val="auto"/>
              </w:rPr>
            </w:pPr>
            <w:r>
              <w:rPr>
                <w:rFonts w:ascii="Arial" w:cs="Arial" w:eastAsia="Arial" w:hAnsi="Arial"/>
                <w:sz w:val="16"/>
                <w:szCs w:val="16"/>
                <w:color w:val="auto"/>
              </w:rPr>
              <w:t>Net income (loss) per share:</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3"/>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8560" w:type="dxa"/>
            <w:vAlign w:val="bottom"/>
          </w:tcPr>
          <w:p>
            <w:pPr>
              <w:ind w:left="28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231F20"/>
        </w:rPr>
        <w:t>Potentially dilutive securities not included in the calculation of diluted net income (loss) per share because doing so would be antidilutive are as follows:</w:t>
      </w:r>
    </w:p>
    <w:p>
      <w:pPr>
        <w:spacing w:after="0" w:line="147"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4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740" w:type="dxa"/>
            <w:vAlign w:val="bottom"/>
          </w:tcPr>
          <w:p>
            <w:pPr>
              <w:spacing w:after="0"/>
              <w:rPr>
                <w:sz w:val="20"/>
                <w:szCs w:val="20"/>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0"/>
        </w:trPr>
        <w:tc>
          <w:tcPr>
            <w:tcW w:w="85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gridSpan w:val="2"/>
          </w:tcPr>
          <w:p>
            <w:pPr>
              <w:jc w:val="right"/>
              <w:ind w:right="759"/>
              <w:spacing w:after="0"/>
              <w:rPr>
                <w:sz w:val="20"/>
                <w:szCs w:val="20"/>
                <w:color w:val="auto"/>
              </w:rPr>
            </w:pPr>
            <w:r>
              <w:rPr>
                <w:rFonts w:ascii="Arial" w:cs="Arial" w:eastAsia="Arial" w:hAnsi="Arial"/>
                <w:sz w:val="16"/>
                <w:szCs w:val="16"/>
                <w:b w:val="1"/>
                <w:bCs w:val="1"/>
                <w:color w:val="auto"/>
                <w:w w:val="99"/>
              </w:rPr>
              <w:t>(in thousands)</w:t>
            </w:r>
          </w:p>
        </w:tc>
      </w:tr>
      <w:tr>
        <w:trPr>
          <w:trHeight w:val="274"/>
        </w:trPr>
        <w:tc>
          <w:tcPr>
            <w:tcW w:w="9460" w:type="dxa"/>
            <w:vAlign w:val="bottom"/>
            <w:gridSpan w:val="2"/>
            <w:shd w:val="clear" w:color="auto" w:fill="CCEEFF"/>
          </w:tcPr>
          <w:p>
            <w:pPr>
              <w:jc w:val="right"/>
              <w:ind w:right="7780"/>
              <w:spacing w:after="0"/>
              <w:rPr>
                <w:sz w:val="20"/>
                <w:szCs w:val="20"/>
                <w:color w:val="auto"/>
              </w:rPr>
            </w:pPr>
            <w:r>
              <w:rPr>
                <w:rFonts w:ascii="Arial" w:cs="Arial" w:eastAsia="Arial" w:hAnsi="Arial"/>
                <w:sz w:val="16"/>
                <w:szCs w:val="16"/>
                <w:color w:val="auto"/>
              </w:rPr>
              <w:t>Common stock options</w:t>
            </w:r>
          </w:p>
        </w:tc>
        <w:tc>
          <w:tcPr>
            <w:tcW w:w="7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535</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272" w:lineRule="exact"/>
        <w:rPr>
          <w:sz w:val="20"/>
          <w:szCs w:val="20"/>
          <w:color w:val="auto"/>
        </w:rPr>
      </w:pPr>
    </w:p>
    <w:p>
      <w:pPr>
        <w:ind w:right="80" w:firstLine="405"/>
        <w:spacing w:after="0" w:line="260"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2014, filed with the Securities and Exchange Commission, or SEC, on March 6, 2015.</w:t>
      </w:r>
    </w:p>
    <w:p>
      <w:pPr>
        <w:spacing w:after="0" w:line="2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45" w:lineRule="exact"/>
        <w:rPr>
          <w:sz w:val="20"/>
          <w:szCs w:val="20"/>
          <w:color w:val="auto"/>
        </w:rPr>
      </w:pPr>
    </w:p>
    <w:p>
      <w:pPr>
        <w:ind w:left="1060" w:right="180" w:hanging="323"/>
        <w:spacing w:after="0" w:line="262"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diversify our sources of revenues;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8" w:lineRule="exact"/>
        <w:rPr>
          <w:rFonts w:ascii="Times New Roman" w:cs="Times New Roman" w:eastAsia="Times New Roman" w:hAnsi="Times New Roman"/>
          <w:sz w:val="18"/>
          <w:szCs w:val="18"/>
          <w:i w:val="1"/>
          <w:iCs w:val="1"/>
          <w:color w:val="auto"/>
        </w:rPr>
      </w:pPr>
    </w:p>
    <w:p>
      <w:pPr>
        <w:ind w:left="1060" w:right="680" w:hanging="323"/>
        <w:spacing w:after="0" w:line="250" w:lineRule="auto"/>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attract and retain qualified employees and key personnel;</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and our deferred tax assets; and</w:t>
      </w:r>
    </w:p>
    <w:p>
      <w:pPr>
        <w:spacing w:after="0" w:line="9" w:lineRule="exact"/>
        <w:rPr>
          <w:rFonts w:ascii="Arial" w:cs="Arial" w:eastAsia="Arial" w:hAnsi="Arial"/>
          <w:sz w:val="18"/>
          <w:szCs w:val="18"/>
          <w:i w:val="1"/>
          <w:iCs w:val="1"/>
          <w:color w:val="231F20"/>
        </w:rPr>
      </w:pPr>
    </w:p>
    <w:p>
      <w:pPr>
        <w:ind w:left="1060" w:right="920" w:hanging="323"/>
        <w:spacing w:after="0" w:line="264" w:lineRule="auto"/>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 xml:space="preserve">other factors discussed in this Quarterly Report on Form 10-Q in the sections titled </w:t>
      </w:r>
      <w:r>
        <w:rPr>
          <w:rFonts w:ascii="Times New Roman" w:cs="Times New Roman" w:eastAsia="Times New Roman" w:hAnsi="Times New Roman"/>
          <w:sz w:val="18"/>
          <w:szCs w:val="18"/>
          <w:i w:val="1"/>
          <w:iCs w:val="1"/>
          <w:color w:val="231F20"/>
        </w:rPr>
        <w:t>“</w:t>
      </w:r>
      <w:r>
        <w:rPr>
          <w:rFonts w:ascii="Arial" w:cs="Arial" w:eastAsia="Arial" w:hAnsi="Arial"/>
          <w:sz w:val="18"/>
          <w:szCs w:val="18"/>
          <w:i w:val="1"/>
          <w:iCs w:val="1"/>
          <w:color w:val="231F20"/>
        </w:rPr>
        <w:t xml:space="preserve">Risk Factors” and </w:t>
      </w:r>
      <w:r>
        <w:rPr>
          <w:rFonts w:ascii="Times New Roman" w:cs="Times New Roman" w:eastAsia="Times New Roman" w:hAnsi="Times New Roman"/>
          <w:sz w:val="18"/>
          <w:szCs w:val="18"/>
          <w:i w:val="1"/>
          <w:iCs w:val="1"/>
          <w:color w:val="231F20"/>
        </w:rPr>
        <w:t>“</w:t>
      </w:r>
      <w:r>
        <w:rPr>
          <w:rFonts w:ascii="Arial" w:cs="Arial" w:eastAsia="Arial" w:hAnsi="Arial"/>
          <w:sz w:val="18"/>
          <w:szCs w:val="18"/>
          <w:i w:val="1"/>
          <w:iCs w:val="1"/>
          <w:color w:val="231F20"/>
        </w:rPr>
        <w:t>Management</w:t>
      </w:r>
      <w:r>
        <w:rPr>
          <w:rFonts w:ascii="Times New Roman" w:cs="Times New Roman" w:eastAsia="Times New Roman" w:hAnsi="Times New Roman"/>
          <w:sz w:val="18"/>
          <w:szCs w:val="18"/>
          <w:i w:val="1"/>
          <w:iCs w:val="1"/>
          <w:color w:val="231F20"/>
        </w:rPr>
        <w:t>'</w:t>
      </w:r>
      <w:r>
        <w:rPr>
          <w:rFonts w:ascii="Arial" w:cs="Arial" w:eastAsia="Arial" w:hAnsi="Arial"/>
          <w:sz w:val="18"/>
          <w:szCs w:val="18"/>
          <w:i w:val="1"/>
          <w:iCs w:val="1"/>
          <w:color w:val="231F20"/>
        </w:rPr>
        <w:t>s Discussion and Analysis of Financial Condition and Results of Operations.</w:t>
      </w:r>
      <w:r>
        <w:rPr>
          <w:rFonts w:ascii="Times New Roman" w:cs="Times New Roman" w:eastAsia="Times New Roman" w:hAnsi="Times New Roman"/>
          <w:sz w:val="18"/>
          <w:szCs w:val="18"/>
          <w:i w:val="1"/>
          <w:iCs w:val="1"/>
          <w:color w:val="231F20"/>
        </w:rPr>
        <w:t>”</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00" w:lineRule="exact"/>
        <w:rPr>
          <w:sz w:val="20"/>
          <w:szCs w:val="20"/>
          <w:color w:val="auto"/>
        </w:rPr>
      </w:pPr>
    </w:p>
    <w:p>
      <w:pPr>
        <w:ind w:right="60" w:firstLine="405"/>
        <w:spacing w:after="0" w:line="260"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89"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231F20"/>
        </w:rPr>
        <w:t>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13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QualysGuard Vulnerability Management (VM), in 2000. Our core VM solution has provided a substantial majority of our revenues to date, representing 79% and 83% of total revenues for the three months ended March 31, 2015 and 2014,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and continued our expansion in 2010, launching Malware Detection Service and Qualys SECURE Seal for automated protection of websites. In 2012, we introduced our virtualized private cloud platform as an additional deployment option of our solutions for customers and partners. In 2014, we released Continuous Monitoring for internet-facing systems, which allows customers to continuously monitor their mission-critical assets and to be alerted to security vulnerabilities or misconfigurations that may make them more susceptible to a cyber attack.</w:t>
      </w:r>
    </w:p>
    <w:p>
      <w:pPr>
        <w:spacing w:after="0" w:line="178" w:lineRule="exact"/>
        <w:rPr>
          <w:sz w:val="20"/>
          <w:szCs w:val="20"/>
          <w:color w:val="auto"/>
        </w:rPr>
      </w:pPr>
    </w:p>
    <w:p>
      <w:pPr>
        <w:ind w:right="140" w:firstLine="405"/>
        <w:spacing w:after="0" w:line="260"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w:t>
      </w:r>
    </w:p>
    <w:p>
      <w:pPr>
        <w:spacing w:after="0" w:line="135"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medium-sized businesses across a broad range of industries, including education, financial services, government, healthcare, insurance, manufacturing, media, retail, technology and utilities. In the three month periods ended March 31, 2015 and </w:t>
      </w:r>
      <w:r>
        <w:rPr>
          <w:rFonts w:ascii="Arial" w:cs="Arial" w:eastAsia="Arial" w:hAnsi="Arial"/>
          <w:sz w:val="18"/>
          <w:szCs w:val="18"/>
          <w:color w:val="000000"/>
        </w:rPr>
        <w:t>2014</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37" w:lineRule="exact"/>
        <w:rPr>
          <w:sz w:val="20"/>
          <w:szCs w:val="20"/>
          <w:color w:val="auto"/>
        </w:rPr>
      </w:pPr>
    </w:p>
    <w:p>
      <w:pPr>
        <w:jc w:val="both"/>
        <w:ind w:right="80" w:firstLine="405"/>
        <w:spacing w:after="0" w:line="271" w:lineRule="auto"/>
        <w:rPr>
          <w:sz w:val="20"/>
          <w:szCs w:val="20"/>
          <w:color w:val="auto"/>
        </w:rPr>
      </w:pPr>
      <w:r>
        <w:rPr>
          <w:rFonts w:ascii="Arial" w:cs="Arial" w:eastAsia="Arial" w:hAnsi="Arial"/>
          <w:sz w:val="18"/>
          <w:szCs w:val="18"/>
          <w:color w:val="231F20"/>
        </w:rPr>
        <w:t xml:space="preserve">Our revenues increased to $37.5 million in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from </w:t>
      </w:r>
      <w:r>
        <w:rPr>
          <w:rFonts w:ascii="Arial" w:cs="Arial" w:eastAsia="Arial" w:hAnsi="Arial"/>
          <w:sz w:val="18"/>
          <w:szCs w:val="18"/>
          <w:color w:val="000000"/>
        </w:rPr>
        <w:t>$30.4 million</w:t>
      </w:r>
      <w:r>
        <w:rPr>
          <w:rFonts w:ascii="Arial" w:cs="Arial" w:eastAsia="Arial" w:hAnsi="Arial"/>
          <w:sz w:val="18"/>
          <w:szCs w:val="18"/>
          <w:color w:val="231F20"/>
        </w:rPr>
        <w:t xml:space="preserve"> for the comparable period in 2014, representing an increase of $7.1 million or 24%. For the three months ended March 31, 2015 and 2014, we had net income of $3.0 million and a net loss $0.4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7" w:lineRule="exact"/>
        <w:rPr>
          <w:sz w:val="20"/>
          <w:szCs w:val="20"/>
          <w:color w:val="auto"/>
        </w:rPr>
      </w:pPr>
    </w:p>
    <w:p>
      <w:pPr>
        <w:ind w:right="120" w:firstLine="405"/>
        <w:spacing w:after="0" w:line="271"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5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3"/>
                <w:szCs w:val="23"/>
                <w:color w:val="auto"/>
              </w:rPr>
            </w:pP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0"/>
        </w:trPr>
        <w:tc>
          <w:tcPr>
            <w:tcW w:w="8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11,977</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4,670</w:t>
            </w:r>
          </w:p>
        </w:tc>
      </w:tr>
      <w:tr>
        <w:trPr>
          <w:trHeight w:val="255"/>
        </w:trPr>
        <w:tc>
          <w:tcPr>
            <w:tcW w:w="8560" w:type="dxa"/>
            <w:vAlign w:val="bottom"/>
          </w:tcPr>
          <w:p>
            <w:pPr>
              <w:ind w:left="20"/>
              <w:spacing w:after="0"/>
              <w:rPr>
                <w:sz w:val="20"/>
                <w:szCs w:val="20"/>
                <w:color w:val="auto"/>
              </w:rPr>
            </w:pPr>
            <w:r>
              <w:rPr>
                <w:rFonts w:ascii="Arial" w:cs="Arial" w:eastAsia="Arial" w:hAnsi="Arial"/>
                <w:sz w:val="16"/>
                <w:szCs w:val="16"/>
                <w:color w:val="auto"/>
              </w:rPr>
              <w:t>Free cash flows</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3,779</w:t>
            </w: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11,304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00" w:lineRule="exact"/>
        <w:rPr>
          <w:sz w:val="20"/>
          <w:szCs w:val="20"/>
          <w:color w:val="auto"/>
        </w:rPr>
      </w:pPr>
    </w:p>
    <w:p>
      <w:pPr>
        <w:ind w:right="60" w:firstLine="405"/>
        <w:spacing w:after="0" w:line="258"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5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(loss) before (1) other (income) 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170" w:lineRule="exact"/>
        <w:rPr>
          <w:sz w:val="20"/>
          <w:szCs w:val="20"/>
          <w:color w:val="auto"/>
        </w:rPr>
      </w:pPr>
    </w:p>
    <w:p>
      <w:pPr>
        <w:ind w:right="180" w:firstLine="405"/>
        <w:spacing w:after="0" w:line="292" w:lineRule="auto"/>
        <w:rPr>
          <w:sz w:val="20"/>
          <w:szCs w:val="20"/>
          <w:color w:val="auto"/>
        </w:rPr>
      </w:pPr>
      <w:r>
        <w:rPr>
          <w:rFonts w:ascii="Arial" w:cs="Arial" w:eastAsia="Arial" w:hAnsi="Arial"/>
          <w:sz w:val="18"/>
          <w:szCs w:val="18"/>
          <w:color w:val="auto"/>
        </w:rPr>
        <w:t>The following unaudited table presents the reconciliation of net income (loss) to Adjusted EBITDA for the three months ended March 31, 2015 and 2014:</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2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4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23"/>
                <w:szCs w:val="23"/>
                <w:color w:val="auto"/>
              </w:rPr>
            </w:pPr>
          </w:p>
        </w:tc>
      </w:tr>
      <w:tr>
        <w:trPr>
          <w:trHeight w:val="264"/>
        </w:trPr>
        <w:tc>
          <w:tcPr>
            <w:tcW w:w="8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250"/>
        </w:trPr>
        <w:tc>
          <w:tcPr>
            <w:tcW w:w="8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20" w:type="dxa"/>
            <w:vAlign w:val="bottom"/>
            <w:gridSpan w:val="4"/>
          </w:tcPr>
          <w:p>
            <w:pPr>
              <w:jc w:val="center"/>
              <w:spacing w:after="0"/>
              <w:rPr>
                <w:sz w:val="20"/>
                <w:szCs w:val="20"/>
                <w:color w:val="auto"/>
              </w:rPr>
            </w:pPr>
            <w:r>
              <w:rPr>
                <w:rFonts w:ascii="Arial" w:cs="Arial" w:eastAsia="Arial" w:hAnsi="Arial"/>
                <w:sz w:val="16"/>
                <w:szCs w:val="16"/>
                <w:b w:val="1"/>
                <w:bCs w:val="1"/>
                <w:color w:val="auto"/>
              </w:rPr>
              <w:t>(in thousands, except percentages)</w:t>
            </w:r>
          </w:p>
        </w:tc>
      </w:tr>
      <w:tr>
        <w:trPr>
          <w:trHeight w:val="274"/>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income (loss) </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r>
      <w:tr>
        <w:trPr>
          <w:trHeight w:val="270"/>
        </w:trPr>
        <w:tc>
          <w:tcPr>
            <w:tcW w:w="8420" w:type="dxa"/>
            <w:vAlign w:val="bottom"/>
          </w:tcPr>
          <w:p>
            <w:pPr>
              <w:ind w:left="20"/>
              <w:spacing w:after="0"/>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27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1,841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r>
      <w:tr>
        <w:trPr>
          <w:trHeight w:val="262"/>
        </w:trPr>
        <w:tc>
          <w:tcPr>
            <w:tcW w:w="8420" w:type="dxa"/>
            <w:vAlign w:val="bottom"/>
          </w:tcPr>
          <w:p>
            <w:pPr>
              <w:ind w:left="20"/>
              <w:spacing w:after="0"/>
              <w:rPr>
                <w:sz w:val="20"/>
                <w:szCs w:val="20"/>
                <w:color w:val="auto"/>
              </w:rPr>
            </w:pPr>
            <w:r>
              <w:rPr>
                <w:rFonts w:ascii="Arial" w:cs="Arial" w:eastAsia="Arial" w:hAnsi="Arial"/>
                <w:sz w:val="16"/>
                <w:szCs w:val="16"/>
                <w:color w:val="auto"/>
              </w:rPr>
              <w:t>Depreciation and amortization of property and equipment</w:t>
            </w: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2,707</w:t>
            </w:r>
          </w:p>
        </w:tc>
      </w:tr>
      <w:tr>
        <w:trPr>
          <w:trHeight w:val="278"/>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w:t>
            </w:r>
          </w:p>
        </w:tc>
      </w:tr>
      <w:tr>
        <w:trPr>
          <w:trHeight w:val="264"/>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Stock-based compensation</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3,875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2,126</w:t>
            </w:r>
          </w:p>
        </w:tc>
      </w:tr>
      <w:tr>
        <w:trPr>
          <w:trHeight w:val="242"/>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11,977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4,670</w:t>
            </w:r>
          </w:p>
        </w:tc>
      </w:tr>
      <w:tr>
        <w:trPr>
          <w:trHeight w:val="20"/>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8"/>
        </w:trPr>
        <w:tc>
          <w:tcPr>
            <w:tcW w:w="842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bl>
    <w:p>
      <w:pPr>
        <w:spacing w:after="0" w:line="162" w:lineRule="exact"/>
        <w:rPr>
          <w:sz w:val="20"/>
          <w:szCs w:val="20"/>
          <w:color w:val="auto"/>
        </w:rPr>
      </w:pPr>
    </w:p>
    <w:p>
      <w:pPr>
        <w:ind w:right="180" w:firstLine="8"/>
        <w:spacing w:after="0" w:line="250" w:lineRule="auto"/>
        <w:tabs>
          <w:tab w:leader="none" w:pos="216"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Other income (expense) and net loss for the three months ended March 31, 2014 have been adjusted for an immaterial error as further described in Note 1 to our condensed consolidated financial statements included elsewhere in this Quarterly Report on Form 10-Q.</w:t>
      </w:r>
    </w:p>
    <w:p>
      <w:pPr>
        <w:spacing w:after="0" w:line="3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25" w:lineRule="exact"/>
        <w:rPr>
          <w:sz w:val="20"/>
          <w:szCs w:val="20"/>
          <w:color w:val="auto"/>
        </w:rPr>
      </w:pPr>
    </w:p>
    <w:p>
      <w:pPr>
        <w:ind w:right="160" w:firstLine="405"/>
        <w:spacing w:after="0" w:line="258"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178" w:lineRule="exact"/>
        <w:rPr>
          <w:sz w:val="20"/>
          <w:szCs w:val="20"/>
          <w:color w:val="auto"/>
        </w:rPr>
      </w:pPr>
    </w:p>
    <w:p>
      <w:pPr>
        <w:ind w:right="160" w:firstLine="648"/>
        <w:spacing w:after="0" w:line="260"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color w:val="auto"/>
        </w:rPr>
        <w:t>provided by operating activities, the most directly comparable financial measure calculated and presented in accordance with GAAP, is provided below:</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4"/>
          </w:tcPr>
          <w:p>
            <w:pPr>
              <w:jc w:val="right"/>
              <w:ind w:right="526"/>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5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6"/>
                <w:szCs w:val="16"/>
                <w:b w:val="1"/>
                <w:bCs w:val="1"/>
                <w:color w:val="auto"/>
              </w:rPr>
              <w:t>March 31,</w:t>
            </w:r>
          </w:p>
        </w:tc>
        <w:tc>
          <w:tcPr>
            <w:tcW w:w="880" w:type="dxa"/>
            <w:vAlign w:val="bottom"/>
            <w:tcBorders>
              <w:bottom w:val="single" w:sz="8" w:color="auto"/>
            </w:tcBorders>
          </w:tcPr>
          <w:p>
            <w:pPr>
              <w:spacing w:after="0"/>
              <w:rPr>
                <w:sz w:val="23"/>
                <w:szCs w:val="23"/>
                <w:color w:val="auto"/>
              </w:rPr>
            </w:pPr>
          </w:p>
        </w:tc>
      </w:tr>
      <w:tr>
        <w:trPr>
          <w:trHeight w:val="264"/>
        </w:trPr>
        <w:tc>
          <w:tcPr>
            <w:tcW w:w="8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6"/>
              <w:spacing w:after="0"/>
              <w:rPr>
                <w:sz w:val="20"/>
                <w:szCs w:val="20"/>
                <w:color w:val="auto"/>
              </w:rPr>
            </w:pPr>
            <w:r>
              <w:rPr>
                <w:rFonts w:ascii="Arial" w:cs="Arial" w:eastAsia="Arial" w:hAnsi="Arial"/>
                <w:sz w:val="16"/>
                <w:szCs w:val="16"/>
                <w:b w:val="1"/>
                <w:bCs w:val="1"/>
                <w:color w:val="auto"/>
              </w:rPr>
              <w:t>2014</w:t>
            </w:r>
          </w:p>
        </w:tc>
      </w:tr>
      <w:tr>
        <w:trPr>
          <w:trHeight w:val="250"/>
        </w:trPr>
        <w:tc>
          <w:tcPr>
            <w:tcW w:w="8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21"/>
                <w:szCs w:val="21"/>
                <w:color w:val="auto"/>
              </w:rPr>
            </w:pPr>
          </w:p>
        </w:tc>
      </w:tr>
      <w:tr>
        <w:trPr>
          <w:trHeight w:val="274"/>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10,026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15,106</w:t>
            </w:r>
          </w:p>
        </w:tc>
      </w:tr>
      <w:tr>
        <w:trPr>
          <w:trHeight w:val="266"/>
        </w:trPr>
        <w:tc>
          <w:tcPr>
            <w:tcW w:w="8540" w:type="dxa"/>
            <w:vAlign w:val="bottom"/>
          </w:tcPr>
          <w:p>
            <w:pPr>
              <w:ind w:left="20"/>
              <w:spacing w:after="0"/>
              <w:rPr>
                <w:sz w:val="20"/>
                <w:szCs w:val="20"/>
                <w:color w:val="auto"/>
              </w:rPr>
            </w:pPr>
            <w:r>
              <w:rPr>
                <w:rFonts w:ascii="Arial" w:cs="Arial" w:eastAsia="Arial" w:hAnsi="Arial"/>
                <w:sz w:val="14"/>
                <w:szCs w:val="14"/>
                <w:color w:val="auto"/>
              </w:rPr>
              <w:t>Less:</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8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(6,148)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(3,802)</w:t>
            </w:r>
          </w:p>
        </w:tc>
      </w:tr>
      <w:tr>
        <w:trPr>
          <w:trHeight w:val="266"/>
        </w:trPr>
        <w:tc>
          <w:tcPr>
            <w:tcW w:w="85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Capitalized software development costs</w:t>
            </w: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w:t>
            </w:r>
          </w:p>
        </w:tc>
      </w:tr>
      <w:tr>
        <w:trPr>
          <w:trHeight w:val="241"/>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4"/>
                <w:szCs w:val="14"/>
                <w:color w:val="auto"/>
              </w:rPr>
              <w:t>3,779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11,304</w:t>
            </w: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360" w:lineRule="exact"/>
        <w:rPr>
          <w:sz w:val="20"/>
          <w:szCs w:val="20"/>
          <w:color w:val="auto"/>
        </w:rPr>
      </w:pPr>
    </w:p>
    <w:p>
      <w:pPr>
        <w:ind w:right="140" w:firstLine="405"/>
        <w:spacing w:after="0" w:line="29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4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67" w:lineRule="exact"/>
        <w:rPr>
          <w:sz w:val="20"/>
          <w:szCs w:val="20"/>
          <w:color w:val="auto"/>
        </w:rPr>
      </w:pPr>
    </w:p>
    <w:p>
      <w:pPr>
        <w:ind w:right="60" w:firstLine="405"/>
        <w:spacing w:after="0" w:line="323"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7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a substantial majority of our revenues through the sale of subscriptions to our QualysGuard Vulnerability Management solution, and we have a significant number of customers who have also purchased our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QualysGuard Cloud Platform into our customers’ private cloud environment. Customers are required to return physical scanner appliances and computer equipment if they do not renew their subscriptions.</w:t>
      </w:r>
    </w:p>
    <w:p>
      <w:pPr>
        <w:spacing w:after="0" w:line="15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115"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11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to continue to invest in additional sales personnel and more marketing programs as we introduce new solutions on our platform, which will increase sales and marketing expenses in absolute dollars.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23" w:lineRule="exact"/>
        <w:rPr>
          <w:sz w:val="20"/>
          <w:szCs w:val="20"/>
          <w:color w:val="auto"/>
        </w:rPr>
      </w:pPr>
    </w:p>
    <w:p>
      <w:pPr>
        <w:ind w:right="220" w:firstLine="486"/>
        <w:spacing w:after="0" w:line="260"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certain other corporate governance-related expenses, and overhead allocations. We expect that general and administrative expenses will increase in absolute dollars, as we continue to add personnel and incur professional services to support our growth and compliance with legal requirements.</w:t>
      </w: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71" w:lineRule="exact"/>
        <w:rPr>
          <w:sz w:val="20"/>
          <w:szCs w:val="20"/>
          <w:color w:val="auto"/>
        </w:rPr>
      </w:pPr>
    </w:p>
    <w:p>
      <w:pPr>
        <w:ind w:right="320" w:firstLine="486"/>
        <w:spacing w:after="0" w:line="271"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Japanese Yen, losses on disposal of property and equipment; and interest expense associated with our capital leases.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17" w:lineRule="exact"/>
        <w:rPr>
          <w:sz w:val="20"/>
          <w:szCs w:val="20"/>
          <w:color w:val="auto"/>
        </w:rPr>
      </w:pPr>
    </w:p>
    <w:p>
      <w:pPr>
        <w:ind w:right="40" w:firstLine="405"/>
        <w:spacing w:after="0" w:line="260"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non-deductible stock-based compensation expense and other adjustments.</w:t>
      </w:r>
    </w:p>
    <w:p>
      <w:pPr>
        <w:spacing w:after="0" w:line="175" w:lineRule="exact"/>
        <w:rPr>
          <w:sz w:val="20"/>
          <w:szCs w:val="20"/>
          <w:color w:val="auto"/>
        </w:rPr>
      </w:pPr>
    </w:p>
    <w:p>
      <w:pPr>
        <w:ind w:right="160" w:firstLine="405"/>
        <w:spacing w:after="0" w:line="260"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67" w:lineRule="exact"/>
        <w:rPr>
          <w:sz w:val="20"/>
          <w:szCs w:val="20"/>
          <w:color w:val="auto"/>
        </w:rPr>
      </w:pPr>
    </w:p>
    <w:p>
      <w:pPr>
        <w:jc w:val="both"/>
        <w:ind w:right="120" w:firstLine="405"/>
        <w:spacing w:after="0" w:line="271"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5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231F20"/>
        </w:rPr>
        <w:t>Our provision for income taxes in the first three months ended March 31, 2015 consists of income taxes for federal and certain states in the United States, as well as income taxes for profits generated in foreign jurisdictions by wholly owned subsidiaries. Our provision for income taxes in the first three months ended March 31, 2014 consists primarily of income taxes resulting from profits generated in foreign jurisdictions by wholly-owned subsidiaries, along with state income taxes payable in the United States, as we had maintained a valuation</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231F20"/>
        </w:rPr>
        <w:t>allowance on our U.S. federal and state net deferred tax assets in the first quarter of 2014. The provision for income taxes also includes changes to unrecognized tax benefits related to uncertain tax positions.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6"/>
          </w:tcPr>
          <w:p>
            <w:pPr>
              <w:jc w:val="center"/>
              <w:ind w:right="26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5"/>
          </w:tcPr>
          <w:p>
            <w:pPr>
              <w:jc w:val="center"/>
              <w:ind w:left="502"/>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5"/>
          </w:tcPr>
          <w:p>
            <w:pPr>
              <w:jc w:val="center"/>
              <w:ind w:left="522"/>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380" w:type="dxa"/>
            <w:vAlign w:val="bottom"/>
            <w:gridSpan w:val="2"/>
          </w:tcPr>
          <w:p>
            <w:pPr>
              <w:jc w:val="right"/>
              <w:ind w:right="260"/>
              <w:spacing w:after="0"/>
              <w:rPr>
                <w:sz w:val="20"/>
                <w:szCs w:val="20"/>
                <w:color w:val="auto"/>
              </w:rPr>
            </w:pPr>
            <w:r>
              <w:rPr>
                <w:rFonts w:ascii="Arial" w:cs="Arial" w:eastAsia="Arial" w:hAnsi="Arial"/>
                <w:sz w:val="16"/>
                <w:szCs w:val="16"/>
                <w:color w:val="231F20"/>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231F20"/>
              </w:rPr>
              <w:t>37,493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231F20"/>
              </w:rPr>
              <w:t>30,356</w:t>
            </w:r>
          </w:p>
        </w:tc>
        <w:tc>
          <w:tcPr>
            <w:tcW w:w="0" w:type="dxa"/>
            <w:vAlign w:val="bottom"/>
          </w:tcPr>
          <w:p>
            <w:pPr>
              <w:spacing w:after="0"/>
              <w:rPr>
                <w:sz w:val="1"/>
                <w:szCs w:val="1"/>
                <w:color w:val="auto"/>
              </w:rPr>
            </w:pPr>
          </w:p>
        </w:tc>
      </w:tr>
      <w:tr>
        <w:trPr>
          <w:trHeight w:val="278"/>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100" w:type="dxa"/>
            <w:vAlign w:val="bottom"/>
            <w:tcBorders>
              <w:bottom w:val="single" w:sz="8" w:color="231F20"/>
            </w:tcBorders>
            <w:shd w:val="clear" w:color="auto" w:fill="CCEEFF"/>
          </w:tcPr>
          <w:p>
            <w:pPr>
              <w:spacing w:after="0"/>
              <w:rPr>
                <w:sz w:val="24"/>
                <w:szCs w:val="24"/>
                <w:color w:val="auto"/>
              </w:rPr>
            </w:pPr>
          </w:p>
        </w:tc>
        <w:tc>
          <w:tcPr>
            <w:tcW w:w="280" w:type="dxa"/>
            <w:vAlign w:val="bottom"/>
            <w:tcBorders>
              <w:bottom w:val="single" w:sz="8" w:color="231F20"/>
            </w:tcBorders>
            <w:shd w:val="clear" w:color="auto" w:fill="CCEEFF"/>
          </w:tcPr>
          <w:p>
            <w:pPr>
              <w:spacing w:after="0"/>
              <w:rPr>
                <w:sz w:val="24"/>
                <w:szCs w:val="24"/>
                <w:color w:val="auto"/>
              </w:rPr>
            </w:pPr>
          </w:p>
        </w:tc>
        <w:tc>
          <w:tcPr>
            <w:tcW w:w="11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7,964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tcBorders>
              <w:bottom w:val="single" w:sz="8" w:color="231F20"/>
            </w:tcBorders>
            <w:shd w:val="clear" w:color="auto" w:fill="CCEEFF"/>
          </w:tcPr>
          <w:p>
            <w:pPr>
              <w:spacing w:after="0"/>
              <w:rPr>
                <w:sz w:val="24"/>
                <w:szCs w:val="24"/>
                <w:color w:val="auto"/>
              </w:rPr>
            </w:pPr>
          </w:p>
        </w:tc>
        <w:tc>
          <w:tcPr>
            <w:tcW w:w="50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6,846</w:t>
            </w:r>
          </w:p>
        </w:tc>
        <w:tc>
          <w:tcPr>
            <w:tcW w:w="0" w:type="dxa"/>
            <w:vAlign w:val="bottom"/>
          </w:tcPr>
          <w:p>
            <w:pPr>
              <w:spacing w:after="0"/>
              <w:rPr>
                <w:sz w:val="1"/>
                <w:szCs w:val="1"/>
                <w:color w:val="auto"/>
              </w:rPr>
            </w:pPr>
          </w:p>
        </w:tc>
      </w:tr>
      <w:tr>
        <w:trPr>
          <w:trHeight w:val="242"/>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29,529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23,510</w:t>
            </w:r>
          </w:p>
        </w:tc>
        <w:tc>
          <w:tcPr>
            <w:tcW w:w="0" w:type="dxa"/>
            <w:vAlign w:val="bottom"/>
          </w:tcPr>
          <w:p>
            <w:pPr>
              <w:spacing w:after="0"/>
              <w:rPr>
                <w:sz w:val="1"/>
                <w:szCs w:val="1"/>
                <w:color w:val="auto"/>
              </w:rPr>
            </w:pPr>
          </w:p>
        </w:tc>
      </w:tr>
      <w:tr>
        <w:trPr>
          <w:trHeight w:val="278"/>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231F20"/>
              </w:rPr>
              <w:t>7,150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231F20"/>
              </w:rPr>
              <w:t>6,404</w:t>
            </w:r>
          </w:p>
        </w:tc>
        <w:tc>
          <w:tcPr>
            <w:tcW w:w="0" w:type="dxa"/>
            <w:vAlign w:val="bottom"/>
          </w:tcPr>
          <w:p>
            <w:pPr>
              <w:spacing w:after="0"/>
              <w:rPr>
                <w:sz w:val="1"/>
                <w:szCs w:val="1"/>
                <w:color w:val="auto"/>
              </w:rPr>
            </w:pPr>
          </w:p>
        </w:tc>
      </w:tr>
      <w:tr>
        <w:trPr>
          <w:trHeight w:val="270"/>
        </w:trPr>
        <w:tc>
          <w:tcPr>
            <w:tcW w:w="83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11,443</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12,492</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100" w:type="dxa"/>
            <w:vAlign w:val="bottom"/>
            <w:tcBorders>
              <w:bottom w:val="single" w:sz="8" w:color="231F20"/>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6,016</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231F20"/>
            </w:tcBorders>
          </w:tcPr>
          <w:p>
            <w:pPr>
              <w:spacing w:after="0"/>
              <w:rPr>
                <w:sz w:val="23"/>
                <w:szCs w:val="23"/>
                <w:color w:val="auto"/>
              </w:rPr>
            </w:pPr>
          </w:p>
        </w:tc>
        <w:tc>
          <w:tcPr>
            <w:tcW w:w="50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4,875</w:t>
            </w:r>
          </w:p>
        </w:tc>
        <w:tc>
          <w:tcPr>
            <w:tcW w:w="0" w:type="dxa"/>
            <w:vAlign w:val="bottom"/>
          </w:tcPr>
          <w:p>
            <w:pPr>
              <w:spacing w:after="0"/>
              <w:rPr>
                <w:sz w:val="1"/>
                <w:szCs w:val="1"/>
                <w:color w:val="auto"/>
              </w:rPr>
            </w:pPr>
          </w:p>
        </w:tc>
      </w:tr>
      <w:tr>
        <w:trPr>
          <w:trHeight w:val="244"/>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24,609</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23,771</w:t>
            </w:r>
          </w:p>
        </w:tc>
        <w:tc>
          <w:tcPr>
            <w:tcW w:w="0" w:type="dxa"/>
            <w:vAlign w:val="bottom"/>
          </w:tcPr>
          <w:p>
            <w:pPr>
              <w:spacing w:after="0"/>
              <w:rPr>
                <w:sz w:val="1"/>
                <w:szCs w:val="1"/>
                <w:color w:val="auto"/>
              </w:rPr>
            </w:pPr>
          </w:p>
        </w:tc>
      </w:tr>
      <w:tr>
        <w:trPr>
          <w:trHeight w:val="235"/>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Income (loss) from operations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4,920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71"/>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14"/>
                <w:szCs w:val="14"/>
                <w:color w:val="auto"/>
                <w:vertAlign w:val="superscript"/>
              </w:rPr>
              <w:t>(2)</w:t>
            </w: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9"/>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 xml:space="preserve">Income (loss) before income taxes </w:t>
            </w:r>
            <w:r>
              <w:rPr>
                <w:rFonts w:ascii="Arial" w:cs="Arial" w:eastAsia="Arial" w:hAnsi="Arial"/>
                <w:sz w:val="14"/>
                <w:szCs w:val="14"/>
                <w:color w:val="auto"/>
                <w:vertAlign w:val="superscript"/>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4,843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71"/>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231F20"/>
            </w:tcBorders>
            <w:shd w:val="clear" w:color="auto" w:fill="CCEEFF"/>
          </w:tcPr>
          <w:p>
            <w:pPr>
              <w:spacing w:after="0"/>
              <w:rPr>
                <w:sz w:val="23"/>
                <w:szCs w:val="23"/>
                <w:color w:val="auto"/>
              </w:rPr>
            </w:pPr>
          </w:p>
        </w:tc>
        <w:tc>
          <w:tcPr>
            <w:tcW w:w="280" w:type="dxa"/>
            <w:vAlign w:val="bottom"/>
            <w:tcBorders>
              <w:bottom w:val="single" w:sz="8" w:color="231F20"/>
            </w:tcBorders>
            <w:shd w:val="clear" w:color="auto" w:fill="CCEEFF"/>
          </w:tcPr>
          <w:p>
            <w:pPr>
              <w:spacing w:after="0"/>
              <w:rPr>
                <w:sz w:val="23"/>
                <w:szCs w:val="23"/>
                <w:color w:val="auto"/>
              </w:rPr>
            </w:pPr>
          </w:p>
        </w:tc>
        <w:tc>
          <w:tcPr>
            <w:tcW w:w="11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1,841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231F20"/>
            </w:tcBorders>
            <w:shd w:val="clear" w:color="auto" w:fill="CCEEFF"/>
          </w:tcPr>
          <w:p>
            <w:pPr>
              <w:spacing w:after="0"/>
              <w:rPr>
                <w:sz w:val="23"/>
                <w:szCs w:val="23"/>
                <w:color w:val="auto"/>
              </w:rPr>
            </w:pPr>
          </w:p>
        </w:tc>
        <w:tc>
          <w:tcPr>
            <w:tcW w:w="50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182</w:t>
            </w:r>
          </w:p>
        </w:tc>
        <w:tc>
          <w:tcPr>
            <w:tcW w:w="0" w:type="dxa"/>
            <w:vAlign w:val="bottom"/>
          </w:tcPr>
          <w:p>
            <w:pPr>
              <w:spacing w:after="0"/>
              <w:rPr>
                <w:sz w:val="1"/>
                <w:szCs w:val="1"/>
                <w:color w:val="auto"/>
              </w:rPr>
            </w:pPr>
          </w:p>
        </w:tc>
      </w:tr>
      <w:tr>
        <w:trPr>
          <w:trHeight w:val="241"/>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 xml:space="preserve">Net income (loss) </w:t>
            </w:r>
            <w:r>
              <w:rPr>
                <w:rFonts w:ascii="Arial" w:cs="Arial" w:eastAsia="Arial" w:hAnsi="Arial"/>
                <w:sz w:val="14"/>
                <w:szCs w:val="14"/>
                <w:color w:val="auto"/>
                <w:vertAlign w:val="superscript"/>
              </w:rPr>
              <w:t>(2)</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3,002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120" w:type="dxa"/>
            <w:vAlign w:val="bottom"/>
            <w:vMerge w:val="continue"/>
          </w:tcPr>
          <w:p>
            <w:pPr>
              <w:spacing w:after="0"/>
              <w:rPr>
                <w:sz w:val="24"/>
                <w:szCs w:val="24"/>
                <w:color w:val="auto"/>
              </w:rPr>
            </w:pPr>
          </w:p>
        </w:tc>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340" w:type="dxa"/>
            <w:vAlign w:val="bottom"/>
            <w:gridSpan w:val="2"/>
          </w:tcPr>
          <w:p>
            <w:pPr>
              <w:spacing w:after="0"/>
              <w:rPr>
                <w:sz w:val="20"/>
                <w:szCs w:val="20"/>
                <w:color w:val="auto"/>
              </w:rPr>
            </w:pPr>
            <w:r>
              <w:rPr>
                <w:rFonts w:ascii="Arial" w:cs="Arial" w:eastAsia="Arial" w:hAnsi="Arial"/>
                <w:sz w:val="14"/>
                <w:szCs w:val="14"/>
                <w:color w:val="231F20"/>
              </w:rPr>
              <w:t>(1) Includes stock-based compensation as follows: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3"/>
        </w:trPr>
        <w:tc>
          <w:tcPr>
            <w:tcW w:w="11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6"/>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1"/>
        </w:trPr>
        <w:tc>
          <w:tcPr>
            <w:tcW w:w="11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5"/>
          </w:tcPr>
          <w:p>
            <w:pPr>
              <w:jc w:val="center"/>
              <w:ind w:left="602"/>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5"/>
          </w:tcPr>
          <w:p>
            <w:pPr>
              <w:jc w:val="center"/>
              <w:ind w:left="602"/>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20" w:type="dxa"/>
            <w:vAlign w:val="bottom"/>
          </w:tcPr>
          <w:p>
            <w:pPr>
              <w:spacing w:after="0"/>
              <w:rPr>
                <w:sz w:val="23"/>
                <w:szCs w:val="23"/>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66"/>
        </w:trPr>
        <w:tc>
          <w:tcPr>
            <w:tcW w:w="1120" w:type="dxa"/>
            <w:vAlign w:val="bottom"/>
          </w:tcPr>
          <w:p>
            <w:pPr>
              <w:spacing w:after="0"/>
              <w:rPr>
                <w:sz w:val="23"/>
                <w:szCs w:val="23"/>
                <w:color w:val="auto"/>
              </w:rPr>
            </w:pPr>
          </w:p>
        </w:tc>
        <w:tc>
          <w:tcPr>
            <w:tcW w:w="72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1,152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3"/>
                <w:szCs w:val="23"/>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66"/>
        </w:trPr>
        <w:tc>
          <w:tcPr>
            <w:tcW w:w="1120" w:type="dxa"/>
            <w:vAlign w:val="bottom"/>
          </w:tcPr>
          <w:p>
            <w:pPr>
              <w:spacing w:after="0"/>
              <w:rPr>
                <w:sz w:val="23"/>
                <w:szCs w:val="23"/>
                <w:color w:val="auto"/>
              </w:rPr>
            </w:pPr>
          </w:p>
        </w:tc>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1,584</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right="100" w:firstLine="8"/>
        <w:spacing w:after="0" w:line="250" w:lineRule="auto"/>
        <w:tabs>
          <w:tab w:leader="none" w:pos="216"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Other income (expense), loss before income taxes, and net loss for the three months ended March 31, 2014 have been adjusted for an immaterial error as further described in Note 1 to our condensed consolidated financial statements included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420" w:firstLine="486"/>
        <w:spacing w:after="0" w:line="29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36"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33020</wp:posOffset>
            </wp:positionV>
            <wp:extent cx="20751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r>
      <w:tr>
        <w:trPr>
          <w:trHeight w:val="254"/>
        </w:trPr>
        <w:tc>
          <w:tcPr>
            <w:tcW w:w="9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8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r>
      <w:tr>
        <w:trPr>
          <w:trHeight w:val="243"/>
        </w:trPr>
        <w:tc>
          <w:tcPr>
            <w:tcW w:w="9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r>
      <w:tr>
        <w:trPr>
          <w:trHeight w:val="262"/>
        </w:trPr>
        <w:tc>
          <w:tcPr>
            <w:tcW w:w="91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8"/>
        </w:trPr>
        <w:tc>
          <w:tcPr>
            <w:tcW w:w="9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w:t>
            </w:r>
          </w:p>
        </w:tc>
      </w:tr>
      <w:tr>
        <w:trPr>
          <w:trHeight w:val="262"/>
        </w:trPr>
        <w:tc>
          <w:tcPr>
            <w:tcW w:w="916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60" w:type="dxa"/>
            <w:vAlign w:val="bottom"/>
          </w:tcPr>
          <w:p>
            <w:pPr>
              <w:jc w:val="right"/>
              <w:ind w:right="15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41</w:t>
            </w:r>
          </w:p>
        </w:tc>
      </w:tr>
      <w:tr>
        <w:trPr>
          <w:trHeight w:val="271"/>
        </w:trPr>
        <w:tc>
          <w:tcPr>
            <w:tcW w:w="8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r>
      <w:tr>
        <w:trPr>
          <w:trHeight w:val="237"/>
        </w:trPr>
        <w:tc>
          <w:tcPr>
            <w:tcW w:w="81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78</w:t>
            </w:r>
          </w:p>
        </w:tc>
      </w:tr>
      <w:tr>
        <w:trPr>
          <w:trHeight w:val="243"/>
        </w:trPr>
        <w:tc>
          <w:tcPr>
            <w:tcW w:w="9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64"/>
        </w:trPr>
        <w:tc>
          <w:tcPr>
            <w:tcW w:w="8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r>
      <w:tr>
        <w:trPr>
          <w:trHeight w:val="243"/>
        </w:trPr>
        <w:tc>
          <w:tcPr>
            <w:tcW w:w="9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64"/>
        </w:trPr>
        <w:tc>
          <w:tcPr>
            <w:tcW w:w="8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r>
      <w:tr>
        <w:trPr>
          <w:trHeight w:val="242"/>
        </w:trPr>
        <w:tc>
          <w:tcPr>
            <w:tcW w:w="9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March 31, 2015</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2014</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4"/>
        </w:trPr>
        <w:tc>
          <w:tcPr>
            <w:tcW w:w="55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3"/>
                <w:szCs w:val="23"/>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74"/>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37,493</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30,356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7,137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bl>
    <w:p>
      <w:pPr>
        <w:spacing w:after="0" w:line="193"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$7.1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primarily due to new customer subscriptions entered into after March 31, 2014 and from an increase in the purchase of subscriptions from existing customers. Of the total increase of </w:t>
      </w:r>
      <w:r>
        <w:rPr>
          <w:rFonts w:ascii="Arial" w:cs="Arial" w:eastAsia="Arial" w:hAnsi="Arial"/>
          <w:sz w:val="18"/>
          <w:szCs w:val="18"/>
          <w:color w:val="000000"/>
        </w:rPr>
        <w:t>$7.1 million</w:t>
      </w:r>
      <w:r>
        <w:rPr>
          <w:rFonts w:ascii="Arial" w:cs="Arial" w:eastAsia="Arial" w:hAnsi="Arial"/>
          <w:sz w:val="18"/>
          <w:szCs w:val="18"/>
          <w:color w:val="231F20"/>
        </w:rPr>
        <w:t>, $5.0 million was from customers in the United States and the remaining $2.1 million was from customers in foreign countries. The growth in revenues reflects the continued increased demand for our solutions.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4"/>
        </w:trPr>
        <w:tc>
          <w:tcPr>
            <w:tcW w:w="55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3"/>
                <w:szCs w:val="23"/>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50"/>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7,964</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6,846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1,118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62"/>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8"/>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166"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231F20"/>
        </w:rPr>
        <w:t xml:space="preserve">Cost of revenues increased $1.1 million for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primarily due to a $0.4 million increase in depreciation expenses related to additional computer hardware and software; increased third-party software license maintenance expense of $0.3 million; increased personnel expenses of $0.2 million, primarily due to increased stock based compensation; as well as increased data center costs of $0.1 million to support the continued growth of our business.</w:t>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4"/>
        </w:trPr>
        <w:tc>
          <w:tcPr>
            <w:tcW w:w="54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3"/>
                <w:szCs w:val="23"/>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7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7,150</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6,404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746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5"/>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63"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231F20"/>
        </w:rPr>
        <w:t xml:space="preserve">Research and development expenses increased $0.7 million in the three months ended March 31, 2015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2014</w:t>
      </w:r>
      <w:r>
        <w:rPr>
          <w:rFonts w:ascii="Arial" w:cs="Arial" w:eastAsia="Arial" w:hAnsi="Arial"/>
          <w:sz w:val="18"/>
          <w:szCs w:val="18"/>
          <w:color w:val="231F20"/>
        </w:rPr>
        <w:t>, primarily due to an increase in personnel expenses of $0.8 million, principally due to higher stock-based compensation.</w:t>
      </w:r>
      <w:r>
        <w:rPr>
          <w:rFonts w:ascii="Arial" w:cs="Arial" w:eastAsia="Arial" w:hAnsi="Arial"/>
          <w:sz w:val="18"/>
          <w:szCs w:val="18"/>
          <w:color w:val="000000"/>
        </w:rPr>
        <w:t xml:space="preserve"> </w:t>
      </w:r>
      <w:r>
        <w:rPr>
          <w:rFonts w:ascii="Arial" w:cs="Arial" w:eastAsia="Arial" w:hAnsi="Arial"/>
          <w:sz w:val="18"/>
          <w:szCs w:val="18"/>
          <w:color w:val="231F20"/>
        </w:rPr>
        <w:t>We continue to significantly invest in and expand our research and development team in India to continue enhancing our platform and develop new solutions and capabilities.</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4"/>
        </w:trPr>
        <w:tc>
          <w:tcPr>
            <w:tcW w:w="54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3"/>
                <w:szCs w:val="23"/>
                <w:color w:val="auto"/>
              </w:rPr>
            </w:pPr>
          </w:p>
        </w:tc>
      </w:tr>
      <w:tr>
        <w:trPr>
          <w:trHeight w:val="264"/>
        </w:trPr>
        <w:tc>
          <w:tcPr>
            <w:tcW w:w="5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50"/>
        </w:trPr>
        <w:tc>
          <w:tcPr>
            <w:tcW w:w="5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74"/>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11,443</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12,492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(1,049)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55"/>
        </w:trPr>
        <w:tc>
          <w:tcPr>
            <w:tcW w:w="54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9"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231F20"/>
        </w:rPr>
        <w:t xml:space="preserve">Sales and marketing expenses decreased $1.0 million for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2014</w:t>
      </w:r>
      <w:r>
        <w:rPr>
          <w:rFonts w:ascii="Arial" w:cs="Arial" w:eastAsia="Arial" w:hAnsi="Arial"/>
          <w:sz w:val="18"/>
          <w:szCs w:val="18"/>
          <w:color w:val="231F20"/>
        </w:rPr>
        <w:t>, primarily due to a decrease in marketing expenses of $ 0.9 million, due to decreased trade shows, program activities and</w:t>
      </w:r>
      <w:r>
        <w:rPr>
          <w:rFonts w:ascii="Arial" w:cs="Arial" w:eastAsia="Arial" w:hAnsi="Arial"/>
          <w:sz w:val="18"/>
          <w:szCs w:val="18"/>
          <w:color w:val="000000"/>
        </w:rPr>
        <w:t xml:space="preserve"> </w:t>
      </w:r>
      <w:r>
        <w:rPr>
          <w:rFonts w:ascii="Arial" w:cs="Arial" w:eastAsia="Arial" w:hAnsi="Arial"/>
          <w:sz w:val="18"/>
          <w:szCs w:val="18"/>
          <w:color w:val="231F20"/>
        </w:rPr>
        <w:t>decreased travel related costs of $0.2 million, primarily as a result of the timing difference of a major security trade show in the first quarter of 2014, which will occur in the second quarter of this fiscal year.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4"/>
        </w:trPr>
        <w:tc>
          <w:tcPr>
            <w:tcW w:w="55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3"/>
                <w:szCs w:val="23"/>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50"/>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6,016</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4,875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1,141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55"/>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209" w:lineRule="exact"/>
        <w:rPr>
          <w:sz w:val="20"/>
          <w:szCs w:val="20"/>
          <w:color w:val="auto"/>
        </w:rPr>
      </w:pPr>
    </w:p>
    <w:p>
      <w:pPr>
        <w:ind w:right="200" w:firstLine="486"/>
        <w:spacing w:after="0" w:line="271" w:lineRule="auto"/>
        <w:rPr>
          <w:sz w:val="20"/>
          <w:szCs w:val="20"/>
          <w:color w:val="auto"/>
        </w:rPr>
      </w:pPr>
      <w:r>
        <w:rPr>
          <w:rFonts w:ascii="Arial" w:cs="Arial" w:eastAsia="Arial" w:hAnsi="Arial"/>
          <w:sz w:val="18"/>
          <w:szCs w:val="18"/>
          <w:color w:val="231F20"/>
        </w:rPr>
        <w:t xml:space="preserve">General and administrative expenses increased $1.1 million for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2014</w:t>
      </w:r>
      <w:r>
        <w:rPr>
          <w:rFonts w:ascii="Arial" w:cs="Arial" w:eastAsia="Arial" w:hAnsi="Arial"/>
          <w:sz w:val="18"/>
          <w:szCs w:val="18"/>
          <w:color w:val="231F20"/>
        </w:rPr>
        <w:t>, primarily driven by increased personnel expenses of $0.7 million, principally due to higher employee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increased professional services of $0.2 million; and increased bad debt expense and other fees of $0.2 million.</w:t>
      </w:r>
    </w:p>
    <w:p>
      <w:pPr>
        <w:spacing w:after="0" w:line="3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256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4"/>
        </w:trPr>
        <w:tc>
          <w:tcPr>
            <w:tcW w:w="548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3"/>
                <w:szCs w:val="23"/>
                <w:color w:val="auto"/>
              </w:rPr>
            </w:pPr>
          </w:p>
        </w:tc>
      </w:tr>
      <w:tr>
        <w:trPr>
          <w:trHeight w:val="264"/>
        </w:trPr>
        <w:tc>
          <w:tcPr>
            <w:tcW w:w="54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50"/>
        </w:trPr>
        <w:tc>
          <w:tcPr>
            <w:tcW w:w="5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80" w:type="dxa"/>
            <w:vAlign w:val="bottom"/>
            <w:gridSpan w:val="5"/>
          </w:tcPr>
          <w:p>
            <w:pPr>
              <w:ind w:left="80"/>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7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c>
          <w:tcPr>
            <w:tcW w:w="10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(89)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5"/>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6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0 %</w:t>
            </w: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209" w:lineRule="exact"/>
        <w:rPr>
          <w:sz w:val="20"/>
          <w:szCs w:val="20"/>
          <w:color w:val="auto"/>
        </w:rPr>
      </w:pPr>
    </w:p>
    <w:p>
      <w:pPr>
        <w:jc w:val="both"/>
        <w:ind w:right="40" w:firstLine="486"/>
        <w:spacing w:after="0" w:line="292" w:lineRule="auto"/>
        <w:rPr>
          <w:sz w:val="20"/>
          <w:szCs w:val="20"/>
          <w:color w:val="auto"/>
        </w:rPr>
      </w:pPr>
      <w:r>
        <w:rPr>
          <w:rFonts w:ascii="Arial" w:cs="Arial" w:eastAsia="Arial" w:hAnsi="Arial"/>
          <w:sz w:val="18"/>
          <w:szCs w:val="18"/>
          <w:color w:val="231F20"/>
        </w:rPr>
        <w:t xml:space="preserve">Other income (expense), net decreased by $0.1 million for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2014</w:t>
      </w:r>
      <w:r>
        <w:rPr>
          <w:rFonts w:ascii="Arial" w:cs="Arial" w:eastAsia="Arial" w:hAnsi="Arial"/>
          <w:sz w:val="18"/>
          <w:szCs w:val="18"/>
          <w:color w:val="231F20"/>
        </w:rPr>
        <w:t>, primarily driven by an increase in foreign exchange losses of $0.1 million.</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4"/>
        </w:trPr>
        <w:tc>
          <w:tcPr>
            <w:tcW w:w="55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3"/>
                <w:szCs w:val="23"/>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50"/>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1,841</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1,659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5"/>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236"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231F20"/>
        </w:rPr>
        <w:t xml:space="preserve">Provision for income taxes increased $1.7 million for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2014</w:t>
      </w:r>
      <w:r>
        <w:rPr>
          <w:rFonts w:ascii="Arial" w:cs="Arial" w:eastAsia="Arial" w:hAnsi="Arial"/>
          <w:sz w:val="18"/>
          <w:szCs w:val="18"/>
          <w:color w:val="231F20"/>
        </w:rPr>
        <w:t>, primarily due to the provision for U.S. federal taxes in the first quarter of 2015. As we had maintained a valuation allowance</w:t>
      </w:r>
      <w:r>
        <w:rPr>
          <w:rFonts w:ascii="Arial" w:cs="Arial" w:eastAsia="Arial" w:hAnsi="Arial"/>
          <w:sz w:val="18"/>
          <w:szCs w:val="18"/>
          <w:color w:val="000000"/>
        </w:rPr>
        <w:t xml:space="preserve"> </w:t>
      </w:r>
      <w:r>
        <w:rPr>
          <w:rFonts w:ascii="Arial" w:cs="Arial" w:eastAsia="Arial" w:hAnsi="Arial"/>
          <w:sz w:val="18"/>
          <w:szCs w:val="18"/>
          <w:color w:val="231F20"/>
        </w:rPr>
        <w:t>against our U.S. federal and state deferred tax assets prior to the fourth quarter of 2014, our income tax provision for the three months ended March 31, 2014 was primarily made up of taxes on income in foreign jurisdictions and certain states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0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March 31, 2015</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$173.8</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$2.9 million 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U.S. income taxes on such amounts, less previously paid foreign income taxes.</w:t>
      </w:r>
    </w:p>
    <w:p>
      <w:pPr>
        <w:spacing w:after="0" w:line="170"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231F20"/>
        </w:rPr>
        <w:t>We have experienced positive cash flows from operations during the three months ended March 31, 2015 and 2014. We believe our existing cash, cash equivalents, short-term and long-term investments,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71"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5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3"/>
                <w:szCs w:val="23"/>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0"/>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9"/>
              </w:rPr>
              <w:t>(in thousands)</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10,026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15,106</w:t>
            </w:r>
          </w:p>
        </w:tc>
      </w:tr>
      <w:tr>
        <w:trPr>
          <w:trHeight w:val="262"/>
        </w:trPr>
        <w:tc>
          <w:tcPr>
            <w:tcW w:w="858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(12,051)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(10,191)</w:t>
            </w:r>
          </w:p>
        </w:tc>
      </w:tr>
      <w:tr>
        <w:trPr>
          <w:trHeight w:val="278"/>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1,006</w:t>
            </w: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42"/>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5,927</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25"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$10.0 million</w:t>
      </w:r>
      <w:r>
        <w:rPr>
          <w:rFonts w:ascii="Arial" w:cs="Arial" w:eastAsia="Arial" w:hAnsi="Arial"/>
          <w:sz w:val="18"/>
          <w:szCs w:val="18"/>
          <w:color w:val="231F20"/>
        </w:rPr>
        <w:t xml:space="preserve"> resulted from our net income of approximately </w:t>
      </w:r>
      <w:r>
        <w:rPr>
          <w:rFonts w:ascii="Arial" w:cs="Arial" w:eastAsia="Arial" w:hAnsi="Arial"/>
          <w:sz w:val="18"/>
          <w:szCs w:val="18"/>
          <w:color w:val="000000"/>
        </w:rPr>
        <w:t>$3.0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$6.8 million</w:t>
      </w:r>
      <w:r>
        <w:rPr>
          <w:rFonts w:ascii="Arial" w:cs="Arial" w:eastAsia="Arial" w:hAnsi="Arial"/>
          <w:sz w:val="18"/>
          <w:szCs w:val="18"/>
          <w:color w:val="231F20"/>
        </w:rPr>
        <w:t xml:space="preserve">, attributable to our continued growth, and by non-cash items including depreciation and amortization expense of </w:t>
      </w:r>
      <w:r>
        <w:rPr>
          <w:rFonts w:ascii="Arial" w:cs="Arial" w:eastAsia="Arial" w:hAnsi="Arial"/>
          <w:sz w:val="18"/>
          <w:szCs w:val="18"/>
          <w:color w:val="000000"/>
        </w:rPr>
        <w:t>$3.2 million</w:t>
      </w:r>
      <w:r>
        <w:rPr>
          <w:rFonts w:ascii="Arial" w:cs="Arial" w:eastAsia="Arial" w:hAnsi="Arial"/>
          <w:sz w:val="18"/>
          <w:szCs w:val="18"/>
          <w:color w:val="231F20"/>
        </w:rPr>
        <w:t xml:space="preserve"> and stock-based compensation of </w:t>
      </w:r>
      <w:r>
        <w:rPr>
          <w:rFonts w:ascii="Arial" w:cs="Arial" w:eastAsia="Arial" w:hAnsi="Arial"/>
          <w:sz w:val="18"/>
          <w:szCs w:val="18"/>
          <w:color w:val="000000"/>
        </w:rPr>
        <w:t>$3.9 million</w:t>
      </w:r>
      <w:r>
        <w:rPr>
          <w:rFonts w:ascii="Arial" w:cs="Arial" w:eastAsia="Arial" w:hAnsi="Arial"/>
          <w:sz w:val="18"/>
          <w:szCs w:val="18"/>
          <w:color w:val="231F20"/>
        </w:rPr>
        <w:t>. These increases are partially offset by an increase in accounts receivable of $5.9 million, due to timing of orders received relatively later in the quarter, and by an increase in accounts payable of $3.6 million due to timing of payments.</w:t>
      </w:r>
    </w:p>
    <w:p>
      <w:pPr>
        <w:spacing w:after="0" w:line="175" w:lineRule="exact"/>
        <w:rPr>
          <w:sz w:val="20"/>
          <w:szCs w:val="20"/>
          <w:color w:val="auto"/>
        </w:rPr>
      </w:pPr>
    </w:p>
    <w:p>
      <w:pPr>
        <w:ind w:right="100" w:firstLine="486"/>
        <w:spacing w:after="0" w:line="260"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$ 15.1 million</w:t>
      </w:r>
      <w:r>
        <w:rPr>
          <w:rFonts w:ascii="Arial" w:cs="Arial" w:eastAsia="Arial" w:hAnsi="Arial"/>
          <w:sz w:val="18"/>
          <w:szCs w:val="18"/>
          <w:color w:val="231F20"/>
        </w:rPr>
        <w:t xml:space="preserve"> resulted from a decrease in accounts receivable of </w:t>
      </w:r>
      <w:r>
        <w:rPr>
          <w:rFonts w:ascii="Arial" w:cs="Arial" w:eastAsia="Arial" w:hAnsi="Arial"/>
          <w:sz w:val="18"/>
          <w:szCs w:val="18"/>
          <w:color w:val="000000"/>
        </w:rPr>
        <w:t>$6.7 million</w:t>
      </w:r>
      <w:r>
        <w:rPr>
          <w:rFonts w:ascii="Arial" w:cs="Arial" w:eastAsia="Arial" w:hAnsi="Arial"/>
          <w:sz w:val="18"/>
          <w:szCs w:val="18"/>
          <w:color w:val="231F20"/>
        </w:rPr>
        <w:t xml:space="preserve"> due to lower bookings in the first quarter compared to the fourth quarter of the prior year and also due to collection of early first quarter bookings; an increase of </w:t>
      </w:r>
      <w:r>
        <w:rPr>
          <w:rFonts w:ascii="Arial" w:cs="Arial" w:eastAsia="Arial" w:hAnsi="Arial"/>
          <w:sz w:val="18"/>
          <w:szCs w:val="18"/>
          <w:color w:val="000000"/>
        </w:rPr>
        <w:t>$ 3.9 million</w:t>
      </w:r>
      <w:r>
        <w:rPr>
          <w:rFonts w:ascii="Arial" w:cs="Arial" w:eastAsia="Arial" w:hAnsi="Arial"/>
          <w:sz w:val="18"/>
          <w:szCs w:val="18"/>
          <w:color w:val="231F20"/>
        </w:rPr>
        <w:t xml:space="preserve"> in deferred revenues attributable to our continued growth. These working capital increases are partially offset by a net loss of </w:t>
      </w:r>
      <w:r>
        <w:rPr>
          <w:rFonts w:ascii="Arial" w:cs="Arial" w:eastAsia="Arial" w:hAnsi="Arial"/>
          <w:sz w:val="18"/>
          <w:szCs w:val="18"/>
          <w:color w:val="000000"/>
        </w:rPr>
        <w:t>$0.4 million</w:t>
      </w:r>
      <w:r>
        <w:rPr>
          <w:rFonts w:ascii="Arial" w:cs="Arial" w:eastAsia="Arial" w:hAnsi="Arial"/>
          <w:sz w:val="18"/>
          <w:szCs w:val="18"/>
          <w:color w:val="231F20"/>
        </w:rPr>
        <w:t xml:space="preserve">, adjusted by non-cash items including depreciation and amortization of </w:t>
      </w:r>
      <w:r>
        <w:rPr>
          <w:rFonts w:ascii="Arial" w:cs="Arial" w:eastAsia="Arial" w:hAnsi="Arial"/>
          <w:sz w:val="18"/>
          <w:szCs w:val="18"/>
          <w:color w:val="000000"/>
        </w:rPr>
        <w:t>$2.8 million</w:t>
      </w:r>
      <w:r>
        <w:rPr>
          <w:rFonts w:ascii="Arial" w:cs="Arial" w:eastAsia="Arial" w:hAnsi="Arial"/>
          <w:sz w:val="18"/>
          <w:szCs w:val="18"/>
          <w:color w:val="231F20"/>
        </w:rPr>
        <w:t xml:space="preserve"> and stock-based compensation of </w:t>
      </w:r>
      <w:r>
        <w:rPr>
          <w:rFonts w:ascii="Arial" w:cs="Arial" w:eastAsia="Arial" w:hAnsi="Arial"/>
          <w:sz w:val="18"/>
          <w:szCs w:val="18"/>
          <w:color w:val="000000"/>
        </w:rPr>
        <w:t>$2.1 million</w:t>
      </w:r>
      <w:r>
        <w:rPr>
          <w:rFonts w:ascii="Arial" w:cs="Arial" w:eastAsia="Arial" w:hAnsi="Arial"/>
          <w:sz w:val="18"/>
          <w:szCs w:val="18"/>
          <w:color w:val="231F20"/>
        </w:rPr>
        <w:t>.</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71" w:lineRule="exact"/>
        <w:rPr>
          <w:sz w:val="20"/>
          <w:szCs w:val="20"/>
          <w:color w:val="auto"/>
        </w:rPr>
      </w:pPr>
    </w:p>
    <w:p>
      <w:pPr>
        <w:ind w:right="260" w:firstLine="486"/>
        <w:spacing w:after="0" w:line="271"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$12.1 million was primarily attributable to $6.1 million of</w:t>
      </w:r>
      <w:r>
        <w:rPr>
          <w:rFonts w:ascii="Arial" w:cs="Arial" w:eastAsia="Arial" w:hAnsi="Arial"/>
          <w:sz w:val="18"/>
          <w:szCs w:val="18"/>
          <w:color w:val="231F20"/>
        </w:rPr>
        <w:t xml:space="preserve"> </w:t>
      </w:r>
      <w:r>
        <w:rPr>
          <w:rFonts w:ascii="Arial" w:cs="Arial" w:eastAsia="Arial" w:hAnsi="Arial"/>
          <w:sz w:val="18"/>
          <w:szCs w:val="18"/>
          <w:color w:val="000000"/>
        </w:rPr>
        <w:t>cash for capital expenditures, including computer hardware and software for our data centers to support our growth and development and physical scanner appliances and computer hardware provided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to certain customers as part of their subscriptions; and purchases of investments of $31.8 million, partially offset by sales and maturities of investments of $26.0 million.</w:t>
      </w:r>
    </w:p>
    <w:p>
      <w:pPr>
        <w:spacing w:after="0" w:line="145"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cash used in investing activities of $10.2 million was primarily attributable to </w:t>
      </w:r>
      <w:r>
        <w:rPr>
          <w:rFonts w:ascii="Arial" w:cs="Arial" w:eastAsia="Arial" w:hAnsi="Arial"/>
          <w:sz w:val="18"/>
          <w:szCs w:val="18"/>
          <w:color w:val="000000"/>
        </w:rPr>
        <w:t>$3.8 million of</w:t>
      </w:r>
      <w:r>
        <w:rPr>
          <w:rFonts w:ascii="Arial" w:cs="Arial" w:eastAsia="Arial" w:hAnsi="Arial"/>
          <w:sz w:val="18"/>
          <w:szCs w:val="18"/>
          <w:color w:val="231F20"/>
        </w:rPr>
        <w:t xml:space="preserve"> </w:t>
      </w:r>
      <w:r>
        <w:rPr>
          <w:rFonts w:ascii="Arial" w:cs="Arial" w:eastAsia="Arial" w:hAnsi="Arial"/>
          <w:sz w:val="18"/>
          <w:szCs w:val="18"/>
          <w:color w:val="000000"/>
        </w:rPr>
        <w:t xml:space="preserve">cash for capital expenditures, including computer hardware and software for our data centers to support our growth and development and physical scanner appliances provided to certain customers as part of their subscriptions. There were also purchases of investments of </w:t>
      </w:r>
      <w:r>
        <w:rPr>
          <w:rFonts w:ascii="Arial" w:cs="Arial" w:eastAsia="Arial" w:hAnsi="Arial"/>
          <w:sz w:val="18"/>
          <w:szCs w:val="18"/>
          <w:color w:val="231F20"/>
        </w:rPr>
        <w:t>$47.5</w:t>
      </w:r>
      <w:r>
        <w:rPr>
          <w:rFonts w:ascii="Arial" w:cs="Arial" w:eastAsia="Arial" w:hAnsi="Arial"/>
          <w:sz w:val="18"/>
          <w:szCs w:val="18"/>
          <w:color w:val="000000"/>
        </w:rPr>
        <w:t xml:space="preserve"> </w:t>
      </w:r>
      <w:r>
        <w:rPr>
          <w:rFonts w:ascii="Arial" w:cs="Arial" w:eastAsia="Arial" w:hAnsi="Arial"/>
          <w:sz w:val="18"/>
          <w:szCs w:val="18"/>
          <w:color w:val="231F20"/>
        </w:rPr>
        <w:t>million</w:t>
      </w:r>
      <w:r>
        <w:rPr>
          <w:rFonts w:ascii="Arial" w:cs="Arial" w:eastAsia="Arial" w:hAnsi="Arial"/>
          <w:sz w:val="18"/>
          <w:szCs w:val="18"/>
          <w:color w:val="000000"/>
        </w:rPr>
        <w:t>, partially offset by sales and maturities of investments of</w:t>
      </w:r>
      <w:r>
        <w:rPr>
          <w:rFonts w:ascii="Arial" w:cs="Arial" w:eastAsia="Arial" w:hAnsi="Arial"/>
          <w:sz w:val="18"/>
          <w:szCs w:val="18"/>
          <w:color w:val="231F20"/>
        </w:rPr>
        <w:t xml:space="preserve"> $41.1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25"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2015</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$3.5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$3.4 million</w:t>
      </w:r>
      <w:r>
        <w:rPr>
          <w:rFonts w:ascii="Arial" w:cs="Arial" w:eastAsia="Arial" w:hAnsi="Arial"/>
          <w:sz w:val="18"/>
          <w:szCs w:val="18"/>
          <w:color w:val="231F20"/>
        </w:rPr>
        <w:t xml:space="preserve"> of proceeds from the exercise of stock options.</w:t>
      </w:r>
    </w:p>
    <w:p>
      <w:pPr>
        <w:spacing w:after="0" w:line="145"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$1.0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$1.3 million</w:t>
      </w:r>
      <w:r>
        <w:rPr>
          <w:rFonts w:ascii="Arial" w:cs="Arial" w:eastAsia="Arial" w:hAnsi="Arial"/>
          <w:sz w:val="18"/>
          <w:szCs w:val="18"/>
          <w:color w:val="231F20"/>
        </w:rPr>
        <w:t xml:space="preserve"> of proceeds from the exercise of stock options, partially offset by repayments on our capital lease obligations of </w:t>
      </w:r>
      <w:r>
        <w:rPr>
          <w:rFonts w:ascii="Arial" w:cs="Arial" w:eastAsia="Arial" w:hAnsi="Arial"/>
          <w:sz w:val="18"/>
          <w:szCs w:val="18"/>
          <w:color w:val="000000"/>
        </w:rPr>
        <w:t>$0.3 million</w:t>
      </w:r>
      <w:r>
        <w:rPr>
          <w:rFonts w:ascii="Arial" w:cs="Arial" w:eastAsia="Arial" w:hAnsi="Arial"/>
          <w:sz w:val="18"/>
          <w:szCs w:val="18"/>
          <w:color w:val="231F20"/>
        </w:rPr>
        <w: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73" w:lineRule="exact"/>
        <w:rPr>
          <w:sz w:val="20"/>
          <w:szCs w:val="20"/>
          <w:color w:val="auto"/>
        </w:rPr>
      </w:pPr>
    </w:p>
    <w:p>
      <w:pPr>
        <w:jc w:val="both"/>
        <w:ind w:right="60" w:firstLine="486"/>
        <w:spacing w:after="0" w:line="271"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and certain office equipment. The following table summarizes our contractual cash obligations at </w:t>
      </w:r>
      <w:r>
        <w:rPr>
          <w:rFonts w:ascii="Arial" w:cs="Arial" w:eastAsia="Arial" w:hAnsi="Arial"/>
          <w:sz w:val="18"/>
          <w:szCs w:val="18"/>
          <w:color w:val="000000"/>
        </w:rPr>
        <w:t>March 31, 2015</w:t>
      </w:r>
      <w:r>
        <w:rPr>
          <w:rFonts w:ascii="Arial" w:cs="Arial" w:eastAsia="Arial" w:hAnsi="Arial"/>
          <w:sz w:val="18"/>
          <w:szCs w:val="18"/>
          <w:color w:val="231F20"/>
        </w:rPr>
        <w:t xml:space="preserve"> and the effect such obligations are expected to have on our liquidity and cash flows in future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rPr>
              <w:t>Payment Due by Period</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93"/>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Remainder of</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2"/>
        </w:trPr>
        <w:tc>
          <w:tcPr>
            <w:tcW w:w="606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5"/>
                <w:szCs w:val="15"/>
                <w:color w:val="auto"/>
              </w:rPr>
            </w:pPr>
          </w:p>
        </w:tc>
        <w:tc>
          <w:tcPr>
            <w:tcW w:w="1100" w:type="dxa"/>
            <w:vAlign w:val="bottom"/>
            <w:gridSpan w:val="2"/>
          </w:tcPr>
          <w:p>
            <w:pPr>
              <w:ind w:left="160"/>
              <w:spacing w:after="0" w:line="182" w:lineRule="exact"/>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5"/>
                <w:szCs w:val="15"/>
                <w:color w:val="auto"/>
              </w:rPr>
            </w:pPr>
          </w:p>
        </w:tc>
        <w:tc>
          <w:tcPr>
            <w:tcW w:w="1000" w:type="dxa"/>
            <w:vAlign w:val="bottom"/>
          </w:tcPr>
          <w:p>
            <w:pPr>
              <w:jc w:val="right"/>
              <w:ind w:right="379"/>
              <w:spacing w:after="0" w:line="182" w:lineRule="exact"/>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2" w:lineRule="exact"/>
              <w:rPr>
                <w:sz w:val="20"/>
                <w:szCs w:val="20"/>
                <w:color w:val="auto"/>
              </w:rPr>
            </w:pPr>
            <w:r>
              <w:rPr>
                <w:rFonts w:ascii="Arial" w:cs="Arial" w:eastAsia="Arial" w:hAnsi="Arial"/>
                <w:sz w:val="16"/>
                <w:szCs w:val="16"/>
                <w:b w:val="1"/>
                <w:bCs w:val="1"/>
                <w:color w:val="auto"/>
              </w:rPr>
              <w:t>2016-2017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2" w:lineRule="exact"/>
              <w:rPr>
                <w:sz w:val="20"/>
                <w:szCs w:val="20"/>
                <w:color w:val="auto"/>
              </w:rPr>
            </w:pPr>
            <w:r>
              <w:rPr>
                <w:rFonts w:ascii="Arial" w:cs="Arial" w:eastAsia="Arial" w:hAnsi="Arial"/>
                <w:sz w:val="16"/>
                <w:szCs w:val="16"/>
                <w:b w:val="1"/>
                <w:bCs w:val="1"/>
                <w:color w:val="auto"/>
              </w:rPr>
              <w:t>2018-2019</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6"/>
        </w:trPr>
        <w:tc>
          <w:tcPr>
            <w:tcW w:w="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4"/>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8,661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3,172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647</w:t>
            </w:r>
          </w:p>
        </w:tc>
      </w:tr>
      <w:tr>
        <w:trPr>
          <w:trHeight w:val="236"/>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8,661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340" w:right="280" w:hanging="332"/>
        <w:spacing w:after="0" w:line="311" w:lineRule="auto"/>
        <w:tabs>
          <w:tab w:leader="none" w:pos="232" w:val="left"/>
        </w:tabs>
        <w:numPr>
          <w:ilvl w:val="0"/>
          <w:numId w:val="7"/>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three months ended March 31, 2015</w:t>
      </w:r>
      <w:r>
        <w:rPr>
          <w:rFonts w:ascii="Arial" w:cs="Arial" w:eastAsia="Arial" w:hAnsi="Arial"/>
          <w:sz w:val="14"/>
          <w:szCs w:val="14"/>
          <w:color w:val="231F20"/>
        </w:rPr>
        <w:t>, we made regular payments on our operating lease obligations of $1.4 million.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73" w:lineRule="exact"/>
        <w:rPr>
          <w:sz w:val="20"/>
          <w:szCs w:val="20"/>
          <w:color w:val="auto"/>
        </w:rPr>
      </w:pPr>
    </w:p>
    <w:p>
      <w:pPr>
        <w:ind w:right="540" w:firstLine="486"/>
        <w:spacing w:after="0" w:line="29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73" w:lineRule="exact"/>
        <w:rPr>
          <w:sz w:val="20"/>
          <w:szCs w:val="20"/>
          <w:color w:val="auto"/>
        </w:rPr>
      </w:pPr>
    </w:p>
    <w:p>
      <w:pPr>
        <w:ind w:right="280" w:firstLine="486"/>
        <w:spacing w:after="0" w:line="29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73" w:lineRule="exact"/>
        <w:rPr>
          <w:sz w:val="20"/>
          <w:szCs w:val="20"/>
          <w:color w:val="auto"/>
        </w:rPr>
      </w:pPr>
    </w:p>
    <w:p>
      <w:pPr>
        <w:ind w:right="460" w:firstLine="486"/>
        <w:spacing w:after="0" w:line="271"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231F20"/>
        </w:rPr>
        <w:t>estimates and assumptions. Our actual results may differ from these estimates under different assumptions or conditions.</w:t>
      </w:r>
    </w:p>
    <w:p>
      <w:pPr>
        <w:spacing w:after="0" w:line="22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2014, filed with the SEC on March 6, 2015,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16"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3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231F20"/>
        </w:rPr>
        <w:t>Quantitative and Qualitative Disclosures about Market Risk</w:t>
      </w:r>
    </w:p>
    <w:p>
      <w:pPr>
        <w:spacing w:after="0" w:line="308"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1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48"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We have $173.8 million in cash, cash equivalents and short-term and long-term investments at March 31, 2015. Cash and cash equivalents include cash held in banks and highly liquid money market funds, U.S. government agency securities, and commercial paper. Investments consist of fixed-income U.S. government agency securities, corporate bonds, asset-backed securities, and commercial paper. All of these investments, excluding long-term investments, have maturities of less than one year from date of purchase. Long-term investments have maturities that extend more than one year from date of purchase.</w:t>
      </w:r>
    </w:p>
    <w:p>
      <w:pPr>
        <w:spacing w:after="0" w:line="135"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Due to the nature of these investments held as available-for-sale securities,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5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2015,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52" w:lineRule="exact"/>
        <w:rPr>
          <w:sz w:val="20"/>
          <w:szCs w:val="20"/>
          <w:color w:val="auto"/>
        </w:rPr>
      </w:pPr>
    </w:p>
    <w:p>
      <w:pPr>
        <w:jc w:val="both"/>
        <w:ind w:right="300" w:firstLine="486"/>
        <w:spacing w:after="0" w:line="271"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II. OTHER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49"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2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180" w:lineRule="exact"/>
        <w:rPr>
          <w:sz w:val="20"/>
          <w:szCs w:val="20"/>
          <w:color w:val="auto"/>
        </w:rPr>
      </w:pPr>
    </w:p>
    <w:p>
      <w:pPr>
        <w:jc w:val="both"/>
        <w:ind w:right="140" w:firstLine="405"/>
        <w:spacing w:after="0" w:line="271"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63"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29" w:lineRule="exact"/>
        <w:rPr>
          <w:sz w:val="20"/>
          <w:szCs w:val="20"/>
          <w:color w:val="auto"/>
        </w:rPr>
      </w:pPr>
    </w:p>
    <w:p>
      <w:pPr>
        <w:ind w:right="120" w:firstLine="405"/>
        <w:spacing w:after="0" w:line="29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3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marketing expenses associated with our existing and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580" w:hanging="328"/>
        <w:spacing w:after="0" w:line="29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3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7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5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1" w:right="27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 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170"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70"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29"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79"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29"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231F20"/>
        </w:rPr>
        <w:t>We and our service providers could be a target of cyber 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231F20"/>
        </w:rPr>
        <w:t>inadvertent breaches by our employees or service providers. Because our operations involve providing IT security solutions to our customers, we may be targeted for cyber 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32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While we have experienced significant revenue growth in recent years and although we have had net income for each of the three years ended December 31, 2014, 2013, and 2012, we have not been consistently profitable. We have had net losses in at least one quarter in each of the last several years, including a net loss of $0.4 million for the three months ended March 31, 2014. 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In addition, we will continue to incur increased personnel and professional services expenses in connection with compliance with Section 404 of the Sarbanes-Oxley Act. As a result of these increased expenditures, we will have to generate and sustain increased revenues to achieve future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25" w:lineRule="exact"/>
        <w:rPr>
          <w:sz w:val="20"/>
          <w:szCs w:val="20"/>
          <w:color w:val="auto"/>
        </w:rPr>
      </w:pPr>
    </w:p>
    <w:p>
      <w:pPr>
        <w:ind w:right="60" w:firstLine="405"/>
        <w:spacing w:after="0" w:line="258"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178"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82"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29" w:lineRule="exact"/>
        <w:rPr>
          <w:sz w:val="20"/>
          <w:szCs w:val="20"/>
          <w:color w:val="auto"/>
        </w:rPr>
      </w:pPr>
    </w:p>
    <w:p>
      <w:pPr>
        <w:ind w:firstLine="405"/>
        <w:spacing w:after="0" w:line="292"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231F20"/>
        </w:rPr>
        <w:t>obtaining subscription renewals to our solutions from those customers. If we fail to attract new customers our revenues may grow more slowly than expected and our business may be harmed.</w:t>
      </w:r>
    </w:p>
    <w:p>
      <w:pPr>
        <w:spacing w:after="0" w:line="145" w:lineRule="exact"/>
        <w:rPr>
          <w:sz w:val="20"/>
          <w:szCs w:val="20"/>
          <w:color w:val="auto"/>
        </w:rPr>
      </w:pPr>
    </w:p>
    <w:p>
      <w:pPr>
        <w:ind w:right="720"/>
        <w:spacing w:after="0" w:line="301"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2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derived 79% and 83% of our revenues from subscriptions to our core QualysGuard Vulnerability Management solution for the three months ended March 31, 2015 and 2014,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 Service, and Qualys SECURE Seal,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7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50" w:lineRule="exact"/>
        <w:rPr>
          <w:sz w:val="20"/>
          <w:szCs w:val="20"/>
          <w:color w:val="auto"/>
        </w:rPr>
      </w:pPr>
    </w:p>
    <w:p>
      <w:pPr>
        <w:ind w:right="100" w:firstLine="405"/>
        <w:spacing w:after="0" w:line="260" w:lineRule="auto"/>
        <w:rPr>
          <w:sz w:val="20"/>
          <w:szCs w:val="20"/>
          <w:color w:val="auto"/>
        </w:rPr>
      </w:pPr>
      <w:r>
        <w:rPr>
          <w:rFonts w:ascii="Arial" w:cs="Arial" w:eastAsia="Arial" w:hAnsi="Arial"/>
          <w:sz w:val="18"/>
          <w:szCs w:val="18"/>
          <w:color w:val="231F20"/>
        </w:rPr>
        <w:t>We currently host substantially all of our solutions from four third-party data centers, located in the United States and Switzerland.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75" w:lineRule="exact"/>
        <w:rPr>
          <w:sz w:val="20"/>
          <w:szCs w:val="20"/>
          <w:color w:val="auto"/>
        </w:rPr>
      </w:pPr>
    </w:p>
    <w:p>
      <w:pPr>
        <w:ind w:right="40" w:firstLine="405"/>
        <w:spacing w:after="0" w:line="260"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and expect to add additional data centers throughout 2015. However, these additional facilities may not be operational in the anticipated time-frame and we may incur unplanned expenses.</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170" w:lineRule="exact"/>
        <w:rPr>
          <w:sz w:val="20"/>
          <w:szCs w:val="20"/>
          <w:color w:val="auto"/>
        </w:rPr>
      </w:pPr>
    </w:p>
    <w:p>
      <w:pPr>
        <w:ind w:right="860" w:firstLine="405"/>
        <w:spacing w:after="0" w:line="292"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980"/>
        <w:spacing w:after="0" w:line="292" w:lineRule="auto"/>
        <w:rPr>
          <w:sz w:val="20"/>
          <w:szCs w:val="20"/>
          <w:color w:val="auto"/>
        </w:rPr>
      </w:pPr>
      <w:r>
        <w:rPr>
          <w:rFonts w:ascii="Arial" w:cs="Arial" w:eastAsia="Arial" w:hAnsi="Arial"/>
          <w:sz w:val="18"/>
          <w:szCs w:val="18"/>
          <w:color w:val="231F20"/>
        </w:rPr>
        <w:t>to issue credits to customers, subject us to potential liability and cause customers to terminate their subscriptions or not renew their subscriptions.</w:t>
      </w:r>
    </w:p>
    <w:p>
      <w:pPr>
        <w:spacing w:after="0" w:line="145"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29" w:lineRule="exact"/>
        <w:rPr>
          <w:sz w:val="20"/>
          <w:szCs w:val="20"/>
          <w:color w:val="auto"/>
        </w:rPr>
      </w:pPr>
    </w:p>
    <w:p>
      <w:pPr>
        <w:ind w:right="400" w:firstLine="405"/>
        <w:spacing w:after="0" w:line="260"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75"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29"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78"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78"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2" w:lineRule="exact"/>
        <w:rPr>
          <w:sz w:val="20"/>
          <w:szCs w:val="20"/>
          <w:color w:val="auto"/>
        </w:rPr>
      </w:pPr>
    </w:p>
    <w:p>
      <w:pPr>
        <w:ind w:right="400" w:firstLine="405"/>
        <w:spacing w:after="0" w:line="271"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163" w:lineRule="exact"/>
        <w:rPr>
          <w:sz w:val="20"/>
          <w:szCs w:val="20"/>
          <w:color w:val="auto"/>
        </w:rPr>
      </w:pPr>
    </w:p>
    <w:p>
      <w:pPr>
        <w:ind w:right="840" w:firstLine="405"/>
        <w:spacing w:after="0" w:line="29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29" w:lineRule="exact"/>
        <w:rPr>
          <w:sz w:val="20"/>
          <w:szCs w:val="20"/>
          <w:color w:val="auto"/>
        </w:rPr>
      </w:pPr>
    </w:p>
    <w:p>
      <w:pPr>
        <w:ind w:right="140" w:firstLine="405"/>
        <w:spacing w:after="0" w:line="260"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2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78"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17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20" w:firstLine="405"/>
        <w:spacing w:after="0" w:line="271"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63"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5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6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4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55" w:lineRule="exact"/>
        <w:rPr>
          <w:rFonts w:ascii="Arial" w:cs="Arial" w:eastAsia="Arial" w:hAnsi="Arial"/>
          <w:sz w:val="18"/>
          <w:szCs w:val="18"/>
          <w:color w:val="auto"/>
        </w:rPr>
      </w:pPr>
    </w:p>
    <w:p>
      <w:pPr>
        <w:ind w:left="660" w:right="220" w:hanging="328"/>
        <w:spacing w:after="0" w:line="29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8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231F20"/>
        </w:rPr>
        <w:t>In addition, approximately 41% of our employees are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8"/>
          <w:szCs w:val="18"/>
          <w:color w:val="231F20"/>
        </w:rPr>
        <w:t>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391"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29"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67"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2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231F20"/>
        </w:rPr>
        <w:t>We compete with large public companies, such as Barracuda Networks, Inc., Hewlett-Packard Company, Imperva, Inc., International Business Machines Corporation, McAfee, Inc. (a subsidiary of Intel Corporation), and Symantec Corporation, as well as privately held security providers including BeyondTrust Software,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77" w:lineRule="exact"/>
        <w:rPr>
          <w:sz w:val="20"/>
          <w:szCs w:val="20"/>
          <w:color w:val="auto"/>
        </w:rPr>
      </w:pPr>
    </w:p>
    <w:p>
      <w:pPr>
        <w:jc w:val="both"/>
        <w:ind w:right="560" w:firstLine="405"/>
        <w:spacing w:after="0" w:line="271"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5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420" w:firstLine="405"/>
        <w:spacing w:after="0" w:line="271"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63" w:lineRule="exact"/>
        <w:rPr>
          <w:sz w:val="20"/>
          <w:szCs w:val="20"/>
          <w:color w:val="auto"/>
        </w:rPr>
      </w:pPr>
    </w:p>
    <w:p>
      <w:pPr>
        <w:ind w:right="20" w:firstLine="405"/>
        <w:spacing w:after="0" w:line="258"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8"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3" w:lineRule="exact"/>
        <w:rPr>
          <w:sz w:val="20"/>
          <w:szCs w:val="20"/>
          <w:color w:val="auto"/>
        </w:rPr>
      </w:pPr>
    </w:p>
    <w:p>
      <w:pPr>
        <w:jc w:val="both"/>
        <w:ind w:right="380"/>
        <w:spacing w:after="0" w:line="258"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29"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2012</w:t>
      </w:r>
      <w:r>
        <w:rPr>
          <w:rFonts w:ascii="Arial" w:cs="Arial" w:eastAsia="Arial" w:hAnsi="Arial"/>
          <w:sz w:val="18"/>
          <w:szCs w:val="18"/>
          <w:color w:val="231F20"/>
        </w:rPr>
        <w:t xml:space="preserve"> to </w:t>
      </w:r>
      <w:r>
        <w:rPr>
          <w:rFonts w:ascii="Arial" w:cs="Arial" w:eastAsia="Arial" w:hAnsi="Arial"/>
          <w:sz w:val="18"/>
          <w:szCs w:val="18"/>
          <w:color w:val="000000"/>
        </w:rPr>
        <w:t>2014</w:t>
      </w:r>
      <w:r>
        <w:rPr>
          <w:rFonts w:ascii="Arial" w:cs="Arial" w:eastAsia="Arial" w:hAnsi="Arial"/>
          <w:sz w:val="18"/>
          <w:szCs w:val="18"/>
          <w:color w:val="231F20"/>
        </w:rPr>
        <w:t xml:space="preserve">, our revenues have grown from </w:t>
      </w:r>
      <w:r>
        <w:rPr>
          <w:rFonts w:ascii="Arial" w:cs="Arial" w:eastAsia="Arial" w:hAnsi="Arial"/>
          <w:sz w:val="18"/>
          <w:szCs w:val="18"/>
          <w:color w:val="000000"/>
        </w:rPr>
        <w:t>$ 91.4 million</w:t>
      </w:r>
      <w:r>
        <w:rPr>
          <w:rFonts w:ascii="Arial" w:cs="Arial" w:eastAsia="Arial" w:hAnsi="Arial"/>
          <w:sz w:val="18"/>
          <w:szCs w:val="18"/>
          <w:color w:val="231F20"/>
        </w:rPr>
        <w:t xml:space="preserve"> to </w:t>
      </w:r>
      <w:r>
        <w:rPr>
          <w:rFonts w:ascii="Arial" w:cs="Arial" w:eastAsia="Arial" w:hAnsi="Arial"/>
          <w:sz w:val="18"/>
          <w:szCs w:val="18"/>
          <w:color w:val="000000"/>
        </w:rPr>
        <w:t>$133.6</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and our headcount increased from 359 employees at the beginning of 2012 to 464 employees at March 31, 2015. We rely on</w:t>
      </w:r>
      <w:r>
        <w:rPr>
          <w:rFonts w:ascii="Arial" w:cs="Arial" w:eastAsia="Arial" w:hAnsi="Arial"/>
          <w:sz w:val="18"/>
          <w:szCs w:val="18"/>
          <w:color w:val="000000"/>
        </w:rPr>
        <w:t xml:space="preserve"> </w:t>
      </w:r>
      <w:r>
        <w:rPr>
          <w:rFonts w:ascii="Arial" w:cs="Arial" w:eastAsia="Arial" w:hAnsi="Arial"/>
          <w:sz w:val="18"/>
          <w:szCs w:val="18"/>
          <w:color w:val="231F20"/>
        </w:rPr>
        <w:t>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78" w:lineRule="exact"/>
        <w:rPr>
          <w:sz w:val="20"/>
          <w:szCs w:val="20"/>
          <w:color w:val="auto"/>
        </w:rPr>
      </w:pPr>
    </w:p>
    <w:p>
      <w:pPr>
        <w:ind w:right="100" w:firstLine="405"/>
        <w:spacing w:after="0" w:line="258"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29" w:lineRule="exact"/>
        <w:rPr>
          <w:sz w:val="20"/>
          <w:szCs w:val="20"/>
          <w:color w:val="auto"/>
        </w:rPr>
      </w:pPr>
    </w:p>
    <w:p>
      <w:pPr>
        <w:ind w:right="100" w:firstLine="405"/>
        <w:spacing w:after="0" w:line="260"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700"/>
        <w:spacing w:after="0" w:line="301"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markets where we do business.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77"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2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78"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2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Our success significantly depends upon establishing and maintaining relationships with a variety of channel partners and we anticipate that we will continue to depend on these partners in order to grow our business. For the three months ended March 31, 2015 and 2014, we derived approximately 35% and 38%, respectively,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77"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231F20"/>
        </w:rPr>
        <w:t>We rely on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1"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231F20"/>
        </w:rPr>
        <w:t>sales of our solutions and supporting our customers could be impaired until equivalent services, if available, are identified, obtained and integrated, all of which could harm our business.</w:t>
      </w:r>
    </w:p>
    <w:p>
      <w:pPr>
        <w:spacing w:after="0" w:line="145"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2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ind w:right="40"/>
        <w:spacing w:after="0" w:line="254"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79" w:lineRule="exact"/>
        <w:rPr>
          <w:sz w:val="20"/>
          <w:szCs w:val="20"/>
          <w:color w:val="auto"/>
        </w:rPr>
      </w:pPr>
    </w:p>
    <w:p>
      <w:pPr>
        <w:ind w:right="140" w:firstLine="405"/>
        <w:spacing w:after="0" w:line="271"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163"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2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7"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29" w:lineRule="exact"/>
        <w:rPr>
          <w:sz w:val="20"/>
          <w:szCs w:val="20"/>
          <w:color w:val="auto"/>
        </w:rPr>
      </w:pPr>
    </w:p>
    <w:p>
      <w:pPr>
        <w:ind w:right="80" w:firstLine="405"/>
        <w:spacing w:after="0" w:line="271"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231F20"/>
        </w:rPr>
        <w:t>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63" w:lineRule="exact"/>
        <w:rPr>
          <w:sz w:val="20"/>
          <w:szCs w:val="20"/>
          <w:color w:val="auto"/>
        </w:rPr>
      </w:pPr>
    </w:p>
    <w:p>
      <w:pPr>
        <w:ind w:firstLine="405"/>
        <w:spacing w:after="0" w:line="260"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391" w:lineRule="exact"/>
        <w:rPr>
          <w:sz w:val="20"/>
          <w:szCs w:val="20"/>
          <w:color w:val="auto"/>
        </w:rPr>
      </w:pPr>
    </w:p>
    <w:p>
      <w:pPr>
        <w:ind w:right="540"/>
        <w:spacing w:after="0" w:line="301"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three months ended March 31, 2015, we incurred approximately 20% of our expenses outside of the United States in foreign currencies, primarily Euros and British Pounds, principally with respect to salaries and related personnel expenses associated with our European operations. Additionally, for three months ended March 31, 2015, approximately 17%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and British Pound. The results of our operations may be adversely affected by foreign exchange fluctuations.</w:t>
      </w:r>
    </w:p>
    <w:p>
      <w:pPr>
        <w:spacing w:after="0" w:line="182"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70"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29" w:lineRule="exact"/>
        <w:rPr>
          <w:sz w:val="20"/>
          <w:szCs w:val="20"/>
          <w:color w:val="auto"/>
        </w:rPr>
      </w:pPr>
    </w:p>
    <w:p>
      <w:pPr>
        <w:jc w:val="both"/>
        <w:ind w:right="180" w:firstLine="405"/>
        <w:spacing w:after="0" w:line="271"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63"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78" w:lineRule="exact"/>
        <w:rPr>
          <w:sz w:val="20"/>
          <w:szCs w:val="20"/>
          <w:color w:val="auto"/>
        </w:rPr>
      </w:pPr>
    </w:p>
    <w:p>
      <w:pPr>
        <w:jc w:val="both"/>
        <w:ind w:right="600" w:firstLine="392"/>
        <w:spacing w:after="0" w:line="271" w:lineRule="auto"/>
        <w:rPr>
          <w:sz w:val="20"/>
          <w:szCs w:val="20"/>
          <w:color w:val="auto"/>
        </w:rPr>
      </w:pPr>
      <w:r>
        <w:rPr>
          <w:rFonts w:ascii="Arial" w:cs="Arial" w:eastAsia="Arial" w:hAnsi="Arial"/>
          <w:sz w:val="18"/>
          <w:szCs w:val="18"/>
          <w:color w:val="231F20"/>
        </w:rPr>
        <w:t>We have four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231F20"/>
        </w:rPr>
        <w:t>desirable patent applications at a reasonable cost or in a timely manner, if at all. We may choose not to seek patent protection for certain innovations and may choose not to pursue patent protection in certain jurisdictions.</w:t>
      </w:r>
    </w:p>
    <w:p>
      <w:pPr>
        <w:spacing w:after="0" w:line="145" w:lineRule="exact"/>
        <w:rPr>
          <w:sz w:val="20"/>
          <w:szCs w:val="20"/>
          <w:color w:val="auto"/>
        </w:rPr>
      </w:pPr>
    </w:p>
    <w:p>
      <w:pPr>
        <w:ind w:right="60" w:firstLine="392"/>
        <w:spacing w:after="0" w:line="260"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75"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3"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67"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2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78"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2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36" w:lineRule="exact"/>
        <w:rPr>
          <w:rFonts w:ascii="Arial" w:cs="Arial" w:eastAsia="Arial" w:hAnsi="Arial"/>
          <w:sz w:val="18"/>
          <w:szCs w:val="18"/>
          <w:color w:val="auto"/>
        </w:rPr>
      </w:pPr>
    </w:p>
    <w:p>
      <w:pPr>
        <w:ind w:left="660" w:right="4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1" w:right="27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29"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w:t>
      </w:r>
      <w:r>
        <w:rPr>
          <w:rFonts w:ascii="Arial" w:cs="Arial" w:eastAsia="Arial" w:hAnsi="Arial"/>
          <w:sz w:val="18"/>
          <w:szCs w:val="18"/>
          <w:color w:val="000000"/>
        </w:rPr>
        <w:t>$0.5 million</w:t>
      </w:r>
      <w:r>
        <w:rPr>
          <w:rFonts w:ascii="Arial" w:cs="Arial" w:eastAsia="Arial" w:hAnsi="Arial"/>
          <w:sz w:val="18"/>
          <w:szCs w:val="18"/>
          <w:color w:val="231F20"/>
        </w:rPr>
        <w:t xml:space="preserve"> on our condensed consolidated balance sheet as of </w:t>
      </w:r>
      <w:r>
        <w:rPr>
          <w:rFonts w:ascii="Arial" w:cs="Arial" w:eastAsia="Arial" w:hAnsi="Arial"/>
          <w:sz w:val="18"/>
          <w:szCs w:val="18"/>
          <w:color w:val="000000"/>
        </w:rPr>
        <w:t>March 31, 2015</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w:t>
      </w:r>
    </w:p>
    <w:p>
      <w:pPr>
        <w:spacing w:after="0" w:line="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231F20"/>
        </w:rPr>
        <w:t>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2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25" w:lineRule="exact"/>
        <w:rPr>
          <w:sz w:val="20"/>
          <w:szCs w:val="20"/>
          <w:color w:val="auto"/>
        </w:rPr>
      </w:pPr>
    </w:p>
    <w:p>
      <w:pPr>
        <w:ind w:right="20" w:firstLine="405"/>
        <w:spacing w:after="0" w:line="260"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175" w:lineRule="exact"/>
        <w:rPr>
          <w:sz w:val="20"/>
          <w:szCs w:val="20"/>
          <w:color w:val="auto"/>
        </w:rPr>
      </w:pPr>
    </w:p>
    <w:p>
      <w:pPr>
        <w:ind w:right="160" w:firstLine="405"/>
        <w:spacing w:after="0" w:line="260"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75"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29" w:lineRule="exact"/>
        <w:rPr>
          <w:sz w:val="20"/>
          <w:szCs w:val="20"/>
          <w:color w:val="auto"/>
        </w:rPr>
      </w:pPr>
    </w:p>
    <w:p>
      <w:pPr>
        <w:ind w:right="60" w:firstLine="405"/>
        <w:spacing w:after="0" w:line="271"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231F20"/>
        </w:rPr>
        <w:t>accessing the Internet or on commerce conducted via the Internet. These laws or charges could limit the viability of Internet-based solutions such as ours and reduce the demand for our solutions.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25"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79" w:lineRule="exact"/>
        <w:rPr>
          <w:sz w:val="20"/>
          <w:szCs w:val="20"/>
          <w:color w:val="auto"/>
        </w:rPr>
      </w:pPr>
    </w:p>
    <w:p>
      <w:pPr>
        <w:ind w:right="660"/>
        <w:spacing w:after="0" w:line="301"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2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2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such acquisitions may still be viewed negatively by customers, financial markets or investors. </w:t>
      </w:r>
      <w:r>
        <w:rPr>
          <w:rFonts w:ascii="Arial" w:cs="Arial" w:eastAsia="Arial" w:hAnsi="Arial"/>
          <w:sz w:val="18"/>
          <w:szCs w:val="18"/>
          <w:color w:val="231F20"/>
        </w:rPr>
        <w:t>The acquisition and integration</w:t>
      </w:r>
      <w:r>
        <w:rPr>
          <w:rFonts w:ascii="Arial" w:cs="Arial" w:eastAsia="Arial" w:hAnsi="Arial"/>
          <w:sz w:val="18"/>
          <w:szCs w:val="18"/>
          <w:color w:val="000000"/>
        </w:rPr>
        <w:t xml:space="preserve"> </w:t>
      </w:r>
      <w:r>
        <w:rPr>
          <w:rFonts w:ascii="Arial" w:cs="Arial" w:eastAsia="Arial" w:hAnsi="Arial"/>
          <w:sz w:val="18"/>
          <w:szCs w:val="18"/>
          <w:color w:val="231F20"/>
        </w:rPr>
        <w:t xml:space="preserve">process is complex, 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w:t>
      </w:r>
      <w:r>
        <w:rPr>
          <w:rFonts w:ascii="Arial" w:cs="Arial" w:eastAsia="Arial" w:hAnsi="Arial"/>
          <w:sz w:val="18"/>
          <w:szCs w:val="18"/>
          <w:color w:val="231F20"/>
        </w:rPr>
        <w:t xml:space="preserve"> </w:t>
      </w:r>
      <w:r>
        <w:rPr>
          <w:rFonts w:ascii="Arial" w:cs="Arial" w:eastAsia="Arial" w:hAnsi="Arial"/>
          <w:sz w:val="18"/>
          <w:szCs w:val="18"/>
          <w:color w:val="000000"/>
        </w:rPr>
        <w:t>may issue equity securities which</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 xml:space="preserve">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 candidates, and acquisitions</w:t>
      </w:r>
      <w:r>
        <w:rPr>
          <w:rFonts w:ascii="Arial" w:cs="Arial" w:eastAsia="Arial" w:hAnsi="Arial"/>
          <w:sz w:val="18"/>
          <w:szCs w:val="18"/>
          <w:color w:val="auto"/>
        </w:rPr>
        <w:t xml:space="preserve"> </w:t>
      </w:r>
      <w:r>
        <w:rPr>
          <w:rFonts w:ascii="Arial" w:cs="Arial" w:eastAsia="Arial" w:hAnsi="Arial"/>
          <w:sz w:val="18"/>
          <w:szCs w:val="18"/>
          <w:color w:val="231F20"/>
        </w:rPr>
        <w:t>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75"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29"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common stock valuations and fair value measurement.</w:t>
      </w:r>
    </w:p>
    <w:p>
      <w:pPr>
        <w:spacing w:after="0" w:line="167"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29"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78" w:lineRule="exact"/>
        <w:rPr>
          <w:sz w:val="20"/>
          <w:szCs w:val="20"/>
          <w:color w:val="auto"/>
        </w:rPr>
      </w:pPr>
    </w:p>
    <w:p>
      <w:pPr>
        <w:jc w:val="both"/>
        <w:ind w:right="220"/>
        <w:spacing w:after="0" w:line="276"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5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77"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1"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231F20"/>
        </w:rPr>
        <w:t>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70" w:lineRule="exact"/>
        <w:rPr>
          <w:sz w:val="20"/>
          <w:szCs w:val="20"/>
          <w:color w:val="auto"/>
        </w:rPr>
      </w:pPr>
    </w:p>
    <w:p>
      <w:pPr>
        <w:ind w:right="760"/>
        <w:spacing w:after="0" w:line="301"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29" w:lineRule="exact"/>
        <w:rPr>
          <w:sz w:val="20"/>
          <w:szCs w:val="20"/>
          <w:color w:val="auto"/>
        </w:rPr>
      </w:pPr>
    </w:p>
    <w:p>
      <w:pPr>
        <w:ind w:right="100" w:firstLine="405"/>
        <w:spacing w:after="0" w:line="260"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$56.7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Increases in our effective tax rate could harm our operating results.</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3" w:lineRule="exact"/>
        <w:rPr>
          <w:sz w:val="20"/>
          <w:szCs w:val="20"/>
          <w:color w:val="auto"/>
        </w:rPr>
      </w:pPr>
    </w:p>
    <w:p>
      <w:pPr>
        <w:ind w:right="660"/>
        <w:spacing w:after="0" w:line="301"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2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231F20"/>
        </w:rPr>
        <w:t xml:space="preserve">Our </w:t>
      </w:r>
      <w:r>
        <w:rPr>
          <w:rFonts w:ascii="Arial" w:cs="Arial" w:eastAsia="Arial" w:hAnsi="Arial"/>
          <w:sz w:val="17"/>
          <w:szCs w:val="17"/>
          <w:color w:val="000000"/>
        </w:rPr>
        <w:t>internal control over financial reporting is a process designed to provide reasonable assurance regarding the reliability of financial</w:t>
      </w:r>
      <w:r>
        <w:rPr>
          <w:rFonts w:ascii="Arial" w:cs="Arial" w:eastAsia="Arial" w:hAnsi="Arial"/>
          <w:sz w:val="17"/>
          <w:szCs w:val="17"/>
          <w:color w:val="231F20"/>
        </w:rPr>
        <w:t xml:space="preserve"> </w:t>
      </w:r>
      <w:r>
        <w:rPr>
          <w:rFonts w:ascii="Arial" w:cs="Arial" w:eastAsia="Arial" w:hAnsi="Arial"/>
          <w:sz w:val="17"/>
          <w:szCs w:val="17"/>
          <w:color w:val="000000"/>
        </w:rPr>
        <w:t xml:space="preserve">reporting and the preparation of financial statements in accordance with GAAP. Our </w:t>
      </w:r>
      <w:r>
        <w:rPr>
          <w:rFonts w:ascii="Arial" w:cs="Arial" w:eastAsia="Arial" w:hAnsi="Arial"/>
          <w:sz w:val="17"/>
          <w:szCs w:val="17"/>
          <w:color w:val="231F20"/>
        </w:rPr>
        <w:t>current controls and any new controls that we develop may</w:t>
      </w:r>
      <w:r>
        <w:rPr>
          <w:rFonts w:ascii="Arial" w:cs="Arial" w:eastAsia="Arial" w:hAnsi="Arial"/>
          <w:sz w:val="17"/>
          <w:szCs w:val="17"/>
          <w:color w:val="000000"/>
        </w:rPr>
        <w:t xml:space="preserve"> </w:t>
      </w:r>
      <w:r>
        <w:rPr>
          <w:rFonts w:ascii="Arial" w:cs="Arial" w:eastAsia="Arial" w:hAnsi="Arial"/>
          <w:sz w:val="17"/>
          <w:szCs w:val="17"/>
          <w:color w:val="231F20"/>
        </w:rPr>
        <w:t>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In the event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167" w:lineRule="exact"/>
        <w:rPr>
          <w:sz w:val="20"/>
          <w:szCs w:val="20"/>
          <w:color w:val="auto"/>
        </w:rPr>
      </w:pPr>
    </w:p>
    <w:p>
      <w:pPr>
        <w:ind w:right="560" w:firstLine="405"/>
        <w:spacing w:after="0" w:line="292"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and provide an annual management report on the effectiveness of our internal control over financial reporting. Our independent registered public accounting firm is not required to formally attest to the effectiveness of our internal control over financial reporting until the first annual report required to be filed with the SEC following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We will cease to be an “emerging growth company” upon the earliest of (i) the first fiscal year following the fifth anniversary of September 28, 2012, the date of our initial public offering, (ii) the first fiscal year after our annual gross revenues are $1 billion or more, (iii) the date on which we have, during the previous three-year period, issued more than $1 billion in non-convertible debt securities, or (iv) the date on which we are deemed to be a “large accelerated filer” as defined in the Exchange Act.</w:t>
      </w:r>
    </w:p>
    <w:p>
      <w:pPr>
        <w:spacing w:after="0" w:line="182"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which could adversely affect our business and operating results.</w:t>
      </w:r>
    </w:p>
    <w:p>
      <w:pPr>
        <w:spacing w:after="0" w:line="15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182" w:lineRule="exact"/>
        <w:rPr>
          <w:sz w:val="20"/>
          <w:szCs w:val="20"/>
          <w:color w:val="auto"/>
        </w:rPr>
      </w:pPr>
    </w:p>
    <w:p>
      <w:pPr>
        <w:ind w:right="60" w:firstLine="405"/>
        <w:spacing w:after="0" w:line="292" w:lineRule="auto"/>
        <w:rPr>
          <w:sz w:val="20"/>
          <w:szCs w:val="20"/>
          <w:color w:val="auto"/>
        </w:rPr>
      </w:pPr>
      <w:r>
        <w:rPr>
          <w:rFonts w:ascii="Arial" w:cs="Arial" w:eastAsia="Arial" w:hAnsi="Arial"/>
          <w:sz w:val="18"/>
          <w:szCs w:val="18"/>
          <w:color w:val="231F20"/>
        </w:rPr>
        <w:t>After we are no longer an “emerging growth company,” we expect to incur increasing expenses and devote substantial management effort toward ensuring compliance with the requirements of Section 404(b) of the Sarbanes-Oxley Act, when applicable to us.</w:t>
      </w:r>
    </w:p>
    <w:p>
      <w:pPr>
        <w:spacing w:after="0" w:line="145" w:lineRule="exact"/>
        <w:rPr>
          <w:sz w:val="20"/>
          <w:szCs w:val="20"/>
          <w:color w:val="auto"/>
        </w:rPr>
      </w:pPr>
    </w:p>
    <w:p>
      <w:pPr>
        <w:ind w:firstLine="405"/>
        <w:spacing w:after="0" w:line="260"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175"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i w:val="1"/>
          <w:iCs w:val="1"/>
          <w:color w:val="231F20"/>
        </w:rPr>
        <w:t>We are an “emerging growth company” and we cannot be certain if the reduced disclosure requirements applicable to emerging growth companies makes our common stock less attractive to investors.</w:t>
      </w:r>
    </w:p>
    <w:p>
      <w:pPr>
        <w:spacing w:after="0" w:line="129"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We are an “emerging growth company,” as defined in the JOBS Act, and, for so long as we remain an "emerging growth company,"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25" w:lineRule="exact"/>
        <w:rPr>
          <w:sz w:val="20"/>
          <w:szCs w:val="20"/>
          <w:color w:val="auto"/>
        </w:rPr>
      </w:pPr>
    </w:p>
    <w:p>
      <w:pPr>
        <w:ind w:right="280" w:firstLine="405"/>
        <w:spacing w:after="0" w:line="29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7" w:lineRule="exact"/>
        <w:rPr>
          <w:sz w:val="20"/>
          <w:szCs w:val="20"/>
          <w:color w:val="auto"/>
        </w:rPr>
      </w:pPr>
    </w:p>
    <w:p>
      <w:pPr>
        <w:ind w:left="660" w:right="72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8"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320"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7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7" w:lineRule="exact"/>
        <w:rPr>
          <w:sz w:val="20"/>
          <w:szCs w:val="20"/>
          <w:color w:val="auto"/>
        </w:rPr>
      </w:pPr>
    </w:p>
    <w:p>
      <w:pPr>
        <w:ind w:right="680" w:firstLine="405"/>
        <w:spacing w:after="0" w:line="271"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231F20"/>
        </w:rPr>
        <w:t>may vary from our guidance and the variations may be material. In light of the foregoing, investors are urged not to rely upon our guidance in making an investment decision regarding our common stock.</w:t>
      </w:r>
    </w:p>
    <w:p>
      <w:pPr>
        <w:spacing w:after="0" w:line="145" w:lineRule="exact"/>
        <w:rPr>
          <w:sz w:val="20"/>
          <w:szCs w:val="20"/>
          <w:color w:val="auto"/>
        </w:rPr>
      </w:pPr>
    </w:p>
    <w:p>
      <w:pPr>
        <w:ind w:right="80" w:firstLine="405"/>
        <w:spacing w:after="0" w:line="271"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25" w:lineRule="exact"/>
        <w:rPr>
          <w:sz w:val="20"/>
          <w:szCs w:val="20"/>
          <w:color w:val="auto"/>
        </w:rPr>
      </w:pPr>
    </w:p>
    <w:p>
      <w:pPr>
        <w:ind w:right="140" w:firstLine="405"/>
        <w:spacing w:after="0" w:line="294"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146"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As of March 31, 2015, our executive officers, directors and holders of 10% or more of our outstanding common stock beneficially own, in the aggregate, approximately 33%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25"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March 31, 2015, we had approximately 33.9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17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231F20"/>
        </w:rPr>
        <w:t>In addition, as of March 31, 2015, we had outstanding options to purchase approximately 7.4 million shares of common stock options that, if exercised, will result in these additional shares becoming available for sale. As of March 31, 2015, we had an aggregate of 2.4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70"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29" w:lineRule="exact"/>
        <w:rPr>
          <w:sz w:val="20"/>
          <w:szCs w:val="20"/>
          <w:color w:val="auto"/>
        </w:rPr>
      </w:pPr>
    </w:p>
    <w:p>
      <w:pPr>
        <w:ind w:right="80" w:firstLine="405"/>
        <w:spacing w:after="0" w:line="260"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6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9" w:lineRule="exact"/>
        <w:rPr>
          <w:sz w:val="20"/>
          <w:szCs w:val="20"/>
          <w:color w:val="auto"/>
        </w:rPr>
      </w:pPr>
    </w:p>
    <w:p>
      <w:pPr>
        <w:ind w:right="100" w:firstLine="405"/>
        <w:spacing w:after="0" w:line="29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37" w:lineRule="exact"/>
        <w:rPr>
          <w:sz w:val="20"/>
          <w:szCs w:val="20"/>
          <w:color w:val="auto"/>
        </w:rPr>
      </w:pPr>
    </w:p>
    <w:p>
      <w:pPr>
        <w:ind w:left="660" w:right="60" w:hanging="328"/>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5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29" w:lineRule="exact"/>
        <w:rPr>
          <w:sz w:val="20"/>
          <w:szCs w:val="20"/>
          <w:color w:val="auto"/>
        </w:rPr>
      </w:pPr>
    </w:p>
    <w:p>
      <w:pPr>
        <w:ind w:right="5560"/>
        <w:spacing w:after="0" w:line="388" w:lineRule="auto"/>
        <w:rPr>
          <w:sz w:val="20"/>
          <w:szCs w:val="20"/>
          <w:color w:val="auto"/>
        </w:rPr>
      </w:pPr>
      <w:r>
        <w:rPr>
          <w:rFonts w:ascii="Arial" w:cs="Arial" w:eastAsia="Arial" w:hAnsi="Arial"/>
          <w:sz w:val="18"/>
          <w:szCs w:val="18"/>
          <w:b w:val="1"/>
          <w:bCs w:val="1"/>
          <w:color w:val="231F20"/>
        </w:rPr>
        <w:t xml:space="preserve">Item 2. Unregistered Sales of Equity Securities and Use of Proceeds </w:t>
      </w:r>
      <w:r>
        <w:rPr>
          <w:rFonts w:ascii="Arial" w:cs="Arial" w:eastAsia="Arial" w:hAnsi="Arial"/>
          <w:sz w:val="18"/>
          <w:szCs w:val="18"/>
          <w:color w:val="231F20"/>
        </w:rPr>
        <w:t>None.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295" w:lineRule="exact"/>
        <w:rPr>
          <w:sz w:val="20"/>
          <w:szCs w:val="20"/>
          <w:color w:val="auto"/>
        </w:rPr>
      </w:pPr>
    </w:p>
    <w:p>
      <w:pPr>
        <w:ind w:right="240" w:firstLine="486"/>
        <w:spacing w:after="0" w:line="29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68" w:lineRule="exact"/>
        <w:rPr>
          <w:sz w:val="20"/>
          <w:szCs w:val="20"/>
          <w:color w:val="auto"/>
        </w:rPr>
      </w:pPr>
    </w:p>
    <w:p>
      <w:pPr>
        <w:ind w:left="80" w:firstLine="432"/>
        <w:spacing w:after="0" w:line="29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May 7, 2015.</w:t>
      </w:r>
    </w:p>
    <w:p>
      <w:pPr>
        <w:spacing w:after="0" w:line="89"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27305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5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spacing w:after="0" w:line="18"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Executive Officer</w:t>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7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27305</wp:posOffset>
            </wp:positionV>
            <wp:extent cx="23583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Donald C. McCauley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1" w:right="2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1880" w:type="dxa"/>
            <w:vAlign w:val="bottom"/>
            <w:gridSpan w:val="4"/>
          </w:tcPr>
          <w:p>
            <w:pPr>
              <w:jc w:val="center"/>
              <w:ind w:right="620"/>
              <w:spacing w:after="0"/>
              <w:rPr>
                <w:rFonts w:ascii="Arial" w:cs="Arial" w:eastAsia="Arial" w:hAnsi="Arial"/>
                <w:sz w:val="16"/>
                <w:szCs w:val="16"/>
                <w:color w:val="0000EE"/>
                <w:w w:val="99"/>
              </w:rPr>
            </w:pPr>
            <w:hyperlink w:anchor="page1">
              <w:r>
                <w:rPr>
                  <w:rFonts w:ascii="Arial" w:cs="Arial" w:eastAsia="Arial" w:hAnsi="Arial"/>
                  <w:sz w:val="16"/>
                  <w:szCs w:val="16"/>
                  <w:color w:val="0000EE"/>
                  <w:w w:val="99"/>
                </w:rPr>
                <w:t>Table of Contents</w:t>
              </w:r>
            </w:hyperlink>
          </w:p>
        </w:tc>
        <w:tc>
          <w:tcPr>
            <w:tcW w:w="8460" w:type="dxa"/>
            <w:vAlign w:val="bottom"/>
          </w:tcPr>
          <w:p>
            <w:pPr>
              <w:spacing w:after="0"/>
              <w:rPr>
                <w:sz w:val="16"/>
                <w:szCs w:val="16"/>
                <w:color w:val="auto"/>
              </w:rPr>
            </w:pPr>
          </w:p>
        </w:tc>
      </w:tr>
      <w:tr>
        <w:trPr>
          <w:trHeight w:val="478"/>
        </w:trPr>
        <w:tc>
          <w:tcPr>
            <w:tcW w:w="3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42"/>
        </w:trPr>
        <w:tc>
          <w:tcPr>
            <w:tcW w:w="1880" w:type="dxa"/>
            <w:vAlign w:val="bottom"/>
            <w:gridSpan w:val="4"/>
          </w:tcPr>
          <w:p>
            <w:pPr>
              <w:ind w:left="280"/>
              <w:spacing w:after="0"/>
              <w:rPr>
                <w:sz w:val="20"/>
                <w:szCs w:val="20"/>
                <w:color w:val="auto"/>
              </w:rPr>
            </w:pPr>
            <w:r>
              <w:rPr>
                <w:rFonts w:ascii="Arial" w:cs="Arial" w:eastAsia="Arial" w:hAnsi="Arial"/>
                <w:sz w:val="18"/>
                <w:szCs w:val="18"/>
                <w:color w:val="auto"/>
              </w:rPr>
              <w:t>Exhibit Number</w:t>
            </w:r>
          </w:p>
        </w:tc>
        <w:tc>
          <w:tcPr>
            <w:tcW w:w="84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408"/>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w:t>
            </w:r>
          </w:p>
        </w:tc>
      </w:tr>
      <w:tr>
        <w:trPr>
          <w:trHeight w:val="243"/>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19"/>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w:t>
            </w:r>
          </w:p>
        </w:tc>
      </w:tr>
      <w:tr>
        <w:trPr>
          <w:trHeight w:val="243"/>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19"/>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231F20"/>
              </w:rPr>
              <w:t>Exchange Act of 1934 and 18 U.S.C. Section 1350 as adopted pursuant to Section 906 of The</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Sarbanes-Oxley Act of 2002.</w:t>
            </w:r>
          </w:p>
        </w:tc>
      </w:tr>
      <w:tr>
        <w:trPr>
          <w:trHeight w:val="459"/>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auto"/>
              </w:rPr>
              <w:t>Exchange Act of 1934 and 18 U.S.C. Section 1350 as adopted pursuant to Section 906 of The</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1020"/>
              <w:spacing w:after="0"/>
              <w:rPr>
                <w:sz w:val="20"/>
                <w:szCs w:val="20"/>
                <w:color w:val="auto"/>
              </w:rPr>
            </w:pPr>
            <w:r>
              <w:rPr>
                <w:rFonts w:ascii="Arial" w:cs="Arial" w:eastAsia="Arial" w:hAnsi="Arial"/>
                <w:sz w:val="18"/>
                <w:szCs w:val="18"/>
                <w:color w:val="auto"/>
              </w:rPr>
              <w:t>INS^^</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Instance Document</w:t>
            </w:r>
          </w:p>
        </w:tc>
      </w:tr>
      <w:tr>
        <w:trPr>
          <w:trHeight w:val="500"/>
        </w:trPr>
        <w:tc>
          <w:tcPr>
            <w:tcW w:w="1880" w:type="dxa"/>
            <w:vAlign w:val="bottom"/>
            <w:gridSpan w:val="4"/>
          </w:tcPr>
          <w:p>
            <w:pPr>
              <w:ind w:left="40"/>
              <w:spacing w:after="0"/>
              <w:rPr>
                <w:sz w:val="20"/>
                <w:szCs w:val="20"/>
                <w:color w:val="auto"/>
              </w:rPr>
            </w:pPr>
            <w:r>
              <w:rPr>
                <w:rFonts w:ascii="Arial" w:cs="Arial" w:eastAsia="Arial" w:hAnsi="Arial"/>
                <w:sz w:val="18"/>
                <w:szCs w:val="18"/>
                <w:color w:val="auto"/>
              </w:rPr>
              <w:t>101 SCH^^</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CAL^^</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DEF^^</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LAB^^</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PRE^^</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59" w:lineRule="exact"/>
        <w:rPr>
          <w:sz w:val="20"/>
          <w:szCs w:val="20"/>
          <w:color w:val="auto"/>
        </w:rPr>
      </w:pPr>
    </w:p>
    <w:p>
      <w:pPr>
        <w:ind w:left="500" w:right="120" w:hanging="492"/>
        <w:spacing w:after="0" w:line="258" w:lineRule="auto"/>
        <w:tabs>
          <w:tab w:leader="none" w:pos="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 w:lineRule="exact"/>
        <w:rPr>
          <w:sz w:val="20"/>
          <w:szCs w:val="20"/>
          <w:color w:val="auto"/>
        </w:rPr>
      </w:pPr>
    </w:p>
    <w:p>
      <w:pPr>
        <w:ind w:left="500" w:hanging="492"/>
        <w:spacing w:after="0" w:line="316" w:lineRule="auto"/>
        <w:tabs>
          <w:tab w:leader="none" w:pos="50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18"/>
          <w:szCs w:val="18"/>
          <w:color w:val="231F20"/>
        </w:rPr>
        <w:t>Pursuant to Rule 406T of Regulation S-T, the Interactive Data Files on Exhibit 101 hereto are deemed not “filed” for purposes of Sections 11 or 12 of the Securities Act are deemed not filed for purposes of Section 18 of the Exchange Act, and otherwise are not subject to liability under those Sections.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18" w:right="2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 have reviewed this quarterly report on Form 10-Q of Qualys, Inc.;</w:t>
      </w:r>
    </w:p>
    <w:p>
      <w:pPr>
        <w:spacing w:after="0" w:line="3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332"/>
        <w:spacing w:after="0" w:line="250" w:lineRule="auto"/>
        <w:tabs>
          <w:tab w:leader="none" w:pos="3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6" w:lineRule="auto"/>
        <w:tabs>
          <w:tab w:leader="none" w:pos="94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7, 2015</w:t>
      </w:r>
    </w:p>
    <w:p>
      <w:pPr>
        <w:spacing w:after="0" w:line="5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 have reviewed this quarterly report on Form 10-Q of Qualys, Inc.;</w:t>
      </w:r>
    </w:p>
    <w:p>
      <w:pPr>
        <w:spacing w:after="0" w:line="3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6" w:lineRule="auto"/>
        <w:tabs>
          <w:tab w:leader="none" w:pos="9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7, 2015</w:t>
      </w:r>
    </w:p>
    <w:p>
      <w:pPr>
        <w:spacing w:after="0" w:line="5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46"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2015,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16" w:lineRule="exact"/>
        <w:rPr>
          <w:sz w:val="20"/>
          <w:szCs w:val="20"/>
          <w:color w:val="auto"/>
        </w:rPr>
      </w:pPr>
    </w:p>
    <w:p>
      <w:pPr>
        <w:ind w:left="780" w:hanging="272"/>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92" w:lineRule="auto"/>
        <w:tabs>
          <w:tab w:leader="none" w:pos="7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7, 2015</w:t>
      </w:r>
    </w:p>
    <w:p>
      <w:pPr>
        <w:spacing w:after="0" w:line="5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77"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3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2015,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09" w:lineRule="exact"/>
        <w:rPr>
          <w:sz w:val="20"/>
          <w:szCs w:val="20"/>
          <w:color w:val="auto"/>
        </w:rPr>
      </w:pPr>
    </w:p>
    <w:p>
      <w:pPr>
        <w:ind w:left="780" w:hanging="272"/>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92" w:lineRule="auto"/>
        <w:tabs>
          <w:tab w:leader="none" w:pos="7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2015</w:t>
      </w:r>
    </w:p>
    <w:p>
      <w:pPr>
        <w:spacing w:after="0" w:line="5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decimal"/>
      <w:start w:val="2"/>
    </w:lvl>
  </w:abstractNum>
  <w:abstractNum w:abstractNumId="20">
    <w:nsid w:val="628C895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2019-12-29T16:34:00Z</dcterms:created>
  <dcterms:modified xsi:type="dcterms:W3CDTF">2019-12-29T16:34:00Z</dcterms:modified>
</cp:coreProperties>
</file>