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7901" w:type="dxa"/>
        <w:jc w:val="left"/>
        <w:tblInd w:w="0" w:type="dxa"/>
        <w:tblLayout w:type="fixed"/>
        <w:tblCellMar>
          <w:top w:w="28" w:type="dxa"/>
          <w:left w:w="28" w:type="dxa"/>
          <w:bottom w:w="28" w:type="dxa"/>
          <w:right w:w="28" w:type="dxa"/>
        </w:tblCellMar>
      </w:tblPr>
      <w:tblGrid>
        <w:gridCol w:w="124"/>
        <w:gridCol w:w="109"/>
        <w:gridCol w:w="109"/>
        <w:gridCol w:w="2209"/>
        <w:gridCol w:w="2209"/>
        <w:gridCol w:w="3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7946" w:type="dxa"/>
        <w:jc w:val="left"/>
        <w:tblInd w:w="0" w:type="dxa"/>
        <w:tblLayout w:type="fixed"/>
        <w:tblCellMar>
          <w:top w:w="28" w:type="dxa"/>
          <w:left w:w="28" w:type="dxa"/>
          <w:bottom w:w="28" w:type="dxa"/>
          <w:right w:w="28" w:type="dxa"/>
        </w:tblCellMar>
      </w:tblPr>
      <w:tblGrid>
        <w:gridCol w:w="124"/>
        <w:gridCol w:w="109"/>
        <w:gridCol w:w="109"/>
        <w:gridCol w:w="2221"/>
        <w:gridCol w:w="2221"/>
        <w:gridCol w:w="3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pPr>
      <w:r>
        <w:rPr>
          <w:rFonts w:ascii="Times New Roman;serif" w:hAnsi="Times New Roman;serif"/>
          <w:b/>
          <w:color w:val="000000"/>
          <w:sz w:val="20"/>
        </w:rPr>
        <w:t>Commission file number</w:t>
      </w:r>
      <w:r>
        <w:rPr>
          <w:color w:val="000000"/>
        </w:rPr>
        <w:t xml:space="preserve"> </w:t>
      </w:r>
      <w:r>
        <w:rPr>
          <w:rFonts w:ascii="Times New Roman;serif" w:hAnsi="Times New Roman;serif"/>
          <w:b/>
          <w:color w:val="000000"/>
          <w:sz w:val="20"/>
        </w:rPr>
        <w:t>001-35662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5156"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609"/>
        <w:gridCol w:w="609"/>
        <w:gridCol w:w="867"/>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77-0534145</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919 E. Hillsdale Boulevard, 4th Floor, Foster City, California 94404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801-6100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907" w:type="dxa"/>
        <w:jc w:val="left"/>
        <w:tblInd w:w="0" w:type="dxa"/>
        <w:tblLayout w:type="fixed"/>
        <w:tblCellMar>
          <w:top w:w="28" w:type="dxa"/>
          <w:left w:w="28" w:type="dxa"/>
          <w:bottom w:w="28" w:type="dxa"/>
          <w:right w:w="28" w:type="dxa"/>
        </w:tblCellMar>
      </w:tblPr>
      <w:tblGrid>
        <w:gridCol w:w="1349"/>
        <w:gridCol w:w="1186"/>
        <w:gridCol w:w="1199"/>
        <w:gridCol w:w="109"/>
        <w:gridCol w:w="109"/>
        <w:gridCol w:w="109"/>
        <w:gridCol w:w="564"/>
        <w:gridCol w:w="564"/>
        <w:gridCol w:w="566"/>
        <w:gridCol w:w="109"/>
        <w:gridCol w:w="109"/>
        <w:gridCol w:w="109"/>
        <w:gridCol w:w="1118"/>
        <w:gridCol w:w="1118"/>
        <w:gridCol w:w="1589"/>
      </w:tblGrid>
      <w:tr>
        <w:trPr/>
        <w:tc>
          <w:tcPr>
            <w:tcW w:w="134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QLYS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22, 2026 was 34,595,001.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68" w:type="dxa"/>
        <w:jc w:val="left"/>
        <w:tblInd w:w="0" w:type="dxa"/>
        <w:tblLayout w:type="fixed"/>
        <w:tblCellMar>
          <w:top w:w="28" w:type="dxa"/>
          <w:left w:w="28" w:type="dxa"/>
          <w:bottom w:w="28" w:type="dxa"/>
          <w:right w:w="28" w:type="dxa"/>
        </w:tblCellMar>
      </w:tblPr>
      <w:tblGrid>
        <w:gridCol w:w="509"/>
        <w:gridCol w:w="447"/>
        <w:gridCol w:w="447"/>
        <w:gridCol w:w="2444"/>
        <w:gridCol w:w="2444"/>
        <w:gridCol w:w="2476"/>
        <w:gridCol w:w="234"/>
        <w:gridCol w:w="234"/>
        <w:gridCol w:w="333"/>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76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0">
              <w:r>
                <w:rPr>
                  <w:rStyle w:val="InternetLink"/>
                  <w:rFonts w:ascii="Times New Roman;serif" w:hAnsi="Times New Roman;serif"/>
                  <w:b w:val="false"/>
                  <w:color w:val="0000FF"/>
                  <w:sz w:val="20"/>
                  <w:u w:val="single"/>
                </w:rPr>
                <w:t>Risk Factor Summary</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3">
              <w:r>
                <w:rPr>
                  <w:rStyle w:val="InternetLink"/>
                  <w:rFonts w:ascii="Times New Roman;serif" w:hAnsi="Times New Roman;serif"/>
                  <w:b/>
                  <w:strike w:val="false"/>
                  <w:dstrike w:val="false"/>
                  <w:color w:val="000000"/>
                  <w:sz w:val="20"/>
                  <w:u w:val="none"/>
                  <w:effect w:val="none"/>
                </w:rPr>
                <w:t>PART I – FINANCIAL INFORMATION</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6">
              <w:r>
                <w:rPr>
                  <w:rStyle w:val="InternetLink"/>
                  <w:rFonts w:ascii="Times New Roman;serif" w:hAnsi="Times New Roman;serif"/>
                  <w:b w:val="false"/>
                  <w:color w:val="0000FF"/>
                  <w:sz w:val="20"/>
                  <w:u w:val="single"/>
                </w:rPr>
                <w:t>Financial Statements</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9">
              <w:r>
                <w:rPr>
                  <w:rStyle w:val="InternetLink"/>
                  <w:rFonts w:ascii="Times New Roman;serif" w:hAnsi="Times New Roman;serif"/>
                  <w:b w:val="false"/>
                  <w:color w:val="0000FF"/>
                  <w:sz w:val="20"/>
                  <w:u w:val="single"/>
                </w:rPr>
                <w:t>Condensed Consolidated Balance Sheets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9">
              <w:r>
                <w:rPr>
                  <w:rStyle w:val="InternetLink"/>
                  <w:rFonts w:ascii="Times New Roman;serif" w:hAnsi="Times New Roman;serif"/>
                  <w:b w:val="false"/>
                  <w:color w:val="0000FF"/>
                  <w:sz w:val="20"/>
                  <w:u w:val="single"/>
                </w:rPr>
                <w:t>4</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22">
              <w:r>
                <w:rPr>
                  <w:rStyle w:val="InternetLink"/>
                  <w:rFonts w:ascii="Times New Roman;serif" w:hAnsi="Times New Roman;serif"/>
                  <w:b w:val="false"/>
                  <w:color w:val="0000FF"/>
                  <w:sz w:val="20"/>
                  <w:u w:val="single"/>
                </w:rPr>
                <w:t>Condensed Consolidated Statements of Operations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22">
              <w:r>
                <w:rPr>
                  <w:rStyle w:val="InternetLink"/>
                  <w:rFonts w:ascii="Times New Roman;serif" w:hAnsi="Times New Roman;serif"/>
                  <w:b w:val="false"/>
                  <w:color w:val="0000FF"/>
                  <w:sz w:val="20"/>
                  <w:u w:val="single"/>
                </w:rPr>
                <w:t>5</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25">
              <w:r>
                <w:rPr>
                  <w:rStyle w:val="InternetLink"/>
                  <w:rFonts w:ascii="Times New Roman;serif" w:hAnsi="Times New Roman;serif"/>
                  <w:b w:val="false"/>
                  <w:color w:val="0000FF"/>
                  <w:sz w:val="20"/>
                  <w:u w:val="single"/>
                </w:rPr>
                <w:t>Condensed Consolidated Statements of Comprehensive Income</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25">
              <w:r>
                <w:rPr>
                  <w:rStyle w:val="InternetLink"/>
                  <w:rFonts w:ascii="Times New Roman;serif" w:hAnsi="Times New Roman;serif"/>
                  <w:b w:val="false"/>
                  <w:color w:val="0000FF"/>
                  <w:sz w:val="20"/>
                  <w:u w:val="single"/>
                </w:rPr>
                <w:t>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28">
              <w:r>
                <w:rPr>
                  <w:rStyle w:val="InternetLink"/>
                  <w:rFonts w:ascii="Times New Roman;serif" w:hAnsi="Times New Roman;serif"/>
                  <w:b w:val="false"/>
                  <w:color w:val="0000FF"/>
                  <w:sz w:val="20"/>
                  <w:u w:val="single"/>
                </w:rPr>
                <w:t>Condensed Consolidated Statements of Cash Flows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28">
              <w:r>
                <w:rPr>
                  <w:rStyle w:val="InternetLink"/>
                  <w:rFonts w:ascii="Times New Roman;serif" w:hAnsi="Times New Roman;serif"/>
                  <w:b w:val="false"/>
                  <w:color w:val="0000FF"/>
                  <w:sz w:val="20"/>
                  <w:u w:val="single"/>
                </w:rPr>
                <w:t>7</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31">
              <w:r>
                <w:rPr>
                  <w:rStyle w:val="InternetLink"/>
                  <w:rFonts w:ascii="Times New Roman;serif" w:hAnsi="Times New Roman;serif"/>
                  <w:b w:val="false"/>
                  <w:color w:val="0000FF"/>
                  <w:sz w:val="20"/>
                  <w:u w:val="single"/>
                </w:rPr>
                <w:t>Condensed Consolidated Statements of Stockholders' Equity</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31">
              <w:r>
                <w:rPr>
                  <w:rStyle w:val="InternetLink"/>
                  <w:rFonts w:ascii="Times New Roman;serif" w:hAnsi="Times New Roman;serif"/>
                  <w:b w:val="false"/>
                  <w:color w:val="0000FF"/>
                  <w:sz w:val="20"/>
                  <w:u w:val="single"/>
                </w:rPr>
                <w:t>8</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34">
              <w:r>
                <w:rPr>
                  <w:rStyle w:val="InternetLink"/>
                  <w:rFonts w:ascii="Times New Roman;serif" w:hAnsi="Times New Roman;serif"/>
                  <w:b w:val="false"/>
                  <w:color w:val="0000FF"/>
                  <w:sz w:val="20"/>
                  <w:u w:val="single"/>
                </w:rPr>
                <w:t>Notes to Condensed Consolidated Financial Statements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34">
              <w:r>
                <w:rPr>
                  <w:rStyle w:val="InternetLink"/>
                  <w:rFonts w:ascii="Times New Roman;serif" w:hAnsi="Times New Roman;serif"/>
                  <w:b w:val="false"/>
                  <w:color w:val="0000FF"/>
                  <w:sz w:val="20"/>
                  <w:u w:val="single"/>
                </w:rPr>
                <w:t>9</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79">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79">
              <w:r>
                <w:rPr>
                  <w:rStyle w:val="InternetLink"/>
                  <w:rFonts w:ascii="Times New Roman;serif" w:hAnsi="Times New Roman;serif"/>
                  <w:b w:val="false"/>
                  <w:color w:val="0000FF"/>
                  <w:sz w:val="20"/>
                  <w:u w:val="single"/>
                </w:rPr>
                <w:t>28</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06">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06">
              <w:r>
                <w:rPr>
                  <w:rStyle w:val="InternetLink"/>
                  <w:rFonts w:ascii="Times New Roman;serif" w:hAnsi="Times New Roman;serif"/>
                  <w:b w:val="false"/>
                  <w:color w:val="0000FF"/>
                  <w:sz w:val="20"/>
                  <w:u w:val="single"/>
                </w:rPr>
                <w:t>Quantitative and Qualitative Disclosures About Market Risk</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06">
              <w:r>
                <w:rPr>
                  <w:rStyle w:val="InternetLink"/>
                  <w:rFonts w:ascii="Times New Roman;serif" w:hAnsi="Times New Roman;serif"/>
                  <w:b w:val="false"/>
                  <w:color w:val="0000FF"/>
                  <w:sz w:val="20"/>
                  <w:u w:val="single"/>
                </w:rPr>
                <w:t>38</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09">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09">
              <w:r>
                <w:rPr>
                  <w:rStyle w:val="InternetLink"/>
                  <w:rFonts w:ascii="Times New Roman;serif" w:hAnsi="Times New Roman;serif"/>
                  <w:b w:val="false"/>
                  <w:color w:val="0000FF"/>
                  <w:sz w:val="20"/>
                  <w:u w:val="single"/>
                </w:rPr>
                <w:t>Controls and Procedures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09">
              <w:r>
                <w:rPr>
                  <w:rStyle w:val="InternetLink"/>
                  <w:rFonts w:ascii="Times New Roman;serif" w:hAnsi="Times New Roman;serif"/>
                  <w:b w:val="false"/>
                  <w:color w:val="0000FF"/>
                  <w:sz w:val="20"/>
                  <w:u w:val="single"/>
                </w:rPr>
                <w:t>38</w:t>
              </w:r>
            </w:hyperlink>
          </w:p>
        </w:tc>
      </w:tr>
      <w:tr>
        <w:trPr/>
        <w:tc>
          <w:tcPr>
            <w:tcW w:w="956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12">
              <w:r>
                <w:rPr>
                  <w:rStyle w:val="InternetLink"/>
                  <w:rFonts w:ascii="Times New Roman;serif" w:hAnsi="Times New Roman;serif"/>
                  <w:b/>
                  <w:strike w:val="false"/>
                  <w:dstrike w:val="false"/>
                  <w:color w:val="000000"/>
                  <w:sz w:val="20"/>
                  <w:u w:val="none"/>
                  <w:effect w:val="none"/>
                </w:rPr>
                <w:t>PART II – OTHER INFORMATION</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15">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15">
              <w:r>
                <w:rPr>
                  <w:rStyle w:val="InternetLink"/>
                  <w:rFonts w:ascii="Times New Roman;serif" w:hAnsi="Times New Roman;serif"/>
                  <w:b w:val="false"/>
                  <w:color w:val="0000FF"/>
                  <w:sz w:val="20"/>
                  <w:u w:val="single"/>
                </w:rPr>
                <w:t>Legal Proceedings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15">
              <w:r>
                <w:rPr>
                  <w:rStyle w:val="InternetLink"/>
                  <w:rFonts w:ascii="Times New Roman;serif" w:hAnsi="Times New Roman;serif"/>
                  <w:b w:val="false"/>
                  <w:color w:val="0000FF"/>
                  <w:sz w:val="20"/>
                  <w:u w:val="single"/>
                </w:rPr>
                <w:t>39</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18">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18">
              <w:r>
                <w:rPr>
                  <w:rStyle w:val="InternetLink"/>
                  <w:rFonts w:ascii="Times New Roman;serif" w:hAnsi="Times New Roman;serif"/>
                  <w:b w:val="false"/>
                  <w:color w:val="0000FF"/>
                  <w:sz w:val="20"/>
                  <w:u w:val="single"/>
                </w:rPr>
                <w:t>Risk Factors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18">
              <w:r>
                <w:rPr>
                  <w:rStyle w:val="InternetLink"/>
                  <w:rFonts w:ascii="Times New Roman;serif" w:hAnsi="Times New Roman;serif"/>
                  <w:b w:val="false"/>
                  <w:color w:val="0000FF"/>
                  <w:sz w:val="20"/>
                  <w:u w:val="single"/>
                </w:rPr>
                <w:t>39</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1">
              <w:r>
                <w:rPr>
                  <w:rStyle w:val="InternetLink"/>
                  <w:rFonts w:ascii="Times New Roman;serif" w:hAnsi="Times New Roman;serif"/>
                  <w:b w:val="false"/>
                  <w:color w:val="0000FF"/>
                  <w:sz w:val="20"/>
                  <w:u w:val="single"/>
                </w:rPr>
                <w:t>Unregistered Sales of Equity Securities and Use of Proceeds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21">
              <w:r>
                <w:rPr>
                  <w:rStyle w:val="InternetLink"/>
                  <w:rFonts w:ascii="Times New Roman;serif" w:hAnsi="Times New Roman;serif"/>
                  <w:b w:val="false"/>
                  <w:color w:val="0000FF"/>
                  <w:sz w:val="20"/>
                  <w:u w:val="single"/>
                </w:rPr>
                <w:t>61</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4">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4">
              <w:r>
                <w:rPr>
                  <w:rStyle w:val="InternetLink"/>
                  <w:rFonts w:ascii="Times New Roman;serif" w:hAnsi="Times New Roman;serif"/>
                  <w:b w:val="false"/>
                  <w:color w:val="0000FF"/>
                  <w:sz w:val="20"/>
                  <w:u w:val="single"/>
                </w:rPr>
                <w:t>Defaults upon Senior Securities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24">
              <w:r>
                <w:rPr>
                  <w:rStyle w:val="InternetLink"/>
                  <w:rFonts w:ascii="Times New Roman;serif" w:hAnsi="Times New Roman;serif"/>
                  <w:b w:val="false"/>
                  <w:color w:val="0000FF"/>
                  <w:sz w:val="20"/>
                  <w:u w:val="single"/>
                </w:rPr>
                <w:t>62</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7">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27">
              <w:r>
                <w:rPr>
                  <w:rStyle w:val="InternetLink"/>
                  <w:rFonts w:ascii="Times New Roman;serif" w:hAnsi="Times New Roman;serif"/>
                  <w:b w:val="false"/>
                  <w:color w:val="0000FF"/>
                  <w:sz w:val="20"/>
                  <w:u w:val="single"/>
                </w:rPr>
                <w:t>Mine Safety Disclosures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27">
              <w:r>
                <w:rPr>
                  <w:rStyle w:val="InternetLink"/>
                  <w:rFonts w:ascii="Times New Roman;serif" w:hAnsi="Times New Roman;serif"/>
                  <w:b w:val="false"/>
                  <w:color w:val="0000FF"/>
                  <w:sz w:val="20"/>
                  <w:u w:val="single"/>
                </w:rPr>
                <w:t>62</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30">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30">
              <w:r>
                <w:rPr>
                  <w:rStyle w:val="InternetLink"/>
                  <w:rFonts w:ascii="Times New Roman;serif" w:hAnsi="Times New Roman;serif"/>
                  <w:b w:val="false"/>
                  <w:color w:val="0000FF"/>
                  <w:sz w:val="20"/>
                  <w:u w:val="single"/>
                </w:rPr>
                <w:t>Other Information</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30">
              <w:r>
                <w:rPr>
                  <w:rStyle w:val="InternetLink"/>
                  <w:rFonts w:ascii="Times New Roman;serif" w:hAnsi="Times New Roman;serif"/>
                  <w:b w:val="false"/>
                  <w:color w:val="0000FF"/>
                  <w:sz w:val="20"/>
                  <w:u w:val="single"/>
                </w:rPr>
                <w:t>62</w:t>
              </w:r>
            </w:hyperlink>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36">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36">
              <w:r>
                <w:rPr>
                  <w:rStyle w:val="InternetLink"/>
                  <w:rFonts w:ascii="Times New Roman;serif" w:hAnsi="Times New Roman;serif"/>
                  <w:b w:val="false"/>
                  <w:color w:val="0000FF"/>
                  <w:sz w:val="20"/>
                  <w:u w:val="single"/>
                </w:rPr>
                <w:t>Exhibits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36">
              <w:r>
                <w:rPr>
                  <w:rStyle w:val="InternetLink"/>
                  <w:rFonts w:ascii="Times New Roman;serif" w:hAnsi="Times New Roman;serif"/>
                  <w:b w:val="false"/>
                  <w:color w:val="0000FF"/>
                  <w:sz w:val="20"/>
                  <w:u w:val="single"/>
                </w:rPr>
                <w:t>63</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050fb51f9a4b1cb8efe203218f52e4_139">
              <w:r>
                <w:rPr>
                  <w:rStyle w:val="InternetLink"/>
                  <w:rFonts w:ascii="Times New Roman;serif" w:hAnsi="Times New Roman;serif"/>
                  <w:b w:val="false"/>
                  <w:color w:val="0000FF"/>
                  <w:sz w:val="20"/>
                  <w:u w:val="single"/>
                </w:rPr>
                <w:t>Signatures</w:t>
              </w:r>
            </w:hyperlink>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050fb51f9a4b1cb8efe203218f52e4_139">
              <w:r>
                <w:rPr>
                  <w:rStyle w:val="InternetLink"/>
                  <w:rFonts w:ascii="Times New Roman;serif" w:hAnsi="Times New Roman;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pStyle w:val="TextBody"/>
        <w:bidi w:val="0"/>
        <w:spacing w:before="0" w:after="0"/>
        <w:jc w:val="left"/>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quarterly and annual operating results may vary from period to period, which could result in our failure to meet expectations with respect to operating results and cause the trading price of our stock to decline.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fail to continue to effectively scale and adapt our platform to meet the performance and other requirements of our customers, our operating results and our business would be harmed.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If we are unable to renew existing subscriptions for our IT, security and compliance solutions, sell additional subscriptions for our solutions and attract new customers, our operating results would be harmed. </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current research and development efforts may not produce successful products or enhancements to our platform that result in significant revenue, cost savings or other benefits in the near future.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platform, products, website and internal systems may be subject to intentional disruption or other security incidents that could result in liability and adversely impact our reputation and future sales.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sales cycle can be long and unpredictable, and our sales efforts require considerable time and expense. As a result, revenues may vary from period to period, which may cause our operating results to fluctuate and could harm our business.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Adverse economic conditions or reduced IT spending may adversely impact our business.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IT, security and compliance solutions are delivered from 15 shared cloud platforms</w:t>
      </w:r>
      <w:r>
        <w:rPr>
          <w:rFonts w:ascii="Times New Roman;serif" w:hAnsi="Times New Roman;serif"/>
          <w:b w:val="false"/>
          <w:color w:val="000000"/>
          <w:sz w:val="20"/>
          <w:shd w:fill="FFFFFF" w:val="clear"/>
        </w:rPr>
        <w:t>, and any disruption of service at these facilities would interrupt or delay our ability to deliver our solutions to our customers which could reduce our revenues and harm our operating results.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We face competition in our markets, and we may lack sufficient financial or other resources to maintain or improve our competitive position.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The sales prices of our solutions are subject to competitive pressures and may decrease, which may reduce our gross profits and adversely impact our financial results. </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our solutions fail to detect vulnerabilities or incorrectly detect vulnerabilities, our brand and reputation could be harmed, which could have an adverse effect on our business and results of operations.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are unable to recruit and retain qualified sales personnel, sales of our solutions and the growth of our business would be harmed.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We rely on third-party channel partners to generate a substantial amount of our revenues, and if we fail to effectively manage our distribution channels, our revenues could decline and our growth prospects could suffer.</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A significant portion of our customers, channel partners and employees are located outside of the United States, which subjects us to a number of risks associated with conducting international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and if we are unable to successfully manage these risks, our business and operating results could be harmed.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Our business and operations have continued to grow since inception, and if we do not appropriately manage any future growth, or are unable to improve our systems and processes, our operating results may be negatively affected.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We depend on the continued services and performance of our senior management and other key employees, the loss of any of whom could adversely affect our business, operating results and financial condition.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are unable to hire, retain and motivate qualified personnel, our business may suffer.</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A portion of our revenues are generated by sales to government entities, which are subject to a number of challenges and risks.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success in acquiring and integrating other businesses, products or technologies could impact our financial position.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Undetected software errors or flaws in our solutions could harm our reputation, decrease market acceptance of our solutions or result in liability.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solutions could be used to collect and store personal information of our customers’ employees or customers, and therefore privacy and other data handling concerns could result in additional cost and liability to us or inhibit sales of our solutions.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We use AI/machine learning technologies in our solutions that could result in harm to our business and operating results. </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solutions contain third-party open source software components, and our failure to comply with the terms of the underlying open source software licenses could restrict our ability to sell our solutions.</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0"/>
        </w:rPr>
        <w:t>We use third-party software and data that may be difficult to replace or cause errors or failures of our solutions that could lead to lost customers or harm to our reputation and our operating results.</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0"/>
        </w:rPr>
        <w:t>Failure to protect our proprietary technology and intellectual property rights could substantially harm our business and operating results.</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0"/>
        </w:rPr>
        <w:t>Assertions by third parties of infringement or other violations by us of their intellectual property rights could result in significant costs and harm our business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804"/>
        <w:gridCol w:w="2321"/>
        <w:gridCol w:w="2308"/>
        <w:gridCol w:w="196"/>
        <w:gridCol w:w="871"/>
        <w:gridCol w:w="109"/>
        <w:gridCol w:w="109"/>
        <w:gridCol w:w="109"/>
        <w:gridCol w:w="109"/>
        <w:gridCol w:w="203"/>
        <w:gridCol w:w="904"/>
        <w:gridCol w:w="162"/>
      </w:tblGrid>
      <w:tr>
        <w:trPr/>
        <w:tc>
          <w:tcPr>
            <w:tcW w:w="2804"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250,258 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195,681 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$1,766 and $1,581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170,991 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618,693 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657,616 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250,868 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 right of 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74,518 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1,074,173 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1,095,081 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401,127 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447,033 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467,338 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511,950 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533,928 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20,000 shares authorized, no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 shares authorized, 34,651 and 35,730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731,788 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(166,659)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561,153 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1,074,173 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1,095,081 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16"/>
        <w:gridCol w:w="1434"/>
        <w:gridCol w:w="14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1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266,158 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36,359</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36,651</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821"/>
        <w:gridCol w:w="1536"/>
        <w:gridCol w:w="155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82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available-for-sale debt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cash flow hedges,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89,321 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383" w:type="dxa"/>
        <w:jc w:val="left"/>
        <w:tblInd w:w="0" w:type="dxa"/>
        <w:tblLayout w:type="fixed"/>
        <w:tblCellMar>
          <w:top w:w="28" w:type="dxa"/>
          <w:left w:w="28" w:type="dxa"/>
          <w:bottom w:w="28" w:type="dxa"/>
          <w:right w:w="28" w:type="dxa"/>
        </w:tblCellMar>
      </w:tblPr>
      <w:tblGrid>
        <w:gridCol w:w="2431"/>
        <w:gridCol w:w="2141"/>
        <w:gridCol w:w="2147"/>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non-marketable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amounts capitalized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marketable securities,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through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(95,418)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 EQUITY</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052"/>
        <w:gridCol w:w="738"/>
        <w:gridCol w:w="740"/>
        <w:gridCol w:w="210"/>
        <w:gridCol w:w="210"/>
        <w:gridCol w:w="211"/>
        <w:gridCol w:w="109"/>
        <w:gridCol w:w="109"/>
        <w:gridCol w:w="109"/>
        <w:gridCol w:w="231"/>
        <w:gridCol w:w="390"/>
        <w:gridCol w:w="130"/>
        <w:gridCol w:w="109"/>
        <w:gridCol w:w="109"/>
        <w:gridCol w:w="109"/>
        <w:gridCol w:w="196"/>
        <w:gridCol w:w="736"/>
        <w:gridCol w:w="109"/>
        <w:gridCol w:w="109"/>
        <w:gridCol w:w="109"/>
        <w:gridCol w:w="109"/>
        <w:gridCol w:w="292"/>
        <w:gridCol w:w="851"/>
        <w:gridCol w:w="163"/>
        <w:gridCol w:w="109"/>
        <w:gridCol w:w="109"/>
        <w:gridCol w:w="109"/>
        <w:gridCol w:w="208"/>
        <w:gridCol w:w="804"/>
        <w:gridCol w:w="118"/>
        <w:gridCol w:w="109"/>
        <w:gridCol w:w="109"/>
        <w:gridCol w:w="109"/>
        <w:gridCol w:w="211"/>
        <w:gridCol w:w="798"/>
        <w:gridCol w:w="172"/>
      </w:tblGrid>
      <w:tr>
        <w:trPr/>
        <w:tc>
          <w:tcPr>
            <w:tcW w:w="10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Additional</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Paid-In</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Accumulated</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Other</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Comprehensive</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Accumulated</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Total</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Stockholders’</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Equity</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2025</w:t>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(4,012)</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(166,659)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561,153 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50,643 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50,643 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(54,281)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Taxes related to net share settlement of equity awards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(10,375)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741,918 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(4,812)</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(167,268)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569,873 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52,405 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52,405 </w:t>
            </w:r>
          </w:p>
        </w:tc>
        <w:tc>
          <w:tcPr>
            <w:tcW w:w="17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(72,732)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(77,515)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Taxes related to net share settlement of equity awards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6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(3,284)</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(187,595)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562,223 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2"/>
        <w:gridCol w:w="738"/>
        <w:gridCol w:w="740"/>
        <w:gridCol w:w="210"/>
        <w:gridCol w:w="210"/>
        <w:gridCol w:w="211"/>
        <w:gridCol w:w="109"/>
        <w:gridCol w:w="109"/>
        <w:gridCol w:w="109"/>
        <w:gridCol w:w="231"/>
        <w:gridCol w:w="390"/>
        <w:gridCol w:w="130"/>
        <w:gridCol w:w="109"/>
        <w:gridCol w:w="109"/>
        <w:gridCol w:w="109"/>
        <w:gridCol w:w="196"/>
        <w:gridCol w:w="736"/>
        <w:gridCol w:w="109"/>
        <w:gridCol w:w="109"/>
        <w:gridCol w:w="109"/>
        <w:gridCol w:w="109"/>
        <w:gridCol w:w="292"/>
        <w:gridCol w:w="851"/>
        <w:gridCol w:w="163"/>
        <w:gridCol w:w="109"/>
        <w:gridCol w:w="109"/>
        <w:gridCol w:w="109"/>
        <w:gridCol w:w="208"/>
        <w:gridCol w:w="804"/>
        <w:gridCol w:w="118"/>
        <w:gridCol w:w="109"/>
        <w:gridCol w:w="109"/>
        <w:gridCol w:w="109"/>
        <w:gridCol w:w="211"/>
        <w:gridCol w:w="798"/>
        <w:gridCol w:w="172"/>
      </w:tblGrid>
      <w:tr>
        <w:trPr/>
        <w:tc>
          <w:tcPr>
            <w:tcW w:w="10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Additional</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Paid-In</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Accumulated</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Other</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Comprehensive</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Accumulated</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Total</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Stockholders’</w:t>
            </w:r>
          </w:p>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Equity</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2024</w:t>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(189,217)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477,116 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47,534 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47,534 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Taxes related to net share settlement of equity awards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(10,831)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(179,668)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498,035 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47,290 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47,290 </w:t>
            </w:r>
          </w:p>
        </w:tc>
        <w:tc>
          <w:tcPr>
            <w:tcW w:w="17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Taxes related to net share settlement of equity awards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6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691,886 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(4,086)</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(179,669)</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508,167 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60" w:after="283"/>
        <w:jc w:val="left"/>
        <w:rPr>
          <w:rFonts w:ascii="Times New Roman;serif" w:hAnsi="Times New Roman;serif"/>
          <w:b/>
          <w:color w:val="000000"/>
          <w:sz w:val="20"/>
        </w:rPr>
      </w:pPr>
      <w:r>
        <w:rPr>
          <w:rFonts w:ascii="Times New Roman;serif" w:hAnsi="Times New Roman;serif"/>
          <w:b/>
          <w:color w:val="000000"/>
          <w:sz w:val="20"/>
        </w:rPr>
        <w:t>NOTE 1.                              Description of Business and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Qualys, Inc. (the “Company”, “we”, “us”, “our”) was incorporated in the state of Delaware on December 30, 1999. The Company is headquartered in Foster City, California and has wholly-owned subsidiaries throughout the world. The Company is a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Qualys' Enterprise TruRisk Platform to cost-effectively obtain a unified view of their security and compliance posture across globally-distributed IT infrastructures.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2025,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six months ended June 30, 2026 are not necessarily indicative of the results of operations expected for the entire year ending December 31, 2026 or for any other future annual or interim periods. These condensed consolidated financial statements should be read in conjunction with the consolidated financial statements and related notes included in the Company’s Annual Report on Form 10-K for the year ended December 31, 2025 filed with the SEC on February 20,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The Company adopted this ASU during the first quarter of fiscal year 2026 on a prospective basis. The adoption of this ASU did not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Not Yet Adopted</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In November 2024, the FASB issued ASU 2024-03 -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requiring more detailed information about the types of expenses included in certain expense captions presented on the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 The requirements of the ASU are effective for annual periods beginning after December 15, 2026, and for interim periods within fiscal years beginning after December 15, 2027 and are to be applied on a retrospective or prospective basis, with early adoption permitted. The Company's annual reporting requirements will be effective for fiscal year 2027. The Company is in the process of analyzing the impact of the ASU on related disclosures.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In September 2025, the FASB issued ASU 2025-06 - </w:t>
      </w:r>
      <w:r>
        <w:rPr>
          <w:rFonts w:ascii="Times New Roman;serif" w:hAnsi="Times New Roman;serif"/>
          <w:b w:val="false"/>
          <w:i/>
          <w:color w:val="000000"/>
          <w:sz w:val="20"/>
        </w:rPr>
        <w:t>Intangibles—Goodwill and Other Internal-Use Software (Subtopic 350-40): Targeted Improvements to the Accounting for Internal-Use Software</w:t>
      </w:r>
      <w:r>
        <w:rPr>
          <w:rFonts w:ascii="Times New Roman;serif" w:hAnsi="Times New Roman;serif"/>
          <w:b w:val="false"/>
          <w:color w:val="000000"/>
          <w:sz w:val="20"/>
        </w:rPr>
        <w:t>, which simplifies the capitalization guidance by removing references to software development project stage so that the guidance is neutral to different software development methods. The requirements of the ASU are effective for annual periods beginning after December 15, 2027, and interim reporting periods within those annual reporting periods and are to be applied on a prospective, modified retrospective or retrospective basis, with early adoption permitted. The Company's interim and annual reporting requirements will be effective for the Company beginning in the first quarter of fiscal year 2028. The Company is in the process of analyzing the impact of the ASU on its consolidated financial statements.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set forth in “Note 1” of Notes to Consolidated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Fair Value of Financial Instruments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Level 1 </w:t>
      </w:r>
      <w:r>
        <w:rPr>
          <w:rFonts w:ascii="Times New Roman;serif" w:hAnsi="Times New Roman;serif"/>
          <w:b w:val="false"/>
          <w:color w:val="000000"/>
          <w:sz w:val="20"/>
        </w:rPr>
        <w:t>- Valuations based on quoted prices in active markets for identical assets or liabilities.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Level 2 </w:t>
      </w:r>
      <w:r>
        <w:rPr>
          <w:rFonts w:ascii="Times New Roman;serif" w:hAnsi="Times New Roman;serif"/>
          <w:b w:val="false"/>
          <w:color w:val="000000"/>
          <w:sz w:val="20"/>
        </w:rPr>
        <w:t>- Valuations based on other than quoted prices in active markets for identical assets and liabilities, including quoted prices for identical assets or liabilities in less active or inactive markets, quoted prices for similar assets or liabilities in active markets, or inputs other than quoted prices that are observable for substantially the full term of the assets or liabilities.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Level 3 </w:t>
      </w:r>
      <w:r>
        <w:rPr>
          <w:rFonts w:ascii="Times New Roman;serif" w:hAnsi="Times New Roman;serif"/>
          <w:b w:val="false"/>
          <w:color w:val="000000"/>
          <w:sz w:val="20"/>
        </w:rPr>
        <w:t>- Valuations based on inputs that are generally unobservable and typically reflect management’s estimates of assumptions that market participants would use in pricing the asset or liability.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the fair value of the Company's financial assets and liabilities measured at fair value on a recurring basis:</w:t>
      </w:r>
    </w:p>
    <w:tbl>
      <w:tblPr>
        <w:tblW w:w="7092" w:type="dxa"/>
        <w:jc w:val="left"/>
        <w:tblInd w:w="0" w:type="dxa"/>
        <w:tblLayout w:type="fixed"/>
        <w:tblCellMar>
          <w:top w:w="28" w:type="dxa"/>
          <w:left w:w="28" w:type="dxa"/>
          <w:bottom w:w="28" w:type="dxa"/>
          <w:right w:w="28" w:type="dxa"/>
        </w:tblCellMar>
      </w:tblPr>
      <w:tblGrid>
        <w:gridCol w:w="1198"/>
        <w:gridCol w:w="1056"/>
        <w:gridCol w:w="1061"/>
        <w:gridCol w:w="211"/>
        <w:gridCol w:w="466"/>
        <w:gridCol w:w="109"/>
        <w:gridCol w:w="109"/>
        <w:gridCol w:w="109"/>
        <w:gridCol w:w="109"/>
        <w:gridCol w:w="211"/>
        <w:gridCol w:w="826"/>
        <w:gridCol w:w="109"/>
        <w:gridCol w:w="109"/>
        <w:gridCol w:w="109"/>
        <w:gridCol w:w="109"/>
        <w:gridCol w:w="211"/>
        <w:gridCol w:w="826"/>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488,406 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2" w:type="dxa"/>
        <w:jc w:val="left"/>
        <w:tblInd w:w="0" w:type="dxa"/>
        <w:tblLayout w:type="fixed"/>
        <w:tblCellMar>
          <w:top w:w="28" w:type="dxa"/>
          <w:left w:w="28" w:type="dxa"/>
          <w:bottom w:w="28" w:type="dxa"/>
          <w:right w:w="28" w:type="dxa"/>
        </w:tblCellMar>
      </w:tblPr>
      <w:tblGrid>
        <w:gridCol w:w="1198"/>
        <w:gridCol w:w="1056"/>
        <w:gridCol w:w="1061"/>
        <w:gridCol w:w="211"/>
        <w:gridCol w:w="466"/>
        <w:gridCol w:w="109"/>
        <w:gridCol w:w="109"/>
        <w:gridCol w:w="109"/>
        <w:gridCol w:w="109"/>
        <w:gridCol w:w="211"/>
        <w:gridCol w:w="826"/>
        <w:gridCol w:w="109"/>
        <w:gridCol w:w="109"/>
        <w:gridCol w:w="109"/>
        <w:gridCol w:w="109"/>
        <w:gridCol w:w="211"/>
        <w:gridCol w:w="826"/>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478,767 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categories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equivalent and investments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and marketable securities consist of the following:</w:t>
      </w:r>
    </w:p>
    <w:tbl>
      <w:tblPr>
        <w:tblW w:w="10119" w:type="dxa"/>
        <w:jc w:val="left"/>
        <w:tblInd w:w="0" w:type="dxa"/>
        <w:tblLayout w:type="fixed"/>
        <w:tblCellMar>
          <w:top w:w="28" w:type="dxa"/>
          <w:left w:w="28" w:type="dxa"/>
          <w:bottom w:w="28" w:type="dxa"/>
          <w:right w:w="28" w:type="dxa"/>
        </w:tblCellMar>
      </w:tblPr>
      <w:tblGrid>
        <w:gridCol w:w="1201"/>
        <w:gridCol w:w="1053"/>
        <w:gridCol w:w="1060"/>
        <w:gridCol w:w="262"/>
        <w:gridCol w:w="1027"/>
        <w:gridCol w:w="135"/>
        <w:gridCol w:w="109"/>
        <w:gridCol w:w="109"/>
        <w:gridCol w:w="109"/>
        <w:gridCol w:w="422"/>
        <w:gridCol w:w="934"/>
        <w:gridCol w:w="219"/>
        <w:gridCol w:w="109"/>
        <w:gridCol w:w="109"/>
        <w:gridCol w:w="109"/>
        <w:gridCol w:w="360"/>
        <w:gridCol w:w="1086"/>
        <w:gridCol w:w="188"/>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(1)</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175,979 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278,706 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277,171 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486,953 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485,441 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(1)Excludes cash of $218.0 million.</w:t>
      </w:r>
    </w:p>
    <w:tbl>
      <w:tblPr>
        <w:tblW w:w="10119" w:type="dxa"/>
        <w:jc w:val="left"/>
        <w:tblInd w:w="0" w:type="dxa"/>
        <w:tblLayout w:type="fixed"/>
        <w:tblCellMar>
          <w:top w:w="28" w:type="dxa"/>
          <w:left w:w="28" w:type="dxa"/>
          <w:bottom w:w="28" w:type="dxa"/>
          <w:right w:w="28" w:type="dxa"/>
        </w:tblCellMar>
      </w:tblPr>
      <w:tblGrid>
        <w:gridCol w:w="1201"/>
        <w:gridCol w:w="1053"/>
        <w:gridCol w:w="1060"/>
        <w:gridCol w:w="262"/>
        <w:gridCol w:w="1027"/>
        <w:gridCol w:w="135"/>
        <w:gridCol w:w="109"/>
        <w:gridCol w:w="109"/>
        <w:gridCol w:w="109"/>
        <w:gridCol w:w="354"/>
        <w:gridCol w:w="1035"/>
        <w:gridCol w:w="185"/>
        <w:gridCol w:w="109"/>
        <w:gridCol w:w="109"/>
        <w:gridCol w:w="109"/>
        <w:gridCol w:w="429"/>
        <w:gridCol w:w="982"/>
        <w:gridCol w:w="224"/>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(2)</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32,157 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195,180 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250,088 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477,425 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478,709 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(2)Excludes cash of $218.1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gross unrealized losses and fair value of the Company's marketable securities that were in an unrealized loss position aggregated by length of time: </w:t>
      </w:r>
    </w:p>
    <w:tbl>
      <w:tblPr>
        <w:tblW w:w="10205" w:type="dxa"/>
        <w:jc w:val="left"/>
        <w:tblInd w:w="0" w:type="dxa"/>
        <w:tblLayout w:type="fixed"/>
        <w:tblCellMar>
          <w:top w:w="28" w:type="dxa"/>
          <w:left w:w="28" w:type="dxa"/>
          <w:bottom w:w="28" w:type="dxa"/>
          <w:right w:w="28" w:type="dxa"/>
        </w:tblCellMar>
      </w:tblPr>
      <w:tblGrid>
        <w:gridCol w:w="552"/>
        <w:gridCol w:w="486"/>
        <w:gridCol w:w="488"/>
        <w:gridCol w:w="211"/>
        <w:gridCol w:w="826"/>
        <w:gridCol w:w="109"/>
        <w:gridCol w:w="109"/>
        <w:gridCol w:w="109"/>
        <w:gridCol w:w="109"/>
        <w:gridCol w:w="276"/>
        <w:gridCol w:w="830"/>
        <w:gridCol w:w="144"/>
        <w:gridCol w:w="109"/>
        <w:gridCol w:w="109"/>
        <w:gridCol w:w="109"/>
        <w:gridCol w:w="214"/>
        <w:gridCol w:w="626"/>
        <w:gridCol w:w="110"/>
        <w:gridCol w:w="109"/>
        <w:gridCol w:w="109"/>
        <w:gridCol w:w="109"/>
        <w:gridCol w:w="363"/>
        <w:gridCol w:w="699"/>
        <w:gridCol w:w="188"/>
        <w:gridCol w:w="109"/>
        <w:gridCol w:w="109"/>
        <w:gridCol w:w="109"/>
        <w:gridCol w:w="211"/>
        <w:gridCol w:w="826"/>
        <w:gridCol w:w="109"/>
        <w:gridCol w:w="109"/>
        <w:gridCol w:w="109"/>
        <w:gridCol w:w="109"/>
        <w:gridCol w:w="273"/>
        <w:gridCol w:w="821"/>
        <w:gridCol w:w="208"/>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12 months or longer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337,349 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346,840 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5"/>
        <w:gridCol w:w="440"/>
        <w:gridCol w:w="443"/>
        <w:gridCol w:w="211"/>
        <w:gridCol w:w="826"/>
        <w:gridCol w:w="109"/>
        <w:gridCol w:w="109"/>
        <w:gridCol w:w="109"/>
        <w:gridCol w:w="109"/>
        <w:gridCol w:w="329"/>
        <w:gridCol w:w="752"/>
        <w:gridCol w:w="171"/>
        <w:gridCol w:w="109"/>
        <w:gridCol w:w="109"/>
        <w:gridCol w:w="109"/>
        <w:gridCol w:w="214"/>
        <w:gridCol w:w="626"/>
        <w:gridCol w:w="110"/>
        <w:gridCol w:w="109"/>
        <w:gridCol w:w="109"/>
        <w:gridCol w:w="109"/>
        <w:gridCol w:w="364"/>
        <w:gridCol w:w="700"/>
        <w:gridCol w:w="188"/>
        <w:gridCol w:w="109"/>
        <w:gridCol w:w="109"/>
        <w:gridCol w:w="109"/>
        <w:gridCol w:w="211"/>
        <w:gridCol w:w="826"/>
        <w:gridCol w:w="109"/>
        <w:gridCol w:w="109"/>
        <w:gridCol w:w="109"/>
        <w:gridCol w:w="109"/>
        <w:gridCol w:w="323"/>
        <w:gridCol w:w="737"/>
        <w:gridCol w:w="246"/>
      </w:tblGrid>
      <w:tr>
        <w:trPr/>
        <w:tc>
          <w:tcPr>
            <w:tcW w:w="6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12 months or longer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considered the extent to which any unrealized losses on its marketable securities were driven by credit risk and other factors, including market risk, and if it is more-likely-than-not that the Company would have to sell the security before the recovery of the amortized cost basis. At June 30, 2026 and December 31, 2025, the unrealized losses related to its marketable securities were due to market factors other than credit. The Company does not believe the unrealized losses represent credit risk, and the Company does not intend to sell any of the securities in an unrealized loss position and it is not likely that the Company would be required to sell these securities before recovery of their amortized cost basis, which may be at maturity. Thus, no credit loss was recognized for the Company's marketable securities for the three and six months ended June 30, 2026 and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fair value of marketable securities by contractual maturity:</w:t>
      </w:r>
    </w:p>
    <w:tbl>
      <w:tblPr>
        <w:tblW w:w="6182" w:type="dxa"/>
        <w:jc w:val="left"/>
        <w:tblInd w:w="0" w:type="dxa"/>
        <w:tblLayout w:type="fixed"/>
        <w:tblCellMar>
          <w:top w:w="28" w:type="dxa"/>
          <w:left w:w="28" w:type="dxa"/>
          <w:bottom w:w="28" w:type="dxa"/>
          <w:right w:w="28" w:type="dxa"/>
        </w:tblCellMar>
      </w:tblPr>
      <w:tblGrid>
        <w:gridCol w:w="1173"/>
        <w:gridCol w:w="1029"/>
        <w:gridCol w:w="1038"/>
        <w:gridCol w:w="262"/>
        <w:gridCol w:w="1027"/>
        <w:gridCol w:w="135"/>
        <w:gridCol w:w="109"/>
        <w:gridCol w:w="109"/>
        <w:gridCol w:w="109"/>
        <w:gridCol w:w="211"/>
        <w:gridCol w:w="82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278,340 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486,953 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485,441 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Non-Marketable Securities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fair value of the investment is less than carrying value. During the second quarter of 2023, the Company identified an observable price change in the investment and recognized an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unrealized loss in other income (expense), net of the condensed consolidated statement of operations. During the first quarter of 2026, the Company identified indicators of impairment related to the investment and recognized a full impairment charge of $2.0 million in other income (expense), net of the condensed consolidated statement of operations. The investment is included in other noncurrent assets on the condensed consolidated balance sheets. The Company has not received any dividends from the investment.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Designated cash flow hedges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foreign currency forward contracts to reduce the risk of variability in future cash flow due to foreign currency exchange rate fluctuation from certain forecasted subscription revenue orders billed in British Pound (“GBP”) and Euro (“EUR”) and operating expenses incurred in Indian Rupee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designated cash flow hedge forward contracts with notional amounts of €51.7 million, £25.0 million and Rs.6,243.3 million. As of December 31, 2025, the Company had designated cash flow hedge forward contracts with notional amounts of €54.3 million, £24.1 million and Rs.5,526.0 million. </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amount of net unrealized loss of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before tax on the foreign currency forward contracts for GBP and EUR reported in AOCI is expected to be reclassified into revenue within the next 12 months.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amount of net unrealized loss of </w:t>
      </w:r>
      <w:r>
        <w:rPr>
          <w:rFonts w:ascii="Times New Roman;serif" w:hAnsi="Times New Roman;serif"/>
          <w:b w:val="false"/>
          <w:color w:val="000000"/>
          <w:sz w:val="20"/>
        </w:rPr>
        <w:t>$2.0 million</w:t>
      </w:r>
      <w:r>
        <w:rPr>
          <w:color w:val="000000"/>
        </w:rPr>
        <w:t xml:space="preserve"> </w:t>
      </w:r>
      <w:r>
        <w:rPr>
          <w:rFonts w:ascii="Times New Roman;serif" w:hAnsi="Times New Roman;serif"/>
          <w:b w:val="false"/>
          <w:color w:val="000000"/>
          <w:sz w:val="20"/>
          <w:shd w:fill="FFFFFF" w:val="clear"/>
        </w:rPr>
        <w:t>before tax on the foreign currency forward contracts for INR reported in AOCI is expected to be reclassified into operating expenses within the next 12 months.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Non-designated forward contracts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non-designated forward contracts with notional amounts of €16.5 million, £6.5 million, and Rs.3,440.0 million, Canadian Dollar (“C$” or “CAD”) C$2.5 million and Australian Dollar (“A$” or “AUD”) A$1.5 million. As of December 31, 2025, the Company had non-designated forward contracts with notional amounts of €24.4 million, £6.8 million, Rs.2,723.0 million, and C$2.5 million.</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The following summarizes </w:t>
      </w:r>
      <w:r>
        <w:rPr>
          <w:rFonts w:ascii="Times New Roman;serif" w:hAnsi="Times New Roman;serif"/>
          <w:b w:val="false"/>
          <w:color w:val="000000"/>
          <w:sz w:val="20"/>
        </w:rPr>
        <w:t xml:space="preserve">the fair value of </w:t>
      </w:r>
      <w:r>
        <w:rPr>
          <w:rFonts w:ascii="Times New Roman;serif" w:hAnsi="Times New Roman;serif"/>
          <w:b w:val="false"/>
          <w:color w:val="000000"/>
          <w:sz w:val="20"/>
          <w:shd w:fill="FFFFFF" w:val="clear"/>
        </w:rPr>
        <w:t xml:space="preserve">derivative financial instruments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8673" w:type="dxa"/>
        <w:jc w:val="left"/>
        <w:tblInd w:w="0" w:type="dxa"/>
        <w:tblLayout w:type="fixed"/>
        <w:tblCellMar>
          <w:top w:w="28" w:type="dxa"/>
          <w:left w:w="28" w:type="dxa"/>
          <w:bottom w:w="28" w:type="dxa"/>
          <w:right w:w="28" w:type="dxa"/>
        </w:tblCellMar>
      </w:tblPr>
      <w:tblGrid>
        <w:gridCol w:w="2203"/>
        <w:gridCol w:w="1942"/>
        <w:gridCol w:w="1960"/>
        <w:gridCol w:w="211"/>
        <w:gridCol w:w="616"/>
        <w:gridCol w:w="109"/>
        <w:gridCol w:w="109"/>
        <w:gridCol w:w="109"/>
        <w:gridCol w:w="109"/>
        <w:gridCol w:w="280"/>
        <w:gridCol w:w="819"/>
        <w:gridCol w:w="206"/>
      </w:tblGrid>
      <w:tr>
        <w:trPr/>
        <w:tc>
          <w:tcPr>
            <w:tcW w:w="220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designated as cash flow hedge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not designated as hedging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designated as cash flow hedge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not designated as hedging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presents its derivative assets and derivative liabilities at gross fair values in the condensed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was $2.4 million as of June 30, 2026 and immaterial as of December 31, 2025.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 institutions that the Company believes are creditworthy, and therefore, it does not consider the risk of counterparty nonperformance to be material.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gains (losses) recognized from forward contracts and other foreign currency transactions in other income (expense), net in the condensed consolidated statements of operations:</w:t>
      </w:r>
    </w:p>
    <w:tbl>
      <w:tblPr>
        <w:tblW w:w="9765" w:type="dxa"/>
        <w:jc w:val="left"/>
        <w:tblInd w:w="0" w:type="dxa"/>
        <w:tblLayout w:type="fixed"/>
        <w:tblCellMar>
          <w:top w:w="28" w:type="dxa"/>
          <w:left w:w="28" w:type="dxa"/>
          <w:bottom w:w="28" w:type="dxa"/>
          <w:right w:w="28" w:type="dxa"/>
        </w:tblCellMar>
      </w:tblPr>
      <w:tblGrid>
        <w:gridCol w:w="1700"/>
        <w:gridCol w:w="1496"/>
        <w:gridCol w:w="149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from non-designated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currency transactions gains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exchange gains (losses),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Accumulated Other Comprehensive Income (Loss)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and changes in accumulated other comprehensive income (loss)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82"/>
        <w:gridCol w:w="1300"/>
        <w:gridCol w:w="1304"/>
        <w:gridCol w:w="628"/>
        <w:gridCol w:w="1880"/>
        <w:gridCol w:w="326"/>
        <w:gridCol w:w="109"/>
        <w:gridCol w:w="109"/>
        <w:gridCol w:w="109"/>
        <w:gridCol w:w="330"/>
        <w:gridCol w:w="1076"/>
        <w:gridCol w:w="170"/>
        <w:gridCol w:w="109"/>
        <w:gridCol w:w="109"/>
        <w:gridCol w:w="109"/>
        <w:gridCol w:w="211"/>
        <w:gridCol w:w="684"/>
        <w:gridCol w:w="160"/>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during the period</w:t>
            </w:r>
          </w:p>
        </w:tc>
        <w:tc>
          <w:tcPr>
            <w:tcW w:w="2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into income during the period</w:t>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during the period</w:t>
            </w:r>
          </w:p>
        </w:tc>
        <w:tc>
          <w:tcPr>
            <w:tcW w:w="2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during the period</w:t>
            </w:r>
          </w:p>
        </w:tc>
        <w:tc>
          <w:tcPr>
            <w:tcW w:w="25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3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7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into income during the period</w:t>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during the period</w:t>
            </w:r>
          </w:p>
        </w:tc>
        <w:tc>
          <w:tcPr>
            <w:tcW w:w="2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during the period</w:t>
            </w:r>
          </w:p>
        </w:tc>
        <w:tc>
          <w:tcPr>
            <w:tcW w:w="2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into income during the period</w:t>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during the period</w:t>
            </w:r>
          </w:p>
        </w:tc>
        <w:tc>
          <w:tcPr>
            <w:tcW w:w="2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during the period</w:t>
            </w:r>
          </w:p>
        </w:tc>
        <w:tc>
          <w:tcPr>
            <w:tcW w:w="25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c>
          <w:tcPr>
            <w:tcW w:w="17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(5,467)</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into income during the period</w:t>
            </w:r>
          </w:p>
        </w:tc>
        <w:tc>
          <w:tcPr>
            <w:tcW w:w="2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during the period</w:t>
            </w:r>
          </w:p>
        </w:tc>
        <w:tc>
          <w:tcPr>
            <w:tcW w:w="2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effects on income before income taxes of amounts reclassified from AOCI to the condensed consolidated statements of operations were as follows:</w:t>
      </w:r>
    </w:p>
    <w:tbl>
      <w:tblPr>
        <w:tblW w:w="8415" w:type="dxa"/>
        <w:jc w:val="left"/>
        <w:tblInd w:w="0" w:type="dxa"/>
        <w:tblLayout w:type="fixed"/>
        <w:tblCellMar>
          <w:top w:w="28" w:type="dxa"/>
          <w:left w:w="28" w:type="dxa"/>
          <w:bottom w:w="28" w:type="dxa"/>
          <w:right w:w="28" w:type="dxa"/>
        </w:tblCellMar>
      </w:tblPr>
      <w:tblGrid>
        <w:gridCol w:w="1349"/>
        <w:gridCol w:w="1184"/>
        <w:gridCol w:w="1187"/>
        <w:gridCol w:w="211"/>
        <w:gridCol w:w="691"/>
        <w:gridCol w:w="109"/>
        <w:gridCol w:w="109"/>
        <w:gridCol w:w="109"/>
        <w:gridCol w:w="109"/>
        <w:gridCol w:w="211"/>
        <w:gridCol w:w="466"/>
        <w:gridCol w:w="109"/>
        <w:gridCol w:w="109"/>
        <w:gridCol w:w="109"/>
        <w:gridCol w:w="109"/>
        <w:gridCol w:w="211"/>
        <w:gridCol w:w="691"/>
        <w:gridCol w:w="109"/>
        <w:gridCol w:w="109"/>
        <w:gridCol w:w="109"/>
        <w:gridCol w:w="109"/>
        <w:gridCol w:w="211"/>
        <w:gridCol w:w="54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AOCI - Cash flow hedges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reclassification of AOCI to other income (expense), net related to available-for-sale debt securities during the three and six months ended June 30, 2026, and an immaterial amount during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Property and Equipment, Net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Property and equipment, net, consists of the following:</w:t>
      </w:r>
      <w:r>
        <w:rPr>
          <w:color w:val="000000"/>
        </w:rPr>
        <w:t xml:space="preserve"> </w:t>
      </w:r>
    </w:p>
    <w:tbl>
      <w:tblPr>
        <w:tblW w:w="6887" w:type="dxa"/>
        <w:jc w:val="left"/>
        <w:tblInd w:w="0" w:type="dxa"/>
        <w:tblLayout w:type="fixed"/>
        <w:tblCellMar>
          <w:top w:w="28" w:type="dxa"/>
          <w:left w:w="28" w:type="dxa"/>
          <w:bottom w:w="28" w:type="dxa"/>
          <w:right w:w="28" w:type="dxa"/>
        </w:tblCellMar>
      </w:tblPr>
      <w:tblGrid>
        <w:gridCol w:w="1489"/>
        <w:gridCol w:w="1306"/>
        <w:gridCol w:w="1315"/>
        <w:gridCol w:w="211"/>
        <w:gridCol w:w="826"/>
        <w:gridCol w:w="109"/>
        <w:gridCol w:w="109"/>
        <w:gridCol w:w="109"/>
        <w:gridCol w:w="109"/>
        <w:gridCol w:w="231"/>
        <w:gridCol w:w="905"/>
        <w:gridCol w:w="168"/>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189,173 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Scanner appliances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263,657 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(240,491)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23,166 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physical scanner appliances and other computer equipment that are or will be subject to leases by customers had a net carrying value of $6.9 million and $8.6 million, respectively, including assets that had not been placed in service of $3.8 million and $4.2 million, respectively. </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Depreciation and amortization expenses relating to property and equipment were $2.4 million and $3.4 million for the three months 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$4.8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$6.9 million</w:t>
      </w:r>
      <w:r>
        <w:rPr>
          <w:color w:val="000000"/>
        </w:rPr>
        <w:t xml:space="preserve"> </w:t>
      </w:r>
      <w:r>
        <w:rPr>
          <w:rFonts w:ascii="Times New Roman;serif" w:hAnsi="Times New Roman;serif"/>
          <w:b w:val="false"/>
          <w:color w:val="000000"/>
          <w:sz w:val="20"/>
        </w:rPr>
        <w:t xml:space="preserve">for the six months ended June 30, 2026 and 2025, respectively, </w:t>
      </w:r>
      <w:r>
        <w:rPr>
          <w:rFonts w:ascii="Times New Roman;serif" w:hAnsi="Times New Roman;serif"/>
          <w:b w:val="false"/>
          <w:color w:val="000000"/>
          <w:sz w:val="20"/>
          <w:shd w:fill="FFFFFF" w:val="clear"/>
        </w:rPr>
        <w:t>which were mainly recorded in cost of revenues in the condensed consolidated statements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identified indicators of impairment related to certain property and equipment and recognized an immaterial impairment charge in cost of revenue in the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Revenue from Contracts with Customers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Company records deferred revenue when cash payments are received or due in advance of its performance obligations offset by revenue recognized in the period. Revenues o</w:t>
      </w:r>
      <w:r>
        <w:rPr>
          <w:rFonts w:ascii="Times New Roman;serif" w:hAnsi="Times New Roman;serif"/>
          <w:b w:val="false"/>
          <w:color w:val="000000"/>
          <w:sz w:val="20"/>
          <w:shd w:fill="FFFFFF" w:val="clear"/>
        </w:rPr>
        <w:t xml:space="preserve">f $122.8 million and $111.4 million were recognized during the three months 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$280.6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$254.1 million</w:t>
      </w:r>
      <w:r>
        <w:rPr>
          <w:color w:val="000000"/>
        </w:rPr>
        <w:t xml:space="preserve"> </w:t>
      </w:r>
      <w:r>
        <w:rPr>
          <w:rFonts w:ascii="Times New Roman;serif" w:hAnsi="Times New Roman;serif"/>
          <w:b w:val="false"/>
          <w:color w:val="000000"/>
          <w:sz w:val="20"/>
        </w:rPr>
        <w:t xml:space="preserve">for the six months ended June 30, 2026 and 2025, respectively, </w:t>
      </w:r>
      <w:r>
        <w:rPr>
          <w:rFonts w:ascii="Times New Roman;serif" w:hAnsi="Times New Roman;serif"/>
          <w:b w:val="false"/>
          <w:color w:val="000000"/>
          <w:sz w:val="20"/>
          <w:shd w:fill="FFFFFF" w:val="clear"/>
        </w:rPr>
        <w:t xml:space="preserve">which amounts were included in the deferred revenue balances of $417.4 million and $395.7 million as of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xml:space="preserve">, respectively.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following table sets forth the expected revenue from all remaining performance obligations as of</w:t>
      </w:r>
      <w:r>
        <w:rPr>
          <w:color w:val="000000"/>
        </w:rPr>
        <w:t xml:space="preserve"> </w:t>
      </w:r>
      <w:r>
        <w:rPr>
          <w:rFonts w:ascii="Times New Roman;serif" w:hAnsi="Times New Roman;serif"/>
          <w:b w:val="false"/>
          <w:color w:val="000000"/>
          <w:sz w:val="20"/>
        </w:rPr>
        <w:t>June 30, 2026:</w:t>
      </w:r>
    </w:p>
    <w:tbl>
      <w:tblPr>
        <w:tblW w:w="3779" w:type="dxa"/>
        <w:jc w:val="left"/>
        <w:tblInd w:w="0" w:type="dxa"/>
        <w:tblLayout w:type="fixed"/>
        <w:tblCellMar>
          <w:top w:w="28" w:type="dxa"/>
          <w:left w:w="28" w:type="dxa"/>
          <w:bottom w:w="28" w:type="dxa"/>
          <w:right w:w="28" w:type="dxa"/>
        </w:tblCellMar>
      </w:tblPr>
      <w:tblGrid>
        <w:gridCol w:w="890"/>
        <w:gridCol w:w="782"/>
        <w:gridCol w:w="787"/>
        <w:gridCol w:w="234"/>
        <w:gridCol w:w="916"/>
        <w:gridCol w:w="17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162,204 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499,909 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by sales channel are as follows:</w:t>
      </w:r>
    </w:p>
    <w:tbl>
      <w:tblPr>
        <w:tblW w:w="6301" w:type="dxa"/>
        <w:jc w:val="left"/>
        <w:tblInd w:w="0" w:type="dxa"/>
        <w:tblLayout w:type="fixed"/>
        <w:tblCellMar>
          <w:top w:w="28" w:type="dxa"/>
          <w:left w:w="28" w:type="dxa"/>
          <w:bottom w:w="28" w:type="dxa"/>
          <w:right w:w="28" w:type="dxa"/>
        </w:tblCellMar>
      </w:tblPr>
      <w:tblGrid>
        <w:gridCol w:w="250"/>
        <w:gridCol w:w="219"/>
        <w:gridCol w:w="22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Partner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11</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Segment and Geographic Area Information” for disaggregation of revenue by geographic area.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costs to obtain contracts are as follows:</w:t>
      </w:r>
    </w:p>
    <w:tbl>
      <w:tblPr>
        <w:tblW w:w="3709" w:type="dxa"/>
        <w:jc w:val="left"/>
        <w:tblInd w:w="0" w:type="dxa"/>
        <w:tblLayout w:type="fixed"/>
        <w:tblCellMar>
          <w:top w:w="28" w:type="dxa"/>
          <w:left w:w="28" w:type="dxa"/>
          <w:bottom w:w="28" w:type="dxa"/>
          <w:right w:w="28" w:type="dxa"/>
        </w:tblCellMar>
      </w:tblPr>
      <w:tblGrid>
        <w:gridCol w:w="374"/>
        <w:gridCol w:w="329"/>
        <w:gridCol w:w="333"/>
        <w:gridCol w:w="211"/>
        <w:gridCol w:w="721"/>
        <w:gridCol w:w="109"/>
        <w:gridCol w:w="109"/>
        <w:gridCol w:w="109"/>
        <w:gridCol w:w="109"/>
        <w:gridCol w:w="253"/>
        <w:gridCol w:w="867"/>
        <w:gridCol w:w="185"/>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For the three months ended</w:t>
      </w:r>
      <w:r>
        <w:rPr>
          <w:color w:val="000000"/>
        </w:rPr>
        <w:t xml:space="preserve">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xml:space="preserve">, the Company recognized $2.6 million and $2.1 million, respectively, of amortization expense relating to deferred costs to obtain contracts in sales and marketing expense in the condensed consolidated statements of operations.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w:t>
      </w:r>
      <w:r>
        <w:rPr>
          <w:color w:val="000000"/>
        </w:rPr>
        <w:t xml:space="preserve">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the Company recognized $5.0 million and $4.1 million, respectively, of amortization expense relating to deferred costs to obtain contracts in sales and marketing expense in the condensed consolidated statements of operations. During the same periods, there was no impairment loss related to the deferred costs to obtain contracts.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As of December 31, 2024,</w:t>
      </w:r>
      <w:r>
        <w:rPr>
          <w:color w:val="000000"/>
        </w:rPr>
        <w:t xml:space="preserve"> </w:t>
      </w:r>
      <w:r>
        <w:rPr>
          <w:rFonts w:ascii="Times New Roman;serif" w:hAnsi="Times New Roman;serif"/>
          <w:b w:val="false"/>
          <w:color w:val="000000"/>
          <w:sz w:val="20"/>
        </w:rPr>
        <w:t>the net carrying value of the Company’s accounts receivable, current deferred revenues, and noncurrent deferred revenues were $164.6 million, $371.5 million and $24.3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Intangible Assets, Net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consist primarily of developed technology and patent licenses acquired from business or asset acquisitions. Acquired intangibles are amortized on a straight-line basis over the respective estimated useful lives of the assets.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values of intangible assets are as follows:</w:t>
      </w:r>
    </w:p>
    <w:tbl>
      <w:tblPr>
        <w:tblW w:w="10205" w:type="dxa"/>
        <w:jc w:val="left"/>
        <w:tblInd w:w="0" w:type="dxa"/>
        <w:tblLayout w:type="fixed"/>
        <w:tblCellMar>
          <w:top w:w="28" w:type="dxa"/>
          <w:left w:w="28" w:type="dxa"/>
          <w:bottom w:w="28" w:type="dxa"/>
          <w:right w:w="28" w:type="dxa"/>
        </w:tblCellMar>
      </w:tblPr>
      <w:tblGrid>
        <w:gridCol w:w="987"/>
        <w:gridCol w:w="792"/>
        <w:gridCol w:w="793"/>
        <w:gridCol w:w="109"/>
        <w:gridCol w:w="109"/>
        <w:gridCol w:w="109"/>
        <w:gridCol w:w="640"/>
        <w:gridCol w:w="640"/>
        <w:gridCol w:w="643"/>
        <w:gridCol w:w="109"/>
        <w:gridCol w:w="109"/>
        <w:gridCol w:w="109"/>
        <w:gridCol w:w="109"/>
        <w:gridCol w:w="109"/>
        <w:gridCol w:w="211"/>
        <w:gridCol w:w="721"/>
        <w:gridCol w:w="109"/>
        <w:gridCol w:w="109"/>
        <w:gridCol w:w="109"/>
        <w:gridCol w:w="109"/>
        <w:gridCol w:w="375"/>
        <w:gridCol w:w="1315"/>
        <w:gridCol w:w="196"/>
        <w:gridCol w:w="109"/>
        <w:gridCol w:w="109"/>
        <w:gridCol w:w="109"/>
        <w:gridCol w:w="269"/>
        <w:gridCol w:w="786"/>
        <w:gridCol w:w="202"/>
      </w:tblGrid>
      <w:tr>
        <w:trPr/>
        <w:tc>
          <w:tcPr>
            <w:tcW w:w="9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25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(37,205)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(37,205)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7"/>
        <w:gridCol w:w="792"/>
        <w:gridCol w:w="793"/>
        <w:gridCol w:w="109"/>
        <w:gridCol w:w="109"/>
        <w:gridCol w:w="109"/>
        <w:gridCol w:w="640"/>
        <w:gridCol w:w="640"/>
        <w:gridCol w:w="643"/>
        <w:gridCol w:w="109"/>
        <w:gridCol w:w="109"/>
        <w:gridCol w:w="109"/>
        <w:gridCol w:w="109"/>
        <w:gridCol w:w="109"/>
        <w:gridCol w:w="211"/>
        <w:gridCol w:w="721"/>
        <w:gridCol w:w="109"/>
        <w:gridCol w:w="109"/>
        <w:gridCol w:w="109"/>
        <w:gridCol w:w="109"/>
        <w:gridCol w:w="375"/>
        <w:gridCol w:w="1315"/>
        <w:gridCol w:w="196"/>
        <w:gridCol w:w="109"/>
        <w:gridCol w:w="109"/>
        <w:gridCol w:w="109"/>
        <w:gridCol w:w="269"/>
        <w:gridCol w:w="786"/>
        <w:gridCol w:w="202"/>
      </w:tblGrid>
      <w:tr>
        <w:trPr/>
        <w:tc>
          <w:tcPr>
            <w:tcW w:w="9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25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Intangible asset amortization expense was $0.7 million and $0.7 million for the three months ended June 30, 2026 and 2025, respectively, and $1.3 million and $1.3 million for</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w:t>
      </w:r>
      <w:r>
        <w:rPr>
          <w:color w:val="000000"/>
        </w:rPr>
        <w:t xml:space="preserve"> </w:t>
      </w:r>
      <w:r>
        <w:rPr>
          <w:rFonts w:ascii="Times New Roman;serif" w:hAnsi="Times New Roman;serif"/>
          <w:b w:val="false"/>
          <w:color w:val="000000"/>
          <w:sz w:val="20"/>
        </w:rPr>
        <w:t>June 30, 2026 and 2025, respectively. Intangible asset amortization expenses were primarily recorded in cost of revenues in the condensed consolidated statements of operations.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Company expects amortization expense in future periods to be as follows:</w:t>
      </w:r>
    </w:p>
    <w:tbl>
      <w:tblPr>
        <w:tblW w:w="4963" w:type="dxa"/>
        <w:jc w:val="left"/>
        <w:tblInd w:w="0" w:type="dxa"/>
        <w:tblLayout w:type="fixed"/>
        <w:tblCellMar>
          <w:top w:w="28" w:type="dxa"/>
          <w:left w:w="28" w:type="dxa"/>
          <w:bottom w:w="28" w:type="dxa"/>
          <w:right w:w="28" w:type="dxa"/>
        </w:tblCellMar>
      </w:tblPr>
      <w:tblGrid>
        <w:gridCol w:w="1319"/>
        <w:gridCol w:w="1159"/>
        <w:gridCol w:w="1166"/>
        <w:gridCol w:w="283"/>
        <w:gridCol w:w="829"/>
        <w:gridCol w:w="207"/>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future amortization expense</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The Company leases certain offices, computer equipment and its shared cloud platform facilities under non-cancelable operating leases for varying periods through 2034</w:t>
      </w:r>
      <w:r>
        <w:rPr>
          <w:rFonts w:ascii="Times New Roman;serif" w:hAnsi="Times New Roman;serif"/>
          <w:b w:val="false"/>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$3.6 million and $4.5 million for the three months ended</w:t>
      </w:r>
      <w:r>
        <w:rPr>
          <w:color w:val="000000"/>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2025, respectively, and $6.8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$8.7 million</w:t>
      </w:r>
      <w:r>
        <w:rPr>
          <w:color w:val="000000"/>
        </w:rPr>
        <w:t xml:space="preserve"> </w:t>
      </w:r>
      <w:r>
        <w:rPr>
          <w:rFonts w:ascii="Times New Roman;serif" w:hAnsi="Times New Roman;serif"/>
          <w:b w:val="false"/>
          <w:color w:val="000000"/>
          <w:sz w:val="20"/>
        </w:rPr>
        <w:t>for</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w:t>
      </w:r>
      <w:r>
        <w:rPr>
          <w:color w:val="000000"/>
        </w:rPr>
        <w:t xml:space="preserve"> </w:t>
      </w:r>
      <w:r>
        <w:rPr>
          <w:rFonts w:ascii="Times New Roman;serif" w:hAnsi="Times New Roman;serif"/>
          <w:b w:val="false"/>
          <w:color w:val="000000"/>
          <w:sz w:val="20"/>
        </w:rPr>
        <w:t>June 30, 2026 and 2025, respectively</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w:t>
      </w:r>
    </w:p>
    <w:tbl>
      <w:tblPr>
        <w:tblW w:w="7568" w:type="dxa"/>
        <w:jc w:val="left"/>
        <w:tblInd w:w="0" w:type="dxa"/>
        <w:tblLayout w:type="fixed"/>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721"/>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the weighted average discount rate of the Company's operating leases were as follows:</w:t>
      </w:r>
    </w:p>
    <w:tbl>
      <w:tblPr>
        <w:tblW w:w="6343" w:type="dxa"/>
        <w:jc w:val="left"/>
        <w:tblInd w:w="0" w:type="dxa"/>
        <w:tblLayout w:type="fixed"/>
        <w:tblCellMar>
          <w:top w:w="28" w:type="dxa"/>
          <w:left w:w="28" w:type="dxa"/>
          <w:bottom w:w="28" w:type="dxa"/>
          <w:right w:w="28" w:type="dxa"/>
        </w:tblCellMar>
      </w:tblPr>
      <w:tblGrid>
        <w:gridCol w:w="1410"/>
        <w:gridCol w:w="1241"/>
        <w:gridCol w:w="1249"/>
        <w:gridCol w:w="180"/>
        <w:gridCol w:w="181"/>
        <w:gridCol w:w="450"/>
        <w:gridCol w:w="109"/>
        <w:gridCol w:w="109"/>
        <w:gridCol w:w="109"/>
        <w:gridCol w:w="266"/>
        <w:gridCol w:w="266"/>
        <w:gridCol w:w="773"/>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Maturities of the Company's operating lease liabilities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are as follows:</w:t>
      </w:r>
    </w:p>
    <w:tbl>
      <w:tblPr>
        <w:tblW w:w="5130" w:type="dxa"/>
        <w:jc w:val="left"/>
        <w:tblInd w:w="0" w:type="dxa"/>
        <w:tblLayout w:type="fixed"/>
        <w:tblCellMar>
          <w:top w:w="28" w:type="dxa"/>
          <w:left w:w="28" w:type="dxa"/>
          <w:bottom w:w="28" w:type="dxa"/>
          <w:right w:w="28" w:type="dxa"/>
        </w:tblCellMar>
      </w:tblPr>
      <w:tblGrid>
        <w:gridCol w:w="1379"/>
        <w:gridCol w:w="1211"/>
        <w:gridCol w:w="1220"/>
        <w:gridCol w:w="256"/>
        <w:gridCol w:w="877"/>
        <w:gridCol w:w="187"/>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1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65,622 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net minimum lease payments</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53,399 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w:t>
      </w:r>
      <w:r>
        <w:rPr>
          <w:color w:val="000000"/>
        </w:rPr>
        <w:t xml:space="preserve"> </w:t>
      </w:r>
      <w:r>
        <w:rPr>
          <w:rFonts w:ascii="Times New Roman;serif" w:hAnsi="Times New Roman;serif"/>
          <w:b w:val="false"/>
          <w:color w:val="000000"/>
          <w:sz w:val="20"/>
        </w:rPr>
        <w:t>may indemnify other officers and employees, for liabilities arising out of their relationship, (ii) contracts under which the Company must indemnify directors and certain officers for liabilities arising out of their relationship, and (iii) contracts under which the Company</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Company maintains director and officer insurance, which may</w:t>
      </w:r>
      <w:r>
        <w:rPr>
          <w:color w:val="000000"/>
        </w:rPr>
        <w:t xml:space="preserve"> </w:t>
      </w:r>
      <w:r>
        <w:rPr>
          <w:rFonts w:ascii="Times New Roman;serif" w:hAnsi="Times New Roman;serif"/>
          <w:b w:val="false"/>
          <w:color w:val="000000"/>
          <w:sz w:val="20"/>
        </w:rPr>
        <w:t>cover certain liabilities arising from its obligation to indemnify its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Stockholders' Equity and Stock-based Compensation</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Incentive Plans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Restated 2012 Equity Incentive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8, 2022 (“Effective Date”), the Company's stockholders approved the Amended and Restated 2012 Equity Incentive Plan (the “Restated 2012 Plan”). Under the Restated 2012 Plan, the Company is authorized to grant to eligible participants incentive stock options, nonstatutory stock options, restricted stock, restricted stock units (“RSUs”), stock appreciation rights, performance units and performance shares. Pursuant to the relevant plan provisions, 3,072 thousand shares were available for grant under the Restated 2012 Plan on the Effective Date. In addition, any outstanding awards or options granted under the previous version of the 2012 Equity Incentive Plan (“Previous 2012 Plan”) will be added back to the shares available for grant under the Restated 2012 Plan if they expire unexercised or are otherwise forfeited after the Effective Date. Any remaining shares available for grant under the Previous 2012 Plan as of the Effective Date were no longer available for future grants under the Restated 2012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12, 2024 and June 10, 2026, the Company's stockholders approved an amendment and restatement to the Restated 2012 Plan to increase the number of shares of the Company's common stock reserved for issuance by 1,092 thousand and 1,089 thousand shares, respectively.</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2,533 thousand shares are available for future grants under the Restated 2012 Plan.</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2021 Employee Stock Purchase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During the six</w:t>
      </w:r>
      <w:r>
        <w:rPr>
          <w:color w:val="000000"/>
        </w:rPr>
        <w:t xml:space="preserve"> </w:t>
      </w:r>
      <w:r>
        <w:rPr>
          <w:rFonts w:ascii="Times New Roman;serif" w:hAnsi="Times New Roman;serif"/>
          <w:b w:val="false"/>
          <w:color w:val="000000"/>
          <w:sz w:val="20"/>
        </w:rPr>
        <w:t>months ended June 30, 2026</w:t>
      </w:r>
      <w:r>
        <w:rPr>
          <w:rFonts w:ascii="Times New Roman;serif" w:hAnsi="Times New Roman;serif"/>
          <w:b w:val="false"/>
          <w:color w:val="000000"/>
          <w:sz w:val="20"/>
          <w:shd w:fill="FFFFFF" w:val="clear"/>
        </w:rPr>
        <w:t xml:space="preserve">, 43 thousand shares were issued in connection with the purchase of common stock by participating employees.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328 thousand shares were available for future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granted under the Restated 2012 Plan and Previous 2012 Plan (collectively, the “Plans”) generally vest based on continued service over four years and expire ten years from the date of grant.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A summary of the Company’s stock option activity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is as follows:</w:t>
      </w:r>
    </w:p>
    <w:tbl>
      <w:tblPr>
        <w:tblW w:w="10205" w:type="dxa"/>
        <w:jc w:val="left"/>
        <w:tblInd w:w="0" w:type="dxa"/>
        <w:tblLayout w:type="fixed"/>
        <w:tblCellMar>
          <w:top w:w="28" w:type="dxa"/>
          <w:left w:w="28" w:type="dxa"/>
          <w:bottom w:w="28" w:type="dxa"/>
          <w:right w:w="28" w:type="dxa"/>
        </w:tblCellMar>
      </w:tblPr>
      <w:tblGrid>
        <w:gridCol w:w="939"/>
        <w:gridCol w:w="763"/>
        <w:gridCol w:w="768"/>
        <w:gridCol w:w="492"/>
        <w:gridCol w:w="492"/>
        <w:gridCol w:w="494"/>
        <w:gridCol w:w="109"/>
        <w:gridCol w:w="109"/>
        <w:gridCol w:w="109"/>
        <w:gridCol w:w="349"/>
        <w:gridCol w:w="1193"/>
        <w:gridCol w:w="180"/>
        <w:gridCol w:w="109"/>
        <w:gridCol w:w="109"/>
        <w:gridCol w:w="109"/>
        <w:gridCol w:w="619"/>
        <w:gridCol w:w="619"/>
        <w:gridCol w:w="621"/>
        <w:gridCol w:w="109"/>
        <w:gridCol w:w="109"/>
        <w:gridCol w:w="109"/>
        <w:gridCol w:w="327"/>
        <w:gridCol w:w="1121"/>
        <w:gridCol w:w="247"/>
      </w:tblGrid>
      <w:tr>
        <w:trPr/>
        <w:tc>
          <w:tcPr>
            <w:tcW w:w="93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w:t>
              <w:b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4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47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RSUs granted under the Plans generally only contain a service-based vesting condition that is typically satisfied over four years.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at times, grants performance-based restricted stock units (“PRSU”) under the Plans, to its executive officers and certain other members of its senior leadership team. These PRSUs include both service-based and performance-based vesting conditions. During the fourth quarter each year, the Company’s board of directors (the “Board”) or the Compensation and Talent Committee (“CTC”) approves the target value for the PRSUs. The target PRSUs are scheduled to vest in three equal annual installments over a three-year period, beginning the year after approval. The performance-based vesting condition is satisfied upon the achievement of certain Company annual performance metrics, including revenue growth and adjusted EBITDA margin, which are approved annually by the Board or the CTC. Each annual installments at 200% of the annual target will be considered granted when the performance metrics for the corresponding performance year is determined and approved. The actual number of the PRSUs earned and eligible to vest ranges from 0% to 200% of the annual target, based on the weighted-average achievement of such Company annual performance metrics set for the corresponding annual performance period. Up to 100% of the first and second installment will vest and be released upon completion of the respective performance period following the certification by the Audit and Risk Committee (“ARC”), with cumulative achievement over 100%, if any, to be vested and released at the end of the third year performance period, along with the third installment, following the certification by the ARC. Under the Plan,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unvested PRSU award may be accelerated in part or in full upon the occurrence of certain events, such as death or disability, or a change in control, as defined in the grant agreement.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A summary of the Company’s RSU activity, inclusive of PRSU activity,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is as follows:</w:t>
      </w:r>
    </w:p>
    <w:tbl>
      <w:tblPr>
        <w:tblW w:w="10078" w:type="dxa"/>
        <w:jc w:val="left"/>
        <w:tblInd w:w="0" w:type="dxa"/>
        <w:tblLayout w:type="fixed"/>
        <w:tblCellMar>
          <w:top w:w="28" w:type="dxa"/>
          <w:left w:w="28" w:type="dxa"/>
          <w:bottom w:w="28" w:type="dxa"/>
          <w:right w:w="28" w:type="dxa"/>
        </w:tblCellMar>
      </w:tblPr>
      <w:tblGrid>
        <w:gridCol w:w="1608"/>
        <w:gridCol w:w="1411"/>
        <w:gridCol w:w="1420"/>
        <w:gridCol w:w="544"/>
        <w:gridCol w:w="544"/>
        <w:gridCol w:w="546"/>
        <w:gridCol w:w="110"/>
        <w:gridCol w:w="110"/>
        <w:gridCol w:w="110"/>
        <w:gridCol w:w="714"/>
        <w:gridCol w:w="2440"/>
        <w:gridCol w:w="521"/>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RSUs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br/>
              <w:t>Per Share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June 30, 2026</w:t>
            </w:r>
          </w:p>
        </w:tc>
        <w:tc>
          <w:tcPr>
            <w:tcW w:w="163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(1)Included 165 thousand PRSUs granted to certain executive officers in 2025, 2024 and 2022.</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(2)Included 201 thousand PRSUs granted to certain executive officers in the six months ended June 30, 2026.</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(3)Included 91 thousand PRSUs granted to certain executive officers in 2025 and 2022.</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(4)Included 59 thousand PRSUs granted to certain executive officers in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(5)Included 216 thousand PRSUs granted to certain executive officers in 2026, 2025 and 2024.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the stock-based compensation expenses included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23"/>
        <w:gridCol w:w="1596"/>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amounts capitalized (1)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(1)Total stock-based compensation expense capitalized was de minimis during the three and six months ended June 30, 2026 and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Of the total stock-based compensation expense in the table above, the Company recognized stock-based compensation expenses related to all PRSUs of $3.6 million and $2.9 million during the three months ended June 30, 2026 and 2025, respectively, and $7.0 million and $6.2 million for the six months ended June 30, 2026 and 2025, respectively.</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had unrecognized stock-based compensation expenses of $13.4 million, $76.9 million, $9.5 million, and $0.3 million related to options, RSUs, PRSUs, and ESPP purchase rights, respectively, which are expected to be recognized over weighted-average periods of 2.5 years, 2.6 years, 0.8 years, and 0.1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share repurchase program was authorized by the board of directors as follows: </w:t>
      </w:r>
    </w:p>
    <w:tbl>
      <w:tblPr>
        <w:tblW w:w="4721" w:type="dxa"/>
        <w:jc w:val="left"/>
        <w:tblInd w:w="0" w:type="dxa"/>
        <w:tblLayout w:type="fixed"/>
        <w:tblCellMar>
          <w:top w:w="28" w:type="dxa"/>
          <w:left w:w="28" w:type="dxa"/>
          <w:bottom w:w="28" w:type="dxa"/>
          <w:right w:w="28" w:type="dxa"/>
        </w:tblCellMar>
      </w:tblPr>
      <w:tblGrid>
        <w:gridCol w:w="782"/>
        <w:gridCol w:w="688"/>
        <w:gridCol w:w="689"/>
        <w:gridCol w:w="109"/>
        <w:gridCol w:w="109"/>
        <w:gridCol w:w="109"/>
        <w:gridCol w:w="417"/>
        <w:gridCol w:w="1514"/>
        <w:gridCol w:w="30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Announcement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Authorized Dollar Value</w:t>
            </w:r>
          </w:p>
        </w:tc>
      </w:tr>
      <w:tr>
        <w:trPr/>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original cost of additional paid-in capital per share of identified issuances. The remaining amount is allocated to accumulated deficit.</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the six months ended June 30, 2026 and 2025, the Company repurchased 1,302 thousand shares and 668 thousand shares of its common stock for approximately </w:t>
      </w:r>
      <w:r>
        <w:rPr>
          <w:rFonts w:ascii="Times New Roman;serif" w:hAnsi="Times New Roman;serif"/>
          <w:b w:val="false"/>
          <w:color w:val="000000"/>
          <w:sz w:val="20"/>
          <w:shd w:fill="FFFFFF" w:val="clear"/>
        </w:rPr>
        <w:t xml:space="preserve">$130.7 million </w:t>
      </w:r>
      <w:r>
        <w:rPr>
          <w:rFonts w:ascii="Times New Roman;serif" w:hAnsi="Times New Roman;serif"/>
          <w:b w:val="false"/>
          <w:color w:val="000000"/>
          <w:sz w:val="20"/>
        </w:rPr>
        <w:t>and $88.8 million, respectively. As of June 30, 2026, $229.8 million remained available for share repurchases pursuant to the Company's share repurchase program.</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the six months ended June 30, 2026 and 2025, the Company made excise tax payments on stock repurchases, net of issuances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$0.5 million</w:t>
      </w:r>
      <w:r>
        <w:rPr>
          <w:rFonts w:ascii="Times New Roman;serif" w:hAnsi="Times New Roman;serif"/>
          <w:b w:val="false"/>
          <w:color w:val="000000"/>
          <w:sz w:val="20"/>
        </w:rPr>
        <w:t xml:space="preserve">, respectively. As of June 30, 2026 and December 31, 2025, excise tax payable on stock repurchases, net of issuances was </w:t>
      </w:r>
      <w:r>
        <w:rPr>
          <w:rFonts w:ascii="Times New Roman;serif" w:hAnsi="Times New Roman;serif"/>
          <w:b w:val="false"/>
          <w:color w:val="000000"/>
          <w:sz w:val="20"/>
          <w:shd w:fill="FFFFFF" w:val="clear"/>
        </w:rPr>
        <w:t>$1.1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$1.0 million</w:t>
      </w:r>
      <w:r>
        <w:rPr>
          <w:rFonts w:ascii="Times New Roman;serif" w:hAnsi="Times New Roman;serif"/>
          <w:b w:val="false"/>
          <w:color w:val="000000"/>
          <w:sz w:val="20"/>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enacted tax legislation, and the benefits related to the Foreign-Derived Deduction-Eligible Income (“FDDEI”) Deduction.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Beginning in 2026, the OBBBA changes to the FDDEI deduction and Net CFC Tested Income (“NCTI”) became effective. The Company has recognized the effects of these OBBBA provisions in its financial results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$14.7 million and $11.5 million for the three months ended June 30, 2026 and 2025, respectively, resulting in an effective tax rate of 21.9% and 19.6%, respectively. The increase in income tax provision for the three months ended June 30, 2026 compared to the three months ended June 30, 2025, was primarily attributable to higher pretax income, a decrease in the federal R&amp;D credit, and a higher tax expense from discrete adjustments in the period, primarily related to share-based compensation. These increases were partially offset by a higher tax benefit from FDDEI provisions that became effective in 2026 under OBBBA.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$29.0 million and $22.3 million for the six months ended June 30, 2026 and 2025, respectively, resulting in an effective tax rate of 22.0% and 19.0%, respectively. The increase in income tax provision for the six months ended June 30, 2026 compared to the six months ended June 30, 2025, was primarily attributable to higher pretax income, a decrease in the federal R&amp;D credit, and a higher tax expense from discrete adjustments in the period, primarily related to share-based compensation. These increases were partially offset by a higher tax benefit from FDDEI provision that became effective in 2026 under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Segment and Geographic Area Information</w:t>
      </w:r>
    </w:p>
    <w:p>
      <w:pPr>
        <w:pStyle w:val="TextBody"/>
        <w:bidi w:val="0"/>
        <w:spacing w:lineRule="auto" w:line="288" w:before="240" w:after="283"/>
        <w:ind w:left="0" w:right="0" w:firstLine="450"/>
        <w:jc w:val="both"/>
        <w:rPr/>
      </w:pPr>
      <w:r>
        <w:rPr>
          <w:rFonts w:ascii="Times New Roman;serif" w:hAnsi="Times New Roman;serif"/>
          <w:b w:val="false"/>
          <w:color w:val="000000"/>
          <w:sz w:val="20"/>
        </w:rPr>
        <w:t>Under ASC 280</w:t>
      </w:r>
      <w:r>
        <w:rPr>
          <w:color w:val="000000"/>
        </w:rPr>
        <w:t xml:space="preserve"> </w:t>
      </w:r>
      <w:r>
        <w:rPr>
          <w:rFonts w:ascii="Times New Roman;serif" w:hAnsi="Times New Roman;serif"/>
          <w:b w:val="false"/>
          <w:color w:val="000000"/>
          <w:sz w:val="20"/>
        </w:rPr>
        <w:t>Segment Reporting, operating segments are defined as components of an entity about which separate financial information is evaluated regularly by the chief operating decision maker (“CODM”) in deciding how to allocate resources and in assessing performance. The Company operates in one operating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key measure of segment profit or loss that the CODM uses to allocate resources and in assessing performance is the Company’s consolidated net income, as reported on the Condensed Consolidated Statements of Operations. The CODM uses net income to monitor actual results against budgeted and prior period operating results for the purpose of evaluating operational efficiency, and to evaluate income generated from the assets in making strategic decisions on organizational resource allocation, as well as to benchmark segment performance against industry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manages the business using consolidated expense information. The following table sets forth the Company's reported segment revenue, segment profit or loss, and significant segment expenses:</w:t>
      </w:r>
    </w:p>
    <w:tbl>
      <w:tblPr>
        <w:tblW w:w="10205" w:type="dxa"/>
        <w:jc w:val="left"/>
        <w:tblInd w:w="0" w:type="dxa"/>
        <w:tblLayout w:type="fixed"/>
        <w:tblCellMar>
          <w:top w:w="28" w:type="dxa"/>
          <w:left w:w="28" w:type="dxa"/>
          <w:bottom w:w="28" w:type="dxa"/>
          <w:right w:w="28" w:type="dxa"/>
        </w:tblCellMar>
      </w:tblPr>
      <w:tblGrid>
        <w:gridCol w:w="1797"/>
        <w:gridCol w:w="1393"/>
        <w:gridCol w:w="140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9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stock-based compensation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(exclusive of stock-based compensation and 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(exclusive of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(exclusive of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Other segment items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segment items included in segment net income includes interest expense, realized and unrealized gain/loss on foreign exchange transactions, and impairment of non-marketable securities.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by geographic area, based on the customer's billing address, is as follows:</w:t>
      </w:r>
    </w:p>
    <w:tbl>
      <w:tblPr>
        <w:tblW w:w="6929" w:type="dxa"/>
        <w:jc w:val="left"/>
        <w:tblInd w:w="0" w:type="dxa"/>
        <w:tblLayout w:type="fixed"/>
        <w:tblCellMar>
          <w:top w:w="28" w:type="dxa"/>
          <w:left w:w="28" w:type="dxa"/>
          <w:bottom w:w="28" w:type="dxa"/>
          <w:right w:w="28" w:type="dxa"/>
        </w:tblCellMar>
      </w:tblPr>
      <w:tblGrid>
        <w:gridCol w:w="479"/>
        <w:gridCol w:w="419"/>
        <w:gridCol w:w="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 Long-lived assets, which consist of Property and equipment, net and Operating leases - right of use asset, by geographic area, are as follows:</w:t>
      </w:r>
    </w:p>
    <w:tbl>
      <w:tblPr>
        <w:tblW w:w="4638" w:type="dxa"/>
        <w:jc w:val="left"/>
        <w:tblInd w:w="0" w:type="dxa"/>
        <w:tblLayout w:type="fixed"/>
        <w:tblCellMar>
          <w:top w:w="28" w:type="dxa"/>
          <w:left w:w="28" w:type="dxa"/>
          <w:bottom w:w="28" w:type="dxa"/>
          <w:right w:w="28" w:type="dxa"/>
        </w:tblCellMar>
      </w:tblPr>
      <w:tblGrid>
        <w:gridCol w:w="713"/>
        <w:gridCol w:w="624"/>
        <w:gridCol w:w="628"/>
        <w:gridCol w:w="211"/>
        <w:gridCol w:w="721"/>
        <w:gridCol w:w="109"/>
        <w:gridCol w:w="109"/>
        <w:gridCol w:w="109"/>
        <w:gridCol w:w="109"/>
        <w:gridCol w:w="253"/>
        <w:gridCol w:w="867"/>
        <w:gridCol w:w="185"/>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Net Income Per Share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computations for basic and diluted net income per share are as follows: </w:t>
      </w:r>
    </w:p>
    <w:tbl>
      <w:tblPr>
        <w:tblW w:w="9740" w:type="dxa"/>
        <w:jc w:val="left"/>
        <w:tblInd w:w="0" w:type="dxa"/>
        <w:tblLayout w:type="fixed"/>
        <w:tblCellMar>
          <w:top w:w="28" w:type="dxa"/>
          <w:left w:w="28" w:type="dxa"/>
          <w:bottom w:w="28" w:type="dxa"/>
          <w:right w:w="28" w:type="dxa"/>
        </w:tblCellMar>
      </w:tblPr>
      <w:tblGrid>
        <w:gridCol w:w="1098"/>
        <w:gridCol w:w="968"/>
        <w:gridCol w:w="979"/>
        <w:gridCol w:w="277"/>
        <w:gridCol w:w="947"/>
        <w:gridCol w:w="143"/>
        <w:gridCol w:w="143"/>
        <w:gridCol w:w="143"/>
        <w:gridCol w:w="143"/>
        <w:gridCol w:w="277"/>
        <w:gridCol w:w="947"/>
        <w:gridCol w:w="143"/>
        <w:gridCol w:w="109"/>
        <w:gridCol w:w="109"/>
        <w:gridCol w:w="109"/>
        <w:gridCol w:w="264"/>
        <w:gridCol w:w="1036"/>
        <w:gridCol w:w="136"/>
        <w:gridCol w:w="136"/>
        <w:gridCol w:w="136"/>
        <w:gridCol w:w="136"/>
        <w:gridCol w:w="264"/>
        <w:gridCol w:w="904"/>
        <w:gridCol w:w="193"/>
      </w:tblGrid>
      <w:tr>
        <w:trPr/>
        <w:tc>
          <w:tcPr>
            <w:tcW w:w="109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shares: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not included in the calculation of diluted net income per share because doing so would be anti-dilutive are as follows:</w:t>
      </w:r>
    </w:p>
    <w:tbl>
      <w:tblPr>
        <w:tblW w:w="6535" w:type="dxa"/>
        <w:jc w:val="left"/>
        <w:tblInd w:w="0" w:type="dxa"/>
        <w:tblLayout w:type="fixed"/>
        <w:tblCellMar>
          <w:top w:w="28" w:type="dxa"/>
          <w:left w:w="28" w:type="dxa"/>
          <w:bottom w:w="28" w:type="dxa"/>
          <w:right w:w="28" w:type="dxa"/>
        </w:tblCellMar>
      </w:tblPr>
      <w:tblGrid>
        <w:gridCol w:w="938"/>
        <w:gridCol w:w="825"/>
        <w:gridCol w:w="832"/>
        <w:gridCol w:w="208"/>
        <w:gridCol w:w="208"/>
        <w:gridCol w:w="208"/>
        <w:gridCol w:w="208"/>
        <w:gridCol w:w="208"/>
        <w:gridCol w:w="208"/>
        <w:gridCol w:w="208"/>
        <w:gridCol w:w="208"/>
        <w:gridCol w:w="208"/>
        <w:gridCol w:w="109"/>
        <w:gridCol w:w="109"/>
        <w:gridCol w:w="109"/>
        <w:gridCol w:w="193"/>
        <w:gridCol w:w="193"/>
        <w:gridCol w:w="185"/>
        <w:gridCol w:w="178"/>
        <w:gridCol w:w="178"/>
        <w:gridCol w:w="178"/>
        <w:gridCol w:w="192"/>
        <w:gridCol w:w="192"/>
        <w:gridCol w:w="252"/>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shares</w:t>
            </w:r>
          </w:p>
        </w:tc>
        <w:tc>
          <w:tcPr>
            <w:tcW w:w="6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2025.</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“would,” “estimates,” “expects,” “future,” “intends,” “likely,” “may,” “plans,” “potential,” “predicts,” “projects,” “forecasts,”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financial performance, including our revenues, costs, expenditures, growth rates, operating expenses and ability to generate positive cash flow to fund our operations and sustain profitability;</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anticipated technology trends, such as the use of cloud solutions, and use of artificial intelligence (“AI”);</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adapt to changing market conditions;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economic and financial conditions, including volatility in foreign exchange rates, inflation concerns, high interest rates, recessionary fears, significant volatility of global markets, reduced spending, budget scrutiny and extended sales cycles, and geopolitical conflicts;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diversify our sources of revenues, including selling additional solutions to our existing customers and our ability to pursue new customers;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the effects of increased competition in our market;</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innovate and enhance our cloud solutions and platform and introduce new solutions;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effectively manage our growth;</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anticipated investments in sales and marketing, our infrastructure, new solutions, research and development, and acquisitions;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maintaining and enhancing our relationships with channel partners;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maintain, protect and enhance our brand and intellectual property;</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costs associated with defending intellectual property infringement and other claims;</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attract and retain qualified employees and key personnel, including sales and marketing personnel;</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ability to successfully enter new markets and manage our international expansion;</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expectations, assumptions and conclusions related to our income tax provision, our deferred tax assets and our effective tax rate;</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expectations regarding the performance of, and our future trading activity with respect to, the marketable securities we hold;</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our expectations regarding our share repurchase program; and</w:t>
      </w:r>
    </w:p>
    <w:p>
      <w:pPr>
        <w:pStyle w:val="TextBody"/>
        <w:bidi w:val="0"/>
        <w:spacing w:lineRule="auto" w:line="288" w:before="0" w:after="0"/>
        <w:ind w:left="0" w:right="0" w:hanging="576"/>
        <w:jc w:val="both"/>
        <w:rPr/>
      </w:pPr>
      <w:r>
        <w:rPr>
          <w:color w:val="000000"/>
        </w:rPr>
        <w:t>•</w:t>
      </w:r>
      <w:r>
        <w:rPr>
          <w:rFonts w:ascii="Times New Roman;serif" w:hAnsi="Times New Roman;serif"/>
          <w:b w:val="false"/>
          <w:i/>
          <w:color w:val="000000"/>
          <w:sz w:val="20"/>
        </w:rPr>
        <w:t xml:space="preserve">other factors discussed in this Quarterly Report on Form 10-Q in the sections titled “Risk Factors” and “Management's Discussion and Analysis of Financial Condition and Results of Operations.” </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not rely on forward-looking statements as predictions of future events. Except as required by law, neither we nor any other person assumes responsibility for the accuracy and completeness of the forward-looking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we undertake no obligation to update any forward-looking statements to reflect events or circumstances after the date of such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platform addresses the growing security and compliance complexities and risks that are amplified by the dissolving boundaries between IT infrastructures and web environments, the rapid adoption of cloud computing, containers and serverless IT models, and the proliferation of geographically dispersed IT assets. Our integrated suite of IT, security and compliance solutions delivered on Qualys' Enterprise TruRisk Platform enables our customers to identify and manage their IT and operational technology (“OT”) assets, collect and analyze large amounts of IT security data, discover and prioritize vulnerabilities, quantify cyber risk exposure, recommend and implement remediation actions and verify the implementation of such actions.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IT, information security, application security, endpoint, developer security and cloud teams.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and sell our solutions to enterprises, government entities and small and medium-sized businesses across a broad range of industries, including education, financial services, government, healthcare, insurance, manufacturing, media, retail, technology and utilities. For the six months ended June 30, 2026 and 2025, approximately 55% and 57%,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leading cloud providers, value-added resellers and consulting firms in the United States and internationally.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Impacts of Current Macroeconomic Environment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uncertainty surrounding macroeconomic factors in the U.S. and globally characterized by inflationary pressure, high interest rates, significant volatility of global markets, reduced spending and extended sales cycles, tariff and non-tariff trade barriers, economic and regulatory uncertainty,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cloud platform into our customers' private cloud environment. Customers are required to return physical scanner appliances and computer equipment if they do not renew their subscriptions.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invest in our customer support and operations teams to support our customers and operations, which in turn, is expected to increase the cost of revenues in absolute dollars.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and overhead allocations. We expect to continue to devote resources to research and development in an effort to continuously improve our existing solutions as well as develop new solutions and capabilities, which in turn, is expected to increase the research and development expenses in absolute dollars.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sales and marketing teams and also in more marketing programs to support new solutions on our platform, which in turn, is expected to increase sales and marketing expenses in absolute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to continue to invest in our people and incur professional services to support our growth and compliance with legal and regulatory requirements, which in turn, is expected to increase general and administrative expenses in absolute dollars.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other income (expense), net consists primarily of interest and returns from our cash equivalent, short-term and long-term marketable securities, non-marketable securities gains, losses and impairments of non-marketable securities, and foreign exchange gains and losses.</w:t>
      </w:r>
    </w:p>
    <w:p>
      <w:pPr>
        <w:pStyle w:val="TextBody"/>
        <w:bidi w:val="0"/>
        <w:spacing w:lineRule="auto" w:line="288" w:before="24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Provision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We regularly assess the realizability of our net deferred tax assets. As of June 30, 2026, valuation allowances remain in certain jurisdictions where we believe it is necessary to see positive evidence, such as sustained achievement of sufficient profits, to meet a more likely than not stance that the valuation allowance should be reversed. The exact timing and amount of the valuation allowance release is subject to change based on the level of profitability achieved in future periods. Release of the valuation allowance would result in the recognition of deferred tax assets and a corresponding decrease to income tax expense in the period the release is recorded.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OBBBA was signed into law. Beginning in 2026, the OBBBA changes to FDDEI Deduction and NCTI become effective. We have recognized the effects of these OBBBA provisions in our financial results for the six months ended June 30, 2026. These changes generally resulted in a decrease to our income tax provision for the period. We will continue to monitor the impact of the OBBBA and the range of potential outcomes, which will depend on facts in each year and anticipated guidance from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condensed consolidated statements of operations data for each of the periods presented as a percentage of revenues:</w:t>
      </w:r>
    </w:p>
    <w:tbl>
      <w:tblPr>
        <w:tblW w:w="6776" w:type="dxa"/>
        <w:jc w:val="left"/>
        <w:tblInd w:w="0" w:type="dxa"/>
        <w:tblLayout w:type="fixed"/>
        <w:tblCellMar>
          <w:top w:w="28" w:type="dxa"/>
          <w:left w:w="28" w:type="dxa"/>
          <w:bottom w:w="28" w:type="dxa"/>
          <w:right w:w="28" w:type="dxa"/>
        </w:tblCellMar>
      </w:tblPr>
      <w:tblGrid>
        <w:gridCol w:w="865"/>
        <w:gridCol w:w="757"/>
        <w:gridCol w:w="762"/>
        <w:gridCol w:w="241"/>
        <w:gridCol w:w="180"/>
        <w:gridCol w:w="389"/>
        <w:gridCol w:w="156"/>
        <w:gridCol w:w="156"/>
        <w:gridCol w:w="156"/>
        <w:gridCol w:w="241"/>
        <w:gridCol w:w="180"/>
        <w:gridCol w:w="389"/>
        <w:gridCol w:w="109"/>
        <w:gridCol w:w="109"/>
        <w:gridCol w:w="109"/>
        <w:gridCol w:w="222"/>
        <w:gridCol w:w="199"/>
        <w:gridCol w:w="337"/>
        <w:gridCol w:w="135"/>
        <w:gridCol w:w="135"/>
        <w:gridCol w:w="135"/>
        <w:gridCol w:w="222"/>
        <w:gridCol w:w="199"/>
        <w:gridCol w:w="393"/>
      </w:tblGrid>
      <w:tr>
        <w:trPr/>
        <w:tc>
          <w:tcPr>
            <w:tcW w:w="86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Three and Six Months Ended June 30, 2026 and 2025</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Revenues</w:t>
      </w:r>
    </w:p>
    <w:tbl>
      <w:tblPr>
        <w:tblW w:w="11090"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8"/>
        <w:gridCol w:w="158"/>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8"/>
        <w:gridCol w:w="158"/>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Revenues increased by $18.1 million for the three months ended June 30, 2026 compared to the same period in 2025, driven by increased demand for our subscription services by our end customers</w:t>
      </w:r>
      <w:r>
        <w:rPr>
          <w:rFonts w:ascii="Times New Roman;serif" w:hAnsi="Times New Roman;serif"/>
          <w:b w:val="false"/>
          <w:color w:val="000000"/>
          <w:sz w:val="20"/>
        </w:rPr>
        <w:t xml:space="preserve">. Of the total increase of </w:t>
      </w:r>
      <w:r>
        <w:rPr>
          <w:rFonts w:ascii="Times New Roman;serif" w:hAnsi="Times New Roman;serif"/>
          <w:b w:val="false"/>
          <w:color w:val="000000"/>
          <w:sz w:val="20"/>
          <w:shd w:fill="FFFFFF" w:val="clear"/>
        </w:rPr>
        <w:t>$18.1 million in revenues</w:t>
      </w:r>
      <w:r>
        <w:rPr>
          <w:rFonts w:ascii="Times New Roman;serif" w:hAnsi="Times New Roman;serif"/>
          <w:b w:val="false"/>
          <w:color w:val="000000"/>
          <w:sz w:val="20"/>
        </w:rPr>
        <w:t xml:space="preserve">, 97% was from revenues from customers existing prior to April 1, 2026, and the remaining 3% was from new customers added in the three months ended June 30, 2026. Of the total increase of </w:t>
      </w:r>
      <w:r>
        <w:rPr>
          <w:rFonts w:ascii="Times New Roman;serif" w:hAnsi="Times New Roman;serif"/>
          <w:b w:val="false"/>
          <w:color w:val="000000"/>
          <w:sz w:val="20"/>
          <w:shd w:fill="FFFFFF" w:val="clear"/>
        </w:rPr>
        <w:t>$18.1 million</w:t>
      </w:r>
      <w:r>
        <w:rPr>
          <w:rFonts w:ascii="Times New Roman;serif" w:hAnsi="Times New Roman;serif"/>
          <w:b w:val="false"/>
          <w:color w:val="000000"/>
          <w:sz w:val="20"/>
        </w:rPr>
        <w:t>, 41% was from customers in the United States and the remaining 59% was from customers in foreign countries. Of the total increase of $18.1 million, 2% was from direct customers and the remaining 98% was from partners. In the three months ended June 30, 2026, 46% of total revenue was direct and the remaining 54% was from partners.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Revenues increased by $33.9 million for the six months ended June 30, 2026 compared to the same period in 2025, driven by increased demand for our subscription services by our end customers</w:t>
      </w:r>
      <w:r>
        <w:rPr>
          <w:rFonts w:ascii="Times New Roman;serif" w:hAnsi="Times New Roman;serif"/>
          <w:b w:val="false"/>
          <w:color w:val="000000"/>
          <w:sz w:val="20"/>
        </w:rPr>
        <w:t xml:space="preserve">. Of the total increase of </w:t>
      </w:r>
      <w:r>
        <w:rPr>
          <w:rFonts w:ascii="Times New Roman;serif" w:hAnsi="Times New Roman;serif"/>
          <w:b w:val="false"/>
          <w:color w:val="000000"/>
          <w:sz w:val="20"/>
          <w:shd w:fill="FFFFFF" w:val="clear"/>
        </w:rPr>
        <w:t>$33.9 million in revenues</w:t>
      </w:r>
      <w:r>
        <w:rPr>
          <w:rFonts w:ascii="Times New Roman;serif" w:hAnsi="Times New Roman;serif"/>
          <w:b w:val="false"/>
          <w:color w:val="000000"/>
          <w:sz w:val="20"/>
        </w:rPr>
        <w:t xml:space="preserve">, 91% was from revenues from customers existing prior to January 1, 2026, and the remaining 9% was from new customers added in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Of the total increase of </w:t>
      </w:r>
      <w:r>
        <w:rPr>
          <w:rFonts w:ascii="Times New Roman;serif" w:hAnsi="Times New Roman;serif"/>
          <w:b w:val="false"/>
          <w:color w:val="000000"/>
          <w:sz w:val="20"/>
          <w:shd w:fill="FFFFFF" w:val="clear"/>
        </w:rPr>
        <w:t>$33.9 million</w:t>
      </w:r>
      <w:r>
        <w:rPr>
          <w:rFonts w:ascii="Times New Roman;serif" w:hAnsi="Times New Roman;serif"/>
          <w:b w:val="false"/>
          <w:color w:val="000000"/>
          <w:sz w:val="20"/>
        </w:rPr>
        <w:t xml:space="preserve">, 38% was from customers in the United States and the remaining 62% was from customers in foreign countries. Of the total increase of </w:t>
      </w:r>
      <w:r>
        <w:rPr>
          <w:rFonts w:ascii="Times New Roman;serif" w:hAnsi="Times New Roman;serif"/>
          <w:b w:val="false"/>
          <w:color w:val="000000"/>
          <w:sz w:val="20"/>
          <w:shd w:fill="FFFFFF" w:val="clear"/>
        </w:rPr>
        <w:t>$33.9 million</w:t>
      </w:r>
      <w:r>
        <w:rPr>
          <w:rFonts w:ascii="Times New Roman;serif" w:hAnsi="Times New Roman;serif"/>
          <w:b w:val="false"/>
          <w:color w:val="000000"/>
          <w:sz w:val="20"/>
        </w:rPr>
        <w:t xml:space="preserve">, 7% was from direct customers and the remaining 93% was from partners. In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47% of total revenue was direct and the remaining 53% was from partners.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our strong market position driving further demand for our solutions, we expect revenue growth from new and existing customers to continue.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309"/>
        <w:gridCol w:w="273"/>
        <w:gridCol w:w="27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317"/>
      </w:tblGrid>
      <w:tr>
        <w:trPr/>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revenues increased by $1.4 million for the three months ended June 30, 2026 compared to the same period in 2025, primarily due to an increase in personnel costs of $0.9 million, driven by additional employees hired to support the growth of our business, an increase in shared cloud platform costs of $0.4 million, and an increase of $0.6 million primarily attributable to overhead allocations and other costs. The increase was partially offset by a decrease in depreciation and amortization expense of $0.5 million resulting from certain of our assets that became fully depreciated or amortized.</w:t>
      </w:r>
    </w:p>
    <w:p>
      <w:pPr>
        <w:pStyle w:val="TextBody"/>
        <w:bidi w:val="0"/>
        <w:spacing w:lineRule="auto" w:line="288" w:before="1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revenues increased by $2.4 million for the six months ended June 30, 2026 compared to the same period in 2025, primarily due to an increase in personnel costs of $1.8 million, driven by additional employees hired to support the growth of our business, an impairment of our property and equipment of $0.6 million, an increase in shared cloud platform cost of $0.6 million, and an increase of $0.5 million primarily attributable to overhead allocations and other costs. The increase was partially offset by a decrease in depreciation and amortization expense of $1.1 million resulting from certain of our assets that became fully depreciated or amortized.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10234" w:type="dxa"/>
        <w:jc w:val="left"/>
        <w:tblInd w:w="0" w:type="dxa"/>
        <w:tblLayout w:type="fixed"/>
        <w:tblCellMar>
          <w:top w:w="28" w:type="dxa"/>
          <w:left w:w="28" w:type="dxa"/>
          <w:bottom w:w="28" w:type="dxa"/>
          <w:right w:w="28" w:type="dxa"/>
        </w:tblCellMar>
      </w:tblPr>
      <w:tblGrid>
        <w:gridCol w:w="430"/>
        <w:gridCol w:w="377"/>
        <w:gridCol w:w="37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09"/>
        <w:gridCol w:w="109"/>
        <w:gridCol w:w="271"/>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09"/>
        <w:gridCol w:w="109"/>
        <w:gridCol w:w="316"/>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Research and development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by $0.4 million</w:t>
      </w:r>
      <w:r>
        <w:rPr>
          <w:color w:val="000000"/>
        </w:rPr>
        <w:t xml:space="preserve"> </w:t>
      </w:r>
      <w:r>
        <w:rPr>
          <w:rFonts w:ascii="Times New Roman;serif" w:hAnsi="Times New Roman;serif"/>
          <w:b w:val="false"/>
          <w:color w:val="000000"/>
          <w:sz w:val="20"/>
          <w:shd w:fill="FFFFFF" w:val="clear"/>
        </w:rPr>
        <w:t>for the three months ended June 30, 2026 compared to the same period in 2025, primarily due to an increase in overhead allocations of $1.0 million, partially offset by a decrease in shared cloud platform cost of $0.3 million, and lower average personnel costs, including stock-based compensation, driven by lower average grant-date fair value and geographic mix of the increased headcount to support product development, resulting in cost savings of $0.3 million.</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Research and development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by $0.3 million</w:t>
      </w:r>
      <w:r>
        <w:rPr>
          <w:color w:val="000000"/>
        </w:rPr>
        <w:t xml:space="preserve"> </w:t>
      </w:r>
      <w:r>
        <w:rPr>
          <w:rFonts w:ascii="Times New Roman;serif" w:hAnsi="Times New Roman;serif"/>
          <w:b w:val="false"/>
          <w:color w:val="000000"/>
          <w:sz w:val="20"/>
          <w:shd w:fill="FFFFFF" w:val="clear"/>
        </w:rPr>
        <w:t>for the six months ended June 30, 2026 compared to the same period in 2025, an increase in overhead allocations of $1.4 million, partially offset by lower average personnel costs, including stock-based compensation, driven by lower average grant-date fair value and geographic mix of the increased headcount to support product development, resulting in cost savings of $0.9 million, and the remaining decrease of $0.2 million was primarily attributable to shared cloud platform cost, and professional service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 Expenses</w:t>
      </w:r>
    </w:p>
    <w:tbl>
      <w:tblPr>
        <w:tblW w:w="1059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increased by $5.2 million for the three months ended June 30, 2026 compared to the same period in 2025, primarily due to an increase in personnel costs, including stock-based compensation, of $4.6 million, driven by an increase in headcount and higher sales commissions and incentive compensation, and the remaining increase of $0.6 million was primarily attributable to overhead allocations, travel expenses, and sales events and sponsorships.</w:t>
      </w:r>
    </w:p>
    <w:p>
      <w:pPr>
        <w:pStyle w:val="TextBody"/>
        <w:bidi w:val="0"/>
        <w:spacing w:lineRule="auto" w:line="288" w:before="2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increased by $11.3 million for the six months ended June 30, 2026 compared to the same period in 2025, primarily due to an increase in personnel costs, including stock-based compensation, of $10.4 million, driven by an increase in headcount and higher sales commissions and incentive compensation, an increase in overhead allocations of $0.9 million, an increase in travel expenses of $0.8 million, and an increase in sales events and sponsorships of $0.7 million. The increase was partially offset by a decrease in marketing expenses of $1.5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10339"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09"/>
        <w:gridCol w:w="109"/>
        <w:gridCol w:w="271"/>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09"/>
        <w:gridCol w:w="109"/>
        <w:gridCol w:w="316"/>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 and administrative expenses increased by $0.6 million for the three months ended June 30, 2026 compared to the same period in 2025, primarily due to an increase in personnel costs, including stock-based compensation of $0.9 million, driven by an increase in headcount, and an increase in incentive compensation compared to the same period in 2025, and the remaining increase of $0.7 million was primarily attributable to lease expenses, professional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expenses, license expenses, and travel expenses. The increase was partially offset by a decrease in allowance for credit losses of $0.5 million, and a decrease in overhead allocations to other expense categories of $0.5 million.</w:t>
      </w:r>
    </w:p>
    <w:p>
      <w:pPr>
        <w:pStyle w:val="TextBody"/>
        <w:bidi w:val="0"/>
        <w:spacing w:lineRule="auto" w:line="288" w:before="24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increased by $0.2 million for the six months ended June 30, 2026 compared to the same period in 2025, primarily due to an increase in personnel costs, including stock-based compensation of $1.1 million, driven by an increase in headcount, and an increase in incentive compensation compared to the same period in 2025, and the remaining increase of $1.0 million was primarily attributable to leases expenses, professional service expenses, license expenses, and travel expenses. The increase was partially offset by a decrease in overhead allocations to other expense categories of $1.4 million, and a decrease in allowance for credit losses of $0.5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other income, net</w:t>
      </w:r>
    </w:p>
    <w:tbl>
      <w:tblPr>
        <w:tblW w:w="10205" w:type="dxa"/>
        <w:jc w:val="left"/>
        <w:tblInd w:w="0" w:type="dxa"/>
        <w:tblLayout w:type="fixed"/>
        <w:tblCellMar>
          <w:top w:w="28" w:type="dxa"/>
          <w:left w:w="28" w:type="dxa"/>
          <w:bottom w:w="28" w:type="dxa"/>
          <w:right w:w="28" w:type="dxa"/>
        </w:tblCellMar>
      </w:tblPr>
      <w:tblGrid>
        <w:gridCol w:w="295"/>
        <w:gridCol w:w="260"/>
        <w:gridCol w:w="261"/>
        <w:gridCol w:w="211"/>
        <w:gridCol w:w="616"/>
        <w:gridCol w:w="109"/>
        <w:gridCol w:w="109"/>
        <w:gridCol w:w="109"/>
        <w:gridCol w:w="109"/>
        <w:gridCol w:w="211"/>
        <w:gridCol w:w="616"/>
        <w:gridCol w:w="109"/>
        <w:gridCol w:w="109"/>
        <w:gridCol w:w="109"/>
        <w:gridCol w:w="109"/>
        <w:gridCol w:w="211"/>
        <w:gridCol w:w="633"/>
        <w:gridCol w:w="109"/>
        <w:gridCol w:w="109"/>
        <w:gridCol w:w="109"/>
        <w:gridCol w:w="109"/>
        <w:gridCol w:w="189"/>
        <w:gridCol w:w="189"/>
        <w:gridCol w:w="271"/>
        <w:gridCol w:w="109"/>
        <w:gridCol w:w="109"/>
        <w:gridCol w:w="109"/>
        <w:gridCol w:w="211"/>
        <w:gridCol w:w="616"/>
        <w:gridCol w:w="109"/>
        <w:gridCol w:w="109"/>
        <w:gridCol w:w="109"/>
        <w:gridCol w:w="109"/>
        <w:gridCol w:w="211"/>
        <w:gridCol w:w="721"/>
        <w:gridCol w:w="109"/>
        <w:gridCol w:w="109"/>
        <w:gridCol w:w="109"/>
        <w:gridCol w:w="109"/>
        <w:gridCol w:w="211"/>
        <w:gridCol w:w="633"/>
        <w:gridCol w:w="109"/>
        <w:gridCol w:w="109"/>
        <w:gridCol w:w="109"/>
        <w:gridCol w:w="109"/>
        <w:gridCol w:w="189"/>
        <w:gridCol w:w="189"/>
        <w:gridCol w:w="318"/>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other income, net decreased by $2.2 million for the three months ended June 30, 2026, compared to the same periods in 2025, primarily due to unfavorable changes in foreign currency of $2.1 million, and a decrease in interest income of $0.1 million.</w:t>
      </w:r>
    </w:p>
    <w:p>
      <w:pPr>
        <w:pStyle w:val="TextBody"/>
        <w:bidi w:val="0"/>
        <w:spacing w:lineRule="auto" w:line="288" w:before="140" w:after="283"/>
        <w:ind w:left="0" w:right="0" w:firstLine="450"/>
        <w:jc w:val="both"/>
        <w:rPr/>
      </w:pPr>
      <w:r>
        <w:rPr>
          <w:rFonts w:ascii="Times New Roman;serif" w:hAnsi="Times New Roman;serif"/>
          <w:b w:val="false"/>
          <w:color w:val="000000"/>
          <w:sz w:val="20"/>
        </w:rPr>
        <w:t xml:space="preserve">Total other income, net decreased by $4.7 million for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2026, compared to the same periods in 2025, primarily due to unfavorable changes in foreign currency of $2.5 million, an impairment to our non-marketable security of $2.0 million, and a decrease in interest income of $0.2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provision</w:t>
      </w:r>
    </w:p>
    <w:tbl>
      <w:tblPr>
        <w:tblW w:w="10445" w:type="dxa"/>
        <w:jc w:val="left"/>
        <w:tblInd w:w="0" w:type="dxa"/>
        <w:tblLayout w:type="fixed"/>
        <w:tblCellMar>
          <w:top w:w="28" w:type="dxa"/>
          <w:left w:w="28" w:type="dxa"/>
          <w:bottom w:w="28" w:type="dxa"/>
          <w:right w:w="28" w:type="dxa"/>
        </w:tblCellMar>
      </w:tblPr>
      <w:tblGrid>
        <w:gridCol w:w="326"/>
        <w:gridCol w:w="287"/>
        <w:gridCol w:w="28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58"/>
        <w:gridCol w:w="158"/>
        <w:gridCol w:w="31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provision increased by $3.1 million for the three months ended June 30, 2026 compared to the same period in 2025, primarily attributable to higher pretax income, a decrease in the federal R&amp;D credit, and a higher tax expense from discrete adjustments in the period, primarily related to share-based compensation. These increases were partially offset by a higher tax benefit from FDDEI provisions that became effective in 2026 under OBBBA.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provision increased by $6.7 million for the six months ended June 30, 2026 compared to the same period in 2025, primarily attributable to higher pretax income, a decrease in the federal R&amp;D credit, and a higher tax expense from discrete adjustments in the period, primarily related to share-based compensation. These increases were partially offset by a higher tax benefit from FDDEI provision that became effective in 2026 under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Operating and Non-GAAP Financial Performance Metrics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Dollar Expansion Rate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ability to retain and grow existing customers by assessing our net dollar expansion rate on a last twelve months, or LTM, basis. This metric is used to appropriately manage resources and customer retention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expansion. We calculate the net dollar expansion rate on a foreign exchange neutral basis by dividing a numerator by a denominator, each defined as follows: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Numerator: We measure the ARR for that same cohort of customers representing all active subscriptions as of the end of the reporting period, using the same foreign exchange rate from the prior year.</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Our net dollar expansion rates were 105% and 104%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June 30,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should not be considered in isolation from or as a substitute for the measures presented in accordance with U.S. GAAP. Some of these limitations 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does not reflect certain cash and non-cash charges that are recurring;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does not reflect income tax payments that reduce cash available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excludes depreciation and amortization of property and equipment and amortization of intangible assets, although these are non-cash charges, the assets being depreciated and amortized may have to be replaced in the future;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companies, including companies in our industry, may calculate Adjusted EBITDA differently or not at all, which reduces its usefulness as a comparative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84"/>
        <w:gridCol w:w="1248"/>
        <w:gridCol w:w="1250"/>
        <w:gridCol w:w="224"/>
        <w:gridCol w:w="765"/>
        <w:gridCol w:w="287"/>
        <w:gridCol w:w="115"/>
        <w:gridCol w:w="115"/>
        <w:gridCol w:w="115"/>
        <w:gridCol w:w="224"/>
        <w:gridCol w:w="765"/>
        <w:gridCol w:w="287"/>
        <w:gridCol w:w="109"/>
        <w:gridCol w:w="109"/>
        <w:gridCol w:w="109"/>
        <w:gridCol w:w="211"/>
        <w:gridCol w:w="828"/>
        <w:gridCol w:w="271"/>
        <w:gridCol w:w="109"/>
        <w:gridCol w:w="109"/>
        <w:gridCol w:w="109"/>
        <w:gridCol w:w="211"/>
        <w:gridCol w:w="828"/>
        <w:gridCol w:w="323"/>
      </w:tblGrid>
      <w:tr>
        <w:trPr/>
        <w:tc>
          <w:tcPr>
            <w:tcW w:w="148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94,824 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percentage of revenues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83,777 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73,431 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148,183 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revenues</w:t>
            </w:r>
          </w:p>
        </w:tc>
        <w:tc>
          <w:tcPr>
            <w:tcW w:w="9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As of June 30, 2026, our principal source of liquidity was cash, cash equivalents and marketable securitie</w:t>
      </w:r>
      <w:r>
        <w:rPr>
          <w:rFonts w:ascii="Times New Roman;serif" w:hAnsi="Times New Roman;serif"/>
          <w:b w:val="false"/>
          <w:color w:val="000000"/>
          <w:sz w:val="20"/>
          <w:shd w:fill="FFFFFF" w:val="clear"/>
        </w:rPr>
        <w:t>s of $703.5 million,</w:t>
      </w:r>
      <w:r>
        <w:rPr>
          <w:color w:val="000000"/>
        </w:rPr>
        <w:t xml:space="preserve"> </w:t>
      </w:r>
      <w:r>
        <w:rPr>
          <w:rFonts w:ascii="Times New Roman;serif" w:hAnsi="Times New Roman;serif"/>
          <w:b w:val="false"/>
          <w:color w:val="000000"/>
          <w:sz w:val="20"/>
          <w:shd w:fill="FFFFFF" w:val="clear"/>
        </w:rPr>
        <w:t xml:space="preserve">including $182.6 million of cash held outside of the United States. </w:t>
      </w:r>
      <w:r>
        <w:rPr>
          <w:rFonts w:ascii="Times New Roman;serif" w:hAnsi="Times New Roman;serif"/>
          <w:b w:val="false"/>
          <w:color w:val="000000"/>
          <w:sz w:val="20"/>
        </w:rPr>
        <w:t>The following summary of cash flows for the periods indicated has been derived from our condensed consolidated financial statements included elsewhere in this report:</w:t>
      </w:r>
    </w:p>
    <w:tbl>
      <w:tblPr>
        <w:tblW w:w="8229" w:type="dxa"/>
        <w:jc w:val="left"/>
        <w:tblInd w:w="0" w:type="dxa"/>
        <w:tblLayout w:type="fixed"/>
        <w:tblCellMar>
          <w:top w:w="28" w:type="dxa"/>
          <w:left w:w="28" w:type="dxa"/>
          <w:bottom w:w="28" w:type="dxa"/>
          <w:right w:w="28" w:type="dxa"/>
        </w:tblCellMar>
      </w:tblPr>
      <w:tblGrid>
        <w:gridCol w:w="2014"/>
        <w:gridCol w:w="1773"/>
        <w:gridCol w:w="1778"/>
        <w:gridCol w:w="211"/>
        <w:gridCol w:w="826"/>
        <w:gridCol w:w="109"/>
        <w:gridCol w:w="109"/>
        <w:gridCol w:w="109"/>
        <w:gridCol w:w="109"/>
        <w:gridCol w:w="211"/>
        <w:gridCol w:w="82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(38,199)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the six months ended June 30, 2026, we generated </w:t>
      </w:r>
      <w:r>
        <w:rPr>
          <w:rFonts w:ascii="Times New Roman;serif" w:hAnsi="Times New Roman;serif"/>
          <w:b w:val="false"/>
          <w:color w:val="000000"/>
          <w:sz w:val="20"/>
          <w:shd w:fill="FFFFFF" w:val="clear"/>
        </w:rPr>
        <w:t>$153.6 million</w:t>
      </w:r>
      <w:r>
        <w:rPr>
          <w:color w:val="000000"/>
        </w:rPr>
        <w:t xml:space="preserve"> </w:t>
      </w:r>
      <w:r>
        <w:rPr>
          <w:rFonts w:ascii="Times New Roman;serif" w:hAnsi="Times New Roman;serif"/>
          <w:b w:val="false"/>
          <w:color w:val="000000"/>
          <w:sz w:val="20"/>
        </w:rPr>
        <w:t xml:space="preserve">of cash from our net income, as adjusted for non-cash items mainly related to stock-based compensation expense, depreciation and amortization expense, impairment of non-marketable securities, and deferred taxes, as compared to </w:t>
      </w:r>
      <w:r>
        <w:rPr>
          <w:rFonts w:ascii="Times New Roman;serif" w:hAnsi="Times New Roman;serif"/>
          <w:b w:val="false"/>
          <w:color w:val="000000"/>
          <w:sz w:val="20"/>
          <w:shd w:fill="FFFFFF" w:val="clear"/>
        </w:rPr>
        <w:t>$130.1 million</w:t>
      </w:r>
      <w:r>
        <w:rPr>
          <w:color w:val="000000"/>
        </w:rPr>
        <w:t xml:space="preserve"> </w:t>
      </w:r>
      <w:r>
        <w:rPr>
          <w:rFonts w:ascii="Times New Roman;serif" w:hAnsi="Times New Roman;serif"/>
          <w:b w:val="false"/>
          <w:color w:val="000000"/>
          <w:sz w:val="20"/>
        </w:rPr>
        <w:t xml:space="preserve">during the six months ended June 30, 2025. In addition, we also generated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 xml:space="preserve">of cash from changes in working capital during the six months ended June 30, 2026, of which </w:t>
      </w:r>
      <w:r>
        <w:rPr>
          <w:rFonts w:ascii="Times New Roman;serif" w:hAnsi="Times New Roman;serif"/>
          <w:b w:val="false"/>
          <w:color w:val="000000"/>
          <w:sz w:val="20"/>
          <w:shd w:fill="FFFFFF" w:val="clear"/>
        </w:rPr>
        <w:t>$15.8 million</w:t>
      </w:r>
      <w:r>
        <w:rPr>
          <w:color w:val="000000"/>
        </w:rPr>
        <w:t xml:space="preserve"> </w:t>
      </w:r>
      <w:r>
        <w:rPr>
          <w:rFonts w:ascii="Times New Roman;serif" w:hAnsi="Times New Roman;serif"/>
          <w:b w:val="false"/>
          <w:color w:val="000000"/>
          <w:sz w:val="20"/>
        </w:rPr>
        <w:t xml:space="preserve">was related to a net favorable change in accounts receivable and deferred revenue due to the timing of billings and collections, partially offset by an </w:t>
      </w:r>
      <w:r>
        <w:rPr>
          <w:rFonts w:ascii="Times New Roman;serif" w:hAnsi="Times New Roman;serif"/>
          <w:b w:val="false"/>
          <w:color w:val="000000"/>
          <w:sz w:val="20"/>
          <w:shd w:fill="FFFFFF" w:val="clear"/>
        </w:rPr>
        <w:t>$14.5 million</w:t>
      </w:r>
      <w:r>
        <w:rPr>
          <w:color w:val="000000"/>
        </w:rPr>
        <w:t xml:space="preserve"> </w:t>
      </w:r>
      <w:r>
        <w:rPr>
          <w:rFonts w:ascii="Times New Roman;serif" w:hAnsi="Times New Roman;serif"/>
          <w:b w:val="false"/>
          <w:color w:val="000000"/>
          <w:sz w:val="20"/>
        </w:rPr>
        <w:t xml:space="preserve">net unfavorable change in prepaid expenses and payables and accrued liabilities primarily due to the timing of payments. During the six months ended June 30, 2025, we generated </w:t>
      </w:r>
      <w:r>
        <w:rPr>
          <w:rFonts w:ascii="Times New Roman;serif" w:hAnsi="Times New Roman;serif"/>
          <w:b w:val="false"/>
          <w:color w:val="000000"/>
          <w:sz w:val="20"/>
          <w:shd w:fill="FFFFFF" w:val="clear"/>
        </w:rPr>
        <w:t>$13.3 million</w:t>
      </w:r>
      <w:r>
        <w:rPr>
          <w:color w:val="000000"/>
        </w:rPr>
        <w:t xml:space="preserve"> </w:t>
      </w:r>
      <w:r>
        <w:rPr>
          <w:rFonts w:ascii="Times New Roman;serif" w:hAnsi="Times New Roman;serif"/>
          <w:b w:val="false"/>
          <w:color w:val="000000"/>
          <w:sz w:val="20"/>
        </w:rPr>
        <w:t xml:space="preserve">of cash from changes in working capital, of which </w:t>
      </w:r>
      <w:r>
        <w:rPr>
          <w:rFonts w:ascii="Times New Roman;serif" w:hAnsi="Times New Roman;serif"/>
          <w:b w:val="false"/>
          <w:color w:val="000000"/>
          <w:sz w:val="20"/>
          <w:shd w:fill="FFFFFF" w:val="clear"/>
        </w:rPr>
        <w:t>$13.5 million</w:t>
      </w:r>
      <w:r>
        <w:rPr>
          <w:color w:val="000000"/>
        </w:rPr>
        <w:t xml:space="preserve"> </w:t>
      </w:r>
      <w:r>
        <w:rPr>
          <w:rFonts w:ascii="Times New Roman;serif" w:hAnsi="Times New Roman;serif"/>
          <w:b w:val="false"/>
          <w:color w:val="000000"/>
          <w:sz w:val="20"/>
        </w:rPr>
        <w:t>was related to the net favorable change in accounts receivable and deferred revenue due to the timing of collections and billings, and a $4.4 million favorable change in payables and accrued liabilities primarily driven by the timing of payments, partially offset by a $4.6 million unfavorable change in prepaid expenses primarily driven by the timing of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the six months ended June 30, 2026, we used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of cash for purchases of marketable securities net of sales and maturities, and used </w:t>
      </w:r>
      <w:r>
        <w:rPr>
          <w:rFonts w:ascii="Times New Roman;serif" w:hAnsi="Times New Roman;serif"/>
          <w:b w:val="false"/>
          <w:color w:val="000000"/>
          <w:sz w:val="20"/>
          <w:shd w:fill="FFFFFF" w:val="clear"/>
        </w:rPr>
        <w:t>$5.4 million</w:t>
      </w:r>
      <w:r>
        <w:rPr>
          <w:color w:val="000000"/>
        </w:rPr>
        <w:t xml:space="preserve"> </w:t>
      </w:r>
      <w:r>
        <w:rPr>
          <w:rFonts w:ascii="Times New Roman;serif" w:hAnsi="Times New Roman;serif"/>
          <w:b w:val="false"/>
          <w:color w:val="000000"/>
          <w:sz w:val="20"/>
        </w:rPr>
        <w:t xml:space="preserve">of cash in capital expenditures mainly related to purchases of computer equipment to support our growth and development, as compared to </w:t>
      </w:r>
      <w:r>
        <w:rPr>
          <w:rFonts w:ascii="Times New Roman;serif" w:hAnsi="Times New Roman;serif"/>
          <w:b w:val="false"/>
          <w:color w:val="000000"/>
          <w:sz w:val="20"/>
          <w:shd w:fill="FFFFFF" w:val="clear"/>
        </w:rPr>
        <w:t>$82.8 million</w:t>
      </w:r>
      <w:r>
        <w:rPr>
          <w:color w:val="000000"/>
        </w:rPr>
        <w:t xml:space="preserve"> </w:t>
      </w:r>
      <w:r>
        <w:rPr>
          <w:rFonts w:ascii="Times New Roman;serif" w:hAnsi="Times New Roman;serif"/>
          <w:b w:val="false"/>
          <w:color w:val="000000"/>
          <w:sz w:val="20"/>
        </w:rPr>
        <w:t xml:space="preserve">of cash for purchases of marketable securities net of sales and maturities, and </w:t>
      </w:r>
      <w:r>
        <w:rPr>
          <w:rFonts w:ascii="Times New Roman;serif" w:hAnsi="Times New Roman;serif"/>
          <w:b w:val="false"/>
          <w:color w:val="000000"/>
          <w:sz w:val="20"/>
          <w:shd w:fill="FFFFFF" w:val="clear"/>
        </w:rPr>
        <w:t>$3.4 million</w:t>
      </w:r>
      <w:r>
        <w:rPr>
          <w:color w:val="000000"/>
        </w:rPr>
        <w:t xml:space="preserve"> </w:t>
      </w:r>
      <w:r>
        <w:rPr>
          <w:rFonts w:ascii="Times New Roman;serif" w:hAnsi="Times New Roman;serif"/>
          <w:b w:val="false"/>
          <w:color w:val="000000"/>
          <w:sz w:val="20"/>
        </w:rPr>
        <w:t>of cash used in capital expenditures mainly related to purchases of computer equipment to support our growth and development and leasehold improvements for expansion of our office spaces during the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the six months ended June 30, 2026, we used </w:t>
      </w:r>
      <w:r>
        <w:rPr>
          <w:rFonts w:ascii="Times New Roman;serif" w:hAnsi="Times New Roman;serif"/>
          <w:b w:val="false"/>
          <w:color w:val="000000"/>
          <w:sz w:val="20"/>
          <w:shd w:fill="FFFFFF" w:val="clear"/>
        </w:rPr>
        <w:t>$131.4 million</w:t>
      </w:r>
      <w:r>
        <w:rPr>
          <w:color w:val="000000"/>
        </w:rPr>
        <w:t xml:space="preserve"> </w:t>
      </w:r>
      <w:r>
        <w:rPr>
          <w:rFonts w:ascii="Times New Roman;serif" w:hAnsi="Times New Roman;serif"/>
          <w:b w:val="false"/>
          <w:color w:val="000000"/>
          <w:sz w:val="20"/>
        </w:rPr>
        <w:t xml:space="preserve">of cash for share repurchases, </w:t>
      </w:r>
      <w:r>
        <w:rPr>
          <w:rFonts w:ascii="Times New Roman;serif" w:hAnsi="Times New Roman;serif"/>
          <w:b w:val="false"/>
          <w:color w:val="000000"/>
          <w:sz w:val="20"/>
          <w:shd w:fill="FFFFFF" w:val="clear"/>
        </w:rPr>
        <w:t>$13.9 million</w:t>
      </w:r>
      <w:r>
        <w:rPr>
          <w:color w:val="000000"/>
        </w:rPr>
        <w:t xml:space="preserve"> </w:t>
      </w:r>
      <w:r>
        <w:rPr>
          <w:rFonts w:ascii="Times New Roman;serif" w:hAnsi="Times New Roman;serif"/>
          <w:b w:val="false"/>
          <w:color w:val="000000"/>
          <w:sz w:val="20"/>
        </w:rPr>
        <w:t xml:space="preserve">of cash in payment of employee withholding taxes upon vesting of restricted stock units, partially offset by </w:t>
      </w:r>
      <w:r>
        <w:rPr>
          <w:rFonts w:ascii="Times New Roman;serif" w:hAnsi="Times New Roman;serif"/>
          <w:b w:val="false"/>
          <w:color w:val="000000"/>
          <w:sz w:val="20"/>
          <w:shd w:fill="FFFFFF" w:val="clear"/>
        </w:rPr>
        <w:t>$3.9 million</w:t>
      </w:r>
      <w:r>
        <w:rPr>
          <w:color w:val="000000"/>
        </w:rPr>
        <w:t xml:space="preserve"> </w:t>
      </w:r>
      <w:r>
        <w:rPr>
          <w:rFonts w:ascii="Times New Roman;serif" w:hAnsi="Times New Roman;serif"/>
          <w:b w:val="false"/>
          <w:color w:val="000000"/>
          <w:sz w:val="20"/>
        </w:rPr>
        <w:t xml:space="preserve">of proceeds from issuance of common stock through our ESPP, and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of proceeds from employee exercise of stock options, as compared to </w:t>
      </w:r>
      <w:r>
        <w:rPr>
          <w:rFonts w:ascii="Times New Roman;serif" w:hAnsi="Times New Roman;serif"/>
          <w:b w:val="false"/>
          <w:color w:val="000000"/>
          <w:sz w:val="20"/>
          <w:shd w:fill="FFFFFF" w:val="clear"/>
        </w:rPr>
        <w:t>$89.5 million</w:t>
      </w:r>
      <w:r>
        <w:rPr>
          <w:color w:val="000000"/>
        </w:rPr>
        <w:t xml:space="preserve"> </w:t>
      </w:r>
      <w:r>
        <w:rPr>
          <w:rFonts w:ascii="Times New Roman;serif" w:hAnsi="Times New Roman;serif"/>
          <w:b w:val="false"/>
          <w:color w:val="000000"/>
          <w:sz w:val="20"/>
        </w:rPr>
        <w:t xml:space="preserve">of cash used for share repurchases, and </w:t>
      </w:r>
      <w:r>
        <w:rPr>
          <w:rFonts w:ascii="Times New Roman;serif" w:hAnsi="Times New Roman;serif"/>
          <w:b w:val="false"/>
          <w:color w:val="000000"/>
          <w:sz w:val="20"/>
          <w:shd w:fill="FFFFFF" w:val="clear"/>
        </w:rPr>
        <w:t>$15.3 million</w:t>
      </w:r>
      <w:r>
        <w:rPr>
          <w:color w:val="000000"/>
        </w:rPr>
        <w:t xml:space="preserve"> </w:t>
      </w:r>
      <w:r>
        <w:rPr>
          <w:rFonts w:ascii="Times New Roman;serif" w:hAnsi="Times New Roman;serif"/>
          <w:b w:val="false"/>
          <w:color w:val="000000"/>
          <w:sz w:val="20"/>
        </w:rPr>
        <w:t xml:space="preserve">of cash used in payment of employee withholding taxes upon vesting of restricted stock units, partially offset by </w:t>
      </w:r>
      <w:r>
        <w:rPr>
          <w:rFonts w:ascii="Times New Roman;serif" w:hAnsi="Times New Roman;serif"/>
          <w:b w:val="false"/>
          <w:color w:val="000000"/>
          <w:sz w:val="20"/>
          <w:shd w:fill="FFFFFF" w:val="clear"/>
        </w:rPr>
        <w:t>$5.6 million</w:t>
      </w:r>
      <w:r>
        <w:rPr>
          <w:color w:val="000000"/>
        </w:rPr>
        <w:t xml:space="preserve"> </w:t>
      </w:r>
      <w:r>
        <w:rPr>
          <w:rFonts w:ascii="Times New Roman;serif" w:hAnsi="Times New Roman;serif"/>
          <w:b w:val="false"/>
          <w:color w:val="000000"/>
          <w:sz w:val="20"/>
        </w:rPr>
        <w:t xml:space="preserve">of proceeds from employee exercise of stock options, and </w:t>
      </w:r>
      <w:r>
        <w:rPr>
          <w:rFonts w:ascii="Times New Roman;serif" w:hAnsi="Times New Roman;serif"/>
          <w:b w:val="false"/>
          <w:color w:val="000000"/>
          <w:sz w:val="20"/>
          <w:shd w:fill="FFFFFF" w:val="clear"/>
        </w:rPr>
        <w:t>$3.8 million</w:t>
      </w:r>
      <w:r>
        <w:rPr>
          <w:color w:val="000000"/>
        </w:rPr>
        <w:t xml:space="preserve"> </w:t>
      </w:r>
      <w:r>
        <w:rPr>
          <w:rFonts w:ascii="Times New Roman;serif" w:hAnsi="Times New Roman;serif"/>
          <w:b w:val="false"/>
          <w:color w:val="000000"/>
          <w:sz w:val="20"/>
        </w:rPr>
        <w:t>of proceeds from issuance of common stock through our ESPP, during the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marketable securities and our expected cash flow generated from operations will be sufficient to fund our operations for the next twelve months and beyond. If we repatriate funds from our foreign subsidiaries, we could be subject to foreign withholding taxes.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our operating lease obligations to make payments under our non-cancelable lease agreements for our facilities and shared cloud platforms. We had fixed operating lease payment obligations of $65.6 million as of June 30, 2026, with $12.4 million expected to be paid within the next 12 months.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other than the changes described above in this section entitled “Liquidity and Capital Resources” in this Quarterly Report on Form 10-Q, there have been no other material changes to our cash requirements for purchase commitments as described in “Part II, Item 7. Management’s Discussion and Analysis of Financial Condition and Results of Operations” of our Annual Report on Form 10-K for the fiscal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use cash to repurchase shares in 2026 under our share repurchase program authorized by our board of directors on February 5, 2018. On February 5, 2026, we announced that our board of directors authorized an additional $200.0 million to the share repurchase program authorization, increasing the total amount of authorized repurchase to $1.6 billion. As of June 30, 2026, approximately $229.8 million remained available under our share repurchase program. Shares will be repurchased from time to time in privately negotiated transactions or on the open market in accordance with Rule 10b-18 of the Exchange Act of 1934, including pursuant to a pre-set trading plan adopted in accordance with Rule 10b5-1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1 “Description of Business and Summary of Significant Accounting Policies” to the unaudited condensed consolidated financial statements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described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Our results of operations and cash flows have been and will continue to be subject to fluctuations because of changes in foreign currency exchange rates, particularly changes in exchange rates between the U.S. Dollar and the EUR, GBP, INR and </w:t>
      </w:r>
      <w:r>
        <w:rPr>
          <w:rFonts w:ascii="Times New Roman;serif" w:hAnsi="Times New Roman;serif"/>
          <w:b w:val="false"/>
          <w:color w:val="000000"/>
          <w:sz w:val="20"/>
        </w:rPr>
        <w:t>CAD</w:t>
      </w:r>
      <w:r>
        <w:rPr>
          <w:rFonts w:ascii="Times New Roman;serif" w:hAnsi="Times New Roman;serif"/>
          <w:b w:val="false"/>
          <w:color w:val="000000"/>
          <w:sz w:val="20"/>
          <w:shd w:fill="FFFFFF" w:val="clear"/>
        </w:rPr>
        <w:t xml:space="preserve">,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June 30, 2026, we had designated cash flow hedge forward contracts with notional amounts of </w:t>
      </w:r>
      <w:r>
        <w:rPr>
          <w:color w:val="000000"/>
        </w:rPr>
        <w:t>€</w:t>
      </w:r>
      <w:r>
        <w:rPr>
          <w:rFonts w:ascii="Times New Roman;serif" w:hAnsi="Times New Roman;serif"/>
          <w:b w:val="false"/>
          <w:color w:val="000000"/>
          <w:sz w:val="20"/>
        </w:rPr>
        <w:t>51.7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£25.0 million</w:t>
      </w:r>
      <w:r>
        <w:rPr>
          <w:color w:val="000000"/>
          <w:shd w:fill="FFFFFF" w:val="clear"/>
        </w:rPr>
        <w:t xml:space="preserve"> </w:t>
      </w:r>
      <w:r>
        <w:rPr>
          <w:rFonts w:ascii="Times New Roman;serif" w:hAnsi="Times New Roman;serif"/>
          <w:b w:val="false"/>
          <w:color w:val="000000"/>
          <w:sz w:val="20"/>
          <w:shd w:fill="FFFFFF" w:val="clear"/>
        </w:rPr>
        <w:t>and Rs.</w:t>
      </w:r>
      <w:r>
        <w:rPr>
          <w:rFonts w:ascii="Times New Roman;serif" w:hAnsi="Times New Roman;serif"/>
          <w:b w:val="false"/>
          <w:color w:val="000000"/>
          <w:sz w:val="20"/>
        </w:rPr>
        <w:t>6,243.3 million</w:t>
      </w:r>
      <w:r>
        <w:rPr>
          <w:color w:val="000000"/>
          <w:shd w:fill="FFFFFF" w:val="clear"/>
        </w:rPr>
        <w:t xml:space="preserve"> </w:t>
      </w:r>
      <w:r>
        <w:rPr>
          <w:rFonts w:ascii="Times New Roman;serif" w:hAnsi="Times New Roman;serif"/>
          <w:b w:val="false"/>
          <w:color w:val="000000"/>
          <w:sz w:val="20"/>
          <w:shd w:fill="FFFFFF" w:val="clear"/>
        </w:rPr>
        <w:t xml:space="preserve">and non-designated forward contracts with notional amounts of </w:t>
      </w:r>
      <w:r>
        <w:rPr>
          <w:color w:val="000000"/>
        </w:rPr>
        <w:t>€</w:t>
      </w:r>
      <w:r>
        <w:rPr>
          <w:rFonts w:ascii="Times New Roman;serif" w:hAnsi="Times New Roman;serif"/>
          <w:b w:val="false"/>
          <w:color w:val="000000"/>
          <w:sz w:val="20"/>
        </w:rPr>
        <w:t>16.5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£6.5 million, Rs.3,440.0 million, C$2.5 million, and A$1.5 million</w:t>
      </w:r>
      <w:r>
        <w:rPr>
          <w:rFonts w:ascii="Times New Roman;serif" w:hAnsi="Times New Roman;serif"/>
          <w:b w:val="false"/>
          <w:color w:val="000000"/>
          <w:sz w:val="20"/>
          <w:shd w:fill="FFFFFF" w:val="clear"/>
        </w:rPr>
        <w:t>. With our hedging strategy applied, the effect of an immediate 10% adverse change in foreign exchange rates would not be material to our financial condition, operating results or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We had </w:t>
      </w:r>
      <w:r>
        <w:rPr>
          <w:rFonts w:ascii="Times New Roman;serif" w:hAnsi="Times New Roman;serif"/>
          <w:b w:val="false"/>
          <w:color w:val="000000"/>
          <w:sz w:val="20"/>
          <w:shd w:fill="FFFFFF" w:val="clear"/>
        </w:rPr>
        <w:t>$703.5 million</w:t>
      </w:r>
      <w:r>
        <w:rPr>
          <w:color w:val="000000"/>
        </w:rPr>
        <w:t xml:space="preserve"> </w:t>
      </w:r>
      <w:r>
        <w:rPr>
          <w:rFonts w:ascii="Times New Roman;serif" w:hAnsi="Times New Roman;serif"/>
          <w:b w:val="false"/>
          <w:color w:val="000000"/>
          <w:sz w:val="20"/>
        </w:rPr>
        <w:t>in cash, cash equivalents and short-term and long-term marketable securities as of June 30, 2026.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w:t>
      </w:r>
      <w:r>
        <w:rPr>
          <w:rFonts w:ascii="Times New Roman;serif" w:hAnsi="Times New Roman;serif"/>
          <w:b w:val="false"/>
          <w:color w:val="000000"/>
          <w:sz w:val="20"/>
          <w:shd w:fill="FFFFFF" w:val="clear"/>
        </w:rPr>
        <w:t>re subject to market risk due to changes in interest rates, which may affect the interest income we earn and the fair market value of our securities. As of June 30, 2026, a hypothetical 100 basis point increase in interest rate would not result in a material decrease in the fair value of our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Rules 13a-15(d) and 15d-15(d) of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or be subject to claims arising in the ordinary course of our business. As of June 30, 2026,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quarterly and annual operating results may vary from period to period, which could result in our failure to meet expectations with respect to operating results and cause the trading price of our stock to decline.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results have historically varied from period to period, and we expect that they will continue to do so as a result of a number of factors, many of which are outside of our control,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demand for our solutions, from both existing and new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customers subscribe for additional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customer renewals of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timing of deals signed within the applicable fiscal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seasonal buying patterns of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timely invoicing or changes in billing terms of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length of our sales cycle for our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price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success of new product or service introductions by us or our competitors or any other changes in the competitive landscape of our industry, including consolidation among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introduction or adoption of new technologies that compete with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decisions by potential customers to purchase IT, security and compliance products or services from other vendors;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both domestically and in the foreign markets in which we sell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imposition of tariffs and other non-tariff trade barriers;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foreign currency exchange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growth rate of the IT, security and compliance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perceived security breaches and incidents, technical difficulties or interruptions with our service;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our products and services to operate as designed;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publicity regarding security breaches and incidents generally and the level of perceived threats to IT security;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announcement or adoption of new regulations and policy mandates or changes to existing regulations and policy mandates;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operating costs and capital expenditures related to the operations and expansion of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pace and cost of hiring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associated with our existing and new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sales commissions relative to the recognition of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insolvency or credit difficulties confronting our customers, affecting their ability to purchase or pay for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integrate any products or services that we have acquired or may acquire in the future into our product suite or migrate existing customers of any companies that we have acquired or may acquire in the future to our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effective tax rate, changes in tax rules, tax effects of infrequent or unusual transactions, and tax audit settlements;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income tax that we recognize resulting from stock-based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expenses related to the development or acquisition of technologies, services or businesses;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goodwill and intangible asset impairment charges associated with acquired businesses.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solution enhancements or new solutions could fail to attain sufficient market acceptance for many reasons,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timely meet market demand for product functionality;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identify and provide intelligence regarding the attacks or techniques used by cyber-attackers;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inter-operate effectively with the database technologies, file systems or web applications of our prospective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defects, errors or failures;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releasing our enhancements or new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negative publicity about their performance or effectiveness;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introduction or anticipated introduction of products by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poor business conditions, causing customers to delay IT, security and compliance purchases;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easing or changing of external regulations related to IT, security and compliance;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reluctance of customers to purchase cloud solutions for IT, security and compliance.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continue to effectively scale and adapt our platform to meet the performance and other requirements of our customers, our operating results and our business would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pStyle w:val="TextBody"/>
        <w:bidi w:val="0"/>
        <w:spacing w:lineRule="auto" w:line="288" w:before="240" w:after="283"/>
        <w:jc w:val="both"/>
        <w:rPr/>
      </w:pPr>
      <w:r>
        <w:rPr>
          <w:rFonts w:ascii="Times New Roman;serif" w:hAnsi="Times New Roman;serif"/>
          <w:b/>
          <w:i/>
          <w:color w:val="000000"/>
          <w:sz w:val="20"/>
        </w:rPr>
        <w:t>If we are unable to renew existing subscriptions for our IT, security and compliance solutions, sell additional subscriptions for our solutions and attract new customers, our operating results would be harmed.</w:t>
      </w:r>
      <w:r>
        <w:rPr>
          <w:color w:val="000000"/>
        </w:rPr>
        <w:t xml:space="preserv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offer our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current research and development efforts may not produce successful products or enhancements to our platform that result in significant revenue, cost savings or other benefits in the near future.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platform, products, website and internal systems may be subject to intentional disruption or other security incidents that could result in liability and adversely impact our reputation and future sales.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service providers and suppliers face threats from a variety of sources, including attacks on our networks and systems from numerous sources, including but not limited to traditional “hackers,” sophisticated nation-state and nation-state supported actors, other sources of malicious code (such as viruses and worms), ransomware, social engineering, denial of service attacks, and phishing attempts. We and our service providers and suppliers could be a target of cyber-attacks or other malfeasance designed to impede the performance of our solutions, penetrate our network security or the security of our cloud platform, products, or our internal systems, misappropriate proprietary information, gain access to our customers' systems and data, and/or cause interruptions to our services. We and our service providers and suppliers have experienced and may continue to experience security incidents and attacks of varying degrees from time to time. We have incurred costs to respond to such incidents and may continue to incur costs to support our efforts to enhance our security measures. Additionally, due to political uncertainty and military actions in parts of Eastern Europe and the Middle East, we and our service providers and suppliers are vulnerable to heightened risks of cybersecurity incidents and security and privacy breaches and incidents caused or initiated by nation-state or affiliated actors, including attacks that could materially disrupt our systems, operations and services, or impact our customers systems, operations, and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solutions, platforms, and system, and those of our service providers and suppliers, may be, and have in the past been, subject to security incidents as a result of technical and non-technical issues, including as a result of intentional or inadvertent acts or omissions by our employees or service providers. With the level of personnel working remotely, at least part-time in our case, we and our service providers and suppliers are at increased risk for security breaches and incidents. We have taken and intend to continue to take steps to monitor and enhance the security of our solutions, cloud platform, and other relevant systems, IT infrastructure, networks, and data; however, the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and have in the past been, targeted for cyber-attacks and other security incidents. We also have incorporated AI/machine learning technologies into our technology, and may continue to incorporate additional AI/machine learning technologies in the future. Our use of such technologies may create additional cybersecurity risks or increase cybersecurity risks, including risks of technical error, security breaches and other incidents. Further, AI/machine learning technologies may be used in connection with certain cybersecurity attacks, resulting in heightened risks of security breaches and incidents.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breach in or incident impacting our data security, an attack against our service availability, or any breach, incident, or attack impacting our third-party service providers and suppliers, or a technical error or outage, could impact our networks or networks secured by our solutions, creating system disruptions or slowdowns and exploiting security vulnerabilities of our solutions, and the information stored on our networks or those of our third-party service providers could be accessed, used, disclosed publicly or to unauthorized persons, altered, lost, destroyed, or stolen, which could subject us to liability and cause us financial harm. If an actual or perceived disruption in the availability of our solutions or the breach or other compromise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unavailability or alteration of information, claims, demands and litigation, regulatory investigations, actions and other proceedings, possible liability, and the potential loss of our authorization under the Federal Risk and Authorization Management Program (“FedRAMP”).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such actual or perceived security breach or incident or disruption could also divert the efforts of our technical and management personnel. We and our service providers may face difficulties or delays in identifying and responding to any security breach or incident. We also may incur significant costs and operational consequences of investigating, remediating, eliminating and putting in place additional tools and devices designed to prevent actual or perceived security incidents, as well as costs to respond to and otherwise address any breach or incident, including any to comply with any notification obligations resulting from any security incidents. In addition, any such actual or perceived security breach or incident could impair our ability to operate our business and provide solutions to our customers. If this happens, our reputation could be harmed, our revenues could decline and our business could suffer.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sales cycle can be long and unpredictable, and our sales efforts require considerable time and expense. As a result, revenues may vary from period to period, which may cause our operating results to fluctuate and could harm our business.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timing of sales of subscriptions for our solutions can be difficult to forecast because of the length and unpredictability of our sales cycle, particularly with large transactions and in the current macroeconomic environment.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w:t>
      </w:r>
      <w:r>
        <w:rPr>
          <w:color w:val="000000"/>
          <w:shd w:fill="FFFFFF" w:val="clear"/>
        </w:rPr>
        <w:t xml:space="preserve"> </w:t>
      </w:r>
      <w:r>
        <w:rPr>
          <w:rFonts w:ascii="Times New Roman;serif" w:hAnsi="Times New Roman;serif"/>
          <w:b w:val="false"/>
          <w:color w:val="000000"/>
          <w:sz w:val="20"/>
          <w:shd w:fill="FFFFFF" w:val="clear"/>
        </w:rPr>
        <w:t>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Adverse economic conditions or reduced IT spending may adversely impact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depends to a significant extent on the overall demand for IT and on the economic health of our current and prospective customers. Economic weakness, customer financial difficulties, change in interest rates, inflationary pressures and potential for a recession, economic and regulatory uncertainty, and constrained spending on IT security, as well as longer sales cycles, which factors we have experienced since 2023, have resulted and may in the future result in decreased revenue and earnings. In addition, continued governmental budgetary challenges in the United States and Europe, inflationary pressures and potential for a recession, and geopolitical turmoil in many parts of the world, including the ongoing military conflicts in parts of Eastern Europe and the Middle East, and other disruptions to global and regional economies and markets in many parts of the world, as well as uncertainties related to changes in public policies such as domestic and international regulations, taxes, tariffs and non-tariff trade barriers,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For example, uncertainty as to the impact of the imposition of tariffs on certain countries by the current U.S. administration, as well as any potential retaliatory measures by impacted trade partners, could adversely impact trade relations, result in higher costs, and thereby decrease the purchasing power of our customers.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security could have a material adverse effect on demand for our platform and consequently on our business, financial condition and results of operations.</w:t>
      </w:r>
    </w:p>
    <w:p>
      <w:pPr>
        <w:pStyle w:val="TextBody"/>
        <w:bidi w:val="0"/>
        <w:spacing w:lineRule="auto" w:line="288" w:before="240" w:after="283"/>
        <w:jc w:val="both"/>
        <w:rPr/>
      </w:pPr>
      <w:r>
        <w:rPr>
          <w:rFonts w:ascii="Times New Roman;serif" w:hAnsi="Times New Roman;serif"/>
          <w:b/>
          <w:i/>
          <w:color w:val="000000"/>
          <w:sz w:val="20"/>
        </w:rPr>
        <w:t>Our IT, security and compliance solutions are delivered from 15 shared cloud platforms</w:t>
      </w:r>
      <w:r>
        <w:rPr>
          <w:rFonts w:ascii="Times New Roman;serif" w:hAnsi="Times New Roman;serif"/>
          <w:b/>
          <w:i/>
          <w:color w:val="000000"/>
          <w:sz w:val="20"/>
          <w:shd w:fill="FFFFFF" w:val="clear"/>
        </w:rPr>
        <w:t>, and any disruption of service at these facilities would interrupt or delay our ability to deliver our solutions to our customers which could reduce our revenues and harm our operating results.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We currently host substantially all of our solutions from third-party shared cloud platforms located in the United States, Canada, Switzerland, the Netherlands, United Arab Emirates, Australia, United Kingdom, Italy, the Kingdom of Saudi Arabia and India. These facilities are vulnerable to damage or interruption from earthquakes, hurricanes, floods, fires, cybersecurity attacks, terrorist attacks, employee negligence, power losses, technical errors, telecommunications failures and similar events. The facilities also could be subjec</w:t>
      </w:r>
      <w:r>
        <w:rPr>
          <w:rFonts w:ascii="Times New Roman;serif" w:hAnsi="Times New Roman;serif"/>
          <w:b w:val="false"/>
          <w:color w:val="000000"/>
          <w:sz w:val="20"/>
        </w:rPr>
        <w:t>t to break-ins, sabotage, acts of war, intentional acts of vandalism and other misconduct. The occurrence of a natural disaster, an act of war, an act of terrorism or misconduct, a decision to close the facilities without adequate notice or other unanticipated problems could result in interruptions in our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face competition in our markets, and we may lack sufficient financial or other resources to maintain or improve our competitive position.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compete with large and small public companies, such as CrowdStrike, Palo Alto Networks, Rapid7 and Tenable Holdings, as well as privately held security providers including Invicti, Tanium, and Wiz (which was acquired by Google in March 2026). We also seek to replace IT, security and compliance solutions that organizations have developed internally. As we continue to extend our cloud platform’s functionality by further developing IT, security and compliance solutions, such as Cybersecurity Asset Management, Patch Management, and Enterprise TruRisk Management, we expect to face additional competition in these new markets. Our competitors may also attempt to further expand their presence in the IT, security and compliance market and compete more directly against one or more of our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Many of our existing and potential competitors have competitive advantages,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greater brand name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larger sales and marketing budgets and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broader distribution networks and more established relationships with distributors and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access to larger customer bases;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greater customer support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greater resources to develop and introduce products that compete with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greater resources to meet relevant regulatory requirements;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sales prices of our solutions are subject to competitive pressures and may decrease, which may reduce our gross profits and adversely impact our financial results.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Indian Rupees, Australian Dollars and Singapore Dollar,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solutions fail to detect vulnerabilities or incorrectly detect vulnerabilities, our brand and reputation could be harmed, which could have an adverse effect on our business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actual or perceived security breach or incident or loss, theft, unavailability or other compromise of the sensitive data of one of our customers, regardless of whether the breach is attributable to the failure of our solutions, could adversely affect the market’s perception of our security solutions.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recruit and retain qualified sales personnel, sales of our solutions and the growth of our business would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growth will depend, to a significant extent, on our success in recruiting and retaining a sufficient number of qualified sales personnel and their ability to, whether directly or indirectly in collaboration with channel partners, obtain new customers, manage our existing customer base and expand the sales of our newer solutions. We plan to continue to recruit and retain a team of qualified sales personnel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rely on third-party channel partners to generate a substantial amount of our revenues, and if we fail to effectively manage our distribution channels, our revenues could decline and our growth prospects could suffer.</w:t>
      </w:r>
    </w:p>
    <w:p>
      <w:pPr>
        <w:pStyle w:val="TextBody"/>
        <w:bidi w:val="0"/>
        <w:spacing w:lineRule="auto" w:line="288" w:before="240" w:after="283"/>
        <w:ind w:left="0" w:right="0" w:firstLine="450"/>
        <w:jc w:val="both"/>
        <w:rPr/>
      </w:pPr>
      <w:r>
        <w:rPr>
          <w:rFonts w:ascii="Times New Roman;serif" w:hAnsi="Times New Roman;serif"/>
          <w:b w:val="false"/>
          <w:color w:val="000000"/>
          <w:sz w:val="20"/>
        </w:rPr>
        <w:t>Our success depends to a significant extent on establishing and maintaining relationships with a variety of channel partners and we anticipate that we will continue to depend on these partners in order to grow our business. For the six months ended June 30, 2026, we derived approximately 53%</w:t>
      </w:r>
      <w:r>
        <w:rPr>
          <w:color w:val="000000"/>
        </w:rPr>
        <w:t xml:space="preserve"> </w:t>
      </w:r>
      <w:r>
        <w:rPr>
          <w:rFonts w:ascii="Times New Roman;serif" w:hAnsi="Times New Roman;serif"/>
          <w:b w:val="false"/>
          <w:color w:val="000000"/>
          <w:sz w:val="20"/>
        </w:rPr>
        <w:t>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effectively manage our relationship with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currency exchange fluctuations;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trade and foreign exchange restrictions;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economic or political instability in foreign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greater difficulty in enforcing contracts, accounts receivable collection and longer collection periods;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regulatory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tax laws (including U.S. taxes on foreign subsidiaries);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and costs of staffing and managing foreign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uncertainty and limitation of protection for intellectual property rights in some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of compliance with foreign laws and regulations and the risks and costs of non-compliance with such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risks of unfair or corrupt business practices in certain geographies and of improper or fraudulent sales arrangements that may impact financial results and result in restatements of, and irregularities in, financial statements;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for political unrest, acts of terrorism, hostilities or war;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management communication and integration problems resulting from cultural differences and geographic dispersion;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multiple and possibly overlapping tax structures.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In addition, as</w:t>
      </w:r>
      <w:r>
        <w:rPr>
          <w:color w:val="000000"/>
        </w:rPr>
        <w:t xml:space="preserve"> </w:t>
      </w:r>
      <w:r>
        <w:rPr>
          <w:rFonts w:ascii="Times New Roman;serif" w:hAnsi="Times New Roman;serif"/>
          <w:b w:val="false"/>
          <w:color w:val="000000"/>
          <w:sz w:val="20"/>
        </w:rPr>
        <w:t>of June 30, 2026,</w:t>
      </w:r>
      <w:r>
        <w:rPr>
          <w:color w:val="000000"/>
          <w:shd w:fill="FFFFFF" w:val="clear"/>
        </w:rPr>
        <w:t xml:space="preserve"> </w:t>
      </w:r>
      <w:r>
        <w:rPr>
          <w:rFonts w:ascii="Times New Roman;serif" w:hAnsi="Times New Roman;serif"/>
          <w:b w:val="false"/>
          <w:color w:val="000000"/>
          <w:sz w:val="20"/>
          <w:shd w:fill="FFFFFF" w:val="clear"/>
        </w:rPr>
        <w:t xml:space="preserve">approximately 79% of our employees were located outside of the United States, with 71% of our employees located in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w:t>
      </w:r>
      <w:r>
        <w:rPr>
          <w:rFonts w:ascii="Times New Roman;serif" w:hAnsi="Times New Roman;serif"/>
          <w:b w:val="false"/>
          <w:color w:val="000000"/>
          <w:sz w:val="20"/>
        </w:rPr>
        <w:t>e our infrastructure effectively or as quickly as our competitors in these markets and our revenues may not increase to offset any increased costs and operating expenses, which would cause our results to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financial condition and results of operations.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Our reporting currency is the U.S. dollar and we generate a majority of our revenues in U.S. dollars. However, for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we incurred approximately </w:t>
      </w:r>
      <w:r>
        <w:rPr>
          <w:rFonts w:ascii="Times New Roman;serif" w:hAnsi="Times New Roman;serif"/>
          <w:b w:val="false"/>
          <w:color w:val="000000"/>
          <w:sz w:val="20"/>
        </w:rPr>
        <w:t>29%</w:t>
      </w:r>
      <w:r>
        <w:rPr>
          <w:color w:val="000000"/>
          <w:shd w:fill="FFFFFF" w:val="clear"/>
        </w:rPr>
        <w:t xml:space="preserve"> </w:t>
      </w:r>
      <w:r>
        <w:rPr>
          <w:rFonts w:ascii="Times New Roman;serif" w:hAnsi="Times New Roman;serif"/>
          <w:b w:val="false"/>
          <w:color w:val="000000"/>
          <w:sz w:val="20"/>
          <w:shd w:fill="FFFFFF" w:val="clear"/>
        </w:rPr>
        <w:t>of our expenses in foreign currencies, primarily the Euro, British Pound, and Indian Rupee, principally with respect to salaries and related personnel expenses associated with our European and Indian operations. Additionally, for th</w:t>
      </w:r>
      <w:r>
        <w:rPr>
          <w:rFonts w:ascii="Times New Roman;serif" w:hAnsi="Times New Roman;serif"/>
          <w:b w:val="false"/>
          <w:color w:val="000000"/>
          <w:sz w:val="20"/>
        </w:rPr>
        <w:t>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26%</w:t>
      </w:r>
      <w:r>
        <w:rPr>
          <w:color w:val="000000"/>
          <w:shd w:fill="FFFFFF" w:val="clear"/>
        </w:rPr>
        <w:t xml:space="preserve"> </w:t>
      </w:r>
      <w:r>
        <w:rPr>
          <w:rFonts w:ascii="Times New Roman;serif" w:hAnsi="Times New Roman;serif"/>
          <w:b w:val="false"/>
          <w:color w:val="000000"/>
          <w:sz w:val="20"/>
          <w:shd w:fill="FFFFFF" w:val="clear"/>
        </w:rPr>
        <w:t>of our revenue</w:t>
      </w:r>
      <w:r>
        <w:rPr>
          <w:rFonts w:ascii="Times New Roman;serif" w:hAnsi="Times New Roman;serif"/>
          <w:b w:val="false"/>
          <w:color w:val="000000"/>
          <w:sz w:val="20"/>
        </w:rPr>
        <w:t>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and operations have continued to grow since inception, and if we do not appropriately manage any future growth, or are unable to improve our systems and processes, our operating results may be negatively affected.</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We have continued to grow over the last several years, with revenues increasing from $554.5 million in 2023 to $669.1 million in 2025, and headcount increasing from 2,143 employees at the beginning of 2023 to 2,718 employees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the continued services and performance of our senior management and other key employees, the loss of any of whom could adversely affect our business, operating results and financial condition.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hire, retain and motivate qualified personnel, our business may suffer.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 portion of our revenues are generated by sales to government entities, which are subject to a number of challenges and risks.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We have obtained authorization under FedRAMP,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success in acquiring and integrating other businesses, products or technologies could impact our financial position.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solutions fail to help our customers achieve and maintain compliance with regulations and industry standards, our revenues and operating results could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which could impact the demand for or value of our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rely on software-as-a-service vendors to operate certain functions of our business and any failure of such vendors to provide services to us could adversely impact our business and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Incorrect or improper implementation or use of our solutions could result in customer dissatisfaction and harm our business and reputation.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recognize revenues from subscriptions over the term of the relevant service period, and therefore any decreases or increases in bookings are not immediately reflected in our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subscription model also makes it difficult for us to rapidly increase our revenues through additional bookings in any period, as revenues are recognized ratably over the subscription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market for cloud solutions for IT, security and compliance does not evolve as we anticipate, our revenues may not grow and our operating results would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unavailability, or unauthorized processing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power outages, floods and other catastrophic events, and to interruption by man-made problems such as terrorism.</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service providers and suppliers prove to be inadequate. To the extent that any of the above results in delays of customer subscriptions or commercialization of our solutions,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 Legal, Tax and Regulatory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Undetected software errors or flaws in our solutions could harm our reputation, decrease market acceptance of our solutions or result in liability.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bidi w:val="0"/>
        <w:spacing w:lineRule="auto" w:line="288" w:before="240" w:after="283"/>
        <w:jc w:val="both"/>
        <w:rPr/>
      </w:pPr>
      <w:r>
        <w:rPr>
          <w:rFonts w:ascii="Times New Roman;serif" w:hAnsi="Times New Roman;serif"/>
          <w:b/>
          <w:i/>
          <w:color w:val="000000"/>
          <w:sz w:val="20"/>
        </w:rPr>
        <w:t>Our solutions could be used to collect and store personal information of our customers</w:t>
      </w:r>
      <w:r>
        <w:rPr>
          <w:color w:val="000000"/>
        </w:rPr>
        <w:t xml:space="preserve">’ </w:t>
      </w:r>
      <w:r>
        <w:rPr>
          <w:rFonts w:ascii="Times New Roman;serif" w:hAnsi="Times New Roman;serif"/>
          <w:b/>
          <w:i/>
          <w:color w:val="000000"/>
          <w:sz w:val="20"/>
        </w:rPr>
        <w:t>employees or customers, and therefore privacy and other data handling concerns could result in additional cost and liability to us or inhibit sales of our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certain personal and confidential information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and we may collect, store and otherwise process personal or confidential information more generally in connection with our business and operations. Privacy, data protection, and cybersecurity have become significant issues and the subject of extensive regulation in the United States and in many other countries where we offer our solutions. The regulatory frameworks for these matters worldwide are evolving and are likely to remain uncertain for the foreseeable future. Many federal, state and foreign government bodies and agencies have adopted or are considering adopting laws and regulations regarding the collection, use, disclosure, retention, transfer, and other processing of personal information. In the United States, these include, for example, rules and regulations promulgated under the authority of the Federal Trade Commission, the Health Insurance Portability and Accountability Act of 1996, the Gramm-Leach-Bliley Act, state privacy laws, and state breach notification laws. Internationally, virtually every jurisdiction in which we operate has established its own data security and privacy legal framework with which we or our customers must comply.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privacy, data protection, and cybersecurity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Union's General Data Protection Regulation (“GDPR”), which took effect in May of 2018, provides for substantial obligations relating to the handling, storage, and other processing of data relating to individuals and administrative fines for violations, which can be up to the greater of four percent of the previous year’s annual revenue or €20 million. Additionally, Europe’s Network and Information System Directive (“NIS2”) and its implementing laws regulate cybersecurity risk-management and incident response capabilities of entities operating in a number of sectors. Non-compliance with NIS2 may lead to administrative fines of a maximum of €10 million or up to 2% of the total worldwide revenue of the preceding fiscal year. Similarly, the California Consumer Privacy Act (“CCPA”) requires covered companies to, among other things, provide certain disclosures to California consumers and affords such consumers rights to opt-out of certain sales of personal information. The CCPA also creates a private right of action for statutory damages for certain breaches of information. Additionally, the California Privacy Rights Act (“CPRA”) was approved by voters in the November 3, 2020 election. The CPRA modified the CCPA significantly, creating obligations relating to consumer data beginning on January 1, 2022, with enforcement authorized as of July 1, 2023. In addition, other states have enacted or proposed legislation that regulates the collection, use, and sale of personal information, including, for example, Washington's My Health, My Data Act and legislation similar to the CCPA adopted in Virginia, Colorado, Utah, Connecticut, Iowa, Indiana, Montana, Tennessee, Oregon, Florida, Delaware, Texas, Kentucky, New Jersey, New Hampshire, Maryland, Minnesota, Nebraska, and Rhode Island. Aspects of the CCPA, CPRA, and these other new and evolving state laws, as well their interpretation and enforcement, remain uncertain. The GDPR, CCPA, and other laws and regulations relating to privacy, data protection, and cybersecurity may be subject to new or changing interpretations by courts, and our interpretation of the law and efforts to comply with the rules and regulations of the law may be ruled invalid. We cannot predict the impact of the CCPA, CPRA, or other evolving privacy, data protection and cybersecurity obligations on our business or operations, but they may require us to modify our data processing practices and policies and incur substantial costs and expenses in an effort to comply.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privacy, data protection, and cybersecurity laws and regulations we must comply with also are subject to change. For example, the United Kingdom has enacted a Data Protection Act, and has implemented legislation referred to as the “UK GDPR,” which substantially implement the GDPR in the United Kingdom. This legislation, which was modified in the Data (Use and Access) Bill, which received Royal Assent on June 19, 2025, provides for substantial penalties for noncompliance of up to the greater of £17.5 million or four percent of the previous year’s annual revenues. While the European Union has deemed the United Kingdom an “adequate country” to which personal data could be exported from the European Economic Area (“EEA”), this decision is subject to renewal and may be modified, revoked, or challenged, creating uncertainty regarding transfers of personal data to the United Kingdom from the EEA. It remains unclear how United Kingdom data protection laws or regulations will develop in the medium to longer term and how data transfers to and from the United Kingdom will be regulated. Additionally, we have self-certified under the EU-U.S. Data Privacy Framework, the Swiss-U.S. Data Privacy Framework, and the United Kingdom extension to the EU-U.S. Data Privacy Framework, and have adopted certain standard contractual clauses approved by the European Commission (“SCCs”) as part of our data processing agreements with regard to certain transfers of personal data from the EEA to the U.S. Both the EU-U.S. Data Privacy Framework and SCCs have, however, been subject to legal challenge. In its July 16, 2020 opinion, the CJEU imposed additional obligations on companies when relying on SCCs to transfer personal data. The European Commission has published revised SCCs addressing the CJEU concerns on June 4, 2021, that are required to be implemented. The United Kingdom has adopted new standard contractual clauses (“UK SCCs”), that became effective as of March 21, 2022, and which also are required to be implemented. The EU-U.S. Data Privacy Framework, Swiss-U.S. Data Privacy Framework, United Kingdom extension to the EU-U.S. Data Privacy Framework, revised SCCs and UK SCCs, guidance and opinions of regulators, and other developments relating to cross-border data transfer may require us to implement additional contractual and technical safeguards for any personal data transferred out of Europe, which may increase compliance costs, lead to increased regulatory scrutiny or liability, and which may adversely impact our business, financial condition and operating results. We may be unsuccessful in maintaining legitimate means for our transfer and receipt of personal data from the EEA, United Kingdom, Switzerland, or other jurisdictions. We may experience reluctance or refusal by current or prospective customers in these or other jurisdictions to use our products, and we and our customers may face a risk of regulatory enforcement actions or other proceedings relating to personal data transfers to us and by us from the EEA, United Kingdom, and Switzerland. Any such proceedings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 Further, the European Union’s Data Act (the “Data Act”) became applicable on September 12, 2025. Compliance with the Data Act may require us to adjust contract terms with customers and develop technical measures for data portability. These changes may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duration of customer relationships and result in additional compliance and operational costs, which may affect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laws and regulations, privacy advocacy and industry groups or other private parties may propose new and different standards relating to privacy, data protection, and cybersecurity that apply, or are alleged to apply, to us. The interpretation and application of laws, regulations, standards and contractual obligations relating to these matters are uncertain, and it is possible that they may be interpreted and applied in a manner that is, or perceived to be, inconsistent with our data management practices or the features of our solutions. If so, in addition to the possibility of regulatory investigations and enforcement actions or other proceedings,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concerns relating to privacy, data protection, or cybersecurity, even if unfounded, or any actual or perceived inability to comply with applicable laws, regulations, standards, or other obligations relating to these matters, could result in cost and liability to us, damage our reputation, inhibit sales of subscriptions and harm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and standards relating to privacy, data protection, or cybersecurity that are applicable to the businesses of our customers may limit the use and adoption of, and reduce the overall demand for, our solutions. Privacy and data protection concerns, whether valid or not valid, may inhibit market adoption of our solutions particularly in certain industries and foreign countries.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use AI/machine learning technologies in our solutions that could result in harm to our business and operating results.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additional AI/machine learning solutions and features into our solutions, and these solutions and features may become more important to our operations or to our future growth over time. We expect to rely on AI/machine learning solutions and features to help drive future growth in our business, but there can be no assurance that we will realize the desired or anticipated benefits from AI/machine learning or at all. We may also fail to properly implement or market our AI/machine learning solutions and features. Our competitors or other third parties may incorporate AI/machine learning into their products, offerings, and solutions more quickly or more successfully than us, which could impair our ability to compete effectively and adversely affect our results of operations. Additionally, our offerings based on AI/machine learning may expose us to additional claims, demands and proceedings by private parties and regulatory authorities and subject us to legal liability as well as brand and reputational harm. The legal, regulatory, and policy environments around AI/machine learning are evolving rapidly, including the European Union's enactment of its Artificial Intelligence Act and legislative efforts in various other jurisdictions, and we may become subject to new and evolving legal and other obligations. These and other developments may require us to make significant changes to our use of AI/machine learning, including by limiting or restricting our use of AI/machine learning, and which may require us to make significant changes to our policies and practices, which may necessitate expenditure of significant time, expense, and other resources, AI/machine learning also presents emerging ethical issues that could harm our reputation and business if our use of AI/machine learning becomes controversial.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solutions contain third-party open source software components, and our failure to comply with the terms of the underlying open source software licenses could restrict our ability to sell our solutions.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use third-party software and data that may be difficult to replace or cause errors or failures of our solutions that could lead to lost customers or harm to our reputation and our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Failure to protect our proprietary technology and intellectual property rights could substantially harm our business and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right to practice the patented invention. As a result, we may not be able to obtain adequate patent protection or to enforce our issued patents effectively.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Assertions by third parties of infringement or other violations by us of their intellectual property rights could result in significant costs and harm our business and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adverse outcome of a dispute may require us to:</w:t>
      </w:r>
    </w:p>
    <w:p>
      <w:pPr>
        <w:pStyle w:val="TextBody"/>
        <w:bidi w:val="0"/>
        <w:spacing w:lineRule="auto" w:line="288" w:before="120" w:after="283"/>
        <w:ind w:left="0" w:right="0" w:hanging="630"/>
        <w:jc w:val="both"/>
        <w:rPr/>
      </w:pPr>
      <w:r>
        <w:rPr>
          <w:color w:val="000000"/>
        </w:rPr>
        <w:t>•</w:t>
      </w:r>
      <w:r>
        <w:rPr>
          <w:rFonts w:ascii="Times New Roman;serif" w:hAnsi="Times New Roman;serif"/>
          <w:b w:val="false"/>
          <w:color w:val="000000"/>
          <w:sz w:val="20"/>
        </w:rPr>
        <w:t>pay substantial damages, including treble damages, if we are found to have willfully infringed a third party’s patents or copyrights;</w:t>
      </w:r>
    </w:p>
    <w:p>
      <w:pPr>
        <w:pStyle w:val="TextBody"/>
        <w:bidi w:val="0"/>
        <w:spacing w:lineRule="auto" w:line="288" w:before="120" w:after="283"/>
        <w:ind w:left="0" w:right="0" w:hanging="630"/>
        <w:jc w:val="both"/>
        <w:rPr/>
      </w:pPr>
      <w:r>
        <w:rPr>
          <w:color w:val="000000"/>
        </w:rPr>
        <w:t>•</w:t>
      </w:r>
      <w:r>
        <w:rPr>
          <w:rFonts w:ascii="Times New Roman;serif" w:hAnsi="Times New Roman;serif"/>
          <w:b w:val="false"/>
          <w:color w:val="000000"/>
          <w:sz w:val="20"/>
        </w:rPr>
        <w:t>cease making, licensing or using solutions that are alleged to infringe or misappropriate the intellectual property of others;</w:t>
      </w:r>
    </w:p>
    <w:p>
      <w:pPr>
        <w:pStyle w:val="TextBody"/>
        <w:bidi w:val="0"/>
        <w:spacing w:lineRule="auto" w:line="288" w:before="120" w:after="283"/>
        <w:ind w:left="0" w:right="0" w:hanging="630"/>
        <w:jc w:val="both"/>
        <w:rPr/>
      </w:pPr>
      <w:r>
        <w:rPr>
          <w:color w:val="000000"/>
        </w:rPr>
        <w:t>•</w:t>
      </w:r>
      <w:r>
        <w:rPr>
          <w:rFonts w:ascii="Times New Roman;serif" w:hAnsi="Times New Roman;serif"/>
          <w:b w:val="false"/>
          <w:color w:val="000000"/>
          <w:sz w:val="20"/>
        </w:rPr>
        <w:t>expend additional development resources to attempt to redesign our solutions or otherwise develop non-infringing technology, which may not be successful;</w:t>
      </w:r>
    </w:p>
    <w:p>
      <w:pPr>
        <w:pStyle w:val="TextBody"/>
        <w:bidi w:val="0"/>
        <w:spacing w:lineRule="auto" w:line="288" w:before="120" w:after="283"/>
        <w:ind w:left="0" w:right="0" w:hanging="630"/>
        <w:jc w:val="both"/>
        <w:rPr/>
      </w:pPr>
      <w:r>
        <w:rPr>
          <w:color w:val="000000"/>
        </w:rPr>
        <w:t>•</w:t>
      </w:r>
      <w:r>
        <w:rPr>
          <w:rFonts w:ascii="Times New Roman;serif" w:hAnsi="Times New Roman;serif"/>
          <w:b w:val="false"/>
          <w:color w:val="000000"/>
          <w:sz w:val="20"/>
        </w:rPr>
        <w:t>enter into potentially unfavorable royalty or license agreements in order to obtain the right to use necessary technologies or intellectual property rights; and</w:t>
      </w:r>
    </w:p>
    <w:p>
      <w:pPr>
        <w:pStyle w:val="TextBody"/>
        <w:bidi w:val="0"/>
        <w:spacing w:lineRule="auto" w:line="288" w:before="120" w:after="283"/>
        <w:ind w:left="0" w:right="0" w:hanging="630"/>
        <w:jc w:val="both"/>
        <w:rPr/>
      </w:pPr>
      <w:r>
        <w:rPr>
          <w:color w:val="000000"/>
        </w:rPr>
        <w:t>•</w:t>
      </w:r>
      <w:r>
        <w:rPr>
          <w:rFonts w:ascii="Times New Roman;serif" w:hAnsi="Times New Roman;serif"/>
          <w:b w:val="false"/>
          <w:color w:val="000000"/>
          <w:sz w:val="20"/>
        </w:rPr>
        <w:t>indemnify our partners and other third parties.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Governmental export or import controls could subject us to liability if we violate them or limit our ability to compete in foreign markets.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required to collect higher sales and use or other taxes on the solutions we sell, we may be subject to liability for past sales and our future sales may decrease.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Furthermore, certain jurisdictions, such as the U.K. and France, have enacted a digital services tax, which is generally a tax on gross revenue generated from users or customers located in those jurisdictions, and other jurisdictions are considering enacting similar laws.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our income tax provision or adverse outcomes resulting from examination of our income tax returns could adversely affect our operating results, in which case we could be subject to additional taxes.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(“TCJA”)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they could impact our financial results in future periods. The Organization for Economic Cooperation and Development (OECD) has issued model rules in connection with the Base Erosion and Profit Shifting integrated framework that determine multi-jurisdictional taxing rights (Pillar One) and the minimum rate of tax applicable to certain types of income (Pillar Two). Many countries have enacted legislation to apply the Pillar Two directive for tax years beginning in January 2024, which generally provides for a minimum effective tax rate of 15% on the income arising in certain jurisdictions where the Company operates. However, on January 5, 2026, the OECD announced a “side-by-side” elective safe harbor that exempts U.S. multinational entities from certain provisions of Pillar Two for fiscal years beginning on or after January 1, 2026. We may be audited in various jurisdictions, and such jurisdictions may assess additional taxes, including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an investment in our common stock and could subject us to litigation.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may continue to be, subject to significant fluctuations in response to a number of factors, most of which we cannot predict or control,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announcements of new solutions, services or technologies, commercial relationships, acquisitions or other events by us or our competitors;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fluctuations in stock market prices and trading volumes of securities of similar companies;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general market conditions and overall fluctuations in U.S. equity markets;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variations in our operating results, or the operating results of our competitors;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sales of large blocks of our common stock, including sales by our executive officers, directors and significant stockholders;</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additions or departures of any of our key personnel;</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announcements related to litigation;</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changing legal or regulatory developments in the United States and other countries; and</w:t>
      </w:r>
    </w:p>
    <w:p>
      <w:pPr>
        <w:pStyle w:val="TextBody"/>
        <w:bidi w:val="0"/>
        <w:spacing w:lineRule="auto" w:line="276" w:before="120" w:after="283"/>
        <w:ind w:left="0" w:right="0" w:hanging="630"/>
        <w:jc w:val="left"/>
        <w:rPr/>
      </w:pPr>
      <w:r>
        <w:rPr>
          <w:color w:val="000000"/>
        </w:rPr>
        <w:t>•</w:t>
      </w:r>
      <w:r>
        <w:rPr>
          <w:rFonts w:ascii="Times New Roman;serif" w:hAnsi="Times New Roman;serif"/>
          <w:b w:val="false"/>
          <w:color w:val="000000"/>
          <w:sz w:val="20"/>
        </w:rPr>
        <w:t>discussion of us or our stock price by the financial press and in online investor communities.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actual operating results may differ significantly from our guidance.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sales of shares by existing stockholders could cause our stock price to decline.</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w:t>
      </w:r>
      <w:r>
        <w:rPr>
          <w:rFonts w:ascii="Times New Roman;serif" w:hAnsi="Times New Roman;serif"/>
          <w:b w:val="false"/>
          <w:color w:val="000000"/>
          <w:sz w:val="20"/>
        </w:rPr>
        <w:t xml:space="preserve">f June 30, 2026, </w:t>
      </w:r>
      <w:r>
        <w:rPr>
          <w:rFonts w:ascii="Times New Roman;serif" w:hAnsi="Times New Roman;serif"/>
          <w:b w:val="false"/>
          <w:color w:val="000000"/>
          <w:sz w:val="20"/>
          <w:shd w:fill="FFFFFF" w:val="clear"/>
        </w:rPr>
        <w:t xml:space="preserve">we had approximately </w:t>
      </w:r>
      <w:r>
        <w:rPr>
          <w:rFonts w:ascii="Times New Roman;serif" w:hAnsi="Times New Roman;serif"/>
          <w:b w:val="false"/>
          <w:color w:val="000000"/>
          <w:sz w:val="20"/>
        </w:rPr>
        <w:t>34.7 million</w:t>
      </w:r>
      <w:r>
        <w:rPr>
          <w:color w:val="000000"/>
          <w:shd w:fill="FFFFFF" w:val="clear"/>
        </w:rPr>
        <w:t xml:space="preserve"> </w:t>
      </w:r>
      <w:r>
        <w:rPr>
          <w:rFonts w:ascii="Times New Roman;serif" w:hAnsi="Times New Roman;serif"/>
          <w:b w:val="false"/>
          <w:color w:val="000000"/>
          <w:sz w:val="20"/>
          <w:shd w:fill="FFFFFF" w:val="clear"/>
        </w:rPr>
        <w:t>shares of our common stock outstanding.</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In addition,</w:t>
      </w:r>
      <w:r>
        <w:rPr>
          <w:color w:val="000000"/>
        </w:rPr>
        <w:t xml:space="preserve"> </w:t>
      </w:r>
      <w:r>
        <w:rPr>
          <w:rFonts w:ascii="Times New Roman;serif" w:hAnsi="Times New Roman;serif"/>
          <w:b w:val="false"/>
          <w:color w:val="000000"/>
          <w:sz w:val="20"/>
        </w:rPr>
        <w:t>as of June 30, 2026, there were approximately 1.2 million options and 1.0 million restricted stock units outstanding. If such options are exercised and restricted stock units are released, these additional shares will become available for sale. As of June 30, 2026, we had an aggregate of 2.5 million shares of our common stock reserved for future issuance under our Restated 2012 Equity Incentive Plan and 0.3 million sha</w:t>
      </w:r>
      <w:r>
        <w:rPr>
          <w:rFonts w:ascii="Times New Roman;serif" w:hAnsi="Times New Roman;serif"/>
          <w:b w:val="false"/>
          <w:color w:val="000000"/>
          <w:sz w:val="20"/>
          <w:shd w:fill="FFFFFF" w:val="clear"/>
        </w:rPr>
        <w:t>res reserved for future purchase under our 2021 Employee Stock Purchase Plan, which can be freely sold in the public market upon issuance. If a large number of these shares are sold in the public market, the sales could reduce the trading price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stockholder value, and any share repurchases we make could affect the price of our common stock.</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May 4, 2022, February 7, 2024, February 6, 2025, and February 5, 2026, we announced that our board of directors had authorized an increase of $200.0 million to the share repurchase program, resulting in an aggregate authorization of $1.6 billion as of June 30, 2026.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net share repurchases are subject to the 1% excise tax introduced in the Inflation Reduction Act, which could increase the cost to us of share repurchases. During the six months ended June 30, 2026, we repurchased 1.3 million shares of our common stock for approximately $130.7 million. As of June 30, 2026, approximately $229.8 million remained available for share repurchases pursuant to our share repurchase program.</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and therefore any returns will be limited to the value of our stock.</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may delay or prevent an acquisition of us or a change in our management. These provisions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classified board of directors whose members can only be dismissed for cause;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prohibition on actions by written consent of our stockholders;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limitation on who may call a special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establishment of advance notice requirements for nominations for election to our board of directors or for proposing matters that can be acted upon at stockholder meetings;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requirement of at least two-thirds of the outstanding capital stock to amend any of the foregoing second through fifth provisions.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Disruptive technologies could gain wide adoption and supplant our cloud-based IT, security and compliance solutions, thereby weakening our sales and harming our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maintain profitability in the future.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Forecasts of market growth may prove to be inaccurate, and even if the markets in which we compete achieve the forecasted growth, there can be no assurance that our business will grow at similar rates, or at all.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financial results are based in part on our estimates or judgments relating to our critical accounting policies. These estimates or judgments may prove to be incorrect, which could harm our operating results and result in a decline in our stock price.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stock price. Significant assumptions and estimates used in preparing our condensed consolidated financial statements include those related to revenue recognition, accounting for income taxes and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financial accounting standards may cause adverse and unexpected revenue fluctuations and impact our reported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our repurchases of common stock during the three months ended June 30, 2026 is as follows: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448"/>
        <w:gridCol w:w="395"/>
        <w:gridCol w:w="396"/>
        <w:gridCol w:w="109"/>
        <w:gridCol w:w="109"/>
        <w:gridCol w:w="109"/>
        <w:gridCol w:w="613"/>
        <w:gridCol w:w="613"/>
        <w:gridCol w:w="615"/>
        <w:gridCol w:w="109"/>
        <w:gridCol w:w="109"/>
        <w:gridCol w:w="109"/>
        <w:gridCol w:w="343"/>
        <w:gridCol w:w="1173"/>
        <w:gridCol w:w="177"/>
        <w:gridCol w:w="109"/>
        <w:gridCol w:w="109"/>
        <w:gridCol w:w="109"/>
        <w:gridCol w:w="636"/>
        <w:gridCol w:w="636"/>
        <w:gridCol w:w="637"/>
        <w:gridCol w:w="109"/>
        <w:gridCol w:w="109"/>
        <w:gridCol w:w="109"/>
        <w:gridCol w:w="300"/>
        <w:gridCol w:w="1690"/>
        <w:gridCol w:w="225"/>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as Part of Publicly Announced Plan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or Program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Approximate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Dollar Value of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Shares that May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Yet Be Purchased under the Plan 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Program</w:t>
            </w:r>
          </w:p>
        </w:tc>
      </w:tr>
      <w:tr>
        <w:trPr/>
        <w:tc>
          <w:tcPr>
            <w:tcW w:w="12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280,761,239 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255,478,434 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229,781,753 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(1) 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May 4, 2022, February 7, 2024, February 6, 2025 and February 5, 2026, we announced that our board of directors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authorized an increase of $200.0 million to the share repurchase program, resulting in an aggregate authorization of $1.6 billion as of June 30, 2026.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adopted or terminated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80"/>
        <w:gridCol w:w="335"/>
        <w:gridCol w:w="336"/>
        <w:gridCol w:w="109"/>
        <w:gridCol w:w="109"/>
        <w:gridCol w:w="109"/>
        <w:gridCol w:w="2649"/>
        <w:gridCol w:w="2548"/>
        <w:gridCol w:w="3630"/>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Qualys, Inc. 2012 Equity Incentive Plan, as amended and restated (incorporated by reference to Exhibit 10.1 to the Registrant's Current Report on Form 8-K filed with the SEC on June </w:t>
              </w:r>
            </w:hyperlink>
            <w:hyperlink r:id="rId3">
              <w:r>
                <w:rPr>
                  <w:rStyle w:val="InternetLink"/>
                  <w:rFonts w:ascii="Times New Roman;serif" w:hAnsi="Times New Roman;serif"/>
                  <w:b w:val="false"/>
                  <w:color w:val="000080"/>
                  <w:sz w:val="20"/>
                  <w:u w:val="single"/>
                </w:rPr>
                <w:t>11</w:t>
              </w:r>
            </w:hyperlink>
            <w:hyperlink r:id="rId4">
              <w:r>
                <w:rPr>
                  <w:rStyle w:val="InternetLink"/>
                  <w:rFonts w:ascii="Times New Roman;serif" w:hAnsi="Times New Roman;serif"/>
                  <w:b w:val="false"/>
                  <w:color w:val="000080"/>
                  <w:sz w:val="20"/>
                  <w:u w:val="single"/>
                </w:rPr>
                <w:t>, 202</w:t>
              </w:r>
            </w:hyperlink>
            <w:hyperlink r:id="rId5">
              <w:r>
                <w:rPr>
                  <w:rStyle w:val="InternetLink"/>
                  <w:rFonts w:ascii="Times New Roman;serif" w:hAnsi="Times New Roman;serif"/>
                  <w:b w:val="false"/>
                  <w:color w:val="000080"/>
                  <w:sz w:val="20"/>
                  <w:u w:val="single"/>
                </w:rPr>
                <w:t>6</w:t>
              </w:r>
            </w:hyperlink>
            <w:hyperlink r:id="rId6">
              <w:r>
                <w:rPr>
                  <w:rStyle w:val="InternetLink"/>
                  <w:rFonts w:ascii="Times New Roman;serif" w:hAnsi="Times New Roman;serif"/>
                  <w:b w:val="false"/>
                  <w:color w:val="000080"/>
                  <w:sz w:val="20"/>
                  <w:u w:val="single"/>
                </w:rPr>
                <w:t>).</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0630xex311.htm">
              <w:r>
                <w:rPr>
                  <w:rStyle w:val="InternetLink"/>
                  <w:rFonts w:ascii="Times New Roman;serif" w:hAnsi="Times New Roman;serif"/>
                  <w:b w:val="false"/>
                  <w:color w:val="0000FF"/>
                  <w:sz w:val="20"/>
                  <w:u w:val="single"/>
                </w:rPr>
                <w:t>Certification of Chief Executive Officer pursuant to Rule 13a-14(a) or Rule 15d-14(a) of the Securities Exchange Act of 1934, as adopted pursuant to Section 302 of The Sarbanes-Oxley Act of 2002.</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0630xex312.htm">
              <w:r>
                <w:rPr>
                  <w:rStyle w:val="InternetLink"/>
                  <w:rFonts w:ascii="Times New Roman;serif" w:hAnsi="Times New Roman;serif"/>
                  <w:b w:val="false"/>
                  <w:color w:val="0000FF"/>
                  <w:sz w:val="20"/>
                  <w:u w:val="single"/>
                </w:rPr>
                <w:t>Certification of Chief Financial Officer pursuant to Rule 13a-14(a) or Rule 15d-14(a) of the Securities Exchange Act of 1934, as adopted pursuant to Section 302 of The Sarbanes-Oxley Act of 2002.</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0630xex321.htm">
              <w:r>
                <w:rPr>
                  <w:rStyle w:val="InternetLink"/>
                  <w:rFonts w:ascii="Times New Roman;serif" w:hAnsi="Times New Roman;serif"/>
                  <w:b w:val="false"/>
                  <w:color w:val="0000FF"/>
                  <w:sz w:val="20"/>
                  <w:u w:val="single"/>
                </w:rPr>
                <w:t>Certification of Chief Executive Officer pursuant to Rule 13a-14(b) or Rule 15d-14(b) of the Securities Exchange Act of 1934 and 18 U.S.C. Section 1350 as adopted pursuant to Section 906 of The Sarbanes-Oxley Act of 2002.</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0630xex322.htm">
              <w:r>
                <w:rPr>
                  <w:rStyle w:val="InternetLink"/>
                  <w:rFonts w:ascii="Times New Roman;serif" w:hAnsi="Times New Roman;serif"/>
                  <w:b w:val="false"/>
                  <w:color w:val="0000FF"/>
                  <w:sz w:val="20"/>
                  <w:u w:val="single"/>
                </w:rPr>
                <w:t>Certification of Chief Financial Officer pursuant to Rule 13a-14(b) or Rule 15d-14(b) of the Securities Exchange Act of 1934 and 18 U.S.C. Section 1350 as adopted pursuant to Section 906 of The Sarbanes-Oxley Act of 2002.</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is embedded within the Inline XBRL document or included within Exhibit 101 attachments.</w:t>
            </w:r>
          </w:p>
        </w:tc>
      </w:tr>
    </w:tbl>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4050fb51f9a4b1cb8efe203218f52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in the City of Foster City, State of California on August 4, 2026.</w:t>
      </w:r>
    </w:p>
    <w:tbl>
      <w:tblPr>
        <w:tblW w:w="4650" w:type="dxa"/>
        <w:jc w:val="left"/>
        <w:tblInd w:w="0" w:type="dxa"/>
        <w:tblLayout w:type="fixed"/>
        <w:tblCellMar>
          <w:top w:w="28" w:type="dxa"/>
          <w:left w:w="28" w:type="dxa"/>
          <w:bottom w:w="28" w:type="dxa"/>
          <w:right w:w="28" w:type="dxa"/>
        </w:tblCellMar>
      </w:tblPr>
      <w:tblGrid>
        <w:gridCol w:w="124"/>
        <w:gridCol w:w="109"/>
        <w:gridCol w:w="109"/>
        <w:gridCol w:w="221"/>
        <w:gridCol w:w="221"/>
        <w:gridCol w:w="221"/>
        <w:gridCol w:w="1061"/>
        <w:gridCol w:w="1061"/>
        <w:gridCol w:w="1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QUALYS,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JOO MI KIM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Joo Mi Kim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OR RULE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Sumedh S. Thakar, certify that: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Qualys, Inc.;</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41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OR RULE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Joo Mi Kim, certify that: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Qualys, Inc.;</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5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1198"/>
        <w:gridCol w:w="1198"/>
        <w:gridCol w:w="120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Qualys, Inc. (the “Company”) on Form 10-Q for the quarter ended June 30, 2026, as filed with the Securities and Exchange Commission on the date hereof (the “Report”), I, Sumedh S. Thakar, President and Chief Executive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441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Sumedh S. Thakar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13a-14(b) OR RULE 15d-14(b)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Qualys, Inc. (the “Company”) on Form 10-Q for the quarter ended June 30, 2026,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5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1198"/>
        <w:gridCol w:w="1198"/>
        <w:gridCol w:w="120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Joo Mi Kim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Qualys,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07843/000110784326000024/qlys-20260610xex101.htm" TargetMode="External"/><Relationship Id="rId3" Type="http://schemas.openxmlformats.org/officeDocument/2006/relationships/hyperlink" Target="https://www.sec.gov/Archives/edgar/data/1107843/000110784326000024/qlys-20260610xex101.htm" TargetMode="External"/><Relationship Id="rId4" Type="http://schemas.openxmlformats.org/officeDocument/2006/relationships/hyperlink" Target="https://www.sec.gov/Archives/edgar/data/1107843/000110784326000024/qlys-20260610xex101.htm" TargetMode="External"/><Relationship Id="rId5" Type="http://schemas.openxmlformats.org/officeDocument/2006/relationships/hyperlink" Target="https://www.sec.gov/Archives/edgar/data/1107843/000110784326000024/qlys-20260610xex101.htm" TargetMode="External"/><Relationship Id="rId6" Type="http://schemas.openxmlformats.org/officeDocument/2006/relationships/hyperlink" Target="https://www.sec.gov/Archives/edgar/data/1107843/000110784326000024/qlys-20260610x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36732</Words>
  <Characters>204324</Characters>
  <CharactersWithSpaces>239677</CharactersWithSpaces>
  <Paragraphs>3146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