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36830</wp:posOffset>
            </wp:positionV>
            <wp:extent cx="1779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50165</wp:posOffset>
            </wp:positionV>
            <wp:extent cx="177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108" w:lineRule="exact"/>
        <w:rPr>
          <w:sz w:val="24"/>
          <w:szCs w:val="24"/>
          <w:color w:val="auto"/>
        </w:rPr>
      </w:pPr>
    </w:p>
    <w:p>
      <w:pPr>
        <w:ind w:left="3760" w:right="3740" w:hanging="3753"/>
        <w:spacing w:after="0" w:line="289" w:lineRule="auto"/>
        <w:tabs>
          <w:tab w:leader="none" w:pos="65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Annual Period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86" w:right="339" w:bottom="1440" w:gutter="0" w:footer="0" w:header="0"/>
        </w:sectPr>
      </w:pPr>
    </w:p>
    <w:p>
      <w:pPr>
        <w:spacing w:after="0" w:line="28" w:lineRule="exact"/>
        <w:rPr>
          <w:sz w:val="24"/>
          <w:szCs w:val="24"/>
          <w:color w:val="auto"/>
        </w:rPr>
      </w:pPr>
    </w:p>
    <w:p>
      <w:pPr>
        <w:jc w:val="center"/>
        <w:spacing w:after="0"/>
        <w:tabs>
          <w:tab w:leader="none" w:pos="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7"/>
          <w:szCs w:val="17"/>
          <w:b w:val="1"/>
          <w:bCs w:val="1"/>
          <w:color w:val="auto"/>
        </w:rPr>
        <w:t>Commission file number 001-35662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181610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383"/>
        </w:trPr>
        <w:tc>
          <w:tcPr>
            <w:tcW w:w="4220" w:type="dxa"/>
            <w:vAlign w:val="bottom"/>
          </w:tcPr>
          <w:p>
            <w:pPr>
              <w:spacing w:after="0"/>
              <w:rPr>
                <w:sz w:val="24"/>
                <w:szCs w:val="24"/>
                <w:color w:val="auto"/>
              </w:rPr>
            </w:pPr>
          </w:p>
        </w:tc>
        <w:tc>
          <w:tcPr>
            <w:tcW w:w="3420" w:type="dxa"/>
            <w:vAlign w:val="bottom"/>
            <w:gridSpan w:val="2"/>
          </w:tcPr>
          <w:p>
            <w:pPr>
              <w:jc w:val="center"/>
              <w:ind w:right="600"/>
              <w:spacing w:after="0"/>
              <w:rPr>
                <w:sz w:val="20"/>
                <w:szCs w:val="20"/>
                <w:color w:val="auto"/>
              </w:rPr>
            </w:pPr>
            <w:r>
              <w:rPr>
                <w:rFonts w:ascii="Arial" w:cs="Arial" w:eastAsia="Arial" w:hAnsi="Arial"/>
                <w:sz w:val="32"/>
                <w:szCs w:val="32"/>
                <w:b w:val="1"/>
                <w:bCs w:val="1"/>
                <w:color w:val="auto"/>
                <w:w w:val="99"/>
              </w:rPr>
              <w:t>QUALYS, INC.</w:t>
            </w:r>
          </w:p>
        </w:tc>
        <w:tc>
          <w:tcPr>
            <w:tcW w:w="1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40" w:type="dxa"/>
            <w:vAlign w:val="bottom"/>
            <w:gridSpan w:val="3"/>
          </w:tcPr>
          <w:p>
            <w:pPr>
              <w:jc w:val="center"/>
              <w:ind w:left="3511"/>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1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4220" w:type="dxa"/>
            <w:vAlign w:val="bottom"/>
            <w:vMerge w:val="restart"/>
          </w:tcPr>
          <w:p>
            <w:pPr>
              <w:jc w:val="center"/>
              <w:ind w:left="411"/>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600" w:type="dxa"/>
            <w:vAlign w:val="bottom"/>
            <w:gridSpan w:val="2"/>
            <w:vMerge w:val="restart"/>
          </w:tcPr>
          <w:p>
            <w:pPr>
              <w:jc w:val="center"/>
              <w:ind w:right="1131"/>
              <w:spacing w:after="0"/>
              <w:rPr>
                <w:sz w:val="20"/>
                <w:szCs w:val="20"/>
                <w:color w:val="auto"/>
              </w:rPr>
            </w:pPr>
            <w:r>
              <w:rPr>
                <w:rFonts w:ascii="Arial" w:cs="Arial" w:eastAsia="Arial" w:hAnsi="Arial"/>
                <w:sz w:val="18"/>
                <w:szCs w:val="18"/>
                <w:b w:val="1"/>
                <w:bCs w:val="1"/>
                <w:color w:val="auto"/>
                <w:w w:val="89"/>
              </w:rPr>
              <w:t>77-0534145</w:t>
            </w:r>
          </w:p>
        </w:tc>
        <w:tc>
          <w:tcPr>
            <w:tcW w:w="0" w:type="dxa"/>
            <w:vAlign w:val="bottom"/>
          </w:tcPr>
          <w:p>
            <w:pPr>
              <w:spacing w:after="0"/>
              <w:rPr>
                <w:sz w:val="1"/>
                <w:szCs w:val="1"/>
                <w:color w:val="auto"/>
              </w:rPr>
            </w:pPr>
          </w:p>
        </w:tc>
      </w:tr>
      <w:tr>
        <w:trPr>
          <w:trHeight w:val="242"/>
        </w:trPr>
        <w:tc>
          <w:tcPr>
            <w:tcW w:w="4220" w:type="dxa"/>
            <w:vAlign w:val="bottom"/>
            <w:vMerge w:val="continue"/>
          </w:tcPr>
          <w:p>
            <w:pPr>
              <w:spacing w:after="0"/>
              <w:rPr>
                <w:sz w:val="21"/>
                <w:szCs w:val="21"/>
                <w:color w:val="auto"/>
              </w:rPr>
            </w:pPr>
          </w:p>
        </w:tc>
        <w:tc>
          <w:tcPr>
            <w:tcW w:w="2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220" w:type="dxa"/>
            <w:vAlign w:val="bottom"/>
          </w:tcPr>
          <w:p>
            <w:pPr>
              <w:jc w:val="center"/>
              <w:ind w:left="431"/>
              <w:spacing w:after="0"/>
              <w:rPr>
                <w:sz w:val="20"/>
                <w:szCs w:val="20"/>
                <w:color w:val="auto"/>
              </w:rPr>
            </w:pPr>
            <w:r>
              <w:rPr>
                <w:rFonts w:ascii="Arial" w:cs="Arial" w:eastAsia="Arial" w:hAnsi="Arial"/>
                <w:sz w:val="18"/>
                <w:szCs w:val="18"/>
                <w:b w:val="1"/>
                <w:bCs w:val="1"/>
                <w:color w:val="auto"/>
                <w:w w:val="89"/>
              </w:rPr>
              <w:t>(State or other jurisdiction of</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gridSpan w:val="2"/>
          </w:tcPr>
          <w:p>
            <w:pPr>
              <w:jc w:val="center"/>
              <w:ind w:right="1151"/>
              <w:spacing w:after="0"/>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13"/>
        </w:trPr>
        <w:tc>
          <w:tcPr>
            <w:tcW w:w="4220" w:type="dxa"/>
            <w:vAlign w:val="bottom"/>
          </w:tcPr>
          <w:p>
            <w:pPr>
              <w:jc w:val="center"/>
              <w:ind w:left="411"/>
              <w:spacing w:after="0"/>
              <w:rPr>
                <w:sz w:val="20"/>
                <w:szCs w:val="20"/>
                <w:color w:val="auto"/>
              </w:rPr>
            </w:pPr>
            <w:r>
              <w:rPr>
                <w:rFonts w:ascii="Arial" w:cs="Arial" w:eastAsia="Arial" w:hAnsi="Arial"/>
                <w:sz w:val="18"/>
                <w:szCs w:val="18"/>
                <w:b w:val="1"/>
                <w:bCs w:val="1"/>
                <w:color w:val="auto"/>
                <w:w w:val="90"/>
              </w:rPr>
              <w:t>incorporation or organization)</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gridSpan w:val="2"/>
          </w:tcPr>
          <w:p>
            <w:pPr>
              <w:jc w:val="center"/>
              <w:ind w:right="1151"/>
              <w:spacing w:after="0"/>
              <w:rPr>
                <w:sz w:val="20"/>
                <w:szCs w:val="20"/>
                <w:color w:val="auto"/>
              </w:rPr>
            </w:pPr>
            <w:r>
              <w:rPr>
                <w:rFonts w:ascii="Arial" w:cs="Arial" w:eastAsia="Arial" w:hAnsi="Arial"/>
                <w:sz w:val="18"/>
                <w:szCs w:val="18"/>
                <w:b w:val="1"/>
                <w:bCs w:val="1"/>
                <w:color w:val="auto"/>
                <w:w w:val="92"/>
              </w:rPr>
              <w:t>Identification Number)</w:t>
            </w:r>
          </w:p>
        </w:tc>
        <w:tc>
          <w:tcPr>
            <w:tcW w:w="0" w:type="dxa"/>
            <w:vAlign w:val="bottom"/>
          </w:tcPr>
          <w:p>
            <w:pPr>
              <w:spacing w:after="0"/>
              <w:rPr>
                <w:sz w:val="1"/>
                <w:szCs w:val="1"/>
                <w:color w:val="auto"/>
              </w:rPr>
            </w:pPr>
          </w:p>
        </w:tc>
      </w:tr>
      <w:tr>
        <w:trPr>
          <w:trHeight w:val="213"/>
        </w:trPr>
        <w:tc>
          <w:tcPr>
            <w:tcW w:w="9040" w:type="dxa"/>
            <w:vAlign w:val="bottom"/>
            <w:gridSpan w:val="4"/>
          </w:tcPr>
          <w:p>
            <w:pPr>
              <w:jc w:val="center"/>
              <w:ind w:left="2131"/>
              <w:spacing w:after="0"/>
              <w:rPr>
                <w:sz w:val="20"/>
                <w:szCs w:val="20"/>
                <w:color w:val="auto"/>
              </w:rPr>
            </w:pPr>
            <w:r>
              <w:rPr>
                <w:rFonts w:ascii="Arial" w:cs="Arial" w:eastAsia="Arial" w:hAnsi="Arial"/>
                <w:sz w:val="18"/>
                <w:szCs w:val="18"/>
                <w:b w:val="1"/>
                <w:bCs w:val="1"/>
                <w:color w:val="auto"/>
                <w:w w:val="90"/>
              </w:rPr>
              <w:t>919 E. Hillsdale Boulevard, 4th Floor, Foster City, California 94404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40" w:type="dxa"/>
            <w:vAlign w:val="bottom"/>
            <w:gridSpan w:val="4"/>
          </w:tcPr>
          <w:p>
            <w:pPr>
              <w:jc w:val="center"/>
              <w:ind w:left="2111"/>
              <w:spacing w:after="0"/>
              <w:rPr>
                <w:sz w:val="20"/>
                <w:szCs w:val="20"/>
                <w:color w:val="auto"/>
              </w:rPr>
            </w:pPr>
            <w:r>
              <w:rPr>
                <w:rFonts w:ascii="Arial" w:cs="Arial" w:eastAsia="Arial" w:hAnsi="Arial"/>
                <w:sz w:val="18"/>
                <w:szCs w:val="18"/>
                <w:b w:val="1"/>
                <w:bCs w:val="1"/>
                <w:color w:val="auto"/>
                <w:w w:val="87"/>
              </w:rPr>
              <w:t>(Address of principal executive offices, including zip code)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(650) 801-6100</w:t>
            </w: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3"/>
          </w:tcPr>
          <w:p>
            <w:pPr>
              <w:jc w:val="center"/>
              <w:ind w:left="3531"/>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4220" w:type="dxa"/>
            <w:vAlign w:val="bottom"/>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020" w:type="dxa"/>
            <w:vAlign w:val="bottom"/>
            <w:gridSpan w:val="2"/>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9040" w:type="dxa"/>
            <w:vAlign w:val="bottom"/>
            <w:gridSpan w:val="4"/>
          </w:tcPr>
          <w:p>
            <w:pPr>
              <w:jc w:val="center"/>
              <w:ind w:left="211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2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b w:val="1"/>
                <w:bCs w:val="1"/>
                <w:color w:val="auto"/>
                <w:w w:val="85"/>
              </w:rPr>
              <w:t>Title of each class</w:t>
            </w:r>
          </w:p>
        </w:tc>
        <w:tc>
          <w:tcPr>
            <w:tcW w:w="34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Borders>
              <w:bottom w:val="single" w:sz="8" w:color="auto"/>
            </w:tcBorders>
            <w:gridSpan w:val="2"/>
          </w:tcPr>
          <w:p>
            <w:pPr>
              <w:jc w:val="center"/>
              <w:ind w:right="571"/>
              <w:spacing w:after="0"/>
              <w:rPr>
                <w:sz w:val="20"/>
                <w:szCs w:val="20"/>
                <w:color w:val="auto"/>
              </w:rPr>
            </w:pPr>
            <w:r>
              <w:rPr>
                <w:rFonts w:ascii="Arial" w:cs="Arial" w:eastAsia="Arial" w:hAnsi="Arial"/>
                <w:sz w:val="18"/>
                <w:szCs w:val="18"/>
                <w:b w:val="1"/>
                <w:bCs w:val="1"/>
                <w:color w:val="auto"/>
                <w:w w:val="86"/>
              </w:rPr>
              <w:t>Name of exchange on which registered</w:t>
            </w:r>
          </w:p>
        </w:tc>
        <w:tc>
          <w:tcPr>
            <w:tcW w:w="0" w:type="dxa"/>
            <w:vAlign w:val="bottom"/>
          </w:tcPr>
          <w:p>
            <w:pPr>
              <w:spacing w:after="0"/>
              <w:rPr>
                <w:sz w:val="1"/>
                <w:szCs w:val="1"/>
                <w:color w:val="auto"/>
              </w:rPr>
            </w:pPr>
          </w:p>
        </w:tc>
      </w:tr>
      <w:tr>
        <w:trPr>
          <w:trHeight w:val="221"/>
        </w:trPr>
        <w:tc>
          <w:tcPr>
            <w:tcW w:w="4220" w:type="dxa"/>
            <w:vAlign w:val="bottom"/>
          </w:tcPr>
          <w:p>
            <w:pPr>
              <w:jc w:val="center"/>
              <w:ind w:left="91"/>
              <w:spacing w:after="0"/>
              <w:rPr>
                <w:sz w:val="20"/>
                <w:szCs w:val="20"/>
                <w:color w:val="auto"/>
              </w:rPr>
            </w:pPr>
            <w:r>
              <w:rPr>
                <w:rFonts w:ascii="Arial" w:cs="Arial" w:eastAsia="Arial" w:hAnsi="Arial"/>
                <w:sz w:val="18"/>
                <w:szCs w:val="18"/>
                <w:color w:val="auto"/>
                <w:w w:val="88"/>
              </w:rPr>
              <w:t>Common stock, $0.001 par value per share</w:t>
            </w:r>
          </w:p>
        </w:tc>
        <w:tc>
          <w:tcPr>
            <w:tcW w:w="342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QLYS</w:t>
            </w:r>
          </w:p>
        </w:tc>
        <w:tc>
          <w:tcPr>
            <w:tcW w:w="3600" w:type="dxa"/>
            <w:vAlign w:val="bottom"/>
            <w:gridSpan w:val="2"/>
          </w:tcPr>
          <w:p>
            <w:pPr>
              <w:jc w:val="center"/>
              <w:ind w:right="571"/>
              <w:spacing w:after="0"/>
              <w:rPr>
                <w:sz w:val="20"/>
                <w:szCs w:val="20"/>
                <w:color w:val="auto"/>
              </w:rPr>
            </w:pPr>
            <w:r>
              <w:rPr>
                <w:rFonts w:ascii="Arial" w:cs="Arial" w:eastAsia="Arial" w:hAnsi="Arial"/>
                <w:sz w:val="18"/>
                <w:szCs w:val="18"/>
                <w:color w:val="auto"/>
                <w:w w:val="93"/>
              </w:rPr>
              <w:t>NASDAQ Stock Market</w:t>
            </w:r>
          </w:p>
        </w:tc>
        <w:tc>
          <w:tcPr>
            <w:tcW w:w="0" w:type="dxa"/>
            <w:vAlign w:val="bottom"/>
          </w:tcPr>
          <w:p>
            <w:pPr>
              <w:spacing w:after="0"/>
              <w:rPr>
                <w:sz w:val="1"/>
                <w:szCs w:val="1"/>
                <w:color w:val="auto"/>
              </w:rPr>
            </w:pPr>
          </w:p>
        </w:tc>
      </w:tr>
      <w:tr>
        <w:trPr>
          <w:trHeight w:val="367"/>
        </w:trPr>
        <w:tc>
          <w:tcPr>
            <w:tcW w:w="7640" w:type="dxa"/>
            <w:vAlign w:val="bottom"/>
            <w:gridSpan w:val="3"/>
          </w:tcPr>
          <w:p>
            <w:pPr>
              <w:jc w:val="center"/>
              <w:ind w:right="2900"/>
              <w:spacing w:after="0"/>
              <w:rPr>
                <w:sz w:val="20"/>
                <w:szCs w:val="20"/>
                <w:color w:val="auto"/>
              </w:rPr>
            </w:pPr>
            <w:r>
              <w:rPr>
                <w:rFonts w:ascii="Arial" w:cs="Arial" w:eastAsia="Arial" w:hAnsi="Arial"/>
                <w:sz w:val="18"/>
                <w:szCs w:val="18"/>
                <w:b w:val="1"/>
                <w:bCs w:val="1"/>
                <w:color w:val="auto"/>
                <w:w w:val="87"/>
              </w:rPr>
              <w:t xml:space="preserve">Securities registered pursuant to section 12(g) of the Act: </w:t>
            </w:r>
            <w:r>
              <w:rPr>
                <w:rFonts w:ascii="Arial" w:cs="Arial" w:eastAsia="Arial" w:hAnsi="Arial"/>
                <w:sz w:val="18"/>
                <w:szCs w:val="18"/>
                <w:color w:val="auto"/>
                <w:w w:val="87"/>
              </w:rPr>
              <w:t>None</w:t>
            </w:r>
          </w:p>
        </w:tc>
        <w:tc>
          <w:tcPr>
            <w:tcW w:w="1400" w:type="dxa"/>
            <w:vAlign w:val="bottom"/>
          </w:tcPr>
          <w:p>
            <w:pPr>
              <w:spacing w:after="0"/>
              <w:rPr>
                <w:sz w:val="24"/>
                <w:szCs w:val="24"/>
                <w:color w:val="auto"/>
              </w:rPr>
            </w:pPr>
          </w:p>
        </w:tc>
        <w:tc>
          <w:tcPr>
            <w:tcW w:w="22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9040" w:type="dxa"/>
            <w:vAlign w:val="bottom"/>
            <w:gridSpan w:val="4"/>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9040" w:type="dxa"/>
            <w:vAlign w:val="bottom"/>
            <w:gridSpan w:val="4"/>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0"/>
              </w:rPr>
              <w:t>☐</w:t>
            </w:r>
          </w:p>
        </w:tc>
        <w:tc>
          <w:tcPr>
            <w:tcW w:w="22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jc w:val="both"/>
        <w:spacing w:after="0" w:line="24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spacing w:after="0" w:line="207" w:lineRule="exact"/>
        <w:tabs>
          <w:tab w:leader="none" w:pos="2260" w:val="left"/>
          <w:tab w:leader="none" w:pos="2920" w:val="left"/>
          <w:tab w:leader="none" w:pos="4880" w:val="left"/>
          <w:tab w:leader="none" w:pos="5520" w:val="left"/>
          <w:tab w:leader="none" w:pos="7680" w:val="left"/>
          <w:tab w:leader="none" w:pos="832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3" w:lineRule="exact"/>
        <w:rPr>
          <w:sz w:val="24"/>
          <w:szCs w:val="24"/>
          <w:color w:val="auto"/>
        </w:rPr>
      </w:pPr>
    </w:p>
    <w:p>
      <w:pPr>
        <w:ind w:left="8340"/>
        <w:spacing w:after="0" w:line="207" w:lineRule="exact"/>
        <w:tabs>
          <w:tab w:leader="none" w:pos="10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6"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 w:lineRule="exact"/>
        <w:rPr>
          <w:sz w:val="24"/>
          <w:szCs w:val="24"/>
          <w:color w:val="auto"/>
        </w:rPr>
      </w:pPr>
    </w:p>
    <w:p>
      <w:pPr>
        <w:spacing w:after="0" w:line="207" w:lineRule="exact"/>
        <w:tabs>
          <w:tab w:leader="none" w:pos="8240" w:val="left"/>
          <w:tab w:leader="none" w:pos="89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As of June 30, 2021, the aggregate market value of voting shares of common stock held by non-affiliates of the registrant was $2,961 million based on the last reported sale price of the registrant's common stock on June 30, 2021.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February 16, 2022 was 39,029,415 shares.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 w:lineRule="exact"/>
        <w:rPr>
          <w:sz w:val="24"/>
          <w:szCs w:val="24"/>
          <w:color w:val="auto"/>
        </w:rPr>
      </w:pPr>
    </w:p>
    <w:p>
      <w:pPr>
        <w:jc w:val="both"/>
        <w:spacing w:after="0" w:line="251" w:lineRule="auto"/>
        <w:rPr>
          <w:sz w:val="20"/>
          <w:szCs w:val="20"/>
          <w:color w:val="auto"/>
        </w:rPr>
      </w:pPr>
      <w:r>
        <w:rPr>
          <w:rFonts w:ascii="Arial" w:cs="Arial" w:eastAsia="Arial" w:hAnsi="Arial"/>
          <w:sz w:val="18"/>
          <w:szCs w:val="18"/>
          <w:color w:val="auto"/>
        </w:rPr>
        <w:t>Portions of the registrant's Proxy Statement for its 2022 Annual Meeting of Stockholders are incorporated by reference in Part III of this Annual Report on Form 10-K where indicated.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351155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3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909"/>
        </w:trPr>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5"/>
          </w:tcPr>
          <w:p>
            <w:pPr>
              <w:jc w:val="center"/>
              <w:ind w:right="4320"/>
              <w:spacing w:after="0"/>
              <w:rPr>
                <w:sz w:val="20"/>
                <w:szCs w:val="20"/>
                <w:color w:val="auto"/>
              </w:rPr>
            </w:pPr>
            <w:r>
              <w:rPr>
                <w:rFonts w:ascii="Arial" w:cs="Arial" w:eastAsia="Arial" w:hAnsi="Arial"/>
                <w:sz w:val="18"/>
                <w:szCs w:val="18"/>
                <w:b w:val="1"/>
                <w:bCs w:val="1"/>
                <w:color w:val="auto"/>
                <w:w w:val="90"/>
              </w:rPr>
              <w:t>Qualys,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80" w:type="dxa"/>
            <w:vAlign w:val="bottom"/>
            <w:gridSpan w:val="17"/>
          </w:tcPr>
          <w:p>
            <w:pPr>
              <w:jc w:val="center"/>
              <w:ind w:right="3280"/>
              <w:spacing w:after="0"/>
              <w:rPr>
                <w:sz w:val="20"/>
                <w:szCs w:val="20"/>
                <w:color w:val="auto"/>
              </w:rPr>
            </w:pPr>
            <w:r>
              <w:rPr>
                <w:rFonts w:ascii="Arial" w:cs="Arial" w:eastAsia="Arial" w:hAnsi="Arial"/>
                <w:sz w:val="18"/>
                <w:szCs w:val="18"/>
                <w:b w:val="1"/>
                <w:bCs w:val="1"/>
                <w:color w:val="auto"/>
                <w:w w:val="97"/>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67"/>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Page</w:t>
            </w:r>
          </w:p>
        </w:tc>
      </w:tr>
      <w:tr>
        <w:trPr>
          <w:trHeight w:val="168"/>
        </w:trPr>
        <w:tc>
          <w:tcPr>
            <w:tcW w:w="10460" w:type="dxa"/>
            <w:vAlign w:val="bottom"/>
            <w:gridSpan w:val="32"/>
          </w:tcPr>
          <w:p>
            <w:pPr>
              <w:spacing w:after="0" w:line="168" w:lineRule="exact"/>
              <w:rPr>
                <w:rFonts w:ascii="Arial" w:cs="Arial" w:eastAsia="Arial" w:hAnsi="Arial"/>
                <w:sz w:val="18"/>
                <w:szCs w:val="18"/>
                <w:color w:val="0000EE"/>
              </w:rPr>
            </w:pPr>
            <w:hyperlink w:anchor="page3">
              <w:r>
                <w:rPr>
                  <w:rFonts w:ascii="Arial" w:cs="Arial" w:eastAsia="Arial" w:hAnsi="Arial"/>
                  <w:sz w:val="18"/>
                  <w:szCs w:val="18"/>
                  <w:color w:val="0000EE"/>
                </w:rPr>
                <w:t>Risk Factor Summary</w:t>
              </w:r>
            </w:hyperlink>
          </w:p>
        </w:tc>
        <w:tc>
          <w:tcPr>
            <w:tcW w:w="440" w:type="dxa"/>
            <w:vAlign w:val="bottom"/>
            <w:gridSpan w:val="2"/>
          </w:tcPr>
          <w:p>
            <w:pPr>
              <w:jc w:val="center"/>
              <w:ind w:left="271"/>
              <w:spacing w:after="0" w:line="168"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40" w:type="dxa"/>
            <w:vAlign w:val="bottom"/>
          </w:tcPr>
          <w:p>
            <w:pPr>
              <w:spacing w:after="0"/>
              <w:rPr>
                <w:sz w:val="14"/>
                <w:szCs w:val="1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3"/>
        </w:trPr>
        <w:tc>
          <w:tcPr>
            <w:tcW w:w="10460" w:type="dxa"/>
            <w:vAlign w:val="bottom"/>
            <w:gridSpan w:val="32"/>
          </w:tcPr>
          <w:p>
            <w:pPr>
              <w:spacing w:after="0" w:line="194" w:lineRule="exact"/>
              <w:rPr>
                <w:rFonts w:ascii="Arial" w:cs="Arial" w:eastAsia="Arial" w:hAnsi="Arial"/>
                <w:sz w:val="18"/>
                <w:szCs w:val="18"/>
                <w:color w:val="0000EE"/>
              </w:rPr>
            </w:pPr>
            <w:hyperlink w:anchor="page4">
              <w:r>
                <w:rPr>
                  <w:rFonts w:ascii="Arial" w:cs="Arial" w:eastAsia="Arial" w:hAnsi="Arial"/>
                  <w:sz w:val="18"/>
                  <w:szCs w:val="18"/>
                  <w:color w:val="0000EE"/>
                </w:rPr>
                <w:t>Note Regarding Forward-Looking Statements</w:t>
              </w:r>
            </w:hyperlink>
          </w:p>
        </w:tc>
        <w:tc>
          <w:tcPr>
            <w:tcW w:w="440" w:type="dxa"/>
            <w:vAlign w:val="bottom"/>
            <w:gridSpan w:val="2"/>
          </w:tcPr>
          <w:p>
            <w:pPr>
              <w:jc w:val="center"/>
              <w:ind w:left="271"/>
              <w:spacing w:after="0" w:line="194"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40" w:type="dxa"/>
            <w:vAlign w:val="bottom"/>
          </w:tcPr>
          <w:p>
            <w:pPr>
              <w:spacing w:after="0"/>
              <w:rPr>
                <w:sz w:val="16"/>
                <w:szCs w:val="16"/>
                <w:color w:val="auto"/>
              </w:rPr>
            </w:pPr>
          </w:p>
        </w:tc>
      </w:tr>
      <w:tr>
        <w:trPr>
          <w:trHeight w:val="193"/>
        </w:trPr>
        <w:tc>
          <w:tcPr>
            <w:tcW w:w="7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gridSpan w:val="12"/>
          </w:tcPr>
          <w:p>
            <w:pPr>
              <w:jc w:val="center"/>
              <w:ind w:right="4500"/>
              <w:spacing w:after="0" w:line="194"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3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w:t>
            </w:r>
          </w:p>
        </w:tc>
        <w:tc>
          <w:tcPr>
            <w:tcW w:w="4540" w:type="dxa"/>
            <w:vAlign w:val="bottom"/>
            <w:gridSpan w:val="19"/>
          </w:tcPr>
          <w:p>
            <w:pPr>
              <w:spacing w:after="0" w:line="194"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6"/>
                <w:szCs w:val="16"/>
                <w:color w:val="auto"/>
              </w:rPr>
            </w:pPr>
          </w:p>
        </w:tc>
        <w:tc>
          <w:tcPr>
            <w:tcW w:w="4540" w:type="dxa"/>
            <w:vAlign w:val="bottom"/>
            <w:gridSpan w:val="9"/>
          </w:tcPr>
          <w:p>
            <w:pPr>
              <w:spacing w:after="0"/>
              <w:rPr>
                <w:sz w:val="16"/>
                <w:szCs w:val="16"/>
                <w:color w:val="auto"/>
              </w:rPr>
            </w:pPr>
          </w:p>
        </w:tc>
        <w:tc>
          <w:tcPr>
            <w:tcW w:w="440" w:type="dxa"/>
            <w:vAlign w:val="bottom"/>
            <w:gridSpan w:val="2"/>
          </w:tcPr>
          <w:p>
            <w:pPr>
              <w:jc w:val="center"/>
              <w:ind w:left="271"/>
              <w:spacing w:after="0" w:line="194"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4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1A.</w:t>
            </w:r>
          </w:p>
        </w:tc>
        <w:tc>
          <w:tcPr>
            <w:tcW w:w="9660" w:type="dxa"/>
            <w:vAlign w:val="bottom"/>
            <w:gridSpan w:val="30"/>
          </w:tcPr>
          <w:p>
            <w:pPr>
              <w:spacing w:after="0" w:line="194"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80" w:type="dxa"/>
            <w:vAlign w:val="bottom"/>
            <w:gridSpan w:val="3"/>
          </w:tcPr>
          <w:p>
            <w:pPr>
              <w:jc w:val="center"/>
              <w:spacing w:after="0" w:line="194"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1B.</w:t>
            </w:r>
          </w:p>
        </w:tc>
        <w:tc>
          <w:tcPr>
            <w:tcW w:w="2020" w:type="dxa"/>
            <w:vAlign w:val="bottom"/>
            <w:gridSpan w:val="9"/>
          </w:tcPr>
          <w:p>
            <w:pPr>
              <w:spacing w:after="0" w:line="194"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Unresolved Staff Comments</w:t>
              </w:r>
            </w:hyperlink>
          </w:p>
        </w:tc>
        <w:tc>
          <w:tcPr>
            <w:tcW w:w="7640" w:type="dxa"/>
            <w:vAlign w:val="bottom"/>
            <w:gridSpan w:val="21"/>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38">
              <w:r>
                <w:rPr>
                  <w:rFonts w:ascii="Arial" w:cs="Arial" w:eastAsia="Arial" w:hAnsi="Arial"/>
                  <w:sz w:val="17"/>
                  <w:szCs w:val="17"/>
                  <w:color w:val="0000EE"/>
                  <w:w w:val="73"/>
                </w:rPr>
                <w:t>35</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720" w:type="dxa"/>
            <w:vAlign w:val="bottom"/>
            <w:gridSpan w:val="3"/>
          </w:tcPr>
          <w:p>
            <w:pPr>
              <w:spacing w:after="0" w:line="194" w:lineRule="exact"/>
              <w:rPr>
                <w:rFonts w:ascii="Arial" w:cs="Arial" w:eastAsia="Arial" w:hAnsi="Arial"/>
                <w:sz w:val="18"/>
                <w:szCs w:val="18"/>
                <w:color w:val="0000EE"/>
                <w:w w:val="82"/>
              </w:rPr>
            </w:pPr>
            <w:hyperlink w:anchor="page38">
              <w:r>
                <w:rPr>
                  <w:rFonts w:ascii="Arial" w:cs="Arial" w:eastAsia="Arial" w:hAnsi="Arial"/>
                  <w:sz w:val="18"/>
                  <w:szCs w:val="18"/>
                  <w:color w:val="0000EE"/>
                  <w:w w:val="82"/>
                </w:rPr>
                <w:t>Properties</w:t>
              </w:r>
            </w:hyperlink>
          </w:p>
        </w:tc>
        <w:tc>
          <w:tcPr>
            <w:tcW w:w="1300" w:type="dxa"/>
            <w:vAlign w:val="bottom"/>
            <w:gridSpan w:val="6"/>
          </w:tcPr>
          <w:p>
            <w:pPr>
              <w:spacing w:after="0"/>
              <w:rPr>
                <w:sz w:val="16"/>
                <w:szCs w:val="16"/>
                <w:color w:val="auto"/>
              </w:rPr>
            </w:pPr>
          </w:p>
        </w:tc>
        <w:tc>
          <w:tcPr>
            <w:tcW w:w="7640" w:type="dxa"/>
            <w:vAlign w:val="bottom"/>
            <w:gridSpan w:val="21"/>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38">
              <w:r>
                <w:rPr>
                  <w:rFonts w:ascii="Arial" w:cs="Arial" w:eastAsia="Arial" w:hAnsi="Arial"/>
                  <w:sz w:val="17"/>
                  <w:szCs w:val="17"/>
                  <w:color w:val="0000EE"/>
                  <w:w w:val="73"/>
                </w:rPr>
                <w:t>35</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3.</w:t>
            </w:r>
          </w:p>
        </w:tc>
        <w:tc>
          <w:tcPr>
            <w:tcW w:w="1300" w:type="dxa"/>
            <w:vAlign w:val="bottom"/>
            <w:gridSpan w:val="6"/>
          </w:tcPr>
          <w:p>
            <w:pPr>
              <w:spacing w:after="0" w:line="194"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Legal Proceedings</w:t>
              </w:r>
            </w:hyperlink>
          </w:p>
        </w:tc>
        <w:tc>
          <w:tcPr>
            <w:tcW w:w="8360" w:type="dxa"/>
            <w:vAlign w:val="bottom"/>
            <w:gridSpan w:val="24"/>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38">
              <w:r>
                <w:rPr>
                  <w:rFonts w:ascii="Arial" w:cs="Arial" w:eastAsia="Arial" w:hAnsi="Arial"/>
                  <w:sz w:val="17"/>
                  <w:szCs w:val="17"/>
                  <w:color w:val="0000EE"/>
                  <w:w w:val="73"/>
                </w:rPr>
                <w:t>35</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4.</w:t>
            </w:r>
          </w:p>
        </w:tc>
        <w:tc>
          <w:tcPr>
            <w:tcW w:w="9660" w:type="dxa"/>
            <w:vAlign w:val="bottom"/>
            <w:gridSpan w:val="30"/>
          </w:tcPr>
          <w:p>
            <w:pPr>
              <w:spacing w:after="0" w:line="194"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80" w:type="dxa"/>
            <w:vAlign w:val="bottom"/>
            <w:gridSpan w:val="3"/>
          </w:tcPr>
          <w:p>
            <w:pPr>
              <w:jc w:val="center"/>
              <w:spacing w:after="0" w:line="194"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193"/>
        </w:trPr>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gridSpan w:val="12"/>
          </w:tcPr>
          <w:p>
            <w:pPr>
              <w:jc w:val="center"/>
              <w:ind w:right="4520"/>
              <w:spacing w:after="0" w:line="194"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PART II</w:t>
              </w:r>
            </w:hyperlink>
          </w:p>
        </w:tc>
        <w:tc>
          <w:tcPr>
            <w:tcW w:w="3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5.</w:t>
            </w:r>
          </w:p>
        </w:tc>
        <w:tc>
          <w:tcPr>
            <w:tcW w:w="7960" w:type="dxa"/>
            <w:vAlign w:val="bottom"/>
            <w:gridSpan w:val="29"/>
          </w:tcPr>
          <w:p>
            <w:pPr>
              <w:spacing w:after="0" w:line="194"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Market for Registrant's Common Equity, Related Stockholder Matters and Issuer Purchases of Equity Securities</w:t>
              </w:r>
            </w:hyperlink>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39">
              <w:r>
                <w:rPr>
                  <w:rFonts w:ascii="Arial" w:cs="Arial" w:eastAsia="Arial" w:hAnsi="Arial"/>
                  <w:sz w:val="17"/>
                  <w:szCs w:val="17"/>
                  <w:color w:val="0000EE"/>
                  <w:w w:val="73"/>
                </w:rPr>
                <w:t>36</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6.</w:t>
            </w:r>
          </w:p>
        </w:tc>
        <w:tc>
          <w:tcPr>
            <w:tcW w:w="780" w:type="dxa"/>
            <w:vAlign w:val="bottom"/>
            <w:gridSpan w:val="4"/>
          </w:tcPr>
          <w:p>
            <w:pPr>
              <w:spacing w:after="0" w:line="194"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[Reserved]</w:t>
              </w:r>
            </w:hyperlink>
          </w:p>
        </w:tc>
        <w:tc>
          <w:tcPr>
            <w:tcW w:w="7180" w:type="dxa"/>
            <w:vAlign w:val="bottom"/>
            <w:gridSpan w:val="25"/>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41">
              <w:r>
                <w:rPr>
                  <w:rFonts w:ascii="Arial" w:cs="Arial" w:eastAsia="Arial" w:hAnsi="Arial"/>
                  <w:sz w:val="17"/>
                  <w:szCs w:val="17"/>
                  <w:color w:val="0000EE"/>
                  <w:w w:val="73"/>
                </w:rPr>
                <w:t>38</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7.</w:t>
            </w:r>
          </w:p>
        </w:tc>
        <w:tc>
          <w:tcPr>
            <w:tcW w:w="6360" w:type="dxa"/>
            <w:vAlign w:val="bottom"/>
            <w:gridSpan w:val="26"/>
          </w:tcPr>
          <w:p>
            <w:pPr>
              <w:spacing w:after="0" w:line="194"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Management's Discussion and Analysis of Financial Condition and Results of Operations</w:t>
              </w:r>
            </w:hyperlink>
          </w:p>
        </w:tc>
        <w:tc>
          <w:tcPr>
            <w:tcW w:w="3300" w:type="dxa"/>
            <w:vAlign w:val="bottom"/>
            <w:gridSpan w:val="4"/>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42">
              <w:r>
                <w:rPr>
                  <w:rFonts w:ascii="Arial" w:cs="Arial" w:eastAsia="Arial" w:hAnsi="Arial"/>
                  <w:sz w:val="17"/>
                  <w:szCs w:val="17"/>
                  <w:color w:val="0000EE"/>
                  <w:w w:val="73"/>
                </w:rPr>
                <w:t>39</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7A.</w:t>
            </w:r>
          </w:p>
        </w:tc>
        <w:tc>
          <w:tcPr>
            <w:tcW w:w="6360" w:type="dxa"/>
            <w:vAlign w:val="bottom"/>
            <w:gridSpan w:val="26"/>
          </w:tcPr>
          <w:p>
            <w:pPr>
              <w:spacing w:after="0" w:line="194"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3300" w:type="dxa"/>
            <w:vAlign w:val="bottom"/>
            <w:gridSpan w:val="4"/>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50">
              <w:r>
                <w:rPr>
                  <w:rFonts w:ascii="Arial" w:cs="Arial" w:eastAsia="Arial" w:hAnsi="Arial"/>
                  <w:sz w:val="17"/>
                  <w:szCs w:val="17"/>
                  <w:color w:val="0000EE"/>
                  <w:w w:val="73"/>
                </w:rPr>
                <w:t>47</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line="194" w:lineRule="exact"/>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5360" w:type="dxa"/>
            <w:vAlign w:val="bottom"/>
            <w:gridSpan w:val="15"/>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51">
              <w:r>
                <w:rPr>
                  <w:rFonts w:ascii="Arial" w:cs="Arial" w:eastAsia="Arial" w:hAnsi="Arial"/>
                  <w:sz w:val="17"/>
                  <w:szCs w:val="17"/>
                  <w:color w:val="0000EE"/>
                  <w:w w:val="73"/>
                </w:rPr>
                <w:t>48</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9.</w:t>
            </w:r>
          </w:p>
        </w:tc>
        <w:tc>
          <w:tcPr>
            <w:tcW w:w="6400" w:type="dxa"/>
            <w:vAlign w:val="bottom"/>
            <w:gridSpan w:val="27"/>
          </w:tcPr>
          <w:p>
            <w:pPr>
              <w:spacing w:after="0" w:line="194"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Changes in and Disagreements with Accountants on Accounting and Financial Disclosure</w:t>
              </w:r>
            </w:hyperlink>
          </w:p>
        </w:tc>
        <w:tc>
          <w:tcPr>
            <w:tcW w:w="326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5">
              <w:r>
                <w:rPr>
                  <w:rFonts w:ascii="Arial" w:cs="Arial" w:eastAsia="Arial" w:hAnsi="Arial"/>
                  <w:sz w:val="17"/>
                  <w:szCs w:val="17"/>
                  <w:color w:val="0000EE"/>
                  <w:w w:val="73"/>
                </w:rPr>
                <w:t>79</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9A.</w:t>
            </w:r>
          </w:p>
        </w:tc>
        <w:tc>
          <w:tcPr>
            <w:tcW w:w="6400" w:type="dxa"/>
            <w:vAlign w:val="bottom"/>
            <w:gridSpan w:val="27"/>
          </w:tcPr>
          <w:p>
            <w:pPr>
              <w:spacing w:after="0" w:line="194"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326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5">
              <w:r>
                <w:rPr>
                  <w:rFonts w:ascii="Arial" w:cs="Arial" w:eastAsia="Arial" w:hAnsi="Arial"/>
                  <w:sz w:val="17"/>
                  <w:szCs w:val="17"/>
                  <w:color w:val="0000EE"/>
                  <w:w w:val="73"/>
                </w:rPr>
                <w:t>79</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9B.</w:t>
            </w:r>
          </w:p>
        </w:tc>
        <w:tc>
          <w:tcPr>
            <w:tcW w:w="1300" w:type="dxa"/>
            <w:vAlign w:val="bottom"/>
            <w:gridSpan w:val="6"/>
          </w:tcPr>
          <w:p>
            <w:pPr>
              <w:spacing w:after="0" w:line="194"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Other Information</w:t>
              </w:r>
            </w:hyperlink>
          </w:p>
        </w:tc>
        <w:tc>
          <w:tcPr>
            <w:tcW w:w="440" w:type="dxa"/>
            <w:vAlign w:val="bottom"/>
          </w:tcPr>
          <w:p>
            <w:pPr>
              <w:spacing w:after="0"/>
              <w:rPr>
                <w:sz w:val="16"/>
                <w:szCs w:val="16"/>
                <w:color w:val="auto"/>
              </w:rPr>
            </w:pPr>
          </w:p>
        </w:tc>
        <w:tc>
          <w:tcPr>
            <w:tcW w:w="7920" w:type="dxa"/>
            <w:vAlign w:val="bottom"/>
            <w:gridSpan w:val="23"/>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5">
              <w:r>
                <w:rPr>
                  <w:rFonts w:ascii="Arial" w:cs="Arial" w:eastAsia="Arial" w:hAnsi="Arial"/>
                  <w:sz w:val="17"/>
                  <w:szCs w:val="17"/>
                  <w:color w:val="0000EE"/>
                  <w:w w:val="73"/>
                </w:rPr>
                <w:t>79</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9C.</w:t>
            </w:r>
          </w:p>
        </w:tc>
        <w:tc>
          <w:tcPr>
            <w:tcW w:w="4840" w:type="dxa"/>
            <w:vAlign w:val="bottom"/>
            <w:tcBorders>
              <w:bottom w:val="single" w:sz="8" w:color="0000EE"/>
            </w:tcBorders>
            <w:gridSpan w:val="20"/>
          </w:tcPr>
          <w:p>
            <w:pPr>
              <w:spacing w:after="0" w:line="194"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Disclosure Regarding Foreign Jurisdictions that Prevent Inspections</w:t>
              </w:r>
            </w:hyperlink>
          </w:p>
        </w:tc>
        <w:tc>
          <w:tcPr>
            <w:tcW w:w="4820" w:type="dxa"/>
            <w:vAlign w:val="bottom"/>
            <w:gridSpan w:val="10"/>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0000EE"/>
            </w:tcBorders>
            <w:gridSpan w:val="8"/>
          </w:tcPr>
          <w:p>
            <w:pPr>
              <w:jc w:val="center"/>
              <w:ind w:right="20"/>
              <w:spacing w:after="0" w:line="194"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4460" w:type="dxa"/>
            <w:vAlign w:val="bottom"/>
            <w:gridSpan w:val="6"/>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10.</w:t>
            </w:r>
          </w:p>
        </w:tc>
        <w:tc>
          <w:tcPr>
            <w:tcW w:w="4040" w:type="dxa"/>
            <w:vAlign w:val="bottom"/>
            <w:gridSpan w:val="14"/>
          </w:tcPr>
          <w:p>
            <w:pPr>
              <w:spacing w:after="0" w:line="194"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Directors, Executive Officers and Corporate Governance</w:t>
              </w:r>
            </w:hyperlink>
          </w:p>
        </w:tc>
        <w:tc>
          <w:tcPr>
            <w:tcW w:w="5620" w:type="dxa"/>
            <w:vAlign w:val="bottom"/>
            <w:gridSpan w:val="16"/>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6">
              <w:r>
                <w:rPr>
                  <w:rFonts w:ascii="Arial" w:cs="Arial" w:eastAsia="Arial" w:hAnsi="Arial"/>
                  <w:sz w:val="17"/>
                  <w:szCs w:val="17"/>
                  <w:color w:val="0000EE"/>
                  <w:w w:val="73"/>
                </w:rPr>
                <w:t>80</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11.</w:t>
            </w:r>
          </w:p>
        </w:tc>
        <w:tc>
          <w:tcPr>
            <w:tcW w:w="1780" w:type="dxa"/>
            <w:vAlign w:val="bottom"/>
            <w:gridSpan w:val="8"/>
          </w:tcPr>
          <w:p>
            <w:pPr>
              <w:spacing w:after="0" w:line="194"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Executive Compensation</w:t>
              </w:r>
            </w:hyperlink>
          </w:p>
        </w:tc>
        <w:tc>
          <w:tcPr>
            <w:tcW w:w="2260" w:type="dxa"/>
            <w:vAlign w:val="bottom"/>
            <w:gridSpan w:val="6"/>
          </w:tcPr>
          <w:p>
            <w:pPr>
              <w:spacing w:after="0"/>
              <w:rPr>
                <w:sz w:val="16"/>
                <w:szCs w:val="16"/>
                <w:color w:val="auto"/>
              </w:rPr>
            </w:pPr>
          </w:p>
        </w:tc>
        <w:tc>
          <w:tcPr>
            <w:tcW w:w="5620" w:type="dxa"/>
            <w:vAlign w:val="bottom"/>
            <w:gridSpan w:val="16"/>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6">
              <w:r>
                <w:rPr>
                  <w:rFonts w:ascii="Arial" w:cs="Arial" w:eastAsia="Arial" w:hAnsi="Arial"/>
                  <w:sz w:val="17"/>
                  <w:szCs w:val="17"/>
                  <w:color w:val="0000EE"/>
                  <w:w w:val="73"/>
                </w:rPr>
                <w:t>80</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12.</w:t>
            </w:r>
          </w:p>
        </w:tc>
        <w:tc>
          <w:tcPr>
            <w:tcW w:w="7200" w:type="dxa"/>
            <w:vAlign w:val="bottom"/>
            <w:gridSpan w:val="28"/>
          </w:tcPr>
          <w:p>
            <w:pPr>
              <w:spacing w:after="0" w:line="194"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Security Ownership of Certain Beneficial Owners and Management and Related Stockholder Matters</w:t>
              </w:r>
            </w:hyperlink>
          </w:p>
        </w:tc>
        <w:tc>
          <w:tcPr>
            <w:tcW w:w="246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6">
              <w:r>
                <w:rPr>
                  <w:rFonts w:ascii="Arial" w:cs="Arial" w:eastAsia="Arial" w:hAnsi="Arial"/>
                  <w:sz w:val="17"/>
                  <w:szCs w:val="17"/>
                  <w:color w:val="0000EE"/>
                  <w:w w:val="73"/>
                </w:rPr>
                <w:t>80</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13.</w:t>
            </w:r>
          </w:p>
        </w:tc>
        <w:tc>
          <w:tcPr>
            <w:tcW w:w="7200" w:type="dxa"/>
            <w:vAlign w:val="bottom"/>
            <w:gridSpan w:val="28"/>
          </w:tcPr>
          <w:p>
            <w:pPr>
              <w:spacing w:after="0" w:line="194" w:lineRule="exact"/>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246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6">
              <w:r>
                <w:rPr>
                  <w:rFonts w:ascii="Arial" w:cs="Arial" w:eastAsia="Arial" w:hAnsi="Arial"/>
                  <w:sz w:val="17"/>
                  <w:szCs w:val="17"/>
                  <w:color w:val="0000EE"/>
                  <w:w w:val="73"/>
                </w:rPr>
                <w:t>80</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14.</w:t>
            </w:r>
          </w:p>
        </w:tc>
        <w:tc>
          <w:tcPr>
            <w:tcW w:w="5380" w:type="dxa"/>
            <w:vAlign w:val="bottom"/>
            <w:gridSpan w:val="25"/>
          </w:tcPr>
          <w:p>
            <w:pPr>
              <w:spacing w:after="0" w:line="194"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428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6">
              <w:r>
                <w:rPr>
                  <w:rFonts w:ascii="Arial" w:cs="Arial" w:eastAsia="Arial" w:hAnsi="Arial"/>
                  <w:sz w:val="17"/>
                  <w:szCs w:val="17"/>
                  <w:color w:val="0000EE"/>
                  <w:w w:val="73"/>
                </w:rPr>
                <w:t>80</w:t>
              </w:r>
            </w:hyperlink>
          </w:p>
        </w:tc>
      </w:tr>
      <w:tr>
        <w:trPr>
          <w:trHeight w:val="193"/>
        </w:trPr>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0" w:type="dxa"/>
            <w:vAlign w:val="bottom"/>
            <w:gridSpan w:val="14"/>
          </w:tcPr>
          <w:p>
            <w:pPr>
              <w:jc w:val="center"/>
              <w:ind w:right="4460"/>
              <w:spacing w:after="0" w:line="194" w:lineRule="exact"/>
              <w:rPr>
                <w:rFonts w:ascii="Arial" w:cs="Arial" w:eastAsia="Arial" w:hAnsi="Arial"/>
                <w:sz w:val="18"/>
                <w:szCs w:val="18"/>
                <w:b w:val="1"/>
                <w:bCs w:val="1"/>
                <w:color w:val="0000EE"/>
                <w:w w:val="98"/>
              </w:rPr>
            </w:pPr>
            <w:hyperlink w:anchor="page87">
              <w:r>
                <w:rPr>
                  <w:rFonts w:ascii="Arial" w:cs="Arial" w:eastAsia="Arial" w:hAnsi="Arial"/>
                  <w:sz w:val="18"/>
                  <w:szCs w:val="18"/>
                  <w:b w:val="1"/>
                  <w:bCs w:val="1"/>
                  <w:color w:val="0000EE"/>
                  <w:w w:val="98"/>
                </w:rPr>
                <w:t>PART IV</w:t>
              </w:r>
            </w:hyperlink>
          </w:p>
        </w:tc>
        <w:tc>
          <w:tcPr>
            <w:tcW w:w="3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r>
      <w:tr>
        <w:trPr>
          <w:trHeight w:val="193"/>
        </w:trPr>
        <w:tc>
          <w:tcPr>
            <w:tcW w:w="800" w:type="dxa"/>
            <w:vAlign w:val="bottom"/>
            <w:gridSpan w:val="2"/>
          </w:tcPr>
          <w:p>
            <w:pPr>
              <w:spacing w:after="0" w:line="194" w:lineRule="exact"/>
              <w:rPr>
                <w:sz w:val="20"/>
                <w:szCs w:val="20"/>
                <w:color w:val="auto"/>
              </w:rPr>
            </w:pPr>
            <w:r>
              <w:rPr>
                <w:rFonts w:ascii="Arial" w:cs="Arial" w:eastAsia="Arial" w:hAnsi="Arial"/>
                <w:sz w:val="18"/>
                <w:szCs w:val="18"/>
                <w:color w:val="auto"/>
              </w:rPr>
              <w:t>Item 15.</w:t>
            </w:r>
          </w:p>
        </w:tc>
        <w:tc>
          <w:tcPr>
            <w:tcW w:w="3120" w:type="dxa"/>
            <w:vAlign w:val="bottom"/>
            <w:gridSpan w:val="12"/>
          </w:tcPr>
          <w:p>
            <w:pPr>
              <w:spacing w:after="0" w:line="194"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Exhibits and Financial Statement Schedules</w:t>
              </w:r>
            </w:hyperlink>
          </w:p>
        </w:tc>
        <w:tc>
          <w:tcPr>
            <w:tcW w:w="1360" w:type="dxa"/>
            <w:vAlign w:val="bottom"/>
            <w:gridSpan w:val="5"/>
          </w:tcPr>
          <w:p>
            <w:pPr>
              <w:spacing w:after="0"/>
              <w:rPr>
                <w:sz w:val="16"/>
                <w:szCs w:val="16"/>
                <w:color w:val="auto"/>
              </w:rPr>
            </w:pPr>
          </w:p>
        </w:tc>
        <w:tc>
          <w:tcPr>
            <w:tcW w:w="700" w:type="dxa"/>
            <w:vAlign w:val="bottom"/>
            <w:tcBorders>
              <w:top w:val="single" w:sz="8" w:color="0000EE"/>
            </w:tcBorders>
            <w:gridSpan w:val="6"/>
          </w:tcPr>
          <w:p>
            <w:pPr>
              <w:spacing w:after="0"/>
              <w:rPr>
                <w:sz w:val="16"/>
                <w:szCs w:val="16"/>
                <w:color w:val="auto"/>
              </w:rPr>
            </w:pPr>
          </w:p>
        </w:tc>
        <w:tc>
          <w:tcPr>
            <w:tcW w:w="4480" w:type="dxa"/>
            <w:vAlign w:val="bottom"/>
            <w:gridSpan w:val="7"/>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7">
              <w:r>
                <w:rPr>
                  <w:rFonts w:ascii="Arial" w:cs="Arial" w:eastAsia="Arial" w:hAnsi="Arial"/>
                  <w:sz w:val="17"/>
                  <w:szCs w:val="17"/>
                  <w:color w:val="0000EE"/>
                  <w:w w:val="73"/>
                </w:rPr>
                <w:t>81</w:t>
              </w:r>
            </w:hyperlink>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3"/>
        </w:trPr>
        <w:tc>
          <w:tcPr>
            <w:tcW w:w="800" w:type="dxa"/>
            <w:vAlign w:val="bottom"/>
            <w:gridSpan w:val="2"/>
          </w:tcPr>
          <w:p>
            <w:pPr>
              <w:spacing w:after="0" w:line="194"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Signatures</w:t>
              </w:r>
            </w:hyperlink>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2"/>
          </w:tcPr>
          <w:p>
            <w:pPr>
              <w:jc w:val="center"/>
              <w:ind w:right="300"/>
              <w:spacing w:after="0" w:line="194" w:lineRule="exact"/>
              <w:rPr>
                <w:rFonts w:ascii="Arial" w:cs="Arial" w:eastAsia="Arial" w:hAnsi="Arial"/>
                <w:sz w:val="17"/>
                <w:szCs w:val="17"/>
                <w:color w:val="0000EE"/>
                <w:w w:val="73"/>
              </w:rPr>
            </w:pPr>
            <w:hyperlink w:anchor="page89">
              <w:r>
                <w:rPr>
                  <w:rFonts w:ascii="Arial" w:cs="Arial" w:eastAsia="Arial" w:hAnsi="Arial"/>
                  <w:sz w:val="17"/>
                  <w:szCs w:val="17"/>
                  <w:color w:val="0000EE"/>
                  <w:w w:val="73"/>
                </w:rPr>
                <w:t>83</w:t>
              </w:r>
            </w:hyperlink>
          </w:p>
        </w:tc>
      </w:tr>
      <w:tr>
        <w:trPr>
          <w:trHeight w:val="686"/>
        </w:trPr>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21"/>
          </w:tcPr>
          <w:p>
            <w:pPr>
              <w:jc w:val="center"/>
              <w:ind w:left="4431"/>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7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6" w:right="339"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 SUMMARY</w:t>
      </w:r>
    </w:p>
    <w:p>
      <w:pPr>
        <w:spacing w:after="0" w:line="224" w:lineRule="exact"/>
        <w:rPr>
          <w:sz w:val="20"/>
          <w:szCs w:val="20"/>
          <w:color w:val="auto"/>
        </w:rPr>
      </w:pPr>
    </w:p>
    <w:p>
      <w:pPr>
        <w:jc w:val="both"/>
        <w:ind w:right="180" w:firstLine="512"/>
        <w:spacing w:after="0" w:line="269"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80" w:lineRule="exact"/>
        <w:rPr>
          <w:sz w:val="20"/>
          <w:szCs w:val="20"/>
          <w:color w:val="auto"/>
        </w:rPr>
      </w:pPr>
    </w:p>
    <w:p>
      <w:pPr>
        <w:ind w:left="800" w:right="700" w:hanging="326"/>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spread of Coronavirus Disease 2019 (COVID-19), or any similar widespread infectious disease outbreak, could harm our business, financial condition and results of operations.</w:t>
      </w:r>
    </w:p>
    <w:p>
      <w:pPr>
        <w:ind w:left="800" w:right="24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operating results may vary from period to period, which could result in our failure to meet expectations with respect to operating results and cause the trading price of our stock to decline.</w:t>
      </w:r>
    </w:p>
    <w:p>
      <w:pPr>
        <w:ind w:left="800" w:right="22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Arial" w:cs="Arial" w:eastAsia="Arial" w:hAnsi="Arial"/>
          <w:sz w:val="18"/>
          <w:szCs w:val="18"/>
          <w:color w:val="auto"/>
        </w:rPr>
      </w:pPr>
    </w:p>
    <w:p>
      <w:pPr>
        <w:ind w:left="800" w:right="82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continue to effectively scale and adapt our platform to meet the performance and other requirements of our customers, our operating results and our business would be harmed.</w:t>
      </w:r>
    </w:p>
    <w:p>
      <w:pPr>
        <w:ind w:left="800" w:right="46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renew existing subscriptions for our IT, security and compliance solutions, sell additional subscriptions for our solutions and attract new customers, our operating results would be harmed.</w:t>
      </w:r>
    </w:p>
    <w:p>
      <w:pPr>
        <w:ind w:left="800" w:right="88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for cloud solutions for IT, security and compliance does not evolve as we anticipate, our revenues may not grow and our operating results would be harmed.</w:t>
      </w:r>
    </w:p>
    <w:p>
      <w:pPr>
        <w:ind w:left="800" w:right="40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research and development efforts may not produce successful products or enhancements to our platform that result in significant revenue, cost savings or other benefits in the near future.</w:t>
      </w:r>
    </w:p>
    <w:p>
      <w:pPr>
        <w:ind w:left="800" w:right="30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platform, website and internal systems may be subject to intentional disruption or other security incidents that could result in liability and adversely impact our reputation and future sales.</w:t>
      </w:r>
    </w:p>
    <w:p>
      <w:pPr>
        <w:ind w:left="800" w:right="56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800" w:hanging="32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6" w:lineRule="exact"/>
        <w:rPr>
          <w:rFonts w:ascii="Arial" w:cs="Arial" w:eastAsia="Arial" w:hAnsi="Arial"/>
          <w:sz w:val="18"/>
          <w:szCs w:val="18"/>
          <w:color w:val="auto"/>
        </w:rPr>
      </w:pPr>
    </w:p>
    <w:p>
      <w:pPr>
        <w:ind w:left="800" w:hanging="326"/>
        <w:spacing w:after="0" w:line="278"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IT, security and compliance solutions are delivered from eleven shared cloud platforms, and any disruption of service at these facilities would interrupt or delay our ability to deliver our solutions to our customers which could reduce our revenues and harm our operating results.</w:t>
      </w:r>
    </w:p>
    <w:p>
      <w:pPr>
        <w:ind w:left="800" w:hanging="32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competition in our markets, and we may lack sufficient financial or other resources to maintain or improve our competitive position.</w:t>
      </w:r>
    </w:p>
    <w:p>
      <w:pPr>
        <w:spacing w:after="0" w:line="29" w:lineRule="exact"/>
        <w:rPr>
          <w:rFonts w:ascii="Arial" w:cs="Arial" w:eastAsia="Arial" w:hAnsi="Arial"/>
          <w:sz w:val="16"/>
          <w:szCs w:val="16"/>
          <w:color w:val="auto"/>
        </w:rPr>
      </w:pPr>
    </w:p>
    <w:p>
      <w:pPr>
        <w:ind w:left="800" w:right="36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solutions fail to detect vulnerabilities or incorrectly detect vulnerabilities, our brand and reputation could be harmed, which could have an adverse effect on our business and results of operations.</w:t>
      </w:r>
    </w:p>
    <w:p>
      <w:pPr>
        <w:ind w:left="800" w:hanging="32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the expansion of our sales force, sales of our solutions and the growth of our business would be harmed.</w:t>
      </w:r>
    </w:p>
    <w:p>
      <w:pPr>
        <w:spacing w:after="0" w:line="18" w:lineRule="exact"/>
        <w:rPr>
          <w:rFonts w:ascii="Arial" w:cs="Arial" w:eastAsia="Arial" w:hAnsi="Arial"/>
          <w:sz w:val="17"/>
          <w:szCs w:val="17"/>
          <w:color w:val="auto"/>
        </w:rPr>
      </w:pPr>
    </w:p>
    <w:p>
      <w:pPr>
        <w:ind w:left="800" w:right="30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to generate a substantial amount of our revenues, and if we fail to expand and manage our distribution channels, our revenues could decline and our growth prospects could suffer.</w:t>
      </w:r>
    </w:p>
    <w:p>
      <w:pPr>
        <w:ind w:left="800" w:right="24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Arial" w:cs="Arial" w:eastAsia="Arial" w:hAnsi="Arial"/>
          <w:sz w:val="18"/>
          <w:szCs w:val="18"/>
          <w:color w:val="auto"/>
        </w:rPr>
      </w:pPr>
    </w:p>
    <w:p>
      <w:pPr>
        <w:ind w:left="800" w:right="40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operations have experienced significant growth, and if we do not appropriately manage any future growth, or are unable to improve our systems and processes, our operating results may be negatively affected.</w:t>
      </w:r>
    </w:p>
    <w:p>
      <w:pPr>
        <w:ind w:left="800" w:hanging="32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6" w:lineRule="exact"/>
        <w:rPr>
          <w:rFonts w:ascii="Arial" w:cs="Arial" w:eastAsia="Arial" w:hAnsi="Arial"/>
          <w:sz w:val="18"/>
          <w:szCs w:val="18"/>
          <w:color w:val="auto"/>
        </w:rPr>
      </w:pPr>
    </w:p>
    <w:p>
      <w:pPr>
        <w:ind w:left="800" w:right="76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Undetected software errors or flaws in our solutions could harm our reputation, decrease market acceptance of our solutions or result in liability.</w:t>
      </w:r>
    </w:p>
    <w:p>
      <w:pPr>
        <w:ind w:left="800" w:right="520" w:hanging="326"/>
        <w:spacing w:after="0" w:line="262"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800" w:right="48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contain third-party open source software components, and our failure to comply with the terms of the underlying open source software licenses could restrict our ability to sell our solutions.</w:t>
      </w:r>
    </w:p>
    <w:p>
      <w:pPr>
        <w:ind w:left="800" w:right="180" w:hanging="326"/>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 third-party software and data that may be difficult to replace or cause errors or failures of our solutions that could lead to lost customers or harm to our reputation and our operating results.</w:t>
      </w:r>
    </w:p>
    <w:p>
      <w:pPr>
        <w:ind w:left="800" w:hanging="32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protect our proprietary technology and intellectual property rights could substantially harm our business and operating results.</w:t>
      </w:r>
    </w:p>
    <w:p>
      <w:pPr>
        <w:spacing w:after="0" w:line="18" w:lineRule="exact"/>
        <w:rPr>
          <w:rFonts w:ascii="Arial" w:cs="Arial" w:eastAsia="Arial" w:hAnsi="Arial"/>
          <w:sz w:val="17"/>
          <w:szCs w:val="17"/>
          <w:color w:val="auto"/>
        </w:rPr>
      </w:pPr>
    </w:p>
    <w:p>
      <w:pPr>
        <w:ind w:left="800" w:right="540" w:hanging="326"/>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Assertions by third parties of infringement or other violations by us of their intellectual property rights could result in significant costs and harm our business and operating results.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81280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280" w:top="125" w:right="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4" w:lineRule="exact"/>
        <w:rPr>
          <w:sz w:val="20"/>
          <w:szCs w:val="20"/>
          <w:color w:val="auto"/>
        </w:rPr>
      </w:pPr>
    </w:p>
    <w:p>
      <w:pPr>
        <w:jc w:val="both"/>
        <w:ind w:firstLine="400"/>
        <w:spacing w:after="0" w:line="289"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65" w:lineRule="exact"/>
        <w:rPr>
          <w:sz w:val="20"/>
          <w:szCs w:val="20"/>
          <w:color w:val="auto"/>
        </w:rPr>
      </w:pPr>
    </w:p>
    <w:p>
      <w:pPr>
        <w:ind w:left="960" w:hanging="313"/>
        <w:spacing w:after="0" w:line="255"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20"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31"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21"/>
          <w:szCs w:val="21"/>
          <w:i w:val="1"/>
          <w:iCs w:val="1"/>
          <w:color w:val="auto"/>
        </w:rPr>
      </w:pPr>
      <w:r>
        <w:rPr>
          <w:rFonts w:ascii="Arial" w:cs="Arial" w:eastAsia="Arial" w:hAnsi="Arial"/>
          <w:sz w:val="18"/>
          <w:szCs w:val="18"/>
          <w:i w:val="1"/>
          <w:iCs w:val="1"/>
          <w:color w:val="auto"/>
        </w:rPr>
        <w:t>the impact of the ongoing COVID-19 pandemic and related public health measures on our business;</w:t>
      </w:r>
    </w:p>
    <w:p>
      <w:pPr>
        <w:spacing w:after="0" w:line="16" w:lineRule="exact"/>
        <w:rPr>
          <w:rFonts w:ascii="Arial" w:cs="Arial" w:eastAsia="Arial" w:hAnsi="Arial"/>
          <w:sz w:val="21"/>
          <w:szCs w:val="21"/>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w:t>
      </w:r>
    </w:p>
    <w:p>
      <w:pPr>
        <w:spacing w:after="0" w:line="17" w:lineRule="exact"/>
        <w:rPr>
          <w:rFonts w:ascii="Arial" w:cs="Arial" w:eastAsia="Arial" w:hAnsi="Arial"/>
          <w:sz w:val="18"/>
          <w:szCs w:val="18"/>
          <w:i w:val="1"/>
          <w:iCs w:val="1"/>
          <w:color w:val="auto"/>
        </w:rPr>
      </w:pPr>
    </w:p>
    <w:p>
      <w:pPr>
        <w:ind w:left="960" w:hanging="313"/>
        <w:spacing w:after="0" w:line="255"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20"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anticipated investments in sales and marketing, our infrastructure, new solutions, research and development, and acquisitions;</w:t>
      </w:r>
    </w:p>
    <w:p>
      <w:pPr>
        <w:spacing w:after="0" w:line="44" w:lineRule="exact"/>
        <w:rPr>
          <w:rFonts w:ascii="Arial" w:cs="Arial" w:eastAsia="Arial" w:hAnsi="Arial"/>
          <w:sz w:val="17"/>
          <w:szCs w:val="17"/>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33" w:lineRule="exact"/>
        <w:rPr>
          <w:rFonts w:ascii="Arial" w:cs="Arial" w:eastAsia="Arial" w:hAnsi="Arial"/>
          <w:sz w:val="18"/>
          <w:szCs w:val="18"/>
          <w:i w:val="1"/>
          <w:iCs w:val="1"/>
          <w:color w:val="auto"/>
        </w:rPr>
      </w:pPr>
    </w:p>
    <w:p>
      <w:pPr>
        <w:ind w:left="960" w:hanging="313"/>
        <w:spacing w:after="0"/>
        <w:tabs>
          <w:tab w:leader="none" w:pos="9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expectations, assumptions and conclusions related to our income tax provision, our deferred tax assets and our effective tax rate; and</w:t>
      </w:r>
    </w:p>
    <w:p>
      <w:pPr>
        <w:spacing w:after="0" w:line="56" w:lineRule="exact"/>
        <w:rPr>
          <w:rFonts w:ascii="Arial" w:cs="Arial" w:eastAsia="Arial" w:hAnsi="Arial"/>
          <w:sz w:val="16"/>
          <w:szCs w:val="16"/>
          <w:i w:val="1"/>
          <w:iCs w:val="1"/>
          <w:color w:val="auto"/>
        </w:rPr>
      </w:pPr>
    </w:p>
    <w:p>
      <w:pPr>
        <w:ind w:left="960" w:right="20" w:hanging="313"/>
        <w:spacing w:after="0" w:line="270"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Annual Report on Form 10-K in the sections titled "Risk Factors," "Management's Discussion and Analysis of Financial Condition and Results of Operations" and "Business."</w:t>
      </w:r>
    </w:p>
    <w:p>
      <w:pPr>
        <w:spacing w:after="0" w:line="175"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i w:val="1"/>
          <w:iCs w:val="1"/>
          <w:color w:val="auto"/>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2"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i w:val="1"/>
          <w:iCs w:val="1"/>
          <w:color w:val="auto"/>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8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7"/>
          <w:szCs w:val="17"/>
          <w:i w:val="1"/>
          <w:iCs w:val="1"/>
          <w:color w:val="auto"/>
        </w:rPr>
        <w:t>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We are a pioneer and leading provider of a cloud-based platform delivering information technology (IT), security and compliance solutions. Our integrated suite of IT, security and compliance solutions delivered on our Qualys Cloud Platform enables our customers to: 1) identify and manage their IT assets across on-premises, endpoints, cloud, containers, and mobile environments; 2) collect and analyze large amounts of IT security data; 3) discover and prioritize vulnerabilities; 4) recommend and implement remediation actions; and 5) verify the implementation of such actions. This helps organizations protect their systems and applications from ever-evolving cyber-attacks and helps achieve compliance with internal policies and external regulations.</w:t>
      </w:r>
    </w:p>
    <w:p>
      <w:pPr>
        <w:spacing w:after="0" w:line="162"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77"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67"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We designed our Qualys Cloud Platform to transform the way organizations secure and protect their IT infrastructures and applications. Our cloud platform offers an integrated suite of solutions that automates the lifecycle of asset discovery and management, security assessments, and compliance management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on-premises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believe that our cloud platform provides our customers with unique advantages, including:</w:t>
      </w:r>
    </w:p>
    <w:p>
      <w:pPr>
        <w:spacing w:after="0" w:line="19" w:lineRule="exact"/>
        <w:rPr>
          <w:sz w:val="20"/>
          <w:szCs w:val="20"/>
          <w:color w:val="auto"/>
        </w:rPr>
      </w:pPr>
    </w:p>
    <w:p>
      <w:pPr>
        <w:ind w:left="960" w:right="20" w:hanging="313"/>
        <w:spacing w:after="0" w:line="24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 hardware to buy or manage. </w:t>
      </w:r>
      <w:r>
        <w:rPr>
          <w:rFonts w:ascii="Arial" w:cs="Arial" w:eastAsia="Arial" w:hAnsi="Arial"/>
          <w:sz w:val="18"/>
          <w:szCs w:val="18"/>
          <w:color w:val="auto"/>
        </w:rPr>
        <w:t>There is no infrastructure or software to buy and maintain thus reducing our customers’ operating costs; all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accessible in the cloud via web interface. Qualys operates and maintains the platform.</w:t>
      </w:r>
    </w:p>
    <w:p>
      <w:pPr>
        <w:jc w:val="both"/>
        <w:ind w:left="960" w:right="20" w:hanging="313"/>
        <w:spacing w:after="0" w:line="24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Real-time visibility in one place, anytime and anywhere</w:t>
      </w:r>
      <w:r>
        <w:rPr>
          <w:rFonts w:ascii="Arial" w:cs="Arial" w:eastAsia="Arial" w:hAnsi="Arial"/>
          <w:sz w:val="18"/>
          <w:szCs w:val="18"/>
          <w:color w:val="auto"/>
        </w:rPr>
        <w:t>. Our customers can conveniently see their security and compliance posture across their</w:t>
      </w:r>
      <w:r>
        <w:rPr>
          <w:rFonts w:ascii="Arial" w:cs="Arial" w:eastAsia="Arial" w:hAnsi="Arial"/>
          <w:sz w:val="18"/>
          <w:szCs w:val="18"/>
          <w:i w:val="1"/>
          <w:iCs w:val="1"/>
          <w:color w:val="auto"/>
        </w:rPr>
        <w:t xml:space="preserve"> </w:t>
      </w:r>
      <w:r>
        <w:rPr>
          <w:rFonts w:ascii="Arial" w:cs="Arial" w:eastAsia="Arial" w:hAnsi="Arial"/>
          <w:sz w:val="18"/>
          <w:szCs w:val="18"/>
          <w:color w:val="auto"/>
        </w:rPr>
        <w:t>global IT asset inventory in one browser window, without plugins or a virtual private network (VPN), whenever and wherever Internet access is available.</w:t>
      </w:r>
    </w:p>
    <w:p>
      <w:pPr>
        <w:spacing w:after="0" w:line="1" w:lineRule="exact"/>
        <w:rPr>
          <w:rFonts w:ascii="Arial" w:cs="Arial" w:eastAsia="Arial" w:hAnsi="Arial"/>
          <w:sz w:val="18"/>
          <w:szCs w:val="18"/>
          <w:color w:val="auto"/>
        </w:rPr>
      </w:pPr>
    </w:p>
    <w:p>
      <w:pPr>
        <w:ind w:left="960" w:hanging="313"/>
        <w:spacing w:after="0" w:line="24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Easy global scanning. </w:t>
      </w:r>
      <w:r>
        <w:rPr>
          <w:rFonts w:ascii="Arial" w:cs="Arial" w:eastAsia="Arial" w:hAnsi="Arial"/>
          <w:sz w:val="18"/>
          <w:szCs w:val="18"/>
          <w:color w:val="auto"/>
        </w:rPr>
        <w:t>Our customers can easily perform scans on geographically distributed and segmented networks at the perimeter, behind</w:t>
      </w:r>
      <w:r>
        <w:rPr>
          <w:rFonts w:ascii="Arial" w:cs="Arial" w:eastAsia="Arial" w:hAnsi="Arial"/>
          <w:sz w:val="18"/>
          <w:szCs w:val="18"/>
          <w:i w:val="1"/>
          <w:iCs w:val="1"/>
          <w:color w:val="auto"/>
        </w:rPr>
        <w:t xml:space="preserve"> </w:t>
      </w:r>
      <w:r>
        <w:rPr>
          <w:rFonts w:ascii="Arial" w:cs="Arial" w:eastAsia="Arial" w:hAnsi="Arial"/>
          <w:sz w:val="18"/>
          <w:szCs w:val="18"/>
          <w:color w:val="auto"/>
        </w:rPr>
        <w:t>the firewall, on dynamic cloud environments and on endpoints.</w:t>
      </w:r>
    </w:p>
    <w:p>
      <w:pPr>
        <w:ind w:left="960" w:hanging="313"/>
        <w:spacing w:after="0" w:line="262"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Seamless scaling. </w:t>
      </w:r>
      <w:r>
        <w:rPr>
          <w:rFonts w:ascii="Arial" w:cs="Arial" w:eastAsia="Arial" w:hAnsi="Arial"/>
          <w:sz w:val="17"/>
          <w:szCs w:val="17"/>
          <w:color w:val="auto"/>
        </w:rPr>
        <w:t>Our cloud platform is a scalable, comprehensive, and end-to-end solution for the IT, security and compliance needs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Our customers can seamlessly add new coverage, users and services after they have deployed our platform.</w:t>
      </w:r>
    </w:p>
    <w:p>
      <w:pPr>
        <w:ind w:left="960" w:hanging="313"/>
        <w:spacing w:after="0" w:line="24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Up to date resources</w:t>
      </w:r>
      <w:r>
        <w:rPr>
          <w:rFonts w:ascii="Arial" w:cs="Arial" w:eastAsia="Arial" w:hAnsi="Arial"/>
          <w:sz w:val="18"/>
          <w:szCs w:val="18"/>
          <w:color w:val="auto"/>
        </w:rPr>
        <w:t>. Qualys has one of the largest knowledge bases of vulnerability signatures in the industry. All security updates are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w:t>
      </w:r>
    </w:p>
    <w:p>
      <w:pPr>
        <w:ind w:left="960" w:hanging="313"/>
        <w:spacing w:after="0" w:line="255"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Data stored securely</w:t>
      </w:r>
      <w:r>
        <w:rPr>
          <w:rFonts w:ascii="Arial" w:cs="Arial" w:eastAsia="Arial" w:hAnsi="Arial"/>
          <w:sz w:val="18"/>
          <w:szCs w:val="18"/>
          <w:color w:val="auto"/>
        </w:rPr>
        <w:t>. Data is securely stored and processed in a multi-tiered architecture of load-balanced servers. Our encrypted databases are</w:t>
      </w:r>
      <w:r>
        <w:rPr>
          <w:rFonts w:ascii="Arial" w:cs="Arial" w:eastAsia="Arial" w:hAnsi="Arial"/>
          <w:sz w:val="18"/>
          <w:szCs w:val="18"/>
          <w:i w:val="1"/>
          <w:iCs w:val="1"/>
          <w:color w:val="auto"/>
        </w:rPr>
        <w:t xml:space="preserve"> </w:t>
      </w:r>
      <w:r>
        <w:rPr>
          <w:rFonts w:ascii="Arial" w:cs="Arial" w:eastAsia="Arial" w:hAnsi="Arial"/>
          <w:sz w:val="18"/>
          <w:szCs w:val="18"/>
          <w:color w:val="auto"/>
        </w:rPr>
        <w:t>physically and logically secured.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90" w:lineRule="exact"/>
        <w:rPr>
          <w:sz w:val="20"/>
          <w:szCs w:val="20"/>
          <w:color w:val="auto"/>
        </w:rPr>
      </w:pPr>
    </w:p>
    <w:p>
      <w:pPr>
        <w:ind w:left="960" w:hanging="313"/>
        <w:spacing w:after="0" w:line="25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Vulnerability Management, Detection and Response (VMDR), Threat Protection (TP),</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Monitoring (CM), Patch Management (PM), Multi-Vector Endpoint Detection and Response (EDR), Certificate Assessment (CRA), SaaS Detection and Response (SaaSDR), Secure Enterprise Mobility (SEM);</w:t>
      </w:r>
    </w:p>
    <w:p>
      <w:pPr>
        <w:spacing w:after="0" w:line="1" w:lineRule="exact"/>
        <w:rPr>
          <w:rFonts w:ascii="Arial" w:cs="Arial" w:eastAsia="Arial" w:hAnsi="Arial"/>
          <w:sz w:val="18"/>
          <w:szCs w:val="18"/>
          <w:color w:val="auto"/>
        </w:rPr>
      </w:pPr>
    </w:p>
    <w:p>
      <w:pPr>
        <w:ind w:left="960" w:right="20" w:hanging="313"/>
        <w:spacing w:after="0" w:line="24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Assessment Questionnaire (SAQ), Out of-Band Configuration Assessment (OCA);</w:t>
      </w: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 View (GAV), Cybersecurity Asset Management (CSAM), Certificate Inventory (CRI);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07"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90"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Our Qualys Cloud Platform is currently used by over 10,000 customers worldwide, including a majority of each of the Forbes Global 100 and Fortune 100. Our revenues increased to $411.2 million in 2021 from $363.0 million in 2020 and $321.6 million in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4"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Our cloud platform consists of a suite of IT security, compliance, web application security, asset management and cloud and container security solutions, which we refer to as the Qualys Cloud Apps, that leverages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cloud platform.</w:t>
      </w:r>
    </w:p>
    <w:p>
      <w:pPr>
        <w:spacing w:after="0" w:line="18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8"/>
          <w:szCs w:val="18"/>
          <w:color w:val="auto"/>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spacing w:after="0" w:line="186"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7"/>
          <w:szCs w:val="17"/>
          <w:color w:val="auto"/>
        </w:rPr>
        <w:t>The Qualys Cloud Platform automatically gathers and analyzes security and compliance data in a scalable, state-of-the-art backend. The technology underlying our cloud infrastructure enables us to ingest, process, analyze and store a high volume of sensor data coming from our agents, scanners and passive analyzers, and correlate information at very high speeds in a distributed manner for millions of devices.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96455" cy="405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cloud platform is delivered to our customers via our eleven global shared cloud platforms, or via our private platform offering, Qualys Private Cloud Platform (PCP), for customers or partners that want the platform to reside within the customer's data center. The PCP is a standalone version of our multi-layer, multi-tenant services architecture and is a fully integrated turnkey solution, making it more scalable, cost effective and faster to deploy within a customer's data center.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 We also offer Private Cloud Platform Appliance (PCPA), an on-premises IT, security and compliance solution packaged in a form-factor for medium-sized companies.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220" w:lineRule="exact"/>
        <w:rPr>
          <w:sz w:val="20"/>
          <w:szCs w:val="20"/>
          <w:color w:val="auto"/>
        </w:rPr>
      </w:pPr>
    </w:p>
    <w:p>
      <w:pPr>
        <w:jc w:val="both"/>
        <w:ind w:firstLine="387"/>
        <w:spacing w:after="0" w:line="270"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for our customers inside their organizations, on the perimeter, on endpoints or in the cloud.</w:t>
      </w:r>
    </w:p>
    <w:p>
      <w:pPr>
        <w:spacing w:after="0" w:line="175"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Our core services constitute dynamic and customizable dashboards and centrally managed, self-updating integrated Cloud Apps, through a natively integrated unified platform.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core services include:</w:t>
      </w:r>
    </w:p>
    <w:p>
      <w:pPr>
        <w:spacing w:after="0" w:line="19" w:lineRule="exact"/>
        <w:rPr>
          <w:sz w:val="20"/>
          <w:szCs w:val="20"/>
          <w:color w:val="auto"/>
        </w:rPr>
      </w:pPr>
    </w:p>
    <w:p>
      <w:pPr>
        <w:jc w:val="both"/>
        <w:ind w:left="960" w:hanging="313"/>
        <w:spacing w:after="0" w:line="24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 dynamic IT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environments and automates the process of inventory management and hierarchical organization of IT assets. Built on top of this core service is the Qualys GAV framework,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2" w:lineRule="exact"/>
        <w:rPr>
          <w:rFonts w:ascii="Arial" w:cs="Arial" w:eastAsia="Arial" w:hAnsi="Arial"/>
          <w:sz w:val="18"/>
          <w:szCs w:val="18"/>
          <w:color w:val="auto"/>
        </w:rPr>
      </w:pPr>
    </w:p>
    <w:p>
      <w:pPr>
        <w:ind w:left="960" w:hanging="313"/>
        <w:spacing w:after="0" w:line="24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 their roles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access privileges.</w:t>
      </w:r>
    </w:p>
    <w:p>
      <w:pPr>
        <w:ind w:left="960" w:hanging="313"/>
        <w:spacing w:after="0" w:line="262"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Questionnaires and Collaboration. </w:t>
      </w:r>
      <w:r>
        <w:rPr>
          <w:rFonts w:ascii="Arial" w:cs="Arial" w:eastAsia="Arial" w:hAnsi="Arial"/>
          <w:sz w:val="17"/>
          <w:szCs w:val="17"/>
          <w:color w:val="auto"/>
        </w:rPr>
        <w:t>A configurable workflow engine that enables customers to easily build questionnaires and capture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processes and workflows to evaluate controls and gather evidence to validate and document compliance.</w:t>
      </w:r>
    </w:p>
    <w:p>
      <w:pPr>
        <w:jc w:val="both"/>
        <w:ind w:left="960" w:hanging="313"/>
        <w:spacing w:after="0" w:line="262"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Remediation and Workflow. </w:t>
      </w:r>
      <w:r>
        <w:rPr>
          <w:rFonts w:ascii="Arial" w:cs="Arial" w:eastAsia="Arial" w:hAnsi="Arial"/>
          <w:sz w:val="17"/>
          <w:szCs w:val="17"/>
          <w:color w:val="auto"/>
        </w:rPr>
        <w:t>An integrated workflow engine that allows customers to automatically generate helpdesk tickets for remediation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jc w:val="both"/>
        <w:ind w:left="960" w:hanging="313"/>
        <w:spacing w:after="0" w:line="262"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Big Data Correlation and Analytics Engine. </w:t>
      </w:r>
      <w:r>
        <w:rPr>
          <w:rFonts w:ascii="Arial" w:cs="Arial" w:eastAsia="Arial" w:hAnsi="Arial"/>
          <w:sz w:val="17"/>
          <w:szCs w:val="17"/>
          <w:color w:val="auto"/>
        </w:rPr>
        <w:t>Provides Elasticsearch capabilities for indexing, searching and correlating large amounts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and compliance data with other security incidents and third-party security intelligence data. Embedded workflows enable customers to quickly assess risk and access information for remediation, incident analysis and forensic investigations.</w:t>
      </w:r>
    </w:p>
    <w:p>
      <w:pPr>
        <w:ind w:left="960" w:hanging="313"/>
        <w:spacing w:after="0" w:line="255"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 open</w:t>
      </w:r>
      <w:r>
        <w:rPr>
          <w:rFonts w:ascii="Arial" w:cs="Arial" w:eastAsia="Arial" w:hAnsi="Arial"/>
          <w:sz w:val="18"/>
          <w:szCs w:val="18"/>
          <w:i w:val="1"/>
          <w:iCs w:val="1"/>
          <w:color w:val="auto"/>
        </w:rPr>
        <w:t xml:space="preserve"> </w:t>
      </w:r>
      <w:r>
        <w:rPr>
          <w:rFonts w:ascii="Arial" w:cs="Arial" w:eastAsia="Arial" w:hAnsi="Arial"/>
          <w:sz w:val="18"/>
          <w:szCs w:val="18"/>
          <w:color w:val="auto"/>
        </w:rPr>
        <w:t>trouble tickets and system updates.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Apps</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The Qualys Cloud Platform and its Cloud Apps help organizations escape this tool-fragmentation dilemma by drastically simplifying their security stacks and regaining unimpeded visibility across their IT environment.</w:t>
      </w:r>
    </w:p>
    <w:p>
      <w:pPr>
        <w:spacing w:after="0" w:line="188"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Cloud Apps are self-updating, centrally managed and tightly integrated, and cover a broad range of functionality in areas such as IT security, compliance, web application security, asset management and cloud and container security solutions.</w:t>
      </w:r>
    </w:p>
    <w:p>
      <w:pPr>
        <w:spacing w:after="0" w:line="175" w:lineRule="exact"/>
        <w:rPr>
          <w:sz w:val="20"/>
          <w:szCs w:val="20"/>
          <w:color w:val="auto"/>
        </w:rPr>
      </w:pPr>
    </w:p>
    <w:p>
      <w:pPr>
        <w:jc w:val="both"/>
        <w:ind w:firstLine="400"/>
        <w:spacing w:after="0" w:line="300" w:lineRule="auto"/>
        <w:rPr>
          <w:sz w:val="20"/>
          <w:szCs w:val="20"/>
          <w:color w:val="auto"/>
        </w:rPr>
      </w:pPr>
      <w:r>
        <w:rPr>
          <w:rFonts w:ascii="Arial" w:cs="Arial" w:eastAsia="Arial" w:hAnsi="Arial"/>
          <w:sz w:val="17"/>
          <w:szCs w:val="17"/>
          <w:color w:val="auto"/>
        </w:rPr>
        <w:t>From inception through December 31, 2020, we have added the following Cloud Apps: VM, PC, PCI, WAS, WAF, CM, SAQ, TP, FIM, GAV (including a free version), SCA, CS, CI, CSA, CRI, CRA, OCA, PM, VMDR, and EDR. In 2021, we introduced SaaSDR, SEM, and CSAM.</w:t>
      </w:r>
    </w:p>
    <w:p>
      <w:pPr>
        <w:spacing w:after="0" w:line="152"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spacing w:after="0" w:line="13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Our customers can subscribe to one or more of our IT, security and compliance Apps based on their initial needs and expand their subscriptions over time to new areas within their organization or to additional Qualys solutions. For VMDR, we offer four editions of our Qualys Cloud App: Enterprise for large enterprises, Express for medium-sized businesses, Express Lite for small-sized businesses, and Scan-on-Behalf for Scan-on-Behalf customers. For all other Qualys Cloud Apps, we offer four editions: Enterprise for large enterprises, Express for medium-sized businesses, Express Lite for small-sized businesses, and Consulting Edition for consultants, consulting organizations and Managed Service Providers (MSPs).</w:t>
      </w:r>
    </w:p>
    <w:p>
      <w:pPr>
        <w:spacing w:after="0" w:line="177"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Many of our customers use multiple Cloud Apps to develop a more complete understanding of their respective environment’s IT, security and compliance posture. The Qualys Cloud Platform currently provides the following Cloud Apps to our customers: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Security</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Vulnerability Management (VM):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 base of known vulnerabilities, VM enables cost-effective protection against vulnerabilities without substantial resource deployment.</w:t>
      </w:r>
    </w:p>
    <w:p>
      <w:pPr>
        <w:spacing w:after="0" w:line="188"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Vulnerability Management, Detection and Response (VMDR): VMDR enables organizations to automatically discover every asset in their environment, including unmanaged assets appearing on the network, inventory all hardware and software, and classify and tag critical assets. VMDR continuously assesses these assets for the latest vulnerabilities and applies the latest threat intel analysis to prioritize actively exploitable vulnerabilities. Finally, VMDR automatically detects the latest superseding patch for the vulnerable asset and easily deploys it for remediation. By delivering all this in a single app workflow, VMDR automates the entire process and significantly accelerates an organization’s ability to respond to threats, thus preventing possible exploitation.</w:t>
      </w:r>
    </w:p>
    <w:p>
      <w:pPr>
        <w:spacing w:after="0" w:line="19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Threat Protection (TP): Thousands of new vulnerabilities are disclosed annually. With TP, customers can pinpoint their most critical threats and identify what they need to remediate first. TP continuously correlates external threat information against a customer's vulnerabilities and IT asset inventory, so customers know which threats pose the greatest risk to their organization at any given time. As Qualys engineers continuously validate and rate new threats from internal and external sources, TP’s live feed displays the latest vulnerability disclosures and maps them to customers’ impacted IT assets. Customers can see the assets affected by each threat, and drill down into details.</w:t>
      </w:r>
    </w:p>
    <w:p>
      <w:pPr>
        <w:spacing w:after="0" w:line="177"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Continuous Monitoring (CM): Built on top of VM, CM is a next-generation cloud service that can detect network threats and unexpected changes before they turn into breaches. Whenever CM spots an anomaly in a network, it immediately sends targeted, informative alerts to the right people for each situation and each machine. CM tracks what happens throughout public perimeters, internal networks, and cloud environments - anywhere in the world.</w:t>
      </w:r>
    </w:p>
    <w:p>
      <w:pPr>
        <w:spacing w:after="0" w:line="15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Patch Management (PM): PM provides automated patch deployment capabilities by correlating vulnerabilities and patches. It continuously gathers and uploads telemetry about installed software, open vulnerabilities and missing patches to the Qualys Cloud Platform. The resulting shared visibility of assets and their posture enables IT and security teams to collaborate using common vulnerability-centric terminology and provides a consistent data set to analyze, prioritize, deploy and verify patches more efficiently.</w:t>
      </w:r>
    </w:p>
    <w:p>
      <w:pPr>
        <w:spacing w:after="0" w:line="188"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Multi-Vector Endpoint Detection and Response (EDR): Traditional endpoint detection and response solutions focus only on endpoint activity to detect attacks. As a result, they lack the full context to analyze attacks accurately. This leads to an incomplete picture and a high rate of false positives and negatives, requiring organizations to use multiple point solutions and large incident response teams. Qualys fills the gaps by bringing a new multi-vector approach and the unifying power of its highly scalable Cloud Platform to EDR, providing vital context and comprehensive visibility to the entire attack chain, from prevention to detection to response. EDR unifies different context vectors like asset discovery, rich normalized software inventory, end-of-life visibility, vulnerabilities and exploits, misconfigurations, in-depth endpoint telemetry, and network reachability with a powerful backend to correlate it all for accurate assessment, detection and response.</w:t>
      </w:r>
    </w:p>
    <w:p>
      <w:pPr>
        <w:spacing w:after="0" w:line="193"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Certificate Assessment (CRA): CRA assesses digital certificates and Transport Layer Security (TLS) configurations. CRA generates certificate instance grades using a straightforward methodology that allows administrators to assess often overlooked server SSL/TLS configurations without having to become SSL experts. It also identifies out-of-policy certificates with weak signatures or key length and shows how many unique Certificate Authorities were found in the environment and how many certificates each one issued.</w:t>
      </w:r>
    </w:p>
    <w:p>
      <w:pPr>
        <w:spacing w:after="0" w:line="188"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SaaS Detection and Response (SaaSDR): SaaSDR leverages the Qualys Cloud platform to provide continuous visibility into SaaS applications such as Office 365, Salesforce and Zoom for configuration posture management, activity monitoring and data security insights.</w:t>
      </w:r>
    </w:p>
    <w:p>
      <w:pPr>
        <w:spacing w:after="0" w:line="175"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Secure Enterprise Mobility (SEM): SEM extends the power of VMDR for in-depth inventory of mobile devices and their data, real time vulnerability and misconfiguration detection, and built-in remediation with patch orchestration for all Android and iOS/iPadOS devices across the enterprise.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w:t>
      </w:r>
    </w:p>
    <w:p>
      <w:pPr>
        <w:spacing w:after="0" w:line="22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operating systems,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pacing w:after="0" w:line="18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Security Configuration Assessment (SCA): SCA provides automatic assessment of IT assets’ configurations using the latest Center for Internet Security (CIS) Benchmarks for operating systems, databases, applications and network devices. SCA provides intuitive workflows for assessing, monitoring, reporting and remediating security-related configuration issues. SCA’s CIS assessments are provided via a web-based user interface and delivered from the Qualys Cloud Platform, enabling centralized management with minimal deployment overhead. SCA users can automatically create downloadable reports and view dashboards.</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PCI Compliance (PCI): PCI streamlines and automates compliance with PCI DSS (Payment Card Industry Data Security Standard) requirements for protecting the collection, storage, processing and transmission of cardholder data. As an Approved Scanning Vendor, Qualys has been authorized by the PCI Security Standards Council to conduct the required quarterly scans. PCI scans all Internet-facing networks and systems with Six Sigma (99.9996%) accuracy, generates reports and provides detailed patching instructions. An auto-submission feature completes the compliance process once remediation is completed.</w:t>
      </w:r>
    </w:p>
    <w:p>
      <w:pPr>
        <w:spacing w:after="0" w:line="16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19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Security Assessment Questionnaire (SAQ): SAQ automates and streamlines third-party and internal risk assessment processes, obviating the need to perform such processes manually via email and spreadsheets. SAQ easily designs surveys to assess procedural controls of IT and security policies and practices. SAQ automates the launch and monitoring of assessment campaigns, making the process agile, accurate, comprehensive, centralized, scalable and uniform across an organization. SAQ also provides tools for displaying, analyzing and acting on collected data, enabling the assessment of compliance with industry standards, regulations and internal policies of third parties, like vendors and partners, and of employees.</w:t>
      </w:r>
    </w:p>
    <w:p>
      <w:pPr>
        <w:spacing w:after="0" w:line="177"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Out-of-Band Configuration Assessment (OCA): The OCA sensor and Cloud App allows customers to achieve complete visibility of all known IT infrastructure by pushing vulnerability and configuration data to the Qualys Cloud Platform from systems that are otherwise difficult to assess, such as highly locked-down systems, systems on disconnected or “air gap” networks, or in environments that are highly sensitive to scans. OCA’s expanded data collection approach significantly broadens the types of technologies supported by the Qualys Cloud Platform and provides deeper assessment of configuration so that customers have better visibility into potentially critical vulnerabilities and misconfigurations across their entire environment.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 Application Security</w:t>
      </w:r>
    </w:p>
    <w:p>
      <w:pPr>
        <w:spacing w:after="0" w:line="22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Its seamless integration with the Qualys Web Application Firewall (WAF) enables verification of attack protection, ticket creation and one click mitigation of vulnerabilities.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spacing w:after="0" w:line="168"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Web Application Firewall (WAF): WAF permits the reduction of application security cost and complexity with a unified platform to prevent any attempt to exploit vulnerabilities. Simple, scalable and adaptive, WAF enables the quick blocking of attacks, prevents disclosure of sensitive information, and controls when and where customer applications are accessed. WAF and WAS work together seamlessly. Customers scan web apps with WAS, deploy one-click virtual patches if needed in WAF, and manage it all from a centralized cloud-based portal. WAF can be deployed in minutes on prem or in the cloud, as a virtual machine or a container, supports load-balancing as well as TLS offloading, and does not require special hardware.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22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Global Asset View (GAV): GAV constantly gathers information on all assets, including system and hardware details, running services, open ports, installed software and user accounts. Asset discovery and inventory collection is done through a combination of Qualys network scanners, Cloud Agents and passive scanners, which together collect comprehensive data from on-premises or cloud infrastructure as well as remote endpoints. In order to create consistent and uniform asset data, GAV normalizes raw discovery data to standardize every manufacturer name, product name, model and software version using Qualys’ ever-evolving technology catalog as a reference. This catalog automatically extends IT asset inventory with non-discoverable metadata such as hardware and software release dates, end of life dates, and license categories. This new data layer allows teams to detect issues such as unauthorized software, outdated hardware or end-of-life software, which can help properly tag, support, and secure business-critical assets. Additionally, customers can sync their asset information with ServiceNow CMDB.</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Cybersecurity Asset Management (CSAM): CSAM is an all-in-one solution that leverages the power of the Qualys Cloud Platform with its multiple native sensors and CMDB synchronization to continuously inventory known and unknown assets, discover installed applications, and overlay business and risk context to establish asset criticality. It identifies unauthorized or end-of-life and end-of-service software and the absence of required security tools, and assesses the health of the attack surface. Further, CSAM enables response options with threat alerts and software removal and delivers regulatory reporting in support of FedRAMP, PCI-DSS and other mandates.</w:t>
      </w:r>
    </w:p>
    <w:p>
      <w:pPr>
        <w:spacing w:after="0" w:line="19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Certificate Inventory (CRI): CRI continuously scans global IT assets from a single console to discover internal and external certificates issued from any certificate authority across all enterprise IT assets, both on premise and in the cloud. As a result, certificates can be renewed before they expire, which stops certificate-related outages and improves availability. It collects all certificate, vulnerability and configuration data required for certificate inventory and analysis. CRI also reveals how many certificates are out of compliance or do not follow organizational policies for key length, for signature algorithms or for the use of trusted and approved Certificate Authorities through the use of highly customizable dashboards and provides users a comprehensive overview of Qualys SSL Labs-caliber certificate grades for internal and externally facing certificates.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 Container Security</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Cloud Inventory (CI): CI delivers continuous visibility into public cloud accounts. In one single-pane view, it inventories virtual machines, storage buckets, databases, security groups, Access Control Lists (ACLs), Elastic Load Balancers (ELBs) and users – across all regions, multiple accounts and multiple cloud platforms. CI continuously tracks assets and enables users to quickly understand the topography of their cloud environment and uncover the root cause of incidents.</w:t>
      </w:r>
    </w:p>
    <w:p>
      <w:pPr>
        <w:spacing w:after="0" w:line="188"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Cloud Security Assessment (CSA): CSA provides a continuous assessment of the security posture of an organization’s cloud resources against misconfigurations, malicious behavior, and nonstandard deployments. CSA evaluates resources against CIS benchmarks and best practices to identify misconfigured storage buckets, security groups, Relational Database Service, exposing data and the resource for public exploitation. CSA correlates host vulnerabilities and compliance data into intelligent insights which allow users to quickly detect risks throughout their complex cloud environments. With CSA, users gain real-time visibility into their up-to-date security and compliance posture of public clouds in one single-pane view.</w:t>
      </w:r>
    </w:p>
    <w:p>
      <w:pPr>
        <w:spacing w:after="0" w:line="177"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Container Security (CS): CS delivers container-native visibility and protection throughout the entire lifecycle of containerized applications. It incorporates scanning of container images for software composition and enforcement of hardened container stack configurations for continuous policy compliance, whether the images are on the build machines, in the container registries or in the runtime cluster nodes. CS uses a unique 'layered-in' approach to provide deep visibility into all the application activities and automatically creates a behavior profile, which is enforced on each container for runtime protection. By integrating with continuous integration and continuous delivery pipelines and toolchains, CS enables DevSecOps processes and transparent enforcement of security and compliance without compromising the speed and agility of containers and serverless deployment models. This leads to significant cost benefits for enterprises compared to certain legacy security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Services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also offer organizations of all sizes free security and compliance services based on the Qualys Cloud Platform:</w:t>
      </w:r>
    </w:p>
    <w:p>
      <w:pPr>
        <w:spacing w:after="0" w:line="19" w:lineRule="exact"/>
        <w:rPr>
          <w:sz w:val="20"/>
          <w:szCs w:val="20"/>
          <w:color w:val="auto"/>
        </w:rPr>
      </w:pPr>
    </w:p>
    <w:p>
      <w:pPr>
        <w:jc w:val="both"/>
        <w:ind w:left="800" w:hanging="313"/>
        <w:spacing w:after="0" w:line="24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Qualys Global Asset View app automatically creates a continuous, real-time inventory of known and unknown assets throughout a user's global IT footprint across on-premises, endpoints, multi-cloud, mobile, containers, operational technology and IoT.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spacing w:after="0" w:line="46" w:lineRule="exact"/>
        <w:rPr>
          <w:rFonts w:ascii="Arial" w:cs="Arial" w:eastAsia="Arial" w:hAnsi="Arial"/>
          <w:sz w:val="18"/>
          <w:szCs w:val="18"/>
          <w:color w:val="auto"/>
        </w:rPr>
      </w:pPr>
    </w:p>
    <w:p>
      <w:pPr>
        <w:jc w:val="both"/>
        <w:ind w:left="800" w:hanging="313"/>
        <w:spacing w:after="0" w:line="25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Qualys Community Edition automatically gathers and analyzes security and compliance data from hybrid IT environments to provide a complete, continuously updated, and instant view of monitored IT assets on-premises or in the cloud, as well as web apps, from a single-pane-of-glass interface. The Community Edition is limited to one user with data retention for three months.</w:t>
      </w:r>
    </w:p>
    <w:p>
      <w:pPr>
        <w:spacing w:after="0" w:line="39" w:lineRule="exact"/>
        <w:rPr>
          <w:rFonts w:ascii="Arial" w:cs="Arial" w:eastAsia="Arial" w:hAnsi="Arial"/>
          <w:sz w:val="18"/>
          <w:szCs w:val="18"/>
          <w:color w:val="auto"/>
        </w:rPr>
      </w:pPr>
    </w:p>
    <w:p>
      <w:pPr>
        <w:jc w:val="both"/>
        <w:ind w:left="800" w:hanging="313"/>
        <w:spacing w:after="0" w:line="25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Qualys CloudView continuously discovers and tracks assets and resources across public cloud deployments to provide users both real-time and historical views of cloud inventory. It collects metadata about cloud assets and resources to help users understand the relationships between public cloud assets and resources across different dimensions and then discover their threat posture based on those attributes and relationships. CloudView is limited to three accounts per public cloud platform.</w:t>
      </w:r>
    </w:p>
    <w:p>
      <w:pPr>
        <w:spacing w:after="0" w:line="40" w:lineRule="exact"/>
        <w:rPr>
          <w:rFonts w:ascii="Arial" w:cs="Arial" w:eastAsia="Arial" w:hAnsi="Arial"/>
          <w:sz w:val="18"/>
          <w:szCs w:val="18"/>
          <w:color w:val="auto"/>
        </w:rPr>
      </w:pPr>
    </w:p>
    <w:p>
      <w:pPr>
        <w:ind w:left="800" w:hanging="313"/>
        <w:spacing w:after="0" w:line="300"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Qualys CertView inventories and assesses all Internet-facing certificates to generate SSL/TLS configuration grades, identifies the certificate issuer and tracks certificate expirations to help stop expired and expiring certificates from interrupting critical business functions.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4"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We intend to strengthen our leadership position as a trusted provider of cloud-based IT, security and compliance solutions. The key elements of our growth strategy are:</w:t>
      </w:r>
    </w:p>
    <w:p>
      <w:pPr>
        <w:jc w:val="both"/>
        <w:ind w:left="800" w:hanging="313"/>
        <w:spacing w:after="0" w:line="24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 investments in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development to extend our cloud platform’s functionality by developing new security solutions and capabilities and further enhancing our existing suite of solutions. From inception through December 31, 2020, we have added the following Cloud Apps: PC, PCI, WAS, WAF, CM, SAQ, TP, FIM, GAV (including a free version), SCA, CS, CI, CSA, CRI, CRA, OCA, PM, VMDR, and EDR. In 2021, we introduced SaaSDR, SEM, and CSAM.</w:t>
      </w:r>
    </w:p>
    <w:p>
      <w:pPr>
        <w:spacing w:after="0" w:line="47" w:lineRule="exact"/>
        <w:rPr>
          <w:rFonts w:ascii="Arial" w:cs="Arial" w:eastAsia="Arial" w:hAnsi="Arial"/>
          <w:sz w:val="18"/>
          <w:szCs w:val="18"/>
          <w:color w:val="auto"/>
        </w:rPr>
      </w:pPr>
    </w:p>
    <w:p>
      <w:pPr>
        <w:jc w:val="both"/>
        <w:ind w:left="800" w:hanging="313"/>
        <w:spacing w:after="0" w:line="269"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the use of our suite of solutions by our large and diverse customer base. </w:t>
      </w:r>
      <w:r>
        <w:rPr>
          <w:rFonts w:ascii="Arial" w:cs="Arial" w:eastAsia="Arial" w:hAnsi="Arial"/>
          <w:sz w:val="17"/>
          <w:szCs w:val="17"/>
          <w:color w:val="auto"/>
        </w:rPr>
        <w:t>With more than 10,000 customers, across many industries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spacing w:after="0" w:line="33" w:lineRule="exact"/>
        <w:rPr>
          <w:rFonts w:ascii="Arial" w:cs="Arial" w:eastAsia="Arial" w:hAnsi="Arial"/>
          <w:sz w:val="17"/>
          <w:szCs w:val="17"/>
          <w:color w:val="auto"/>
        </w:rPr>
      </w:pPr>
    </w:p>
    <w:p>
      <w:pPr>
        <w:jc w:val="both"/>
        <w:ind w:left="800" w:hanging="313"/>
        <w:spacing w:after="0" w:line="287"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new customer growth and broaden our global reach. </w:t>
      </w:r>
      <w:r>
        <w:rPr>
          <w:rFonts w:ascii="Arial" w:cs="Arial" w:eastAsia="Arial" w:hAnsi="Arial"/>
          <w:sz w:val="16"/>
          <w:szCs w:val="16"/>
          <w:color w:val="auto"/>
        </w:rPr>
        <w:t>We are pursuing new customers by targeting key accounts, releasing free IT,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compliance services and expanding both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managed security service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20" w:lineRule="exact"/>
        <w:rPr>
          <w:rFonts w:ascii="Arial" w:cs="Arial" w:eastAsia="Arial" w:hAnsi="Arial"/>
          <w:sz w:val="16"/>
          <w:szCs w:val="16"/>
          <w:color w:val="auto"/>
        </w:rPr>
      </w:pPr>
    </w:p>
    <w:p>
      <w:pPr>
        <w:jc w:val="both"/>
        <w:ind w:left="800" w:hanging="313"/>
        <w:spacing w:after="0" w:line="285" w:lineRule="auto"/>
        <w:tabs>
          <w:tab w:leader="none" w:pos="80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Selectively pursue technology acquisitions to bolster our capabilities and leadership position. </w:t>
      </w:r>
      <w:r>
        <w:rPr>
          <w:rFonts w:ascii="Arial" w:cs="Arial" w:eastAsia="Arial" w:hAnsi="Arial"/>
          <w:sz w:val="16"/>
          <w:szCs w:val="16"/>
          <w:color w:val="auto"/>
        </w:rPr>
        <w:t>We may explore acquisitions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complementary to and can expand the functionality of our cloud platform. We may also seek to acquire development teams to supplement our own personnel and acquire technology to increase the breadth of our cloud-based IT, security and compliance solutions. In 2021, we acquired certain intangible assets of Kandor Soft Labs Private Ltd. (TotalCloud), strengthening our cloud security solution by allowing customers to build user-defined workflows for custom policies and execute them on-demand for simplified security and compliance. In 2020, we acquired certain intangible assets of Spell Security Private Limited (Spell Security), expanding our endpoint behavior detection, threat hunting, malware research and multi-layered response capabilities for our EDR application. In 2019, we acquired Adya Inc. (Adya), enabling us to provide companies of all sizes with the ability to consolidate administration of their Software as a Service (SaaS) applications into one console, manage license costs across SaaS applications, set and enforce security policies in one place and report and audit on all activity with a single tool.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4"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2021, we had over 10,000 customers worldwide, including a majority of each of the Forbes Global 100 and Fortune 100. In each of 2021, 2020 and 2019, no one customer accounted for more than 10% of our revenues. In 2021, 2020 and 2019, 61%, 63% and 64%,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220"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the Americas; Europe, Middle East and Africa; and Asia-Pacific. We also further assign each of our sales teams into groups that focus on adding new customers or managing relationships with existing customers.</w:t>
      </w:r>
    </w:p>
    <w:p>
      <w:pPr>
        <w:spacing w:after="0" w:line="16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Accenture, BT Managed Security, Cognizant Technology Solutions, Deutsche Telekom, DXC Technology, Fujitsu, Hindustan Computers Limited (HCL) Technologies, International Business Machines (IBM), Infosys, Nippon Telegraph and Telephone Corporation (NTT), Optiv, SecureWorks, Tata Communications, Verizon, Wipro and TD SYNNEX Corporation (TD SYNNEX). Qualys has also established strategic partnerships with leading cloud providers like Amazon Web Services, Microsoft Azure and the Google Cloud Platform.</w:t>
      </w:r>
    </w:p>
    <w:p>
      <w:pPr>
        <w:spacing w:after="0" w:line="182"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2021, 2020 and 2019, 41%, 42% and 42%, respectively, of our revenues were generated by channel partners.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220"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75"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224" w:lineRule="exact"/>
        <w:rPr>
          <w:sz w:val="20"/>
          <w:szCs w:val="20"/>
          <w:color w:val="auto"/>
        </w:rPr>
      </w:pPr>
    </w:p>
    <w:p>
      <w:pPr>
        <w:jc w:val="both"/>
        <w:ind w:firstLine="387"/>
        <w:spacing w:after="0" w:line="269" w:lineRule="auto"/>
        <w:rPr>
          <w:sz w:val="20"/>
          <w:szCs w:val="20"/>
          <w:color w:val="auto"/>
        </w:rPr>
      </w:pPr>
      <w:r>
        <w:rPr>
          <w:rFonts w:ascii="Arial" w:cs="Arial" w:eastAsia="Arial" w:hAnsi="Arial"/>
          <w:sz w:val="17"/>
          <w:szCs w:val="17"/>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224" w:lineRule="exact"/>
        <w:rPr>
          <w:sz w:val="20"/>
          <w:szCs w:val="20"/>
          <w:color w:val="auto"/>
        </w:rPr>
      </w:pPr>
    </w:p>
    <w:p>
      <w:pPr>
        <w:jc w:val="both"/>
        <w:ind w:firstLine="387"/>
        <w:spacing w:after="0" w:line="269" w:lineRule="auto"/>
        <w:rPr>
          <w:sz w:val="20"/>
          <w:szCs w:val="20"/>
          <w:color w:val="auto"/>
        </w:rPr>
      </w:pPr>
      <w:r>
        <w:rPr>
          <w:rFonts w:ascii="Arial" w:cs="Arial" w:eastAsia="Arial" w:hAnsi="Arial"/>
          <w:sz w:val="17"/>
          <w:szCs w:val="17"/>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spacing w:after="0" w:line="18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7"/>
          <w:szCs w:val="17"/>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67" w:lineRule="exact"/>
        <w:rPr>
          <w:sz w:val="20"/>
          <w:szCs w:val="20"/>
          <w:color w:val="auto"/>
        </w:rPr>
      </w:pPr>
    </w:p>
    <w:p>
      <w:pPr>
        <w:jc w:val="both"/>
        <w:ind w:right="20" w:firstLine="387"/>
        <w:spacing w:after="0" w:line="258"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22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Our physical appliances are provided by TD SYNNEX, pursuant to a manufacturing services agreement dated March 1, 2011. Under this agreement, TD SYNNEX manufactures, assembles and tests our physical scanner appliances. This agreement is automatically renewed annually, unless terminated (i) at any time upon the mutual written agreement of us and TD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Shared Cloud Platform Agreements</w:t>
      </w:r>
    </w:p>
    <w:p>
      <w:pPr>
        <w:spacing w:after="0" w:line="220" w:lineRule="exact"/>
        <w:rPr>
          <w:sz w:val="20"/>
          <w:szCs w:val="20"/>
          <w:color w:val="auto"/>
        </w:rPr>
      </w:pPr>
    </w:p>
    <w:p>
      <w:pPr>
        <w:jc w:val="both"/>
        <w:ind w:firstLine="400"/>
        <w:spacing w:after="0" w:line="300" w:lineRule="auto"/>
        <w:rPr>
          <w:sz w:val="20"/>
          <w:szCs w:val="20"/>
          <w:color w:val="auto"/>
        </w:rPr>
      </w:pPr>
      <w:r>
        <w:rPr>
          <w:rFonts w:ascii="Arial" w:cs="Arial" w:eastAsia="Arial" w:hAnsi="Arial"/>
          <w:sz w:val="17"/>
          <w:szCs w:val="17"/>
          <w:color w:val="auto"/>
        </w:rPr>
        <w:t>Our shared cloud platform operations are provided by large third-party vendors and are located in the United States, Canada, Switzerland, the Netherlands, United Arab Emirates, Australia, United Kingdom and India. Our shared cloud platform agreements have varying terms through 2025.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8"/>
          <w:szCs w:val="18"/>
          <w:color w:val="auto"/>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86" w:lineRule="exact"/>
        <w:rPr>
          <w:sz w:val="20"/>
          <w:szCs w:val="20"/>
          <w:color w:val="auto"/>
        </w:rPr>
      </w:pPr>
    </w:p>
    <w:p>
      <w:pPr>
        <w:jc w:val="both"/>
        <w:ind w:firstLine="387"/>
        <w:spacing w:after="0" w:line="269"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Palo Alto Networks, Rapid7, and Tenable Holdings, as well as privately held security providers including Axonius, Checkmarx, Flexera, Ivanti, Netsparker, Tanium,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80" w:lineRule="exact"/>
        <w:rPr>
          <w:sz w:val="20"/>
          <w:szCs w:val="20"/>
          <w:color w:val="auto"/>
        </w:rPr>
      </w:pPr>
    </w:p>
    <w:p>
      <w:pPr>
        <w:jc w:val="both"/>
        <w:ind w:firstLine="387"/>
        <w:spacing w:after="0" w:line="296" w:lineRule="auto"/>
        <w:rPr>
          <w:sz w:val="20"/>
          <w:szCs w:val="20"/>
          <w:color w:val="auto"/>
        </w:rPr>
      </w:pPr>
      <w:r>
        <w:rPr>
          <w:rFonts w:ascii="Arial" w:cs="Arial" w:eastAsia="Arial" w:hAnsi="Arial"/>
          <w:sz w:val="16"/>
          <w:szCs w:val="16"/>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4"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auto"/>
        </w:rPr>
        <w:t>We rely on a combination of trade secrets, copyrights, patents and trademarks, as well as contractual protections, to establish and protect our intellectual property rights and protect our proprietary technology. As of December 31, 2021, we have twenty-six issued patents, which expire from 2029 to 2039, several pending U.S. patent applications and an exclusive license to four U.S. patents.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the Qualys Cloud Platform, which we believe differentiates us from our competitors.</w:t>
      </w:r>
    </w:p>
    <w:p>
      <w:pPr>
        <w:spacing w:after="0" w:line="171" w:lineRule="exact"/>
        <w:rPr>
          <w:sz w:val="20"/>
          <w:szCs w:val="20"/>
          <w:color w:val="auto"/>
        </w:rPr>
      </w:pPr>
    </w:p>
    <w:p>
      <w:pPr>
        <w:jc w:val="both"/>
        <w:ind w:firstLine="387"/>
        <w:spacing w:after="0" w:line="333" w:lineRule="auto"/>
        <w:rPr>
          <w:sz w:val="20"/>
          <w:szCs w:val="20"/>
          <w:color w:val="auto"/>
        </w:rPr>
      </w:pPr>
      <w:r>
        <w:rPr>
          <w:rFonts w:ascii="Arial" w:cs="Arial" w:eastAsia="Arial" w:hAnsi="Arial"/>
          <w:sz w:val="16"/>
          <w:szCs w:val="16"/>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4"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We take a holistic approach to our human capital management strategy, striving to create a culture where talented people want to come to work, develop their careers, become leaders, and make a difference for all our stakeholders and communities. Doing the right thing for our people, our communities and our environment upholds the trust of our customers, partners, employees, and stockholders, enabling us to grow our business profitably and meet the diverse needs of our constituents.</w:t>
      </w:r>
    </w:p>
    <w:p>
      <w:pPr>
        <w:spacing w:after="0" w:line="188"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As of December 31, 2021, we had 1,823 full-time employees, including 941 in research and development, 308 in sales and marketing, 402 in operations and customer support, and 172 in general and administrative. As of December 31, 2021, approximately 75% of our employees were located outside of the United States, with 67% of our employees located in Pune, India. None of our U.S. employees are covered by collective bargaining agreements. Employees in certain European countries and Brazil have collective bargaining arrangements at the national level. We believe our employee relations are good, and we have not experienced any work stoppages.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0"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We are proud to be a leader in the promotion and practice of diversity and inclusion. In addition to having offices and employees all over the world, we take pride in our cultural diversity. Qualys searches the globe for top talent in an effort to recruit and hire diverse individuals with a variety of skills, experiences, and backgrounds. Our objective is to continue to improve our hiring, development, advancement, and retention of diverse talent and to foster an inclusive environment.</w:t>
      </w:r>
    </w:p>
    <w:p>
      <w:pPr>
        <w:spacing w:after="0" w:line="188"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Our board of directors and executive team are highly diverse. Three out of our current eight member board of directors are women, one is a man from an underrepresented community, and the board of directors seeks to identify strong candidates who provide a wide range of perspectives, competencies, and knowledge to complement the skills, diversity and experiences of the board of directors. Further, our executive team is gender and ethnically diverse, with more than 50% of the executive team from underrepresented communities.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20"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We recognize that a healthy environment and safe workplaces are critical to our business, strategy, and communities. We address environmental issues in an integrated manner to encompass protection of the environment as well as the health and safety of our workforce. For example, in response to COVID-19 and the significant increases in remote workforces in March 2020, we mandated a work from home policy to protect our employees and our communities. We also released a free cloud-based remote endpoint protection solution for 60 days that allowed IT and security teams to protect the computers of remote employees and support the health and safety of our communities.</w:t>
      </w:r>
    </w:p>
    <w:p>
      <w:pPr>
        <w:spacing w:after="0" w:line="190"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With the ongoing COVID-19 pandemic, our workforce continues to operate remotely, and our top priority remains providing support for our employees, partners, and customers. We are fortunate that the nature of our business allows us to successfully operate in this dynamic work-from-home environment. We have been able to successfully adapt to the current challenges and deliver results despite the pandemic while continuing to protect the health and safety of our workforce and customers.</w:t>
      </w:r>
    </w:p>
    <w:p>
      <w:pPr>
        <w:spacing w:after="0" w:line="188" w:lineRule="exact"/>
        <w:rPr>
          <w:sz w:val="20"/>
          <w:szCs w:val="20"/>
          <w:color w:val="auto"/>
        </w:rPr>
      </w:pPr>
    </w:p>
    <w:p>
      <w:pPr>
        <w:jc w:val="both"/>
        <w:ind w:firstLine="387"/>
        <w:spacing w:after="0" w:line="292" w:lineRule="auto"/>
        <w:rPr>
          <w:sz w:val="20"/>
          <w:szCs w:val="20"/>
          <w:color w:val="auto"/>
        </w:rPr>
      </w:pPr>
      <w:r>
        <w:rPr>
          <w:rFonts w:ascii="Arial" w:cs="Arial" w:eastAsia="Arial" w:hAnsi="Arial"/>
          <w:sz w:val="16"/>
          <w:szCs w:val="16"/>
          <w:color w:val="auto"/>
        </w:rPr>
        <w:t>We require our employees and managers 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0" w:lineRule="exact"/>
        <w:rPr>
          <w:sz w:val="20"/>
          <w:szCs w:val="20"/>
          <w:color w:val="auto"/>
        </w:rPr>
      </w:pPr>
    </w:p>
    <w:p>
      <w:pPr>
        <w:jc w:val="both"/>
        <w:ind w:firstLine="387"/>
        <w:spacing w:after="0" w:line="270" w:lineRule="auto"/>
        <w:rPr>
          <w:sz w:val="20"/>
          <w:szCs w:val="20"/>
          <w:color w:val="auto"/>
        </w:rPr>
      </w:pPr>
      <w:r>
        <w:rPr>
          <w:rFonts w:ascii="Arial" w:cs="Arial" w:eastAsia="Arial" w:hAnsi="Arial"/>
          <w:sz w:val="18"/>
          <w:szCs w:val="18"/>
          <w:color w:val="auto"/>
        </w:rPr>
        <w:t>We provide robust compensation and benefits to our employees. In addition to competitive base salaries, all qualified employees are eligible for variable pay and equity awards.</w:t>
      </w:r>
    </w:p>
    <w:p>
      <w:pPr>
        <w:spacing w:after="0" w:line="175" w:lineRule="exact"/>
        <w:rPr>
          <w:sz w:val="20"/>
          <w:szCs w:val="20"/>
          <w:color w:val="auto"/>
        </w:rPr>
      </w:pPr>
    </w:p>
    <w:p>
      <w:pPr>
        <w:jc w:val="both"/>
        <w:ind w:right="20" w:firstLine="387"/>
        <w:spacing w:after="0" w:line="270" w:lineRule="auto"/>
        <w:rPr>
          <w:sz w:val="20"/>
          <w:szCs w:val="20"/>
          <w:color w:val="auto"/>
        </w:rPr>
      </w:pPr>
      <w:r>
        <w:rPr>
          <w:rFonts w:ascii="Arial" w:cs="Arial" w:eastAsia="Arial" w:hAnsi="Arial"/>
          <w:sz w:val="18"/>
          <w:szCs w:val="18"/>
          <w:color w:val="auto"/>
        </w:rPr>
        <w:t>To support the health and wellness of our workforce, we offer premium health coverage with minimal out-of-pocket contributions for our global employees.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0"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7"/>
          <w:szCs w:val="17"/>
          <w:color w:val="auto"/>
        </w:rPr>
        <w:t>We have experience with managing and developing a rapidly growing employee base. We believe every employee makes a difference, so we empower them in their roles and support them for maximum professional growth. We assist employees in achieving their career goals by helping them improve their skillsets and transition to other challenging roles. To support career growth inside and outside Qualys, we offer free self-paced or instructor-led certified training on core Qualys topics giving employees and non-employees an opportunity to achieve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188"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 xml:space="preserve">www.qualys.com </w:t>
      </w:r>
      <w:r>
        <w:rPr>
          <w:rFonts w:ascii="Arial" w:cs="Arial" w:eastAsia="Arial" w:hAnsi="Arial"/>
          <w:sz w:val="18"/>
          <w:szCs w:val="18"/>
          <w:color w:val="auto"/>
        </w:rPr>
        <w:t>as soon as reasonably practicable after they are electronically filed with or furnished to the SEC. Additionally, copies of materials filed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 with the SEC may be accessed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4" w:lineRule="exact"/>
        <w:rPr>
          <w:sz w:val="20"/>
          <w:szCs w:val="20"/>
          <w:color w:val="auto"/>
        </w:rPr>
      </w:pPr>
    </w:p>
    <w:p>
      <w:pPr>
        <w:jc w:val="both"/>
        <w:ind w:left="40" w:firstLine="320"/>
        <w:spacing w:after="0" w:line="269"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4"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In December 2019, an outbreak of COVID-19 originated in Wuhan, China and has since spread to countries around the world. On March 11, 2020, the World Health Organization characterized COVID-19 as a pandemic. The continued spread of COVID-19 and the resurgence of infection rates in certain regions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and disrupted the global supply chain. It is possible that the pandemic could cause an economic slowdown or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67"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ultimate extent of the impact of COVID-19 on our business, financial position, results of operations and cash flows will depend on future developments, which are highly uncertain and cannot be predicted at this time, including but not limited to, the duration of the pandemic, its severity, the actions to contain the virus or treat its impact, future spikes of COVID-19 infections resulting in additional preventative measures to contain or mitigate the spread of the virus, the effectiveness, distribution and acceptance of COVID-19 vaccines, including the vaccines’ efficacy against emerging COVID-19 variants, and how quickly and to what extent normal economic and operating conditions can resume.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pacing w:after="0" w:line="167" w:lineRule="exact"/>
        <w:rPr>
          <w:sz w:val="20"/>
          <w:szCs w:val="20"/>
          <w:color w:val="auto"/>
        </w:rPr>
      </w:pPr>
    </w:p>
    <w:p>
      <w:pPr>
        <w:ind w:left="40"/>
        <w:spacing w:after="0" w:line="270"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left="40" w:firstLine="320"/>
        <w:spacing w:after="0" w:line="255"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20"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33" w:lineRule="exact"/>
        <w:rPr>
          <w:rFonts w:ascii="Arial" w:cs="Arial" w:eastAsia="Arial" w:hAnsi="Arial"/>
          <w:sz w:val="18"/>
          <w:szCs w:val="18"/>
          <w:color w:val="auto"/>
        </w:rPr>
      </w:pPr>
    </w:p>
    <w:p>
      <w:pPr>
        <w:ind w:left="680" w:right="20" w:hanging="313"/>
        <w:spacing w:after="0" w:line="255"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20"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33" w:lineRule="exact"/>
        <w:rPr>
          <w:rFonts w:ascii="Arial" w:cs="Arial" w:eastAsia="Arial" w:hAnsi="Arial"/>
          <w:sz w:val="18"/>
          <w:szCs w:val="18"/>
          <w:color w:val="auto"/>
        </w:rPr>
      </w:pPr>
    </w:p>
    <w:p>
      <w:pPr>
        <w:ind w:left="680" w:hanging="313"/>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33" w:lineRule="exact"/>
        <w:rPr>
          <w:rFonts w:ascii="Arial" w:cs="Arial" w:eastAsia="Arial" w:hAnsi="Arial"/>
          <w:sz w:val="18"/>
          <w:szCs w:val="18"/>
          <w:color w:val="auto"/>
        </w:rPr>
      </w:pPr>
    </w:p>
    <w:p>
      <w:pPr>
        <w:ind w:left="640" w:hanging="313"/>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changes in tax rules, tax effects of infrequent or unusual transactions, and tax audit settlements;</w:t>
      </w:r>
    </w:p>
    <w:p>
      <w:pPr>
        <w:spacing w:after="0" w:line="20"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income tax that we recognize resulting from stock-based compensation;</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4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6" w:lineRule="exact"/>
        <w:rPr>
          <w:sz w:val="20"/>
          <w:szCs w:val="20"/>
          <w:color w:val="auto"/>
        </w:rPr>
      </w:pPr>
    </w:p>
    <w:p>
      <w:pPr>
        <w:jc w:val="both"/>
        <w:ind w:firstLine="320"/>
        <w:spacing w:after="0" w:line="289" w:lineRule="auto"/>
        <w:rPr>
          <w:sz w:val="20"/>
          <w:szCs w:val="20"/>
          <w:color w:val="auto"/>
        </w:rPr>
      </w:pPr>
      <w:r>
        <w:rPr>
          <w:rFonts w:ascii="Arial" w:cs="Arial" w:eastAsia="Arial" w:hAnsi="Arial"/>
          <w:sz w:val="16"/>
          <w:szCs w:val="16"/>
          <w:color w:val="auto"/>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6" w:lineRule="exact"/>
        <w:rPr>
          <w:sz w:val="20"/>
          <w:szCs w:val="20"/>
          <w:color w:val="auto"/>
        </w:rPr>
      </w:pPr>
    </w:p>
    <w:p>
      <w:pPr>
        <w:jc w:val="both"/>
        <w:ind w:firstLine="320"/>
        <w:spacing w:after="0" w:line="287" w:lineRule="auto"/>
        <w:rPr>
          <w:sz w:val="20"/>
          <w:szCs w:val="20"/>
          <w:color w:val="auto"/>
        </w:rPr>
      </w:pPr>
      <w:r>
        <w:rPr>
          <w:rFonts w:ascii="Arial" w:cs="Arial" w:eastAsia="Arial" w:hAnsi="Arial"/>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19" w:lineRule="exact"/>
        <w:rPr>
          <w:sz w:val="20"/>
          <w:szCs w:val="20"/>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20"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47"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5"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7"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left="40" w:firstLine="320"/>
        <w:spacing w:after="0" w:line="266"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5" w:lineRule="exact"/>
        <w:rPr>
          <w:sz w:val="20"/>
          <w:szCs w:val="20"/>
          <w:color w:val="auto"/>
        </w:rPr>
      </w:pPr>
    </w:p>
    <w:p>
      <w:pPr>
        <w:jc w:val="both"/>
        <w:ind w:left="40" w:right="20" w:firstLine="320"/>
        <w:spacing w:after="0" w:line="333"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30"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5" w:lineRule="exact"/>
        <w:rPr>
          <w:sz w:val="20"/>
          <w:szCs w:val="20"/>
          <w:color w:val="auto"/>
        </w:rPr>
      </w:pPr>
    </w:p>
    <w:p>
      <w:pPr>
        <w:jc w:val="both"/>
        <w:ind w:left="40" w:firstLine="320"/>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90"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w:t>
      </w:r>
    </w:p>
    <w:p>
      <w:pPr>
        <w:spacing w:after="0" w:line="182"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9" w:lineRule="exact"/>
        <w:rPr>
          <w:sz w:val="20"/>
          <w:szCs w:val="20"/>
          <w:color w:val="auto"/>
        </w:rPr>
      </w:pPr>
    </w:p>
    <w:p>
      <w:pPr>
        <w:jc w:val="both"/>
        <w:ind w:left="40" w:firstLine="320"/>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0"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jc w:val="both"/>
        <w:ind w:left="40" w:firstLine="320"/>
        <w:spacing w:after="0" w:line="287" w:lineRule="auto"/>
        <w:rPr>
          <w:sz w:val="20"/>
          <w:szCs w:val="20"/>
          <w:color w:val="auto"/>
        </w:rPr>
      </w:pPr>
      <w:r>
        <w:rPr>
          <w:rFonts w:ascii="Arial" w:cs="Arial" w:eastAsia="Arial" w:hAnsi="Arial"/>
          <w:sz w:val="16"/>
          <w:szCs w:val="16"/>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ectPr>
          <w:pgSz w:w="11900" w:h="16838" w:orient="portrait"/>
          <w:cols w:equalWidth="0" w:num="1">
            <w:col w:w="11280"/>
          </w:cols>
          <w:pgMar w:left="280" w:top="125" w:right="3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95885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0"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67"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Additionally,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9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8"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Our IT, security and compliance solutions are delivered from eleven shared cloud platforms, and any disruption of service at these facilities would interrupt or delay our ability to deliver our solutions to our customers which could reduce our revenues and harm our operating results.</w:t>
      </w:r>
    </w:p>
    <w:p>
      <w:pPr>
        <w:spacing w:after="0" w:line="130" w:lineRule="exact"/>
        <w:rPr>
          <w:sz w:val="20"/>
          <w:szCs w:val="20"/>
          <w:color w:val="auto"/>
        </w:rPr>
      </w:pPr>
    </w:p>
    <w:p>
      <w:pPr>
        <w:jc w:val="both"/>
        <w:ind w:firstLine="320"/>
        <w:spacing w:after="0" w:line="292" w:lineRule="auto"/>
        <w:rPr>
          <w:sz w:val="20"/>
          <w:szCs w:val="20"/>
          <w:color w:val="auto"/>
        </w:rPr>
      </w:pPr>
      <w:r>
        <w:rPr>
          <w:rFonts w:ascii="Arial" w:cs="Arial" w:eastAsia="Arial" w:hAnsi="Arial"/>
          <w:sz w:val="16"/>
          <w:szCs w:val="16"/>
          <w:color w:val="auto"/>
        </w:rPr>
        <w:t>We currently host substantially all of our solutions from third-party shared cloud platforms in the United States, Canada, Switzerland, the Netherlands, United Arab Emirates, Australia, United Kingdom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6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8"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3"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7"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Palo Alto Networks, Rapid7, and Tenable Holdings, as well as privately held security providers including Axonius, Checkmarx, Flexera, Ivanti, Netsparker, Tanium,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80" w:lineRule="exact"/>
        <w:rPr>
          <w:sz w:val="20"/>
          <w:szCs w:val="20"/>
          <w:color w:val="auto"/>
        </w:rPr>
      </w:pPr>
    </w:p>
    <w:p>
      <w:pPr>
        <w:jc w:val="both"/>
        <w:ind w:right="20" w:firstLine="320"/>
        <w:spacing w:after="0" w:line="252"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1" w:lineRule="exact"/>
        <w:rPr>
          <w:sz w:val="20"/>
          <w:szCs w:val="20"/>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20"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4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6"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7" w:lineRule="exact"/>
        <w:rPr>
          <w:sz w:val="20"/>
          <w:szCs w:val="20"/>
          <w:color w:val="auto"/>
        </w:rPr>
      </w:pPr>
    </w:p>
    <w:p>
      <w:pPr>
        <w:jc w:val="both"/>
        <w:ind w:firstLine="320"/>
        <w:spacing w:after="0" w:line="289"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0"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90"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1"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Our success significantly depends upon establishing and maintaining relationships with a variety of channel partners and we anticipate that we will continue to depend on these partners in order to grow our business. For the years ended December 31, 2021, 2020 and 2019, we derived approximately 41%, 42% and 42%,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2" w:lineRule="exact"/>
        <w:rPr>
          <w:sz w:val="20"/>
          <w:szCs w:val="20"/>
          <w:color w:val="auto"/>
        </w:rPr>
      </w:pPr>
    </w:p>
    <w:p>
      <w:pPr>
        <w:jc w:val="both"/>
        <w:ind w:firstLine="320"/>
        <w:spacing w:after="0" w:line="292"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188" w:lineRule="exact"/>
        <w:rPr>
          <w:sz w:val="20"/>
          <w:szCs w:val="20"/>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33" w:lineRule="exact"/>
        <w:rPr>
          <w:rFonts w:ascii="Arial" w:cs="Arial" w:eastAsia="Arial" w:hAnsi="Arial"/>
          <w:sz w:val="18"/>
          <w:szCs w:val="18"/>
          <w:color w:val="auto"/>
        </w:rPr>
      </w:pPr>
    </w:p>
    <w:p>
      <w:pPr>
        <w:jc w:val="both"/>
        <w:ind w:left="640" w:hanging="313"/>
        <w:spacing w:after="0" w:line="252"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20"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line="8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7"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21"/>
          <w:szCs w:val="21"/>
          <w:color w:val="auto"/>
        </w:rPr>
        <w:t>In addition, as of December 31, 2021, approximately 75% of our employees were located outside of the United States, with 67%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21"/>
          <w:szCs w:val="21"/>
          <w:b w:val="1"/>
          <w:bCs w:val="1"/>
          <w:i w:val="1"/>
          <w:iCs w:val="1"/>
          <w:color w:val="auto"/>
        </w:rPr>
        <w:t>We are exposed to fluctuations in currency exchange rates, which could negatively affect our financial condition and results of operations.</w:t>
      </w:r>
    </w:p>
    <w:p>
      <w:pPr>
        <w:spacing w:after="0" w:line="179"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20"/>
          <w:szCs w:val="20"/>
          <w:color w:val="auto"/>
        </w:rPr>
        <w:t>Our reporting currency is the U.S. dollar and we generate a majority of our revenues in U.S. dollars. However, for the year ended December 31, 2021, we incurred approximately 28% of our expenses in foreign currencies, primarily Euros, British Pounds, and Indian Rupee, principally with respect to salaries and related personnel expenses associated with our European and Indian operations. Additionally, for the year ended December 31, 2021, approximately 23%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98"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21"/>
          <w:szCs w:val="21"/>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57" w:lineRule="exact"/>
        <w:rPr>
          <w:sz w:val="20"/>
          <w:szCs w:val="20"/>
          <w:color w:val="auto"/>
        </w:rPr>
      </w:pPr>
    </w:p>
    <w:p>
      <w:pPr>
        <w:jc w:val="both"/>
        <w:ind w:firstLine="320"/>
        <w:spacing w:after="0" w:line="243" w:lineRule="auto"/>
        <w:rPr>
          <w:sz w:val="20"/>
          <w:szCs w:val="20"/>
          <w:color w:val="auto"/>
        </w:rPr>
      </w:pPr>
      <w:r>
        <w:rPr>
          <w:rFonts w:ascii="Arial" w:cs="Arial" w:eastAsia="Arial" w:hAnsi="Arial"/>
          <w:sz w:val="21"/>
          <w:szCs w:val="21"/>
          <w:color w:val="auto"/>
        </w:rPr>
        <w:t>We have experienced significant growth over the last several years. Our revenues grew from $321.6 million in 2019 to $411.2 million in 2021, and our headcount increased from 1,194 employees at the beginning of 2019 to1,823 employees as of December 31, 2021.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10" w:lineRule="exact"/>
        <w:rPr>
          <w:sz w:val="20"/>
          <w:szCs w:val="20"/>
          <w:color w:val="auto"/>
        </w:rPr>
      </w:pPr>
    </w:p>
    <w:p>
      <w:pPr>
        <w:jc w:val="both"/>
        <w:ind w:firstLine="320"/>
        <w:spacing w:after="0" w:line="275" w:lineRule="auto"/>
        <w:rPr>
          <w:sz w:val="20"/>
          <w:szCs w:val="20"/>
          <w:color w:val="auto"/>
        </w:rPr>
      </w:pPr>
      <w:r>
        <w:rPr>
          <w:rFonts w:ascii="Arial" w:cs="Arial" w:eastAsia="Arial" w:hAnsi="Arial"/>
          <w:sz w:val="19"/>
          <w:szCs w:val="19"/>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21"/>
          <w:szCs w:val="21"/>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9"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9"/>
          <w:szCs w:val="19"/>
          <w:color w:val="auto"/>
        </w:rPr>
        <w:t>Our future performance depends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our former chief executive officer resigned for health reasons in March 2021, and our current chief executive officer was appointed to the role in April 2021. The loss of the services of our senior management or other key employees for any reason could</w:t>
      </w:r>
    </w:p>
    <w:p>
      <w:pPr>
        <w:sectPr>
          <w:pgSz w:w="11900" w:h="16922" w:orient="portrait"/>
          <w:cols w:equalWidth="0" w:num="1">
            <w:col w:w="11240"/>
          </w:cols>
          <w:pgMar w:left="320" w:top="125" w:right="339" w:bottom="0" w:gutter="0" w:footer="0" w:header="0"/>
        </w:sectPr>
      </w:pPr>
    </w:p>
    <w:bookmarkStart w:id="26" w:name="page27"/>
    <w:bookmarkEnd w:id="26"/>
    <w:p>
      <w:pPr>
        <w:spacing w:after="0" w:line="269" w:lineRule="auto"/>
        <w:rPr>
          <w:sz w:val="20"/>
          <w:szCs w:val="20"/>
          <w:color w:val="auto"/>
        </w:rPr>
      </w:pPr>
      <w:r>
        <w:rPr>
          <w:rFonts w:ascii="Arial" w:cs="Arial" w:eastAsia="Arial" w:hAnsi="Arial"/>
          <w:sz w:val="21"/>
          <w:szCs w:val="21"/>
          <w:color w:val="auto"/>
        </w:rPr>
        <w:t>significantly delay or prevent the achievement of our development and strategic objectives and harm our business, financial condition and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0"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pacing w:after="0" w:line="175" w:lineRule="exact"/>
        <w:rPr>
          <w:sz w:val="20"/>
          <w:szCs w:val="20"/>
          <w:color w:val="auto"/>
        </w:rPr>
      </w:pPr>
    </w:p>
    <w:p>
      <w:pPr>
        <w:jc w:val="both"/>
        <w:ind w:firstLine="320"/>
        <w:spacing w:after="0" w:line="292"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0"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0"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In order to remain competitive, we have in the past and may in the future seek to acquire additional businesses, products, services or technologies. For example, we acquired Adya on January 10, 2019, certain intellectual property of Spell Security on July 24, 2020, and certain intellectual property of TotalCloud on August 19, 2021.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Delays or interruptions in the manufacturing and delivery of our physical scanner appliances by our sole source manufacturer may harm our business.</w:t>
      </w:r>
    </w:p>
    <w:p>
      <w:pPr>
        <w:spacing w:after="0" w:line="266"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7"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3"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jc w:val="both"/>
        <w:ind w:firstLine="320"/>
        <w:spacing w:after="0" w:line="289"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3" w:lineRule="exact"/>
        <w:rPr>
          <w:sz w:val="20"/>
          <w:szCs w:val="20"/>
          <w:color w:val="auto"/>
        </w:rPr>
      </w:pPr>
    </w:p>
    <w:p>
      <w:pPr>
        <w:jc w:val="both"/>
        <w:ind w:left="40" w:firstLine="320"/>
        <w:spacing w:after="0" w:line="284"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67" w:lineRule="exact"/>
        <w:rPr>
          <w:sz w:val="20"/>
          <w:szCs w:val="20"/>
          <w:color w:val="auto"/>
        </w:rPr>
      </w:pPr>
    </w:p>
    <w:p>
      <w:pPr>
        <w:jc w:val="both"/>
        <w:ind w:left="40" w:firstLine="320"/>
        <w:spacing w:after="0" w:line="292"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2" w:lineRule="exact"/>
        <w:rPr>
          <w:sz w:val="20"/>
          <w:szCs w:val="20"/>
          <w:color w:val="auto"/>
        </w:rPr>
      </w:pPr>
    </w:p>
    <w:p>
      <w:pPr>
        <w:jc w:val="both"/>
        <w:ind w:left="40"/>
        <w:spacing w:after="0" w:line="270"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left="40" w:firstLine="320"/>
        <w:spacing w:after="0" w:line="266"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5"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with implementing regulations expected on or before July 1, 2022, and enforcement beginning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70"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standard contractual clauses (the “SCCs”) approved by the European Commission, with regard to certain transfers of personal data from the European Economic Area (“EEA”) to the U.S.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170" w:lineRule="exact"/>
        <w:rPr>
          <w:sz w:val="20"/>
          <w:szCs w:val="20"/>
          <w:color w:val="auto"/>
        </w:rPr>
      </w:pPr>
    </w:p>
    <w:p>
      <w:pPr>
        <w:jc w:val="both"/>
        <w:ind w:left="40" w:firstLine="320"/>
        <w:spacing w:after="0" w:line="289" w:lineRule="auto"/>
        <w:rPr>
          <w:sz w:val="20"/>
          <w:szCs w:val="20"/>
          <w:color w:val="auto"/>
        </w:rPr>
      </w:pPr>
      <w:r>
        <w:rPr>
          <w:rFonts w:ascii="Arial" w:cs="Arial" w:eastAsia="Arial" w:hAnsi="Arial"/>
          <w:sz w:val="16"/>
          <w:szCs w:val="16"/>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w:t>
      </w:r>
    </w:p>
    <w:p>
      <w:pPr>
        <w:sectPr>
          <w:pgSz w:w="11900" w:h="16838" w:orient="portrait"/>
          <w:cols w:equalWidth="0" w:num="1">
            <w:col w:w="11280"/>
          </w:cols>
          <w:pgMar w:left="280" w:top="125" w:right="339" w:bottom="0" w:gutter="0" w:footer="0" w:header="0"/>
        </w:sectPr>
      </w:pPr>
    </w:p>
    <w:bookmarkStart w:id="30" w:name="page31"/>
    <w:bookmarkEnd w:id="30"/>
    <w:p>
      <w:pPr>
        <w:jc w:val="both"/>
        <w:spacing w:after="0" w:line="258" w:lineRule="auto"/>
        <w:rPr>
          <w:sz w:val="20"/>
          <w:szCs w:val="20"/>
          <w:color w:val="auto"/>
        </w:rPr>
      </w:pPr>
      <w:r>
        <w:rPr>
          <w:rFonts w:ascii="Arial" w:cs="Arial" w:eastAsia="Arial" w:hAnsi="Arial"/>
          <w:sz w:val="18"/>
          <w:szCs w:val="18"/>
          <w:color w:val="auto"/>
        </w:rPr>
        <w:t>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68"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3"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6"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8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90"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ectPr>
          <w:pgSz w:w="11900" w:h="16838" w:orient="portrait"/>
          <w:cols w:equalWidth="0" w:num="1">
            <w:col w:w="11240"/>
          </w:cols>
          <w:pgMar w:left="320" w:top="125" w:right="339" w:bottom="594"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594"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320"/>
        <w:spacing w:after="0" w:line="287"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8"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adverse outcome of a dispute may require us to:</w:t>
      </w:r>
    </w:p>
    <w:p>
      <w:pPr>
        <w:spacing w:after="0" w:line="19" w:lineRule="exact"/>
        <w:rPr>
          <w:sz w:val="20"/>
          <w:szCs w:val="20"/>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20" w:lineRule="exact"/>
        <w:rPr>
          <w:rFonts w:ascii="Arial" w:cs="Arial" w:eastAsia="Arial" w:hAnsi="Arial"/>
          <w:sz w:val="18"/>
          <w:szCs w:val="18"/>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33" w:lineRule="exact"/>
        <w:rPr>
          <w:rFonts w:ascii="Arial" w:cs="Arial" w:eastAsia="Arial" w:hAnsi="Arial"/>
          <w:sz w:val="18"/>
          <w:szCs w:val="18"/>
          <w:color w:val="auto"/>
        </w:rPr>
      </w:pPr>
    </w:p>
    <w:p>
      <w:pPr>
        <w:ind w:left="640" w:hanging="313"/>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640" w:hanging="313"/>
        <w:spacing w:after="0" w:line="24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34"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1"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and excess tax benefits arising from stock-based compensation, other tax benefits and credits, and the valuation of deferred tax assets and liabilities. Increases in our effective tax rate could harm our operating results.</w:t>
      </w:r>
    </w:p>
    <w:p>
      <w:pPr>
        <w:spacing w:after="0" w:line="17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0" w:lineRule="exact"/>
        <w:rPr>
          <w:sz w:val="20"/>
          <w:szCs w:val="20"/>
          <w:color w:val="auto"/>
        </w:rPr>
      </w:pPr>
    </w:p>
    <w:p>
      <w:pPr>
        <w:jc w:val="both"/>
        <w:ind w:right="20" w:firstLine="320"/>
        <w:spacing w:after="0" w:line="255"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ind w:left="640" w:hanging="31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31" w:lineRule="exact"/>
        <w:rPr>
          <w:rFonts w:ascii="Arial" w:cs="Arial" w:eastAsia="Arial" w:hAnsi="Arial"/>
          <w:sz w:val="17"/>
          <w:szCs w:val="17"/>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47"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0"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0"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8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2021, we had 39.1 million shares of our common stock outstanding.</w:t>
      </w:r>
    </w:p>
    <w:p>
      <w:pPr>
        <w:spacing w:after="0" w:line="188"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In addition, as of December 31, 2021, there were 0.9 million restricted stock units and stock options to purchase 1.8 million shares of our common stock outstanding. If such stock options are exercised and restricted stock units are released, these additional shares will become available for sale. As of December 31, 2021, we had 8.1 million shares of our common stock reserved for future grants under our 2012 Equity Incentive Plan and 0.6 million shares reserved for future purchases under our 2021 Employee Stock Purchase Plan, which can be freely sold in the public market upon issuance. If a large number of these shares are sold in the public market, the sales could reduce the trading price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7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On February 12, 2018, we announced a $100.0 million stock repurchase program. On each of October 30, 2018, October 30, 2019, May 7, 2020, February 10, 2021, we announced that our board of directors had authorized an increase of $100.0 million, and on November 3, 2021, we announced that our board of directors had authorized an increase of $200.0 million to the share repurchase program, resulting in an aggregate authorization of $700.0 million to date.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During the year ended December 31, 2021, we repurchased 1.1 million shares of our common stock for approximately $130.0 million in total. As of December 31, 2021, approximately $271.8 million remained available for share repurchases pursuant to our share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6"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jc w:val="both"/>
        <w:ind w:left="640" w:hanging="313"/>
        <w:spacing w:after="0" w:line="24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20" w:lineRule="exact"/>
        <w:rPr>
          <w:rFonts w:ascii="Arial" w:cs="Arial" w:eastAsia="Arial" w:hAnsi="Arial"/>
          <w:sz w:val="18"/>
          <w:szCs w:val="18"/>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33" w:lineRule="exact"/>
        <w:rPr>
          <w:rFonts w:ascii="Arial" w:cs="Arial" w:eastAsia="Arial" w:hAnsi="Arial"/>
          <w:sz w:val="18"/>
          <w:szCs w:val="18"/>
          <w:color w:val="auto"/>
        </w:rPr>
      </w:pPr>
    </w:p>
    <w:p>
      <w:pPr>
        <w:ind w:left="640" w:hanging="313"/>
        <w:spacing w:after="0" w:line="25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5"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0"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and stock-based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3"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8"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this Annual Report on Form 10-K that our internal control over financial reporting was effective as of December 31, 2021,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4"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Our principal executive offices are located in Foster City, California, where we occupy a 76,922 square-foot facility under a lease expiring on April 30, 2028. We also have 281,787 square feet of office space in Pune, India under a non-cancellable lease expiring in February 2025. We have additional U.S. offices in North Carolina and Washington and other offices in France, Germany, Italy, Japan, the Netherlands, Russia, United Arab Emirates and United Kingdom. We believe our facilities are adequate for our current needs and for the foreseeable future.</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We operate data centers at third-party facilities in Santa Clara, California; Las Vegas, Nevada; Ontario, Canada; Geneva, Switzerland; Pune, India; and Amsterdam, the Netherlands.</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24"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From time to time the Company may become involved in legal proceedings or be subject to claims arising in the ordinary course of our business. As of December 31, 2021,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and traded on the Nasdaq Global Select Market under the symbol “QLYS”.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4" w:lineRule="exact"/>
        <w:rPr>
          <w:sz w:val="20"/>
          <w:szCs w:val="20"/>
          <w:color w:val="auto"/>
        </w:rPr>
      </w:pPr>
    </w:p>
    <w:p>
      <w:pPr>
        <w:jc w:val="both"/>
        <w:ind w:right="20" w:firstLine="320"/>
        <w:spacing w:after="0" w:line="333" w:lineRule="auto"/>
        <w:rPr>
          <w:sz w:val="20"/>
          <w:szCs w:val="20"/>
          <w:color w:val="auto"/>
        </w:rPr>
      </w:pPr>
      <w:r>
        <w:rPr>
          <w:rFonts w:ascii="Arial" w:cs="Arial" w:eastAsia="Arial" w:hAnsi="Arial"/>
          <w:sz w:val="16"/>
          <w:szCs w:val="16"/>
          <w:color w:val="auto"/>
        </w:rPr>
        <w:t>As of February 14, 2022, there were approximately 58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2021. All outstanding awards relate to our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 Number of Securities</w:t>
            </w:r>
          </w:p>
        </w:tc>
      </w:tr>
      <w:tr>
        <w:trPr>
          <w:trHeight w:val="213"/>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3"/>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 Number of Securities</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Future Issuance Under</w:t>
            </w:r>
          </w:p>
        </w:tc>
      </w:tr>
      <w:tr>
        <w:trPr>
          <w:trHeight w:val="213"/>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to be Issued Upon</w:t>
            </w:r>
          </w:p>
        </w:tc>
        <w:tc>
          <w:tcPr>
            <w:tcW w:w="10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 Weighted-Average</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Equity Compensation</w:t>
            </w:r>
          </w:p>
        </w:tc>
      </w:tr>
      <w:tr>
        <w:trPr>
          <w:trHeight w:val="213"/>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of Outstanding</w:t>
            </w:r>
          </w:p>
        </w:tc>
        <w:tc>
          <w:tcPr>
            <w:tcW w:w="10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 Price of</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Plans (Excluding</w:t>
            </w:r>
          </w:p>
        </w:tc>
      </w:tr>
      <w:tr>
        <w:trPr>
          <w:trHeight w:val="213"/>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 Warrants and</w:t>
            </w:r>
          </w:p>
        </w:tc>
        <w:tc>
          <w:tcPr>
            <w:tcW w:w="10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Outstanding Options,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 Reflected in</w:t>
            </w: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Rights</w:t>
            </w:r>
          </w:p>
        </w:tc>
        <w:tc>
          <w:tcPr>
            <w:tcW w:w="100" w:type="dxa"/>
            <w:vAlign w:val="bottom"/>
          </w:tcPr>
          <w:p>
            <w:pPr>
              <w:spacing w:after="0"/>
              <w:rPr>
                <w:sz w:val="20"/>
                <w:szCs w:val="20"/>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Warrants and Rights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Column (a)</w:t>
            </w:r>
          </w:p>
        </w:tc>
      </w:tr>
      <w:tr>
        <w:trPr>
          <w:trHeight w:val="208"/>
        </w:trPr>
        <w:tc>
          <w:tcPr>
            <w:tcW w:w="4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8"/>
                <w:szCs w:val="18"/>
                <w:color w:val="auto"/>
              </w:rPr>
            </w:pPr>
          </w:p>
        </w:tc>
      </w:tr>
      <w:tr>
        <w:trPr>
          <w:trHeight w:val="213"/>
        </w:trPr>
        <w:tc>
          <w:tcPr>
            <w:tcW w:w="476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 xml:space="preserve">Equity compensation plans approved by security holders </w:t>
            </w:r>
            <w:r>
              <w:rPr>
                <w:rFonts w:ascii="Arial" w:cs="Arial" w:eastAsia="Arial" w:hAnsi="Arial"/>
                <w:sz w:val="24"/>
                <w:szCs w:val="24"/>
                <w:color w:val="auto"/>
                <w:vertAlign w:val="superscript"/>
              </w:rPr>
              <w:t>(1)</w:t>
            </w:r>
          </w:p>
        </w:tc>
        <w:tc>
          <w:tcPr>
            <w:tcW w:w="2260" w:type="dxa"/>
            <w:vAlign w:val="bottom"/>
            <w:gridSpan w:val="3"/>
            <w:shd w:val="clear" w:color="auto" w:fill="CCEEFF"/>
          </w:tcPr>
          <w:p>
            <w:pPr>
              <w:jc w:val="right"/>
              <w:ind w:right="100"/>
              <w:spacing w:after="0" w:line="213" w:lineRule="exact"/>
              <w:rPr>
                <w:sz w:val="20"/>
                <w:szCs w:val="20"/>
                <w:color w:val="auto"/>
              </w:rPr>
            </w:pPr>
            <w:r>
              <w:rPr>
                <w:rFonts w:ascii="Arial" w:cs="Arial" w:eastAsia="Arial" w:hAnsi="Arial"/>
                <w:sz w:val="15"/>
                <w:szCs w:val="15"/>
                <w:color w:val="auto"/>
              </w:rPr>
              <w:t>2,755</w:t>
            </w:r>
            <w:r>
              <w:rPr>
                <w:rFonts w:ascii="Arial" w:cs="Arial" w:eastAsia="Arial" w:hAnsi="Arial"/>
                <w:sz w:val="24"/>
                <w:szCs w:val="24"/>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100"/>
              <w:spacing w:after="0" w:line="213" w:lineRule="exact"/>
              <w:rPr>
                <w:sz w:val="20"/>
                <w:szCs w:val="20"/>
                <w:color w:val="auto"/>
              </w:rPr>
            </w:pPr>
            <w:r>
              <w:rPr>
                <w:rFonts w:ascii="Arial" w:cs="Arial" w:eastAsia="Arial" w:hAnsi="Arial"/>
                <w:sz w:val="15"/>
                <w:szCs w:val="15"/>
                <w:color w:val="auto"/>
              </w:rPr>
              <w:t>66.05</w:t>
            </w:r>
            <w:r>
              <w:rPr>
                <w:rFonts w:ascii="Arial" w:cs="Arial" w:eastAsia="Arial" w:hAnsi="Arial"/>
                <w:sz w:val="24"/>
                <w:szCs w:val="24"/>
                <w:color w:val="auto"/>
                <w:vertAlign w:val="superscript"/>
              </w:rPr>
              <w:t>(3)</w:t>
            </w:r>
          </w:p>
        </w:tc>
        <w:tc>
          <w:tcPr>
            <w:tcW w:w="2060" w:type="dxa"/>
            <w:vAlign w:val="bottom"/>
            <w:gridSpan w:val="2"/>
            <w:shd w:val="clear" w:color="auto" w:fill="CCEEFF"/>
          </w:tcPr>
          <w:p>
            <w:pPr>
              <w:jc w:val="right"/>
              <w:spacing w:after="0" w:line="213" w:lineRule="exact"/>
              <w:rPr>
                <w:sz w:val="20"/>
                <w:szCs w:val="20"/>
                <w:color w:val="auto"/>
              </w:rPr>
            </w:pPr>
            <w:r>
              <w:rPr>
                <w:rFonts w:ascii="Arial" w:cs="Arial" w:eastAsia="Arial" w:hAnsi="Arial"/>
                <w:sz w:val="15"/>
                <w:szCs w:val="15"/>
                <w:color w:val="auto"/>
              </w:rPr>
              <w:t>8,691</w:t>
            </w:r>
            <w:r>
              <w:rPr>
                <w:rFonts w:ascii="Arial" w:cs="Arial" w:eastAsia="Arial" w:hAnsi="Arial"/>
                <w:sz w:val="24"/>
                <w:szCs w:val="24"/>
                <w:color w:val="auto"/>
                <w:vertAlign w:val="superscript"/>
              </w:rPr>
              <w:t>(4)</w:t>
            </w:r>
          </w:p>
        </w:tc>
      </w:tr>
      <w:tr>
        <w:trPr>
          <w:trHeight w:val="226"/>
        </w:trPr>
        <w:tc>
          <w:tcPr>
            <w:tcW w:w="4760" w:type="dxa"/>
            <w:vAlign w:val="bottom"/>
          </w:tcPr>
          <w:p>
            <w:pPr>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100" w:type="dxa"/>
            <w:vAlign w:val="bottom"/>
          </w:tcPr>
          <w:p>
            <w:pPr>
              <w:spacing w:after="0"/>
              <w:rPr>
                <w:sz w:val="19"/>
                <w:szCs w:val="19"/>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220" w:hanging="213"/>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6"/>
          <w:szCs w:val="16"/>
          <w:color w:val="auto"/>
        </w:rPr>
        <w:t>Includes our 2000 Equity Incentive Plan (2000 Plan), 2012 Equity Incentive Plan (2012 Plan) and 2021 Employee Stock Purchase Plan (2021 ESPP).</w:t>
      </w:r>
    </w:p>
    <w:p>
      <w:pPr>
        <w:spacing w:after="0" w:line="42" w:lineRule="exact"/>
        <w:rPr>
          <w:rFonts w:ascii="Arial" w:cs="Arial" w:eastAsia="Arial" w:hAnsi="Arial"/>
          <w:sz w:val="12"/>
          <w:szCs w:val="12"/>
          <w:color w:val="auto"/>
        </w:rPr>
      </w:pPr>
    </w:p>
    <w:p>
      <w:pPr>
        <w:ind w:left="220" w:hanging="213"/>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8"/>
          <w:szCs w:val="18"/>
          <w:color w:val="auto"/>
        </w:rPr>
        <w:t>Consists of 917 thousand restricted stock units and 1,838 thousand shares underlying stock options.</w:t>
      </w:r>
    </w:p>
    <w:p>
      <w:pPr>
        <w:spacing w:after="0" w:line="6" w:lineRule="exact"/>
        <w:rPr>
          <w:rFonts w:ascii="Arial" w:cs="Arial" w:eastAsia="Arial" w:hAnsi="Arial"/>
          <w:sz w:val="14"/>
          <w:szCs w:val="14"/>
          <w:color w:val="auto"/>
        </w:rPr>
      </w:pPr>
    </w:p>
    <w:p>
      <w:pPr>
        <w:ind w:left="220" w:hanging="213"/>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8"/>
          <w:szCs w:val="18"/>
          <w:color w:val="auto"/>
        </w:rPr>
        <w:t>The weighted average exercise price is calculated based solely on outstanding stock options.</w:t>
      </w:r>
    </w:p>
    <w:p>
      <w:pPr>
        <w:spacing w:after="0" w:line="6" w:lineRule="exact"/>
        <w:rPr>
          <w:rFonts w:ascii="Arial" w:cs="Arial" w:eastAsia="Arial" w:hAnsi="Arial"/>
          <w:sz w:val="14"/>
          <w:szCs w:val="14"/>
          <w:color w:val="auto"/>
        </w:rPr>
      </w:pPr>
    </w:p>
    <w:p>
      <w:pPr>
        <w:jc w:val="both"/>
        <w:ind w:firstLine="7"/>
        <w:spacing w:after="0" w:line="291" w:lineRule="auto"/>
        <w:tabs>
          <w:tab w:leader="none" w:pos="223" w:val="left"/>
        </w:tabs>
        <w:numPr>
          <w:ilvl w:val="0"/>
          <w:numId w:val="18"/>
        </w:numPr>
        <w:rPr>
          <w:rFonts w:ascii="Arial" w:cs="Arial" w:eastAsia="Arial" w:hAnsi="Arial"/>
          <w:sz w:val="12"/>
          <w:szCs w:val="12"/>
          <w:color w:val="auto"/>
        </w:rPr>
      </w:pPr>
      <w:r>
        <w:rPr>
          <w:rFonts w:ascii="Arial" w:cs="Arial" w:eastAsia="Arial" w:hAnsi="Arial"/>
          <w:sz w:val="16"/>
          <w:szCs w:val="16"/>
          <w:color w:val="auto"/>
        </w:rPr>
        <w:t>Consists of 8,091 thousand shares reserved for issuance under our 2012 Plan and 600 thousand shares reserved for issuance under our 2021 ESPP. Our 2012 Plan provides that on the first day of each fiscal year, the number of shares authorized for issuance under the 2012 Plan is automatically increased by a number equal to the least of (i) 3,050 thousand shares, (ii) five percent (5%) of the aggregate number of shares of common stock outstanding on the last day of the immediately preceding fiscal year, or (iii) such number of shares that may be determined by our board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4"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The following graph shows a comparison from December 31, 2016 through December 31, 2021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Qualys, Inc., NASDAQ-Global Select Market Composite Index, and NASDAQ Computer Index and S&amp;P 500 Index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December 31, 2016 in stock or index, including reinvestment of dividends. Fiscal year ending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1"/>
        </w:trPr>
        <w:tc>
          <w:tcPr>
            <w:tcW w:w="2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Qualys, Inc.</w:t>
            </w:r>
          </w:p>
        </w:tc>
        <w:tc>
          <w:tcPr>
            <w:tcW w:w="7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187.52</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236.15</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263.41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385.06</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433.55</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NASDAQ Global Select Market</w:t>
            </w:r>
          </w:p>
        </w:tc>
        <w:tc>
          <w:tcPr>
            <w:tcW w:w="7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128.43</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123.71</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167.75</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239.95</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295.43</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NASDAQ Computer</w:t>
            </w:r>
          </w:p>
        </w:tc>
        <w:tc>
          <w:tcPr>
            <w:tcW w:w="7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138.77</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133.66</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200.94</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301.37</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415.46</w:t>
            </w:r>
          </w:p>
        </w:tc>
      </w:tr>
      <w:tr>
        <w:trPr>
          <w:trHeight w:val="226"/>
        </w:trPr>
        <w:tc>
          <w:tcPr>
            <w:tcW w:w="2800" w:type="dxa"/>
            <w:vAlign w:val="bottom"/>
          </w:tcPr>
          <w:p>
            <w:pPr>
              <w:spacing w:after="0"/>
              <w:rPr>
                <w:sz w:val="20"/>
                <w:szCs w:val="20"/>
                <w:color w:val="auto"/>
              </w:rPr>
            </w:pPr>
            <w:r>
              <w:rPr>
                <w:rFonts w:ascii="Arial" w:cs="Arial" w:eastAsia="Arial" w:hAnsi="Arial"/>
                <w:sz w:val="18"/>
                <w:szCs w:val="18"/>
                <w:color w:val="auto"/>
              </w:rPr>
              <w:t>S&amp;P 500</w:t>
            </w:r>
          </w:p>
        </w:tc>
        <w:tc>
          <w:tcPr>
            <w:tcW w:w="72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121.83</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116.49</w:t>
            </w:r>
          </w:p>
        </w:tc>
        <w:tc>
          <w:tcPr>
            <w:tcW w:w="120" w:type="dxa"/>
            <w:vAlign w:val="bottom"/>
          </w:tcPr>
          <w:p>
            <w:pPr>
              <w:spacing w:after="0"/>
              <w:rPr>
                <w:sz w:val="19"/>
                <w:szCs w:val="19"/>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153.17</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181.35</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233.41</w:t>
            </w:r>
          </w:p>
        </w:tc>
      </w:tr>
    </w:tbl>
    <w:p>
      <w:pPr>
        <w:spacing w:after="0" w:line="18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repurchases of common stock during the three months ended December 31, 2021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Approximate</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of Shares that</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Yet Be</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under the</w:t>
            </w: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Plan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Plan or</w:t>
            </w:r>
          </w:p>
        </w:tc>
      </w:tr>
      <w:tr>
        <w:trPr>
          <w:trHeight w:val="23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Paid per Share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r>
      <w:tr>
        <w:trPr>
          <w:trHeight w:val="208"/>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October 1, 2021 - October 31, 2021</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84,500</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97,221,477</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November 1, 2021 - November 30, 2021</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95,141</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134.90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95,141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284,387,135</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1, 2021 - December 31, 2021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93,100</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271,824,993</w:t>
            </w:r>
          </w:p>
        </w:tc>
      </w:tr>
      <w:tr>
        <w:trPr>
          <w:trHeight w:val="207"/>
        </w:trPr>
        <w:tc>
          <w:tcPr>
            <w:tcW w:w="5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272,741</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272,741</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7"/>
        <w:spacing w:after="0" w:line="251"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each of October 30, 2018, October 30, 2019, May 7, 2020 and February 10, 2021, we announced that our board of directors had authorized an increase of $100.0 million, and on November 3, 2021, we announced that our board of directors had authorized an increase of $200.0 million to the share repurchase program, resulting in an aggregate authorization of $700.0 million to date.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18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24"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i w:val="1"/>
          <w:iCs w:val="1"/>
          <w:color w:val="auto"/>
        </w:rPr>
        <w:t>You should read the following discussion in conjunction with our consolidated financial statements and the related notes included elsewhere in this Annual Report on Form 10-K. You should carefully review and consider the information regarding our financial condition and results of operations set forth under Part I-Item 7 (Management’s Discussion and Analysis of Financial Condition and Results of Operations) in our Annual Report on Form 10-K for the fiscal year ended December 31, 2020, filed with the SEC on February 22, 2021, for an understanding of our results of operations and liquidity discussions and analysis comparing fiscal year 2020 to fiscal year 2019.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We are a pioneer and leading provider of a cloud-based platform delivering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2"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90" w:lineRule="exact"/>
        <w:rPr>
          <w:sz w:val="20"/>
          <w:szCs w:val="20"/>
          <w:color w:val="auto"/>
        </w:rPr>
      </w:pPr>
    </w:p>
    <w:p>
      <w:pPr>
        <w:ind w:left="1120" w:right="420" w:hanging="313"/>
        <w:spacing w:after="0" w:line="252"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Vulnerability Management, Detection and Response (VMDR), Threat Protection (TP),</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Monitoring (CM), Patch Management (PM), Multi-Vector Endpoint Detection and Response (EDR), Certificate Assessment (CRA), SaaS Detection and Response (SaaSDR), Secure Enterprise Mobility (SEM);</w:t>
      </w:r>
    </w:p>
    <w:p>
      <w:pPr>
        <w:spacing w:after="0" w:line="1" w:lineRule="exact"/>
        <w:rPr>
          <w:rFonts w:ascii="Arial" w:cs="Arial" w:eastAsia="Arial" w:hAnsi="Arial"/>
          <w:sz w:val="18"/>
          <w:szCs w:val="18"/>
          <w:color w:val="auto"/>
        </w:rPr>
      </w:pPr>
    </w:p>
    <w:p>
      <w:pPr>
        <w:ind w:left="1120" w:right="180" w:hanging="313"/>
        <w:spacing w:after="0" w:line="24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Assessment Questionnaire (SAQ), Out of-Band Configuration Assessment (OCA);</w:t>
      </w:r>
    </w:p>
    <w:p>
      <w:pPr>
        <w:ind w:left="1120" w:hanging="313"/>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6" w:lineRule="exact"/>
        <w:rPr>
          <w:rFonts w:ascii="Arial" w:cs="Arial" w:eastAsia="Arial" w:hAnsi="Arial"/>
          <w:sz w:val="18"/>
          <w:szCs w:val="18"/>
          <w:color w:val="auto"/>
        </w:rPr>
      </w:pPr>
    </w:p>
    <w:p>
      <w:pPr>
        <w:ind w:left="1120" w:hanging="313"/>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 View (GAV), Cybersecurity Asset Management (CSAM), Certificate Inventory (CRI); and</w:t>
      </w:r>
    </w:p>
    <w:p>
      <w:pPr>
        <w:spacing w:after="0" w:line="6" w:lineRule="exact"/>
        <w:rPr>
          <w:rFonts w:ascii="Arial" w:cs="Arial" w:eastAsia="Arial" w:hAnsi="Arial"/>
          <w:sz w:val="18"/>
          <w:szCs w:val="18"/>
          <w:color w:val="auto"/>
        </w:rPr>
      </w:pPr>
    </w:p>
    <w:p>
      <w:pPr>
        <w:ind w:left="1120" w:hanging="313"/>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07"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9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2021, 2020 and 2019, 61%, 63% and 64%,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20"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In March 2020, the World Health Organization declared the outbreak of COVID-19 as a pandemic. As a result of COVID-19, we have modified certain aspects of our business, including restricting employee travel, requiring employees to work from home, and canceling certain events and meetings, among other modifications.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While we have not incurred significant disruptions from the COVID-19 pandemic, we are unable to accurately predict the full impact that the pandemic will have due to numerous uncertainties, including the availability and acceptance of COVID-19 vaccines as well as the effectiveness of the vaccines to new variants of the disease, future actions that may be taken by governmental authorities and the impact of the pandemic on the businesses of our customers and partners. We will continue to evaluate the nature and extent of the impact to our business, financial position, results of operations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2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82"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jc w:val="both"/>
        <w:ind w:firstLine="400"/>
        <w:spacing w:after="0" w:line="337" w:lineRule="auto"/>
        <w:rPr>
          <w:sz w:val="20"/>
          <w:szCs w:val="20"/>
          <w:color w:val="auto"/>
        </w:rPr>
      </w:pPr>
      <w:r>
        <w:rPr>
          <w:rFonts w:ascii="Arial" w:cs="Arial" w:eastAsia="Arial" w:hAnsi="Arial"/>
          <w:sz w:val="14"/>
          <w:szCs w:val="14"/>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third-party data centers and cloud infrastructures,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data center and cloud infrastructure operations, which will increase the cost of revenues in absolute dollars.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220"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220"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British Pound ("GBP") and Indian Rupee ("INR").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selected consolidated statements of operations data for each of the periods presented as a percentage of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0" w:type="dxa"/>
            <w:vAlign w:val="bottom"/>
            <w:gridSpan w:val="9"/>
          </w:tcPr>
          <w:p>
            <w:pPr>
              <w:jc w:val="right"/>
              <w:ind w:right="760"/>
              <w:spacing w:after="0"/>
              <w:rPr>
                <w:sz w:val="20"/>
                <w:szCs w:val="20"/>
                <w:color w:val="auto"/>
              </w:rPr>
            </w:pPr>
            <w:r>
              <w:rPr>
                <w:rFonts w:ascii="Arial" w:cs="Arial" w:eastAsia="Arial" w:hAnsi="Arial"/>
                <w:sz w:val="18"/>
                <w:szCs w:val="18"/>
                <w:b w:val="1"/>
                <w:bCs w:val="1"/>
                <w:color w:val="auto"/>
                <w:w w:val="91"/>
              </w:rPr>
              <w:t>Year Ended December 31,</w:t>
            </w:r>
          </w:p>
        </w:tc>
      </w:tr>
      <w:tr>
        <w:trPr>
          <w:trHeight w:val="208"/>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8"/>
                <w:szCs w:val="18"/>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7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7"/>
        </w:trPr>
        <w:tc>
          <w:tcPr>
            <w:tcW w:w="59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40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Comparison of Years Ended December 31, 2021 and 2020</w:t>
            </w: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27"/>
        </w:trPr>
        <w:tc>
          <w:tcPr>
            <w:tcW w:w="59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84"/>
              </w:rPr>
              <w:t>Change</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5"/>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411,172</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362,963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48,209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199"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Revenues increased by $48.2 million in 2021 compared to 2020, due to an increase in IT Security, Compliance, Web Application Security, Asset Management and Cloud and Container Security subscriptions. The revenue growth was primarily from an increase in renewal and expansion business in 2021 compared to 2020. Of the total increase of $48.2 million, $20.3 million was from customers in the United States and the remaining $27.9 million was from customers in foreign countries. In 2021, 59% of total revenue was direct and 41% of total revenue was through partners. Of the total increase of $48.2 million, $30.4 million was direct and $17.8 million was from partners. With our strong market position driving further demand for our solutions, we expect revenue growth from new and existing customers to continue.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46"/>
        </w:trPr>
        <w:tc>
          <w:tcPr>
            <w:tcW w:w="5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Cost of 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91"/>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7"/>
        </w:trPr>
        <w:tc>
          <w:tcPr>
            <w:tcW w:w="12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89,439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79,226</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199"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Cost of revenues increased by $10.2 million in 2021 compared to 2020, due to an increase in personnel costs of $6.3 million driven by additional employees hired to support the growth of our business, an increase in data center and cloud costs of $2.0 million to meet growing demand and an increase in depreciation and amortization expense of $1.5 million as more computer equipment was placed in service.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91"/>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81,289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72,548</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199"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7"/>
          <w:szCs w:val="17"/>
          <w:color w:val="auto"/>
        </w:rPr>
        <w:t>Research and development expenses increased by $8.7 million in 2021 compared to 2020, due to an increase in personnel costs of $5.5 million primarily driven by additional employees hired to support the growth of our business, an increase in software costs of $1.0 million, an increase in professional services fees of $0.9 million, an increase in data center and cloud costs of $0.8 million for our ongoing research and development efforts and an increase in depreciation and amortization expense of $0.7 million as more computer equipment was placed in service.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91"/>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76,487</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67,965</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199"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Sales and marketing expenses increased by $8.5 million in 2021 compared to 2020, due to an increase in commissions of $3.4 million driven by higher revenues, an increase in personnel costs of $2.8 million driven by additional employees hired to support the growth of our business, an increase in travel and trade show related costs of $1.1 million associated with the easing of COVID-19 related travel restrictions and an increase in license and subscription costs of $0.8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46"/>
        </w:trPr>
        <w:tc>
          <w:tcPr>
            <w:tcW w:w="59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91"/>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7"/>
        </w:trPr>
        <w:tc>
          <w:tcPr>
            <w:tcW w:w="12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76,274</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46,570</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bl>
    <w:p>
      <w:pPr>
        <w:spacing w:after="0" w:line="199"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General and administrative expenses increased by $29.7 million in 2021 compared to 2020, due to an increase in stock-based compensation expense of $28.7 million primarily driven by accelerated vesting relating to the resignation of our former chief executive officer and an increase in personnel costs of $1.6 million driven by additional employees hired to support the growth of our business.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other income, net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0"/>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54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8"/>
        </w:trPr>
        <w:tc>
          <w:tcPr>
            <w:tcW w:w="59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7"/>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3"/>
          </w:tcPr>
          <w:p>
            <w:pPr>
              <w:jc w:val="right"/>
              <w:ind w:right="31"/>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1,714</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5,383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bl>
    <w:p>
      <w:pPr>
        <w:spacing w:after="0" w:line="199"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Total other income, net decreased by $3.7 million in 2021 compared to 2020, due to a decrease in interest income of $3.1 million driven by lower yield and an increase in foreign exchange loss of $0.6 million.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Income tax provision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right="391"/>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18,437</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10,465</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bl>
    <w:p>
      <w:pPr>
        <w:spacing w:after="0" w:line="199" w:lineRule="exact"/>
        <w:rPr>
          <w:sz w:val="20"/>
          <w:szCs w:val="20"/>
          <w:color w:val="auto"/>
        </w:rPr>
      </w:pPr>
    </w:p>
    <w:p>
      <w:pPr>
        <w:jc w:val="both"/>
        <w:ind w:firstLine="400"/>
        <w:spacing w:after="0" w:line="300" w:lineRule="auto"/>
        <w:rPr>
          <w:sz w:val="20"/>
          <w:szCs w:val="20"/>
          <w:color w:val="auto"/>
        </w:rPr>
      </w:pPr>
      <w:r>
        <w:rPr>
          <w:rFonts w:ascii="Arial" w:cs="Arial" w:eastAsia="Arial" w:hAnsi="Arial"/>
          <w:sz w:val="17"/>
          <w:szCs w:val="17"/>
          <w:color w:val="auto"/>
        </w:rPr>
        <w:t>Income tax provision increased by $8.0 million in 2021 compared to 2020, due to a reduction in excess tax benefits from stock-based compensation and an increase in income after permanent tax adjustments related to the former CEO’s accelerated stock-based compensation.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4"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In addition to measures of financial performance presented in our consolidated financial statements, we monitor the non-GAAP key metric set forth below to help us evaluate growth trends, establish budgets, measure the effectiveness of our sales and marketing efforts and assess operational efficiencies.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0"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7"/>
          <w:szCs w:val="17"/>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75"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ind w:left="1120" w:hanging="313"/>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20" w:lineRule="exact"/>
        <w:rPr>
          <w:rFonts w:ascii="Arial" w:cs="Arial" w:eastAsia="Arial" w:hAnsi="Arial"/>
          <w:sz w:val="18"/>
          <w:szCs w:val="18"/>
          <w:color w:val="auto"/>
        </w:rPr>
      </w:pPr>
    </w:p>
    <w:p>
      <w:pPr>
        <w:ind w:left="1120" w:hanging="313"/>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33" w:lineRule="exact"/>
        <w:rPr>
          <w:rFonts w:ascii="Arial" w:cs="Arial" w:eastAsia="Arial" w:hAnsi="Arial"/>
          <w:sz w:val="18"/>
          <w:szCs w:val="18"/>
          <w:color w:val="auto"/>
        </w:rPr>
      </w:pPr>
    </w:p>
    <w:p>
      <w:pPr>
        <w:ind w:left="1120" w:hanging="313"/>
        <w:spacing w:after="0" w:line="255"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1120" w:hanging="313"/>
        <w:spacing w:after="0" w:line="255"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8" w:lineRule="exact"/>
        <w:rPr>
          <w:sz w:val="20"/>
          <w:szCs w:val="20"/>
          <w:color w:val="auto"/>
        </w:rPr>
      </w:pPr>
    </w:p>
    <w:p>
      <w:pPr>
        <w:ind w:right="60" w:firstLine="400"/>
        <w:spacing w:after="0" w:line="270"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unaudited table presents the reconciliation of net income to Adjusted EBITDA for the years ended December 31, 2021 and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Year Ended December 31,</w:t>
            </w:r>
          </w:p>
        </w:tc>
      </w:tr>
      <w:tr>
        <w:trPr>
          <w:trHeight w:val="208"/>
        </w:trPr>
        <w:tc>
          <w:tcPr>
            <w:tcW w:w="4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7"/>
        </w:trPr>
        <w:tc>
          <w:tcPr>
            <w:tcW w:w="4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w w:val="71"/>
              </w:rPr>
              <w:t>thousands)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70,960</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91,572</w:t>
            </w:r>
          </w:p>
        </w:tc>
      </w:tr>
      <w:tr>
        <w:trPr>
          <w:trHeight w:val="213"/>
        </w:trPr>
        <w:tc>
          <w:tcPr>
            <w:tcW w:w="4900" w:type="dxa"/>
            <w:vAlign w:val="bottom"/>
          </w:tcPr>
          <w:p>
            <w:pPr>
              <w:ind w:left="160"/>
              <w:spacing w:after="0"/>
              <w:rPr>
                <w:sz w:val="20"/>
                <w:szCs w:val="20"/>
                <w:color w:val="auto"/>
              </w:rPr>
            </w:pPr>
            <w:r>
              <w:rPr>
                <w:rFonts w:ascii="Arial" w:cs="Arial" w:eastAsia="Arial" w:hAnsi="Arial"/>
                <w:sz w:val="18"/>
                <w:szCs w:val="18"/>
                <w:color w:val="auto"/>
              </w:rPr>
              <w:t>Depreciation and amortization of property and equipment</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77"/>
              <w:spacing w:after="0"/>
              <w:rPr>
                <w:sz w:val="20"/>
                <w:szCs w:val="20"/>
                <w:color w:val="auto"/>
              </w:rPr>
            </w:pPr>
            <w:r>
              <w:rPr>
                <w:rFonts w:ascii="Arial" w:cs="Arial" w:eastAsia="Arial" w:hAnsi="Arial"/>
                <w:sz w:val="18"/>
                <w:szCs w:val="18"/>
                <w:color w:val="auto"/>
              </w:rPr>
              <w:t>29,236</w:t>
            </w: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26,556</w:t>
            </w:r>
          </w:p>
        </w:tc>
      </w:tr>
      <w:tr>
        <w:trPr>
          <w:trHeight w:val="213"/>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6,661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6,289</w:t>
            </w:r>
          </w:p>
        </w:tc>
      </w:tr>
      <w:tr>
        <w:trPr>
          <w:trHeight w:val="213"/>
        </w:trPr>
        <w:tc>
          <w:tcPr>
            <w:tcW w:w="49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77"/>
              <w:spacing w:after="0"/>
              <w:rPr>
                <w:sz w:val="20"/>
                <w:szCs w:val="20"/>
                <w:color w:val="auto"/>
              </w:rPr>
            </w:pPr>
            <w:r>
              <w:rPr>
                <w:rFonts w:ascii="Arial" w:cs="Arial" w:eastAsia="Arial" w:hAnsi="Arial"/>
                <w:sz w:val="18"/>
                <w:szCs w:val="18"/>
                <w:color w:val="auto"/>
              </w:rPr>
              <w:t>18,437</w:t>
            </w: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10,465</w:t>
            </w:r>
          </w:p>
        </w:tc>
      </w:tr>
      <w:tr>
        <w:trPr>
          <w:trHeight w:val="213"/>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67,579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40,035</w:t>
            </w:r>
          </w:p>
        </w:tc>
      </w:tr>
      <w:tr>
        <w:trPr>
          <w:trHeight w:val="213"/>
        </w:trPr>
        <w:tc>
          <w:tcPr>
            <w:tcW w:w="4900" w:type="dxa"/>
            <w:vAlign w:val="bottom"/>
          </w:tcPr>
          <w:p>
            <w:pPr>
              <w:ind w:left="160"/>
              <w:spacing w:after="0"/>
              <w:rPr>
                <w:sz w:val="20"/>
                <w:szCs w:val="20"/>
                <w:color w:val="auto"/>
              </w:rPr>
            </w:pPr>
            <w:r>
              <w:rPr>
                <w:rFonts w:ascii="Arial" w:cs="Arial" w:eastAsia="Arial" w:hAnsi="Arial"/>
                <w:sz w:val="18"/>
                <w:szCs w:val="18"/>
                <w:color w:val="auto"/>
              </w:rPr>
              <w:t>Total other income, net</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17"/>
              <w:spacing w:after="0"/>
              <w:rPr>
                <w:sz w:val="20"/>
                <w:szCs w:val="20"/>
                <w:color w:val="auto"/>
              </w:rPr>
            </w:pPr>
            <w:r>
              <w:rPr>
                <w:rFonts w:ascii="Arial" w:cs="Arial" w:eastAsia="Arial" w:hAnsi="Arial"/>
                <w:sz w:val="18"/>
                <w:szCs w:val="18"/>
                <w:color w:val="auto"/>
              </w:rPr>
              <w:t>(1,714)</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(5,383)</w:t>
            </w:r>
          </w:p>
        </w:tc>
      </w:tr>
      <w:tr>
        <w:trPr>
          <w:trHeight w:val="20"/>
        </w:trPr>
        <w:tc>
          <w:tcPr>
            <w:tcW w:w="4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191,159</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169,534</w:t>
            </w:r>
          </w:p>
        </w:tc>
      </w:tr>
      <w:tr>
        <w:trPr>
          <w:trHeight w:val="226"/>
        </w:trPr>
        <w:tc>
          <w:tcPr>
            <w:tcW w:w="49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37"/>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413"/>
        </w:trPr>
        <w:tc>
          <w:tcPr>
            <w:tcW w:w="4900" w:type="dxa"/>
            <w:vAlign w:val="bottom"/>
          </w:tcPr>
          <w:p>
            <w:pPr>
              <w:spacing w:after="0"/>
              <w:rPr>
                <w:sz w:val="24"/>
                <w:szCs w:val="24"/>
                <w:color w:val="auto"/>
              </w:rPr>
            </w:pPr>
          </w:p>
        </w:tc>
        <w:tc>
          <w:tcPr>
            <w:tcW w:w="3000" w:type="dxa"/>
            <w:vAlign w:val="bottom"/>
          </w:tcPr>
          <w:p>
            <w:pPr>
              <w:jc w:val="right"/>
              <w:ind w:right="2091"/>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9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As of December 31, 2021, our principal source of liquidity was cash, cash equivalents and marketable securities of $516.5 million, including $57.0 million of cash held outside of the United States. The following summary of cash flows for the periods indicated has been derived from our consolidated financial statements included elsewhere in this report: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08"/>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180,086</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82"/>
              <w:spacing w:after="0"/>
              <w:rPr>
                <w:sz w:val="20"/>
                <w:szCs w:val="20"/>
                <w:color w:val="auto"/>
              </w:rPr>
            </w:pPr>
            <w:r>
              <w:rPr>
                <w:rFonts w:ascii="Arial" w:cs="Arial" w:eastAsia="Arial" w:hAnsi="Arial"/>
                <w:sz w:val="18"/>
                <w:szCs w:val="18"/>
                <w:color w:val="auto"/>
              </w:rPr>
              <w:t>(29,532)</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(80,932)</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(107,888)</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(112,581)</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63,196</w:t>
            </w:r>
          </w:p>
        </w:tc>
        <w:tc>
          <w:tcPr>
            <w:tcW w:w="22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(13,427)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In 2021, we generated $169.6 million of cash from our net income, as adjusted for non-cash items mainly related to stock-based compensation expense, depreciation and amortization expense and deferred taxes, as compared to $169.4 million in 2020. In addition, we also generated $31.0 million of cash from working capital change in 2021, of which $37.4 million was related to net increase in deferred revenue and accounts receivable as a result of our continued growth in billing and collection, partially offset by higher prepaid income taxes of $6.9 million. In 2020, we generated $10.7 million of cash from working capital change, which was also mainly related to deferred revenue and accounts receivable due to continued growth in billing and collection.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In 2021, we used $4.5 million of cash in marketable securities investment, $24.4 million of cash in capital expenditures mainly related to computer equipment to support our growth and development and $1.1 million of cash to acquire certain technology assets, as compared to $49.8 million of cash used in marketable securities investment, $29.6 million of cash used in capital expenditures and $1.5 million of cash used for acquisition of technology assets in 2020.</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In 2021, we used $130.0 million of cash for share repurchase and $27.8 million of cash in payment of employee withholding taxes upon vesting of restricted stock units and received $50.0 million of proceeds from employee exercise of stock options, as compared to $126.7 million of cash used for share repurchase, $20.2 million of cash used in payment of employee withholding taxes upon vesting of restricted stock units and $34.5 million of cash received from employee exercise of stock options in 2020. Net cash used in financing activities are expected to be higher in 2022 due to expected higher volume of share repurchase and lower cash receipt from stock option exercise, mainly due to the resignation of our former CEO.</w:t>
      </w:r>
    </w:p>
    <w:p>
      <w:pPr>
        <w:spacing w:after="0" w:line="177"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material cash requirements mainly include the following contractual and other obligations:</w:t>
      </w:r>
    </w:p>
    <w:p>
      <w:pPr>
        <w:spacing w:after="0" w:line="220" w:lineRule="exact"/>
        <w:rPr>
          <w:sz w:val="20"/>
          <w:szCs w:val="20"/>
          <w:color w:val="auto"/>
        </w:rPr>
      </w:pPr>
    </w:p>
    <w:p>
      <w:pPr>
        <w:ind w:left="680" w:right="200" w:hanging="220"/>
        <w:spacing w:after="0" w:line="286"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operating lease obligations to make payments under our non-cancelable lease agreements for our facilities and data centers. We had fixed operating lease payment obligations of $54.2 million as of December 31, 2021, with $14.5 million expected to be paid within the next 12 months.</w:t>
      </w:r>
    </w:p>
    <w:p>
      <w:pPr>
        <w:spacing w:after="0" w:line="1" w:lineRule="exact"/>
        <w:rPr>
          <w:rFonts w:ascii="Arial" w:cs="Arial" w:eastAsia="Arial" w:hAnsi="Arial"/>
          <w:sz w:val="16"/>
          <w:szCs w:val="16"/>
          <w:color w:val="auto"/>
        </w:rPr>
      </w:pPr>
    </w:p>
    <w:p>
      <w:pPr>
        <w:jc w:val="both"/>
        <w:ind w:left="680" w:right="240" w:hanging="220"/>
        <w:spacing w:after="0" w:line="262"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outflow for capital expenditures in 2022 is expected to be in a range of $25.0 million to $30.0 million.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and cloud infrastructures. We may also seek to invest in or acquire complementary businesses or technologies.</w:t>
      </w:r>
    </w:p>
    <w:p>
      <w:pPr>
        <w:ind w:left="680" w:right="60" w:hanging="220"/>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non-cancelable purchase obligations related to cloud infrastructures and other service providers totaled $36.4 million, of which $16.4 million is expected to be paid within the next 12 months.</w:t>
      </w:r>
    </w:p>
    <w:p>
      <w:pPr>
        <w:spacing w:after="0" w:line="188"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We expect to continue to use cash to repurchase shares in 2022 under our share repurchase program authorized by our board of directors on February 5, 2018. As of December 31, 2021, our board of directors had authorized an aggregate amount of $700.0 million for repurchases under our share repurchase program, of which approximately $271.8 million remained available. Shares will be repurchased from time to time on the open market in accordance with Rule 10b-18 of the Exchange Act of 1934, including pursuant to a pre-set trading plan adopted in accordance with Rule 10b5-1 under the Exchange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4" w:lineRule="exact"/>
        <w:rPr>
          <w:sz w:val="20"/>
          <w:szCs w:val="20"/>
          <w:color w:val="auto"/>
        </w:rPr>
      </w:pPr>
    </w:p>
    <w:p>
      <w:pPr>
        <w:jc w:val="both"/>
        <w:ind w:firstLine="400"/>
        <w:spacing w:after="0" w:line="289" w:lineRule="auto"/>
        <w:rPr>
          <w:sz w:val="20"/>
          <w:szCs w:val="20"/>
          <w:color w:val="auto"/>
        </w:rPr>
      </w:pPr>
      <w:r>
        <w:rPr>
          <w:rFonts w:ascii="Arial" w:cs="Arial" w:eastAsia="Arial" w:hAnsi="Arial"/>
          <w:sz w:val="16"/>
          <w:szCs w:val="16"/>
          <w:color w:val="auto"/>
        </w:rPr>
        <w:t>The preparation of our consolidated financial statements in accordance with U.S. GAAP requires us to make estimates and assumptions that affect the reported amounts of assets, liabilities, revenues, expenses and related disclosures. Our significant accounting policies are described in Note 1 - The Company and Summary of Significant Accounting Policies in the accompanying notes to the consolidated financial statements included in Part II, Item 8, "Financial Statements and Supplementary Data" of this Annual Report on Form 10-K. On an ongoing basis, we evaluate our estimates and assumptions based on historical and anticipated results and trends that we believe represent our best estimate under the circumstances. However, as accounting estimates are subject to inherent uncertainty, our actual results may differ from these estimates under different assumptions or conditions.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Significant assumptions, judgments and estimates are involved in determining our provision for (benefit from) income taxes, our deferred tax assets and liabilities, and any valuation allowance to be recorded against our deferred tax assets. Our judgments, assumptions and estimates relating to the current provision for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preparing and filing the tax returns. Our estimates and assumptions may differ from the actual results as reflected in our income tax returns and we record the required adjustments when they are identified or resolved. Changes in our business and tax laws or our interpretation of those, and developments in current and future tax audits, could significantly impact the amounts provided for income taxes in our results of operations, financial position, or cash flows.</w:t>
      </w:r>
    </w:p>
    <w:p>
      <w:pPr>
        <w:spacing w:after="0" w:line="19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assessment of tax effects of our uncertain tax positions in our financial statements involves significant judgment in interpreting complex and ambiguous tax laws, regulations, and administrative practices, determining the probability of various possible settlement outcomes, evaluating the litigation process based on tax authority behaviors in similar cases, and estimating the likelihood that another taxing authority could review the respective tax position. These judgments are inherently challenging and subjective because a taxing authority may change its behavior at any time. We must also determine when it is reasonably possible that the amount of unrecognized tax benefits will significantly increase or decrease in the 12 months after each fiscal year-end. We reevaluate our income tax positions on a quarterly basis to consider factors such as changes in facts or circumstances, changes in tax laws, effectively settled issues under audit, the potential for interest and penalties, and new audit activity. Such a change in recognition or measurement would result in recognition of a tax benefit or an additional charge to the tax provision.</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We recognize the fair value of our employee stock options and restricted stock units, including performance-based restricted stock units, over the requisite service period. The fair value of each stock option is estimated on date of grant using the Black-Scholes-Merton option pricing model. Determining the appropriate fair value model and calculating the fair value of employee stock options requires the use of subjective assumptions, including the expected life of the stock option and stock price volatility. The recognition of expenses for performance based restricted stock units requires us to estimate the probability that the performance condition will be achieved and the number of awards that will vest are adjusted accordingly at each reporting period. The assumptions used in calculating the fair value of employee stock options and estimating the probability of achievement of performance metrics represent management’s best estimates, which require significant judgment and involve inherent uncertainties. While not material to the current year, if factors change and we use different assumptions, our stock-based compensation expense could be materially different in the future.</w:t>
      </w:r>
    </w:p>
    <w:p>
      <w:pPr>
        <w:spacing w:after="0" w:line="16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4"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4"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Our results of operations and cash flows have been and will continue to be subject to fluctuations because of changes in foreign currency exchange rates, particularly changes in exchange rates between the U.S. Dollar and the Euro, GBP, INR, Canadian Dollar ("C$") and Swiss Franc ("CHF"),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As of December 31, 2021, we had designated cash flow hedge forward contracts with notional amounts of €29.8 million, £9.4 million and Rs.2,955.3 million and non-designated forward contracts with notional amounts of €34.5 million, £11.6 million, Rs.74.9 million, C$2.5 million and CHF1.0 million. With our hedging strategy applied, the effect of an immediate 10% adverse change in foreign exchange rates would not be material to our financial condition, operating results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4"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We had $516.5 million in cash, cash equivalents and short-term and long-term marketable securities as of December 31, 2021. Cash and cash equivalents include cash held in banks, highly liquid money market funds and commercial paper. Marketable securities consist of fixed-income U.S. Treasury and government agency securities, commercial paper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December 31, 2021, a hypothetical 100 basis point increase in interest rate would result in a decrease in the fair value of our marketable securities by $2.4 million.</w:t>
      </w:r>
    </w:p>
    <w:p>
      <w:pPr>
        <w:sectPr>
          <w:pgSz w:w="11900" w:h="16838" w:orient="portrait"/>
          <w:cols w:equalWidth="0" w:num="1">
            <w:col w:w="11240"/>
          </w:cols>
          <w:pgMar w:left="320" w:top="125" w:right="339" w:bottom="102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02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40" w:type="dxa"/>
            <w:vAlign w:val="bottom"/>
            <w:gridSpan w:val="8"/>
          </w:tcPr>
          <w:p>
            <w:pPr>
              <w:ind w:left="280"/>
              <w:spacing w:after="0"/>
              <w:rPr>
                <w:sz w:val="20"/>
                <w:szCs w:val="20"/>
                <w:color w:val="auto"/>
              </w:rPr>
            </w:pPr>
            <w:r>
              <w:rPr>
                <w:rFonts w:ascii="Arial" w:cs="Arial" w:eastAsia="Arial" w:hAnsi="Arial"/>
                <w:sz w:val="18"/>
                <w:szCs w:val="18"/>
                <w:b w:val="1"/>
                <w:bCs w:val="1"/>
                <w:color w:val="auto"/>
              </w:rPr>
              <w:t>Financial Statements and Supplementary Data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0"/>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90"/>
              </w:rPr>
              <w:t>Qualys, Inc.</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6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rPr>
              <w:t>INDEX TO CONSOLIDATED FINANCIAL STATEMENTS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7"/>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8"/>
              </w:rPr>
              <w:t>Table of Contents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27"/>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68"/>
        </w:trPr>
        <w:tc>
          <w:tcPr>
            <w:tcW w:w="6180" w:type="dxa"/>
            <w:vAlign w:val="bottom"/>
            <w:gridSpan w:val="8"/>
          </w:tcPr>
          <w:p>
            <w:pPr>
              <w:spacing w:after="0" w:line="168"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Reports of Independent Registered Public Accounting Firm (PCAOB ID Number 248)</w:t>
              </w:r>
            </w:hyperlink>
          </w:p>
        </w:tc>
        <w:tc>
          <w:tcPr>
            <w:tcW w:w="3500" w:type="dxa"/>
            <w:vAlign w:val="bottom"/>
          </w:tcPr>
          <w:p>
            <w:pPr>
              <w:spacing w:after="0"/>
              <w:rPr>
                <w:sz w:val="14"/>
                <w:szCs w:val="14"/>
                <w:color w:val="auto"/>
              </w:rPr>
            </w:pPr>
          </w:p>
        </w:tc>
        <w:tc>
          <w:tcPr>
            <w:tcW w:w="1560" w:type="dxa"/>
            <w:vAlign w:val="bottom"/>
            <w:gridSpan w:val="3"/>
          </w:tcPr>
          <w:p>
            <w:pPr>
              <w:jc w:val="center"/>
              <w:spacing w:after="0" w:line="168"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2080" w:type="dxa"/>
            <w:vAlign w:val="bottom"/>
            <w:gridSpan w:val="2"/>
          </w:tcPr>
          <w:p>
            <w:pPr>
              <w:spacing w:after="0" w:line="194"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Balance Sheets</w:t>
              </w:r>
            </w:hyperlink>
          </w:p>
        </w:tc>
        <w:tc>
          <w:tcPr>
            <w:tcW w:w="4100" w:type="dxa"/>
            <w:vAlign w:val="bottom"/>
            <w:gridSpan w:val="6"/>
          </w:tcPr>
          <w:p>
            <w:pPr>
              <w:spacing w:after="0"/>
              <w:rPr>
                <w:sz w:val="16"/>
                <w:szCs w:val="16"/>
                <w:color w:val="auto"/>
              </w:rPr>
            </w:pPr>
          </w:p>
        </w:tc>
        <w:tc>
          <w:tcPr>
            <w:tcW w:w="3500" w:type="dxa"/>
            <w:vAlign w:val="bottom"/>
          </w:tcPr>
          <w:p>
            <w:pPr>
              <w:spacing w:after="0"/>
              <w:rPr>
                <w:sz w:val="16"/>
                <w:szCs w:val="16"/>
                <w:color w:val="auto"/>
              </w:rPr>
            </w:pPr>
          </w:p>
        </w:tc>
        <w:tc>
          <w:tcPr>
            <w:tcW w:w="1560" w:type="dxa"/>
            <w:vAlign w:val="bottom"/>
            <w:gridSpan w:val="3"/>
          </w:tcPr>
          <w:p>
            <w:pPr>
              <w:jc w:val="center"/>
              <w:spacing w:after="0" w:line="194"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9680" w:type="dxa"/>
            <w:vAlign w:val="bottom"/>
            <w:gridSpan w:val="9"/>
          </w:tcPr>
          <w:p>
            <w:pPr>
              <w:spacing w:after="0" w:line="194"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Operations</w:t>
              </w:r>
            </w:hyperlink>
          </w:p>
        </w:tc>
        <w:tc>
          <w:tcPr>
            <w:tcW w:w="1560" w:type="dxa"/>
            <w:vAlign w:val="bottom"/>
            <w:gridSpan w:val="3"/>
          </w:tcPr>
          <w:p>
            <w:pPr>
              <w:jc w:val="center"/>
              <w:spacing w:after="0" w:line="194"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9680" w:type="dxa"/>
            <w:vAlign w:val="bottom"/>
            <w:gridSpan w:val="9"/>
          </w:tcPr>
          <w:p>
            <w:pPr>
              <w:spacing w:after="0" w:line="194"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Comprehensive Income</w:t>
              </w:r>
            </w:hyperlink>
          </w:p>
        </w:tc>
        <w:tc>
          <w:tcPr>
            <w:tcW w:w="1560" w:type="dxa"/>
            <w:vAlign w:val="bottom"/>
            <w:gridSpan w:val="3"/>
          </w:tcPr>
          <w:p>
            <w:pPr>
              <w:jc w:val="center"/>
              <w:spacing w:after="0" w:line="194"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3700" w:type="dxa"/>
            <w:vAlign w:val="bottom"/>
            <w:gridSpan w:val="7"/>
          </w:tcPr>
          <w:p>
            <w:pPr>
              <w:spacing w:after="0" w:line="194"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w:t>
              </w:r>
            </w:hyperlink>
          </w:p>
        </w:tc>
        <w:tc>
          <w:tcPr>
            <w:tcW w:w="5980" w:type="dxa"/>
            <w:vAlign w:val="bottom"/>
            <w:gridSpan w:val="2"/>
          </w:tcPr>
          <w:p>
            <w:pPr>
              <w:spacing w:after="0"/>
              <w:rPr>
                <w:sz w:val="16"/>
                <w:szCs w:val="16"/>
                <w:color w:val="auto"/>
              </w:rPr>
            </w:pPr>
          </w:p>
        </w:tc>
        <w:tc>
          <w:tcPr>
            <w:tcW w:w="1560" w:type="dxa"/>
            <w:vAlign w:val="bottom"/>
            <w:gridSpan w:val="3"/>
          </w:tcPr>
          <w:p>
            <w:pPr>
              <w:jc w:val="center"/>
              <w:spacing w:after="0" w:line="194"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r>
      <w:tr>
        <w:trPr>
          <w:trHeight w:val="20"/>
        </w:trPr>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9680" w:type="dxa"/>
            <w:vAlign w:val="bottom"/>
            <w:gridSpan w:val="9"/>
          </w:tcPr>
          <w:p>
            <w:pPr>
              <w:spacing w:after="0" w:line="194"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Stockholders' Equity</w:t>
              </w:r>
            </w:hyperlink>
          </w:p>
        </w:tc>
        <w:tc>
          <w:tcPr>
            <w:tcW w:w="1560" w:type="dxa"/>
            <w:vAlign w:val="bottom"/>
            <w:gridSpan w:val="3"/>
          </w:tcPr>
          <w:p>
            <w:pPr>
              <w:jc w:val="center"/>
              <w:spacing w:after="0" w:line="194"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55</w:t>
              </w:r>
            </w:hyperlink>
          </w:p>
        </w:tc>
      </w:tr>
      <w:tr>
        <w:trPr>
          <w:trHeight w:val="20"/>
        </w:trPr>
        <w:tc>
          <w:tcPr>
            <w:tcW w:w="31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3"/>
        </w:trPr>
        <w:tc>
          <w:tcPr>
            <w:tcW w:w="3120" w:type="dxa"/>
            <w:vAlign w:val="bottom"/>
            <w:gridSpan w:val="5"/>
          </w:tcPr>
          <w:p>
            <w:pPr>
              <w:spacing w:after="0" w:line="194"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Notes to Consolidated Financial Statements</w:t>
              </w:r>
            </w:hyperlink>
          </w:p>
        </w:tc>
        <w:tc>
          <w:tcPr>
            <w:tcW w:w="360" w:type="dxa"/>
            <w:vAlign w:val="bottom"/>
          </w:tcPr>
          <w:p>
            <w:pPr>
              <w:spacing w:after="0"/>
              <w:rPr>
                <w:sz w:val="16"/>
                <w:szCs w:val="16"/>
                <w:color w:val="auto"/>
              </w:rPr>
            </w:pPr>
          </w:p>
        </w:tc>
        <w:tc>
          <w:tcPr>
            <w:tcW w:w="6200" w:type="dxa"/>
            <w:vAlign w:val="bottom"/>
            <w:gridSpan w:val="3"/>
          </w:tcPr>
          <w:p>
            <w:pPr>
              <w:spacing w:after="0"/>
              <w:rPr>
                <w:sz w:val="16"/>
                <w:szCs w:val="16"/>
                <w:color w:val="auto"/>
              </w:rPr>
            </w:pPr>
          </w:p>
        </w:tc>
        <w:tc>
          <w:tcPr>
            <w:tcW w:w="1560" w:type="dxa"/>
            <w:vAlign w:val="bottom"/>
            <w:gridSpan w:val="3"/>
          </w:tcPr>
          <w:p>
            <w:pPr>
              <w:jc w:val="center"/>
              <w:spacing w:after="0" w:line="194"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r>
      <w:tr>
        <w:trPr>
          <w:trHeight w:val="446"/>
        </w:trPr>
        <w:tc>
          <w:tcPr>
            <w:tcW w:w="840" w:type="dxa"/>
            <w:vAlign w:val="bottom"/>
            <w:tcBorders>
              <w:top w:val="single" w:sz="8" w:color="0000EE"/>
            </w:tcBorders>
          </w:tcPr>
          <w:p>
            <w:pPr>
              <w:spacing w:after="0"/>
              <w:rPr>
                <w:sz w:val="24"/>
                <w:szCs w:val="24"/>
                <w:color w:val="auto"/>
              </w:rPr>
            </w:pPr>
          </w:p>
        </w:tc>
        <w:tc>
          <w:tcPr>
            <w:tcW w:w="2280" w:type="dxa"/>
            <w:vAlign w:val="bottom"/>
            <w:tcBorders>
              <w:top w:val="single" w:sz="8" w:color="0000EE"/>
            </w:tcBorders>
            <w:gridSpan w:val="4"/>
          </w:tcPr>
          <w:p>
            <w:pPr>
              <w:spacing w:after="0"/>
              <w:rPr>
                <w:sz w:val="24"/>
                <w:szCs w:val="24"/>
                <w:color w:val="auto"/>
              </w:rPr>
            </w:pPr>
          </w:p>
        </w:tc>
        <w:tc>
          <w:tcPr>
            <w:tcW w:w="3060" w:type="dxa"/>
            <w:vAlign w:val="bottom"/>
            <w:gridSpan w:val="3"/>
          </w:tcPr>
          <w:p>
            <w:pPr>
              <w:jc w:val="center"/>
              <w:ind w:left="1871"/>
              <w:spacing w:after="0"/>
              <w:rPr>
                <w:sz w:val="20"/>
                <w:szCs w:val="20"/>
                <w:color w:val="auto"/>
              </w:rPr>
            </w:pPr>
            <w:r>
              <w:rPr>
                <w:rFonts w:ascii="Arial" w:cs="Arial" w:eastAsia="Arial" w:hAnsi="Arial"/>
                <w:sz w:val="18"/>
                <w:szCs w:val="18"/>
                <w:color w:val="auto"/>
                <w:w w:val="89"/>
              </w:rPr>
              <w:t>48</w:t>
            </w:r>
          </w:p>
        </w:tc>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2021 and 2020, the related consolidated statements of operations, comprehensive income, cash flows, and stockholders’ equity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and our report dated February 22, 2022 expressed an unqualified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described further in Note 12 to the financial statements, the Company records income taxes using the asset and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We identified the tax effects of temporary and permanent differences related to stock-based compensation as a critical audit matter.</w:t>
      </w:r>
    </w:p>
    <w:p>
      <w:pPr>
        <w:spacing w:after="0" w:line="19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principal considerations for our determination that the tax effects of temporary and permanent differences are a critical audit matter are that auditing the application of executive compensation rules requires significant technical expertise, the Company is generating excess tax deductions as a result of stock-based compensation and the stock-based compensation calculation is complex due to the required recordkeeping. Our audit procedures related to the tax effects of temporary and permanent differences related to stock-based compensation included the following, among others.</w:t>
      </w:r>
    </w:p>
    <w:p>
      <w:pPr>
        <w:spacing w:after="0" w:line="160" w:lineRule="exact"/>
        <w:rPr>
          <w:sz w:val="20"/>
          <w:szCs w:val="20"/>
          <w:color w:val="auto"/>
        </w:rPr>
      </w:pPr>
    </w:p>
    <w:p>
      <w:pPr>
        <w:ind w:left="320" w:hanging="18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Involved an employee compensation specialist to assess the application of stock-based compensation tax rules.</w:t>
      </w:r>
    </w:p>
    <w:p>
      <w:pPr>
        <w:spacing w:after="0" w:line="19" w:lineRule="exact"/>
        <w:rPr>
          <w:rFonts w:ascii="Arial" w:cs="Arial" w:eastAsia="Arial" w:hAnsi="Arial"/>
          <w:sz w:val="18"/>
          <w:szCs w:val="18"/>
          <w:color w:val="auto"/>
        </w:rPr>
      </w:pPr>
    </w:p>
    <w:p>
      <w:pPr>
        <w:ind w:left="320" w:hanging="18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Obtained management’s permanent and temporary provision calculation and tied out inputs to supporting equity documentation.</w:t>
      </w:r>
    </w:p>
    <w:p>
      <w:pPr>
        <w:spacing w:after="0" w:line="6" w:lineRule="exact"/>
        <w:rPr>
          <w:rFonts w:ascii="Arial" w:cs="Arial" w:eastAsia="Arial" w:hAnsi="Arial"/>
          <w:sz w:val="18"/>
          <w:szCs w:val="18"/>
          <w:color w:val="auto"/>
        </w:rPr>
      </w:pPr>
    </w:p>
    <w:p>
      <w:pPr>
        <w:ind w:left="320" w:hanging="18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Tested the completeness and accuracy of the calculation of permanent and temporary differences.</w:t>
      </w:r>
    </w:p>
    <w:p>
      <w:pPr>
        <w:spacing w:after="0" w:line="6" w:lineRule="exact"/>
        <w:rPr>
          <w:rFonts w:ascii="Arial" w:cs="Arial" w:eastAsia="Arial" w:hAnsi="Arial"/>
          <w:sz w:val="18"/>
          <w:szCs w:val="18"/>
          <w:color w:val="auto"/>
        </w:rPr>
      </w:pPr>
    </w:p>
    <w:p>
      <w:pPr>
        <w:ind w:left="320" w:hanging="18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Determined that the ending gross temporary difference agreed to the supporting equity documentation.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25"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have audited the internal control over financial reporting of Qualys, Inc. (a Delaware corporation) and subsidiaries (the “Company”) as of December 31, 2021, based on criteria established in the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COSO.</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February 22, 2022 expressed an unqualified opinion on those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7200" w:type="dxa"/>
            <w:vAlign w:val="bottom"/>
          </w:tcPr>
          <w:p>
            <w:pPr>
              <w:jc w:val="center"/>
              <w:ind w:left="1431"/>
              <w:spacing w:after="0"/>
              <w:rPr>
                <w:sz w:val="20"/>
                <w:szCs w:val="20"/>
                <w:color w:val="auto"/>
              </w:rPr>
            </w:pPr>
            <w:r>
              <w:rPr>
                <w:rFonts w:ascii="Arial" w:cs="Arial" w:eastAsia="Arial" w:hAnsi="Arial"/>
                <w:sz w:val="18"/>
                <w:szCs w:val="18"/>
                <w:b w:val="1"/>
                <w:bCs w:val="1"/>
                <w:color w:val="auto"/>
                <w:w w:val="90"/>
              </w:rPr>
              <w:t>Qualys, Inc.</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200" w:type="dxa"/>
            <w:vAlign w:val="bottom"/>
          </w:tcPr>
          <w:p>
            <w:pPr>
              <w:jc w:val="center"/>
              <w:ind w:left="1431"/>
              <w:spacing w:after="0"/>
              <w:rPr>
                <w:sz w:val="20"/>
                <w:szCs w:val="20"/>
                <w:color w:val="auto"/>
              </w:rPr>
            </w:pPr>
            <w:r>
              <w:rPr>
                <w:rFonts w:ascii="Arial" w:cs="Arial" w:eastAsia="Arial" w:hAnsi="Arial"/>
                <w:sz w:val="18"/>
                <w:szCs w:val="18"/>
                <w:b w:val="1"/>
                <w:bCs w:val="1"/>
                <w:color w:val="auto"/>
                <w:w w:val="98"/>
              </w:rPr>
              <w:t>CONSOLIDATED BALANCE SHEETS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7200" w:type="dxa"/>
            <w:vAlign w:val="bottom"/>
          </w:tcPr>
          <w:p>
            <w:pPr>
              <w:jc w:val="center"/>
              <w:ind w:left="1431"/>
              <w:spacing w:after="0"/>
              <w:rPr>
                <w:sz w:val="20"/>
                <w:szCs w:val="20"/>
                <w:color w:val="auto"/>
              </w:rPr>
            </w:pPr>
            <w:r>
              <w:rPr>
                <w:rFonts w:ascii="Arial" w:cs="Arial" w:eastAsia="Arial" w:hAnsi="Arial"/>
                <w:sz w:val="18"/>
                <w:szCs w:val="18"/>
                <w:b w:val="1"/>
                <w:bCs w:val="1"/>
                <w:color w:val="auto"/>
                <w:w w:val="87"/>
              </w:rPr>
              <w:t>(in thousands, except per share data)</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12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07"/>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r>
      <w:tr>
        <w:trPr>
          <w:trHeight w:val="21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267,960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281,892</w:t>
            </w:r>
          </w:p>
        </w:tc>
      </w:tr>
      <w:tr>
        <w:trPr>
          <w:trHeight w:val="213"/>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Accounts receivable, net of allowance of $793 and $725 as of December 31, 2021 and 2020, respectively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100,179</w:t>
            </w:r>
          </w:p>
        </w:tc>
      </w:tr>
      <w:tr>
        <w:trPr>
          <w:trHeight w:val="21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Pr>
          <w:p>
            <w:pPr>
              <w:spacing w:after="0"/>
              <w:rPr>
                <w:sz w:val="18"/>
                <w:szCs w:val="18"/>
                <w:color w:val="auto"/>
              </w:rPr>
            </w:pPr>
          </w:p>
        </w:tc>
      </w:tr>
      <w:tr>
        <w:trPr>
          <w:trHeight w:val="207"/>
        </w:trPr>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546,398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475,345</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111,198</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98,458</w:t>
            </w:r>
          </w:p>
        </w:tc>
      </w:tr>
      <w:tr>
        <w:trPr>
          <w:trHeight w:val="213"/>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64,850</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37,016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44,838</w:t>
            </w:r>
          </w:p>
        </w:tc>
      </w:tr>
      <w:tr>
        <w:trPr>
          <w:trHeight w:val="213"/>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15,811</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r>
      <w:tr>
        <w:trPr>
          <w:trHeight w:val="213"/>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3"/>
        </w:trPr>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814,559</w:t>
            </w:r>
          </w:p>
        </w:tc>
        <w:tc>
          <w:tcPr>
            <w:tcW w:w="200" w:type="dxa"/>
            <w:vAlign w:val="bottom"/>
          </w:tcPr>
          <w:p>
            <w:pPr>
              <w:spacing w:after="0"/>
              <w:rPr>
                <w:sz w:val="17"/>
                <w:szCs w:val="17"/>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736,819</w:t>
            </w:r>
          </w:p>
        </w:tc>
      </w:tr>
      <w:tr>
        <w:trPr>
          <w:trHeight w:val="20"/>
        </w:trPr>
        <w:tc>
          <w:tcPr>
            <w:tcW w:w="12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4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r>
      <w:tr>
        <w:trPr>
          <w:trHeight w:val="21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32,504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29,833</w:t>
            </w:r>
          </w:p>
        </w:tc>
      </w:tr>
      <w:tr>
        <w:trPr>
          <w:trHeight w:val="213"/>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revenues, current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257,872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213,494</w:t>
            </w:r>
          </w:p>
        </w:tc>
      </w:tr>
      <w:tr>
        <w:trPr>
          <w:trHeight w:val="21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18"/>
                <w:szCs w:val="18"/>
                <w:color w:val="auto"/>
              </w:rPr>
            </w:pPr>
          </w:p>
        </w:tc>
      </w:tr>
      <w:tr>
        <w:trPr>
          <w:trHeight w:val="207"/>
        </w:trPr>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304,280</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255,730</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32,753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30,540</w:t>
            </w:r>
          </w:p>
        </w:tc>
      </w:tr>
      <w:tr>
        <w:trPr>
          <w:trHeight w:val="213"/>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45,700</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r>
      <w:tr>
        <w:trPr>
          <w:trHeight w:val="207"/>
        </w:trPr>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377,845</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332,337</w:t>
            </w:r>
          </w:p>
        </w:tc>
      </w:tr>
      <w:tr>
        <w:trPr>
          <w:trHeight w:val="213"/>
        </w:trPr>
        <w:tc>
          <w:tcPr>
            <w:tcW w:w="84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8460" w:type="dxa"/>
            <w:vAlign w:val="bottom"/>
            <w:gridSpan w:val="2"/>
          </w:tcPr>
          <w:p>
            <w:pPr>
              <w:ind w:left="160"/>
              <w:spacing w:after="0" w:line="199" w:lineRule="exact"/>
              <w:rPr>
                <w:sz w:val="20"/>
                <w:szCs w:val="20"/>
                <w:color w:val="auto"/>
              </w:rPr>
            </w:pPr>
            <w:r>
              <w:rPr>
                <w:rFonts w:ascii="Arial" w:cs="Arial" w:eastAsia="Arial" w:hAnsi="Arial"/>
                <w:sz w:val="18"/>
                <w:szCs w:val="18"/>
                <w:color w:val="auto"/>
                <w:w w:val="89"/>
              </w:rPr>
              <w:t>Preferred stock: $0.001 par value; 20,000 shares authorized, no shares issued and outstanding as of December 31,</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2021 and 2020</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0"/>
        </w:trPr>
        <w:tc>
          <w:tcPr>
            <w:tcW w:w="846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w w:val="90"/>
              </w:rPr>
              <w:t>Common stock: $0.001 par value; 1,000,000 shares authorized, 39,112 and 39,253 shares issued and outstanding</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 of December 31, 2021 and 2020, respectively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477,323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401,359</w:t>
            </w:r>
          </w:p>
        </w:tc>
      </w:tr>
      <w:tr>
        <w:trPr>
          <w:trHeight w:val="213"/>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r>
      <w:tr>
        <w:trPr>
          <w:trHeight w:val="21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(41,655)</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r>
      <w:tr>
        <w:trPr>
          <w:trHeight w:val="207"/>
        </w:trPr>
        <w:tc>
          <w:tcPr>
            <w:tcW w:w="8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436,714</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404,482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814,559</w:t>
            </w:r>
          </w:p>
        </w:tc>
        <w:tc>
          <w:tcPr>
            <w:tcW w:w="200" w:type="dxa"/>
            <w:vAlign w:val="bottom"/>
          </w:tcPr>
          <w:p>
            <w:pPr>
              <w:spacing w:after="0"/>
              <w:rPr>
                <w:sz w:val="17"/>
                <w:szCs w:val="17"/>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736,819</w:t>
            </w:r>
          </w:p>
        </w:tc>
      </w:tr>
      <w:tr>
        <w:trPr>
          <w:trHeight w:val="20"/>
        </w:trPr>
        <w:tc>
          <w:tcPr>
            <w:tcW w:w="12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400" w:type="dxa"/>
            <w:vAlign w:val="bottom"/>
            <w:gridSpan w:val="2"/>
          </w:tcPr>
          <w:p>
            <w:pPr>
              <w:jc w:val="center"/>
              <w:ind w:left="1031"/>
              <w:spacing w:after="0"/>
              <w:rPr>
                <w:sz w:val="20"/>
                <w:szCs w:val="20"/>
                <w:color w:val="auto"/>
              </w:rPr>
            </w:pPr>
            <w:r>
              <w:rPr>
                <w:rFonts w:ascii="Arial" w:cs="Arial" w:eastAsia="Arial" w:hAnsi="Arial"/>
                <w:sz w:val="18"/>
                <w:szCs w:val="18"/>
                <w:b w:val="1"/>
                <w:bCs w:val="1"/>
                <w:color w:val="auto"/>
                <w:w w:val="90"/>
              </w:rPr>
              <w:t>Qualys, Inc.</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0" w:type="dxa"/>
            <w:vAlign w:val="bottom"/>
            <w:gridSpan w:val="2"/>
          </w:tcPr>
          <w:p>
            <w:pPr>
              <w:jc w:val="center"/>
              <w:ind w:left="1031"/>
              <w:spacing w:after="0"/>
              <w:rPr>
                <w:sz w:val="20"/>
                <w:szCs w:val="20"/>
                <w:color w:val="auto"/>
              </w:rPr>
            </w:pPr>
            <w:r>
              <w:rPr>
                <w:rFonts w:ascii="Arial" w:cs="Arial" w:eastAsia="Arial" w:hAnsi="Arial"/>
                <w:sz w:val="18"/>
                <w:szCs w:val="18"/>
                <w:b w:val="1"/>
                <w:bCs w:val="1"/>
                <w:color w:val="auto"/>
                <w:w w:val="87"/>
              </w:rPr>
              <w:t>(in thousands, except per share data)</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4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411,172</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362,963</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321,607</w:t>
            </w:r>
          </w:p>
        </w:tc>
      </w:tr>
      <w:tr>
        <w:trPr>
          <w:trHeight w:val="213"/>
        </w:trPr>
        <w:tc>
          <w:tcPr>
            <w:tcW w:w="2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69,517</w:t>
            </w:r>
          </w:p>
        </w:tc>
        <w:tc>
          <w:tcPr>
            <w:tcW w:w="100" w:type="dxa"/>
            <w:vAlign w:val="bottom"/>
          </w:tcPr>
          <w:p>
            <w:pPr>
              <w:spacing w:after="0"/>
              <w:rPr>
                <w:sz w:val="18"/>
                <w:szCs w:val="18"/>
                <w:color w:val="auto"/>
              </w:rPr>
            </w:pPr>
          </w:p>
        </w:tc>
      </w:tr>
      <w:tr>
        <w:trPr>
          <w:trHeight w:val="207"/>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4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321,733</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283,737</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252,090</w:t>
            </w:r>
          </w:p>
        </w:tc>
      </w:tr>
      <w:tr>
        <w:trPr>
          <w:trHeight w:val="213"/>
        </w:trPr>
        <w:tc>
          <w:tcPr>
            <w:tcW w:w="2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81,289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72,548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68,239</w:t>
            </w:r>
          </w:p>
        </w:tc>
      </w:tr>
      <w:tr>
        <w:trPr>
          <w:trHeight w:val="213"/>
        </w:trPr>
        <w:tc>
          <w:tcPr>
            <w:tcW w:w="28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76,487</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67,965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70,833</w:t>
            </w:r>
          </w:p>
        </w:tc>
      </w:tr>
      <w:tr>
        <w:trPr>
          <w:trHeight w:val="213"/>
        </w:trPr>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286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4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234,050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187,083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179,837</w:t>
            </w:r>
          </w:p>
        </w:tc>
        <w:tc>
          <w:tcPr>
            <w:tcW w:w="100" w:type="dxa"/>
            <w:vAlign w:val="bottom"/>
          </w:tcPr>
          <w:p>
            <w:pPr>
              <w:spacing w:after="0"/>
              <w:rPr>
                <w:sz w:val="17"/>
                <w:szCs w:val="17"/>
                <w:color w:val="auto"/>
              </w:rPr>
            </w:pPr>
          </w:p>
        </w:tc>
      </w:tr>
      <w:tr>
        <w:trPr>
          <w:trHeight w:val="20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87,683</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96,654</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72,253</w:t>
            </w:r>
          </w:p>
        </w:tc>
      </w:tr>
      <w:tr>
        <w:trPr>
          <w:trHeight w:val="213"/>
        </w:trPr>
        <w:tc>
          <w:tcPr>
            <w:tcW w:w="28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3"/>
        </w:trPr>
        <w:tc>
          <w:tcPr>
            <w:tcW w:w="286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5,385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8,443</w:t>
            </w:r>
          </w:p>
        </w:tc>
      </w:tr>
      <w:tr>
        <w:trPr>
          <w:trHeight w:val="213"/>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07"/>
        </w:trPr>
        <w:tc>
          <w:tcPr>
            <w:tcW w:w="286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other income, net</w:t>
            </w:r>
          </w:p>
        </w:tc>
        <w:tc>
          <w:tcPr>
            <w:tcW w:w="412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100" w:type="dxa"/>
            <w:vAlign w:val="bottom"/>
            <w:tcBorders>
              <w:top w:val="single" w:sz="8" w:color="CCEEFF"/>
            </w:tcBorders>
          </w:tcPr>
          <w:p>
            <w:pPr>
              <w:spacing w:after="0"/>
              <w:rPr>
                <w:sz w:val="17"/>
                <w:szCs w:val="17"/>
                <w:color w:val="auto"/>
              </w:rPr>
            </w:pPr>
          </w:p>
        </w:tc>
      </w:tr>
      <w:tr>
        <w:trPr>
          <w:trHeight w:val="20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89,397</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102,037</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79,983</w:t>
            </w:r>
          </w:p>
        </w:tc>
      </w:tr>
      <w:tr>
        <w:trPr>
          <w:trHeight w:val="213"/>
        </w:trPr>
        <w:tc>
          <w:tcPr>
            <w:tcW w:w="28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4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Pr>
          <w:p>
            <w:pPr>
              <w:spacing w:after="0"/>
              <w:rPr>
                <w:sz w:val="18"/>
                <w:szCs w:val="18"/>
                <w:color w:val="auto"/>
              </w:rPr>
            </w:pPr>
          </w:p>
        </w:tc>
      </w:tr>
      <w:tr>
        <w:trPr>
          <w:trHeight w:val="24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70,960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91,572</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69,336</w:t>
            </w:r>
          </w:p>
        </w:tc>
      </w:tr>
      <w:tr>
        <w:trPr>
          <w:trHeight w:val="194"/>
        </w:trPr>
        <w:tc>
          <w:tcPr>
            <w:tcW w:w="2860" w:type="dxa"/>
            <w:vAlign w:val="bottom"/>
            <w:tcBorders>
              <w:top w:val="single" w:sz="8" w:color="CCEEFF"/>
            </w:tcBorders>
            <w:gridSpan w:val="2"/>
          </w:tcPr>
          <w:p>
            <w:pPr>
              <w:spacing w:after="0" w:line="194" w:lineRule="exact"/>
              <w:rPr>
                <w:sz w:val="20"/>
                <w:szCs w:val="20"/>
                <w:color w:val="auto"/>
              </w:rPr>
            </w:pPr>
            <w:r>
              <w:rPr>
                <w:rFonts w:ascii="Arial" w:cs="Arial" w:eastAsia="Arial" w:hAnsi="Arial"/>
                <w:sz w:val="18"/>
                <w:szCs w:val="18"/>
                <w:color w:val="auto"/>
              </w:rPr>
              <w:t>Net income per share:</w:t>
            </w:r>
          </w:p>
        </w:tc>
        <w:tc>
          <w:tcPr>
            <w:tcW w:w="4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3"/>
        </w:trPr>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4"/>
        </w:trPr>
        <w:tc>
          <w:tcPr>
            <w:tcW w:w="2860" w:type="dxa"/>
            <w:vAlign w:val="bottom"/>
            <w:gridSpan w:val="2"/>
          </w:tcPr>
          <w:p>
            <w:pPr>
              <w:ind w:left="160"/>
              <w:spacing w:after="0" w:line="194" w:lineRule="exact"/>
              <w:rPr>
                <w:sz w:val="20"/>
                <w:szCs w:val="20"/>
                <w:color w:val="auto"/>
              </w:rPr>
            </w:pPr>
            <w:r>
              <w:rPr>
                <w:rFonts w:ascii="Arial" w:cs="Arial" w:eastAsia="Arial" w:hAnsi="Arial"/>
                <w:sz w:val="18"/>
                <w:szCs w:val="18"/>
                <w:color w:val="auto"/>
              </w:rPr>
              <w:t>Diluted</w:t>
            </w:r>
          </w:p>
        </w:tc>
        <w:tc>
          <w:tcPr>
            <w:tcW w:w="4400" w:type="dxa"/>
            <w:vAlign w:val="bottom"/>
            <w:gridSpan w:val="2"/>
          </w:tcPr>
          <w:p>
            <w:pPr>
              <w:jc w:val="right"/>
              <w:ind w:right="91"/>
              <w:spacing w:after="0" w:line="194"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1.77</w:t>
            </w:r>
          </w:p>
        </w:tc>
        <w:tc>
          <w:tcPr>
            <w:tcW w:w="260" w:type="dxa"/>
            <w:vAlign w:val="bottom"/>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line="194" w:lineRule="exact"/>
              <w:rPr>
                <w:sz w:val="20"/>
                <w:szCs w:val="20"/>
                <w:color w:val="auto"/>
              </w:rPr>
            </w:pPr>
            <w:r>
              <w:rPr>
                <w:rFonts w:ascii="Arial" w:cs="Arial" w:eastAsia="Arial" w:hAnsi="Arial"/>
                <w:sz w:val="18"/>
                <w:szCs w:val="18"/>
                <w:color w:val="auto"/>
              </w:rPr>
              <w:t>2.25</w:t>
            </w:r>
          </w:p>
        </w:tc>
        <w:tc>
          <w:tcPr>
            <w:tcW w:w="300" w:type="dxa"/>
            <w:vAlign w:val="bottom"/>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1.68</w:t>
            </w:r>
          </w:p>
        </w:tc>
      </w:tr>
      <w:tr>
        <w:trPr>
          <w:trHeight w:val="20"/>
        </w:trPr>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260" w:type="dxa"/>
            <w:vAlign w:val="bottom"/>
            <w:gridSpan w:val="4"/>
            <w:shd w:val="clear" w:color="auto" w:fill="CCEEFF"/>
          </w:tcPr>
          <w:p>
            <w:pPr>
              <w:spacing w:after="0" w:line="194" w:lineRule="exact"/>
              <w:rPr>
                <w:sz w:val="20"/>
                <w:szCs w:val="20"/>
                <w:color w:val="auto"/>
              </w:rPr>
            </w:pPr>
            <w:r>
              <w:rPr>
                <w:rFonts w:ascii="Arial" w:cs="Arial" w:eastAsia="Arial" w:hAnsi="Arial"/>
                <w:sz w:val="18"/>
                <w:szCs w:val="18"/>
                <w:color w:val="auto"/>
              </w:rPr>
              <w:t>Weighted average shares used in computing net income per share:</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8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39,030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39,167</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39,075</w:t>
            </w:r>
          </w:p>
        </w:tc>
      </w:tr>
      <w:tr>
        <w:trPr>
          <w:trHeight w:val="20"/>
        </w:trPr>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2860" w:type="dxa"/>
            <w:vAlign w:val="bottom"/>
            <w:tcBorders>
              <w:bottom w:val="single" w:sz="8" w:color="CCEEFF"/>
            </w:tcBorders>
            <w:gridSpan w:val="2"/>
            <w:shd w:val="clear" w:color="auto" w:fill="CCEEFF"/>
          </w:tcPr>
          <w:p>
            <w:pPr>
              <w:ind w:left="160"/>
              <w:spacing w:after="0" w:line="194" w:lineRule="exact"/>
              <w:rPr>
                <w:sz w:val="20"/>
                <w:szCs w:val="20"/>
                <w:color w:val="auto"/>
              </w:rPr>
            </w:pPr>
            <w:r>
              <w:rPr>
                <w:rFonts w:ascii="Arial" w:cs="Arial" w:eastAsia="Arial" w:hAnsi="Arial"/>
                <w:sz w:val="18"/>
                <w:szCs w:val="18"/>
                <w:color w:val="auto"/>
              </w:rPr>
              <w:t>Diluted</w:t>
            </w:r>
          </w:p>
        </w:tc>
        <w:tc>
          <w:tcPr>
            <w:tcW w:w="4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40,118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40,740</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41,284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5720" w:type="dxa"/>
            <w:vAlign w:val="bottom"/>
          </w:tcPr>
          <w:p>
            <w:pPr>
              <w:jc w:val="center"/>
              <w:ind w:left="2911"/>
              <w:spacing w:after="0"/>
              <w:rPr>
                <w:sz w:val="20"/>
                <w:szCs w:val="20"/>
                <w:color w:val="auto"/>
              </w:rPr>
            </w:pPr>
            <w:r>
              <w:rPr>
                <w:rFonts w:ascii="Arial" w:cs="Arial" w:eastAsia="Arial" w:hAnsi="Arial"/>
                <w:sz w:val="18"/>
                <w:szCs w:val="18"/>
                <w:b w:val="1"/>
                <w:bCs w:val="1"/>
                <w:color w:val="auto"/>
                <w:w w:val="90"/>
              </w:rPr>
              <w:t>Qualys, Inc.</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200" w:type="dxa"/>
            <w:vAlign w:val="bottom"/>
            <w:gridSpan w:val="4"/>
          </w:tcPr>
          <w:p>
            <w:pPr>
              <w:jc w:val="center"/>
              <w:ind w:left="1451"/>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5720" w:type="dxa"/>
            <w:vAlign w:val="bottom"/>
          </w:tcPr>
          <w:p>
            <w:pPr>
              <w:jc w:val="center"/>
              <w:ind w:left="2911"/>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12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91,572</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69,336</w:t>
            </w: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Net change in unrealized gains (losses) on available-for-sale debt securities, net of tax</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3"/>
        </w:trPr>
        <w:tc>
          <w:tcPr>
            <w:tcW w:w="6980" w:type="dxa"/>
            <w:vAlign w:val="bottom"/>
            <w:gridSpan w:val="2"/>
          </w:tcPr>
          <w:p>
            <w:pPr>
              <w:ind w:left="320"/>
              <w:spacing w:after="0"/>
              <w:rPr>
                <w:sz w:val="20"/>
                <w:szCs w:val="20"/>
                <w:color w:val="auto"/>
              </w:rPr>
            </w:pPr>
            <w:r>
              <w:rPr>
                <w:rFonts w:ascii="Arial" w:cs="Arial" w:eastAsia="Arial" w:hAnsi="Arial"/>
                <w:sz w:val="18"/>
                <w:szCs w:val="18"/>
                <w:color w:val="auto"/>
              </w:rPr>
              <w:t>Net change in unrealized gains (losses) on cash flow hedges, net of tax</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(2,048)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0"/>
        </w:trPr>
        <w:tc>
          <w:tcPr>
            <w:tcW w:w="1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(1,646)</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r>
      <w:tr>
        <w:trPr>
          <w:trHeight w:val="207"/>
        </w:trPr>
        <w:tc>
          <w:tcPr>
            <w:tcW w:w="6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72,451</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89,926</w:t>
            </w: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71,084</w:t>
            </w:r>
          </w:p>
        </w:tc>
        <w:tc>
          <w:tcPr>
            <w:tcW w:w="100" w:type="dxa"/>
            <w:vAlign w:val="bottom"/>
            <w:tcBorders>
              <w:top w:val="single" w:sz="8" w:color="CCEEFF"/>
            </w:tcBorders>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5720" w:type="dxa"/>
            <w:vAlign w:val="bottom"/>
          </w:tcPr>
          <w:p>
            <w:pPr>
              <w:jc w:val="center"/>
              <w:ind w:left="2911"/>
              <w:spacing w:after="0"/>
              <w:rPr>
                <w:sz w:val="20"/>
                <w:szCs w:val="20"/>
                <w:color w:val="auto"/>
              </w:rPr>
            </w:pPr>
            <w:r>
              <w:rPr>
                <w:rFonts w:ascii="Arial" w:cs="Arial" w:eastAsia="Arial" w:hAnsi="Arial"/>
                <w:sz w:val="18"/>
                <w:szCs w:val="18"/>
                <w:b w:val="1"/>
                <w:bCs w:val="1"/>
                <w:color w:val="auto"/>
                <w:w w:val="90"/>
              </w:rPr>
              <w:t>Qualys, Inc.</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200" w:type="dxa"/>
            <w:vAlign w:val="bottom"/>
            <w:gridSpan w:val="4"/>
          </w:tcPr>
          <w:p>
            <w:pPr>
              <w:jc w:val="center"/>
              <w:ind w:left="145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5720" w:type="dxa"/>
            <w:vAlign w:val="bottom"/>
          </w:tcPr>
          <w:p>
            <w:pPr>
              <w:jc w:val="center"/>
              <w:ind w:left="2911"/>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12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70,960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91,572</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69,336</w:t>
            </w: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35,897</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32,845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31,201</w:t>
            </w:r>
          </w:p>
        </w:tc>
      </w:tr>
      <w:tr>
        <w:trPr>
          <w:trHeight w:val="213"/>
        </w:trPr>
        <w:tc>
          <w:tcPr>
            <w:tcW w:w="6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Write off of noncurrent asset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980" w:type="dxa"/>
            <w:vAlign w:val="bottom"/>
            <w:gridSpan w:val="2"/>
          </w:tcPr>
          <w:p>
            <w:pPr>
              <w:ind w:left="32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3"/>
        </w:trPr>
        <w:tc>
          <w:tcPr>
            <w:tcW w:w="6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3"/>
        </w:trPr>
        <w:tc>
          <w:tcPr>
            <w:tcW w:w="698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67,579</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40,035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34,892</w:t>
            </w:r>
          </w:p>
        </w:tc>
      </w:tr>
      <w:tr>
        <w:trPr>
          <w:trHeight w:val="213"/>
        </w:trPr>
        <w:tc>
          <w:tcPr>
            <w:tcW w:w="6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premiums (accretion of discounts) on marketable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(1,597)</w:t>
            </w:r>
          </w:p>
        </w:tc>
      </w:tr>
      <w:tr>
        <w:trPr>
          <w:trHeight w:val="213"/>
        </w:trPr>
        <w:tc>
          <w:tcPr>
            <w:tcW w:w="698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(9,723)</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3,512</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7,095</w:t>
            </w:r>
          </w:p>
        </w:tc>
      </w:tr>
      <w:tr>
        <w:trPr>
          <w:trHeight w:val="213"/>
        </w:trPr>
        <w:tc>
          <w:tcPr>
            <w:tcW w:w="6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(9,221)</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(22,631)</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(2,456)</w:t>
            </w:r>
          </w:p>
        </w:tc>
      </w:tr>
      <w:tr>
        <w:trPr>
          <w:trHeight w:val="213"/>
        </w:trPr>
        <w:tc>
          <w:tcPr>
            <w:tcW w:w="6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(6,012)</w:t>
            </w:r>
          </w:p>
        </w:tc>
      </w:tr>
      <w:tr>
        <w:trPr>
          <w:trHeight w:val="213"/>
        </w:trPr>
        <w:tc>
          <w:tcPr>
            <w:tcW w:w="698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(1,076)</w:t>
            </w:r>
          </w:p>
        </w:tc>
      </w:tr>
      <w:tr>
        <w:trPr>
          <w:trHeight w:val="213"/>
        </w:trPr>
        <w:tc>
          <w:tcPr>
            <w:tcW w:w="6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 and other noncurrent liabilities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3"/>
        </w:trPr>
        <w:tc>
          <w:tcPr>
            <w:tcW w:w="6980" w:type="dxa"/>
            <w:vAlign w:val="bottom"/>
            <w:gridSpan w:val="2"/>
          </w:tcPr>
          <w:p>
            <w:pPr>
              <w:ind w:left="48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46,591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30,927</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28,060</w:t>
            </w:r>
          </w:p>
        </w:tc>
      </w:tr>
      <w:tr>
        <w:trPr>
          <w:trHeight w:val="207"/>
        </w:trPr>
        <w:tc>
          <w:tcPr>
            <w:tcW w:w="698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200,616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(368,450)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(391,693)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(331,131)</w:t>
            </w: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363,941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341,879</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328,350</w:t>
            </w: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(24,424)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(30,037)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(27,573)</w:t>
            </w: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(4,050)</w:t>
            </w: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Maturity (purchase) of note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r>
      <w:tr>
        <w:trPr>
          <w:trHeight w:val="20"/>
        </w:trPr>
        <w:tc>
          <w:tcPr>
            <w:tcW w:w="1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(29,532)</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(80,932)</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(35,029)</w:t>
            </w:r>
          </w:p>
        </w:tc>
      </w:tr>
      <w:tr>
        <w:trPr>
          <w:trHeight w:val="207"/>
        </w:trPr>
        <w:tc>
          <w:tcPr>
            <w:tcW w:w="6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 from financing activities: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(129,977)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(126,729)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(86,424)</w:t>
            </w: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49,994</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34,461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24,831</w:t>
            </w: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(27,815)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(15,743)</w:t>
            </w: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Principal payments under finance lease obligations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r>
      <w:tr>
        <w:trPr>
          <w:trHeight w:val="20"/>
        </w:trPr>
        <w:tc>
          <w:tcPr>
            <w:tcW w:w="1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(107,888)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(112,581)</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(79,045)</w:t>
            </w:r>
          </w:p>
        </w:tc>
      </w:tr>
      <w:tr>
        <w:trPr>
          <w:trHeight w:val="20"/>
        </w:trPr>
        <w:tc>
          <w:tcPr>
            <w:tcW w:w="126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(13,427)</w:t>
            </w:r>
          </w:p>
        </w:tc>
        <w:tc>
          <w:tcPr>
            <w:tcW w:w="3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46,533</w:t>
            </w:r>
          </w:p>
        </w:tc>
      </w:tr>
      <w:tr>
        <w:trPr>
          <w:trHeight w:val="213"/>
        </w:trPr>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88,759</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138,528</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75,332</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88,759</w:t>
            </w:r>
          </w:p>
        </w:tc>
      </w:tr>
      <w:tr>
        <w:trPr>
          <w:trHeight w:val="20"/>
        </w:trPr>
        <w:tc>
          <w:tcPr>
            <w:tcW w:w="1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698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Supplemental disclosures of cash flow information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6980" w:type="dxa"/>
            <w:vAlign w:val="bottom"/>
            <w:gridSpan w:val="2"/>
          </w:tcPr>
          <w:p>
            <w:pPr>
              <w:ind w:left="160"/>
              <w:spacing w:after="0"/>
              <w:rPr>
                <w:sz w:val="20"/>
                <w:szCs w:val="20"/>
                <w:color w:val="auto"/>
              </w:rPr>
            </w:pPr>
            <w:r>
              <w:rPr>
                <w:rFonts w:ascii="Arial" w:cs="Arial" w:eastAsia="Arial" w:hAnsi="Arial"/>
                <w:sz w:val="18"/>
                <w:szCs w:val="18"/>
                <w:color w:val="auto"/>
              </w:rPr>
              <w:t>Cash paid for interest expense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for income taxes, net of refunds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35,080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8,058</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3,031</w:t>
            </w:r>
          </w:p>
        </w:tc>
      </w:tr>
      <w:tr>
        <w:trPr>
          <w:trHeight w:val="213"/>
        </w:trPr>
        <w:tc>
          <w:tcPr>
            <w:tcW w:w="69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 recorded in accrued liabilities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26"/>
        </w:trPr>
        <w:tc>
          <w:tcPr>
            <w:tcW w:w="6980" w:type="dxa"/>
            <w:vAlign w:val="bottom"/>
            <w:gridSpan w:val="2"/>
          </w:tcPr>
          <w:p>
            <w:pPr>
              <w:ind w:left="160"/>
              <w:spacing w:after="0"/>
              <w:rPr>
                <w:sz w:val="20"/>
                <w:szCs w:val="20"/>
                <w:color w:val="auto"/>
              </w:rPr>
            </w:pPr>
            <w:r>
              <w:rPr>
                <w:rFonts w:ascii="Arial" w:cs="Arial" w:eastAsia="Arial" w:hAnsi="Arial"/>
                <w:sz w:val="18"/>
                <w:szCs w:val="18"/>
                <w:color w:val="auto"/>
                <w:w w:val="94"/>
              </w:rPr>
              <w:t>Purchases of property and equipment recorded in accounts payable and accrued liabilities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2,086</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6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1740" w:type="dxa"/>
            <w:vAlign w:val="bottom"/>
            <w:gridSpan w:val="5"/>
          </w:tcPr>
          <w:p>
            <w:pPr>
              <w:jc w:val="center"/>
              <w:ind w:left="51"/>
              <w:spacing w:after="0"/>
              <w:rPr>
                <w:sz w:val="20"/>
                <w:szCs w:val="20"/>
                <w:color w:val="auto"/>
              </w:rPr>
            </w:pPr>
            <w:r>
              <w:rPr>
                <w:rFonts w:ascii="Arial" w:cs="Arial" w:eastAsia="Arial" w:hAnsi="Arial"/>
                <w:sz w:val="18"/>
                <w:szCs w:val="18"/>
                <w:b w:val="1"/>
                <w:bCs w:val="1"/>
                <w:color w:val="auto"/>
                <w:w w:val="90"/>
              </w:rPr>
              <w:t>Qualys,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7480" w:type="dxa"/>
            <w:vAlign w:val="bottom"/>
            <w:gridSpan w:val="13"/>
          </w:tcPr>
          <w:p>
            <w:pPr>
              <w:jc w:val="center"/>
              <w:ind w:left="1111"/>
              <w:spacing w:after="0"/>
              <w:rPr>
                <w:sz w:val="20"/>
                <w:szCs w:val="20"/>
                <w:color w:val="auto"/>
              </w:rPr>
            </w:pPr>
            <w:r>
              <w:rPr>
                <w:rFonts w:ascii="Arial" w:cs="Arial" w:eastAsia="Arial" w:hAnsi="Arial"/>
                <w:sz w:val="18"/>
                <w:szCs w:val="18"/>
                <w:b w:val="1"/>
                <w:bCs w:val="1"/>
                <w:color w:val="auto"/>
                <w:w w:val="98"/>
              </w:rPr>
              <w:t>CONSOLIDATED STATEMENTS OF 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gridSpan w:val="5"/>
          </w:tcPr>
          <w:p>
            <w:pPr>
              <w:jc w:val="center"/>
              <w:ind w:left="51"/>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w w:val="87"/>
              </w:rPr>
              <w:t>Common Stock</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36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w w:val="96"/>
              </w:rPr>
              <w:t>Paid-In</w:t>
            </w:r>
          </w:p>
        </w:tc>
        <w:tc>
          <w:tcPr>
            <w:tcW w:w="1380" w:type="dxa"/>
            <w:vAlign w:val="bottom"/>
            <w:gridSpan w:val="4"/>
          </w:tcPr>
          <w:p>
            <w:pPr>
              <w:jc w:val="center"/>
              <w:ind w:right="40"/>
              <w:spacing w:after="0" w:line="189" w:lineRule="exact"/>
              <w:rPr>
                <w:sz w:val="20"/>
                <w:szCs w:val="20"/>
                <w:color w:val="auto"/>
              </w:rPr>
            </w:pPr>
            <w:r>
              <w:rPr>
                <w:rFonts w:ascii="Arial" w:cs="Arial" w:eastAsia="Arial" w:hAnsi="Arial"/>
                <w:sz w:val="18"/>
                <w:szCs w:val="18"/>
                <w:b w:val="1"/>
                <w:bCs w:val="1"/>
                <w:color w:val="auto"/>
                <w:w w:val="87"/>
              </w:rPr>
              <w:t>Comprehensive</w:t>
            </w:r>
          </w:p>
        </w:tc>
        <w:tc>
          <w:tcPr>
            <w:tcW w:w="1360" w:type="dxa"/>
            <w:vAlign w:val="bottom"/>
            <w:gridSpan w:val="4"/>
          </w:tcPr>
          <w:p>
            <w:pPr>
              <w:jc w:val="center"/>
              <w:ind w:right="12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20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39,015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330,572</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357,989</w:t>
            </w: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69,336</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60"/>
              <w:spacing w:after="0"/>
              <w:rPr>
                <w:sz w:val="20"/>
                <w:szCs w:val="20"/>
                <w:color w:val="auto"/>
              </w:rPr>
            </w:pPr>
            <w:r>
              <w:rPr>
                <w:rFonts w:ascii="Arial" w:cs="Arial" w:eastAsia="Arial" w:hAnsi="Arial"/>
                <w:sz w:val="18"/>
                <w:szCs w:val="18"/>
                <w:color w:val="auto"/>
                <w:w w:val="97"/>
              </w:rPr>
              <w:t>Issuance of common stock upon exercise of stock options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5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24,830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(86,424)</w:t>
            </w:r>
          </w:p>
        </w:tc>
        <w:tc>
          <w:tcPr>
            <w:tcW w:w="0" w:type="dxa"/>
            <w:vAlign w:val="bottom"/>
          </w:tcPr>
          <w:p>
            <w:pPr>
              <w:spacing w:after="0"/>
              <w:rPr>
                <w:sz w:val="1"/>
                <w:szCs w:val="1"/>
                <w:color w:val="auto"/>
              </w:rPr>
            </w:pPr>
          </w:p>
        </w:tc>
      </w:tr>
      <w:tr>
        <w:trPr>
          <w:trHeight w:val="199"/>
        </w:trPr>
        <w:tc>
          <w:tcPr>
            <w:tcW w:w="4680" w:type="dxa"/>
            <w:vAlign w:val="bottom"/>
            <w:gridSpan w:val="2"/>
          </w:tcPr>
          <w:p>
            <w:pPr>
              <w:ind w:left="160"/>
              <w:spacing w:after="0" w:line="199" w:lineRule="exact"/>
              <w:rPr>
                <w:sz w:val="20"/>
                <w:szCs w:val="20"/>
                <w:color w:val="auto"/>
              </w:rPr>
            </w:pPr>
            <w:r>
              <w:rPr>
                <w:rFonts w:ascii="Arial" w:cs="Arial" w:eastAsia="Arial" w:hAnsi="Arial"/>
                <w:sz w:val="18"/>
                <w:szCs w:val="18"/>
                <w:color w:val="auto"/>
                <w:w w:val="96"/>
              </w:rPr>
              <w:t>Issuance of common stock upon vesting of restricted 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gridSpan w:val="2"/>
          </w:tcPr>
          <w:p>
            <w:pPr>
              <w:ind w:left="320"/>
              <w:spacing w:after="0"/>
              <w:rPr>
                <w:sz w:val="20"/>
                <w:szCs w:val="20"/>
                <w:color w:val="auto"/>
              </w:rPr>
            </w:pPr>
            <w:r>
              <w:rPr>
                <w:rFonts w:ascii="Arial" w:cs="Arial" w:eastAsia="Arial" w:hAnsi="Arial"/>
                <w:sz w:val="18"/>
                <w:szCs w:val="18"/>
                <w:color w:val="auto"/>
              </w:rPr>
              <w:t>units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439</w:t>
            </w:r>
          </w:p>
        </w:tc>
        <w:tc>
          <w:tcPr>
            <w:tcW w:w="5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 related to net share settlement of equity awards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(15,743)</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35,066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35,066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39,146</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362,408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23,194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386,803</w:t>
            </w: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91,572</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91,572</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60"/>
              <w:spacing w:after="0"/>
              <w:rPr>
                <w:sz w:val="20"/>
                <w:szCs w:val="20"/>
                <w:color w:val="auto"/>
              </w:rPr>
            </w:pPr>
            <w:r>
              <w:rPr>
                <w:rFonts w:ascii="Arial" w:cs="Arial" w:eastAsia="Arial" w:hAnsi="Arial"/>
                <w:sz w:val="18"/>
                <w:szCs w:val="18"/>
                <w:color w:val="auto"/>
                <w:w w:val="97"/>
              </w:rPr>
              <w:t>Issuance of common stock upon exercise of stock options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5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34,460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34,461</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(126,729)</w:t>
            </w:r>
          </w:p>
        </w:tc>
        <w:tc>
          <w:tcPr>
            <w:tcW w:w="0" w:type="dxa"/>
            <w:vAlign w:val="bottom"/>
          </w:tcPr>
          <w:p>
            <w:pPr>
              <w:spacing w:after="0"/>
              <w:rPr>
                <w:sz w:val="1"/>
                <w:szCs w:val="1"/>
                <w:color w:val="auto"/>
              </w:rPr>
            </w:pPr>
          </w:p>
        </w:tc>
      </w:tr>
      <w:tr>
        <w:trPr>
          <w:trHeight w:val="199"/>
        </w:trPr>
        <w:tc>
          <w:tcPr>
            <w:tcW w:w="4680" w:type="dxa"/>
            <w:vAlign w:val="bottom"/>
            <w:gridSpan w:val="2"/>
          </w:tcPr>
          <w:p>
            <w:pPr>
              <w:ind w:left="160"/>
              <w:spacing w:after="0" w:line="199" w:lineRule="exact"/>
              <w:rPr>
                <w:sz w:val="20"/>
                <w:szCs w:val="20"/>
                <w:color w:val="auto"/>
              </w:rPr>
            </w:pPr>
            <w:r>
              <w:rPr>
                <w:rFonts w:ascii="Arial" w:cs="Arial" w:eastAsia="Arial" w:hAnsi="Arial"/>
                <w:sz w:val="18"/>
                <w:szCs w:val="18"/>
                <w:color w:val="auto"/>
                <w:w w:val="96"/>
              </w:rPr>
              <w:t>Issuance of common stock upon vesting of restricted 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gridSpan w:val="2"/>
          </w:tcPr>
          <w:p>
            <w:pPr>
              <w:ind w:left="320"/>
              <w:spacing w:after="0"/>
              <w:rPr>
                <w:sz w:val="20"/>
                <w:szCs w:val="20"/>
                <w:color w:val="auto"/>
              </w:rPr>
            </w:pPr>
            <w:r>
              <w:rPr>
                <w:rFonts w:ascii="Arial" w:cs="Arial" w:eastAsia="Arial" w:hAnsi="Arial"/>
                <w:sz w:val="18"/>
                <w:szCs w:val="18"/>
                <w:color w:val="auto"/>
              </w:rPr>
              <w:t>units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5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 related to net share settlement of equity awards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(20,199)</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40,220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39,253</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401,359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3,568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404,482</w:t>
            </w: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70,960</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60"/>
              <w:spacing w:after="0"/>
              <w:rPr>
                <w:sz w:val="20"/>
                <w:szCs w:val="20"/>
                <w:color w:val="auto"/>
              </w:rPr>
            </w:pPr>
            <w:r>
              <w:rPr>
                <w:rFonts w:ascii="Arial" w:cs="Arial" w:eastAsia="Arial" w:hAnsi="Arial"/>
                <w:sz w:val="18"/>
                <w:szCs w:val="18"/>
                <w:color w:val="auto"/>
                <w:w w:val="97"/>
              </w:rPr>
              <w:t>Issuance of common stock upon exercise of stock options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5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49,994</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(116,183)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(129,977)</w:t>
            </w:r>
          </w:p>
        </w:tc>
        <w:tc>
          <w:tcPr>
            <w:tcW w:w="0" w:type="dxa"/>
            <w:vAlign w:val="bottom"/>
          </w:tcPr>
          <w:p>
            <w:pPr>
              <w:spacing w:after="0"/>
              <w:rPr>
                <w:sz w:val="1"/>
                <w:szCs w:val="1"/>
                <w:color w:val="auto"/>
              </w:rPr>
            </w:pPr>
          </w:p>
        </w:tc>
      </w:tr>
      <w:tr>
        <w:trPr>
          <w:trHeight w:val="199"/>
        </w:trPr>
        <w:tc>
          <w:tcPr>
            <w:tcW w:w="4680" w:type="dxa"/>
            <w:vAlign w:val="bottom"/>
            <w:gridSpan w:val="2"/>
          </w:tcPr>
          <w:p>
            <w:pPr>
              <w:ind w:left="160"/>
              <w:spacing w:after="0" w:line="199" w:lineRule="exact"/>
              <w:rPr>
                <w:sz w:val="20"/>
                <w:szCs w:val="20"/>
                <w:color w:val="auto"/>
              </w:rPr>
            </w:pPr>
            <w:r>
              <w:rPr>
                <w:rFonts w:ascii="Arial" w:cs="Arial" w:eastAsia="Arial" w:hAnsi="Arial"/>
                <w:sz w:val="18"/>
                <w:szCs w:val="18"/>
                <w:color w:val="auto"/>
                <w:w w:val="96"/>
              </w:rPr>
              <w:t>Issuance of common stock upon vesting of restricted 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80" w:type="dxa"/>
            <w:vAlign w:val="bottom"/>
            <w:gridSpan w:val="2"/>
          </w:tcPr>
          <w:p>
            <w:pPr>
              <w:ind w:left="320"/>
              <w:spacing w:after="0"/>
              <w:rPr>
                <w:sz w:val="20"/>
                <w:szCs w:val="20"/>
                <w:color w:val="auto"/>
              </w:rPr>
            </w:pPr>
            <w:r>
              <w:rPr>
                <w:rFonts w:ascii="Arial" w:cs="Arial" w:eastAsia="Arial" w:hAnsi="Arial"/>
                <w:sz w:val="18"/>
                <w:szCs w:val="18"/>
                <w:color w:val="auto"/>
              </w:rPr>
              <w:t>units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5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 related to net share settlement of equity awards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(27,815)</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67,579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67,579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39,112</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477,323</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(41,655</w:t>
            </w: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436,714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The Company and Summary of Significant Accounting Policies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0"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The accompanying consolidated financial statements and footnotes have been prepared in accordance with U.S. GAAP as well as the instructions to Form 10-K and the rules and regulations of the SEC.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0"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In March 2020, the World Health Organization declared the outbreak of COVID-19 as a pandemic. As a result of COVID-19, the Company has modified certain aspects of its business, including restricting employee travel, requiring employees to 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COVID-19 pandemic to date and does not expect the pandemic will have a significant impact on the Company’s business in 2022, the Company is unable to accurately predict the full impact that COVID-19 will have due to numerous uncertainties, including the duration of the outbreak,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consolidated financial statements.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186"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Credit risk with respect to accounts receivable is dispersed due to the large number of customers. Collateral is not required for accounts receivable. As of December 31, 2021 and 2020, no customer or channel partner accounted for more than 10% of the Company's revenues and accounts receivable balance.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Cash Equivalents, Restricted cash and Short-Term and Long-Term Marketable Securities</w:t>
      </w:r>
    </w:p>
    <w:p>
      <w:pPr>
        <w:spacing w:after="0" w:line="22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Cash and cash equivalents include cash held in banks, highly liquid money market funds and commercial paper, all with original maturities of three months or less when acquired. The Company’s short-term and long-term marketable securities consist of fixed-income U.S. and foreign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w:t>
      </w:r>
    </w:p>
    <w:p>
      <w:pPr>
        <w:spacing w:after="0" w:line="177"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As of both December 31, 2021 and 2020, the Company has a restricted cash balance of $1.2 million in the form of a letter of credit issued to the landlord of the Company's California headquarter office lease as security deposit.</w:t>
      </w:r>
    </w:p>
    <w:p>
      <w:pPr>
        <w:spacing w:after="0" w:line="175"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Cash equivalents are stated at cost, which approximates fair market value. Short-term and long-term marketable securities are classified as available-for-sale debt securities (AFS debt securities) and are carried at fair value. Unrealized gains and losses in fair value of the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AFS debt securities are reviewed quarterly for impairment. An investment is considered impaired when its fair value is below its amortized cost. Declines in fair value from amortized cost for AFS debt securities that the company intends to sell or will more likely than not be required to sell before the expected recovery of the amortized cost basis are charged to other income (expense), net in the period in which the loss occurs. Otherwise, the credit loss component of the impairment is recorded as allowance for credit losses with an offsetting entry charged to other income (expense), net, while the remaining loss is recognized in other comprehensive income (loss).</w:t>
      </w:r>
    </w:p>
    <w:p>
      <w:pPr>
        <w:sectPr>
          <w:pgSz w:w="11900" w:h="16838" w:orient="portrait"/>
          <w:cols w:equalWidth="0" w:num="1">
            <w:col w:w="11240"/>
          </w:cols>
          <w:pgMar w:left="320" w:top="125" w:right="339" w:bottom="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25" w:right="339" w:bottom="0" w:gutter="0" w:footer="0" w:header="0"/>
          <w:type w:val="continuous"/>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Accounts receivable are recorded at the invoiced amount and do not bear interest. The allowance for credit losses is determined on a collective basis where similar risk characteristics exist and on an individual basis when we identify significant customers or invoices with collectability issues. The estimate for credit losses considers historical write-offs by aging category, that are adjusted for current conditions and reasonable and supportable forecasts of future losses. Any change in the assumptions used in analyzing credit losses may result in additional allowances being recognized in the period in which the change occurs. When the Company ultimately concludes that a receivable is uncollectible, the balance is written off against the allowance for credit losses. Payments subsequently received on such receivables are recognized in the period received. The allowance for credit losses recognized and write-offs charged against the allowance were not significant for the years ended December 31, 2021 and 2020.</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In 2018, the Company invested $2.5 million in preferred stock of a privately-held company (the “Investee”). The fair value of the investment is not readily available, and there are no quoted market prices for the investment. The Company elected the measurement alternative to account for the investment at cost less impairment and will measure the investment at fair value when the Company identifies observable price changes. The investment is assessed for impairment annually or whenever events or changes in circumstances indicate that the carrying amount may not be recoverable. No impairment has been incurred related to the investment. The investment is included in other noncurrent assets in the consolidated balance sheets. The Company has not received any dividends from the investment.</w:t>
      </w:r>
    </w:p>
    <w:p>
      <w:pPr>
        <w:spacing w:after="0" w:line="19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In 2019, the Company made an advance payment of $0.6 million to the Investee for it to perform certain technology development work, which should either be settled in the form of royalty fee charges when the technology materializes and is licensed to the Company or, otherwise, should be repaid to the Company in cash. The advance payment was recorded in other non-current assets in the consolidated balance sheet. During the fourth quarter ended December 31, 2021, the technology has not been developed and the Company decided to no longer pursue the development of the technology or the collection of the advanced amount. Accordingly, the entire amount of the advance payment was written off and recorded in the general and administrative expense during the year ended December 31, 2021.</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remaining lease term.</w:t>
      </w:r>
    </w:p>
    <w:p>
      <w:pPr>
        <w:spacing w:after="0" w:line="186" w:lineRule="exact"/>
        <w:rPr>
          <w:sz w:val="20"/>
          <w:szCs w:val="20"/>
          <w:color w:val="auto"/>
        </w:rPr>
      </w:pPr>
    </w:p>
    <w:p>
      <w:pPr>
        <w:jc w:val="both"/>
        <w:ind w:right="20" w:firstLine="400"/>
        <w:spacing w:after="0" w:line="333" w:lineRule="auto"/>
        <w:rPr>
          <w:sz w:val="20"/>
          <w:szCs w:val="20"/>
          <w:color w:val="auto"/>
        </w:rPr>
      </w:pPr>
      <w:r>
        <w:rPr>
          <w:rFonts w:ascii="Arial" w:cs="Arial" w:eastAsia="Arial" w:hAnsi="Arial"/>
          <w:sz w:val="16"/>
          <w:szCs w:val="16"/>
          <w:color w:val="auto"/>
        </w:rPr>
        <w:t>The Company purchases physical scanner appliances and other computer equipment that are provided to customers on a subscription basis. This equipment is recorded within property and equipment and the depreciation is recorded in cost of revenues over an estimated useful life of three years.</w:t>
      </w:r>
    </w:p>
    <w:p>
      <w:pPr>
        <w:spacing w:after="0" w:line="13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22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Company leases certain offices, computer equipment and its data center facilities under finance leases and non-cancelable operating leases. For both operating and finance leases, we recognize a right-of-use asset, which represents our right to use the underlying asset for the lease term, and a lease liability, which represents the present value of our obligation to make payments arising over the lease term. Many of our leases include rental escalation clauses, renewal options and/or termination options that are factored into our determination of lease payments and lease terms when appropriate. The present value of the lease payments is calculated using the incremental borrowing rate of the underlying leases determined at lease commencement. As most of our leases do not provide a readily determinable implicit rate, the Company determines an incremental borrowing rate using a portfolio approach based on the rate of interest that the Company would have to pay to borrow an amount equal to the lease payments on a collateralized basis over a similar term as the leases.</w:t>
      </w:r>
    </w:p>
    <w:p>
      <w:pPr>
        <w:spacing w:after="0" w:line="182"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Where the Company is the lessee, the Company elects to account for non-lease components associated with its leases (e.g., common area maintenance costs) and lease components separately for substantially all of its asset classes, except for data centers, for which the Company elected to combine lease and non-lease components. For leases with a term of one year or less, the Company has elected not to record the right-of-use asset or liability.</w:t>
      </w:r>
    </w:p>
    <w:p>
      <w:pPr>
        <w:spacing w:after="0" w:line="15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In arrangements where the Company is the lessor, the Company elected to apply the practical expedient to account for lease components (e.g., customer premise equipment) and non-lease components (e.g., service revenue) as combined components as revenue under ASC 606 as service revenues are the predominant components in the arrangements.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For the years ended December 31, 2021, 2020 and 2019, there was no impairment of long-lived assets.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Goodwill and indefinite-lived intangible assets are not amortized but tested for impairment at least annually or more frequently if certain circumstances indicate a possible impairment may exist. The goodwill impairment tests are performed at the reporting unit level. The Company’s operations are organized as one reporting unit.</w:t>
      </w:r>
    </w:p>
    <w:p>
      <w:pPr>
        <w:spacing w:after="0" w:line="188"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In testing for a potential impairment of goodwill and the indefinite-lived intangible assets, the Company first performs a qualitative assessment to determine if it is more likely than not (a more than 50% likelihood) that the fair value of the reporting unit or the indefinite-lived intangible assets is less than</w:t>
      </w:r>
    </w:p>
    <w:p>
      <w:pPr>
        <w:sectPr>
          <w:pgSz w:w="11900" w:h="16874" w:orient="portrait"/>
          <w:cols w:equalWidth="0" w:num="1">
            <w:col w:w="11240"/>
          </w:cols>
          <w:pgMar w:left="320" w:top="125" w:right="339" w:bottom="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their carrying amount. If the fair value is not considered to be less than the carrying amount, no further evaluation is necessary. Otherwise, the Company will perform a quantitative test. Goodwill impairment is measured as the amount by which the carrying value of the reporting unit or the indefinite-lived intangible assets exceeds their fair value. The Company performed the annual assessments on December 1, 2021 and 2020 and concluded there was no impairment of goodwill or the indefinite-lived intangible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Company applies the provisions of ASC 805, Business Combinations, in accounting for its acquisitions. It requires the Company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0"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Derivative financial instruments are utilized by the Company to reduce foreign currency exchange risks. The Company uses foreign currency forward contracts, with maturities of 13 months or less,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consolidated statements of operations. Cash flows related to these forward contracts are classified in our consolidated statements of cash flows in the same manner as the underlying hedged transaction within cash flows from operating activities.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The Company recognizes the fair value of its stock options, restricted stock units (“RSUs”) and stock purchase rights under the employee stock purchase plan (the “ESPP”) on a straight-line basis over the requisite service periods. The fair value of each stock option or stock purchase right is estimated on the date of grant using the Black-Scholes-Merton option pricing model and the fair value of each RSU is based on the Company's common stock price on the date of grant. Compensation expenses for performance-based stock options (“PSOs”) and performance-based restricted stock units (“PSUs”) are recorded based on expected achievement of the performance metrics specified in the grant, which are assessed on a quarterly basis. Forfeitures are estimated on the date of grant and revised if actual or expected forfeiture materially differs from original estimates.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The Company derives revenues from subscriptions that require customers to pay a fee in order to access the Company’s cloud solutions. Contract period with customers generally ranges from less than a year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its Qualys Cloud Platform into its customers’ private cloud environment. Customers are required to return physical scanner appliances and computer equipment if they do not renew their subscriptions.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0" w:lineRule="exact"/>
        <w:rPr>
          <w:sz w:val="20"/>
          <w:szCs w:val="20"/>
          <w:color w:val="auto"/>
        </w:rPr>
      </w:pPr>
    </w:p>
    <w:p>
      <w:pPr>
        <w:ind w:left="800" w:hanging="31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73" w:lineRule="exact"/>
        <w:rPr>
          <w:rFonts w:ascii="Arial" w:cs="Arial" w:eastAsia="Arial" w:hAnsi="Arial"/>
          <w:sz w:val="18"/>
          <w:szCs w:val="18"/>
          <w:color w:val="auto"/>
        </w:rPr>
      </w:pPr>
    </w:p>
    <w:p>
      <w:pPr>
        <w:ind w:left="800" w:hanging="31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73" w:lineRule="exact"/>
        <w:rPr>
          <w:rFonts w:ascii="Arial" w:cs="Arial" w:eastAsia="Arial" w:hAnsi="Arial"/>
          <w:sz w:val="18"/>
          <w:szCs w:val="18"/>
          <w:color w:val="auto"/>
        </w:rPr>
      </w:pPr>
    </w:p>
    <w:p>
      <w:pPr>
        <w:ind w:left="800" w:hanging="31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73" w:lineRule="exact"/>
        <w:rPr>
          <w:rFonts w:ascii="Arial" w:cs="Arial" w:eastAsia="Arial" w:hAnsi="Arial"/>
          <w:sz w:val="18"/>
          <w:szCs w:val="18"/>
          <w:color w:val="auto"/>
        </w:rPr>
      </w:pPr>
    </w:p>
    <w:p>
      <w:pPr>
        <w:ind w:left="800" w:hanging="31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73" w:lineRule="exact"/>
        <w:rPr>
          <w:rFonts w:ascii="Arial" w:cs="Arial" w:eastAsia="Arial" w:hAnsi="Arial"/>
          <w:sz w:val="18"/>
          <w:szCs w:val="18"/>
          <w:color w:val="auto"/>
        </w:rPr>
      </w:pPr>
    </w:p>
    <w:p>
      <w:pPr>
        <w:ind w:left="800" w:hanging="31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47"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86"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Most of the Company’s revenue contracts are subscription based and contain a single performance obligation. The subscription contracts typically do not offer to the customers any future rights that would constitute material rights.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 A cumulative catch-up adjustment is made when there is a change in the estimate of variable consideration.</w:t>
      </w:r>
    </w:p>
    <w:p>
      <w:pPr>
        <w:spacing w:after="0" w:line="167"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As the Company's cloud-based subscription services are delivered to customers electronically and over time, revenue is generally recognized ratably over the contract terms. When physical equipment is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77" w:lineRule="exact"/>
        <w:rPr>
          <w:sz w:val="20"/>
          <w:szCs w:val="20"/>
          <w:color w:val="auto"/>
        </w:rPr>
      </w:pPr>
    </w:p>
    <w:p>
      <w:pPr>
        <w:jc w:val="both"/>
        <w:ind w:right="20" w:firstLine="400"/>
        <w:spacing w:after="0" w:line="333" w:lineRule="auto"/>
        <w:rPr>
          <w:sz w:val="20"/>
          <w:szCs w:val="20"/>
          <w:color w:val="auto"/>
        </w:rPr>
      </w:pPr>
      <w:r>
        <w:rPr>
          <w:rFonts w:ascii="Arial" w:cs="Arial" w:eastAsia="Arial" w:hAnsi="Arial"/>
          <w:sz w:val="16"/>
          <w:szCs w:val="16"/>
          <w:color w:val="auto"/>
        </w:rPr>
        <w:t>Contract modifications happen when there is an upsell, where the customers subsequently enter into contract with the Company to purchase additional product offerings or additional scans for additional devices. Contract modifications related to upsells are typically accounted for prospectively.</w:t>
      </w:r>
    </w:p>
    <w:p>
      <w:pPr>
        <w:spacing w:after="0" w:line="130" w:lineRule="exact"/>
        <w:rPr>
          <w:sz w:val="20"/>
          <w:szCs w:val="20"/>
          <w:color w:val="auto"/>
        </w:rPr>
      </w:pPr>
    </w:p>
    <w:p>
      <w:pPr>
        <w:jc w:val="both"/>
        <w:ind w:right="20" w:firstLine="400"/>
        <w:spacing w:after="0" w:line="333" w:lineRule="auto"/>
        <w:rPr>
          <w:sz w:val="20"/>
          <w:szCs w:val="20"/>
          <w:color w:val="auto"/>
        </w:rPr>
      </w:pPr>
      <w:r>
        <w:rPr>
          <w:rFonts w:ascii="Arial" w:cs="Arial" w:eastAsia="Arial" w:hAnsi="Arial"/>
          <w:sz w:val="16"/>
          <w:szCs w:val="16"/>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30"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30"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0"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Advertising costs are expensed as incurred and are included in sales and marketing expense in the consolidated statements of operations. The Company incurred advertising costs of $2.1 million, $1.6 million and $1.5 million for the years ended December 31, 2021, 2020 and 2019,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88"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income tax provision (benefit), its deferred tax assets and liabilities, and any valuation allowance to be recorded against its deferred tax assets. The Company's estimates and assumptions may differ from the actual results as reflected on its income tax returns and will record the required adjustments when they are identified or resolved.</w:t>
      </w:r>
    </w:p>
    <w:p>
      <w:pPr>
        <w:spacing w:after="0" w:line="177" w:lineRule="exact"/>
        <w:rPr>
          <w:sz w:val="20"/>
          <w:szCs w:val="20"/>
          <w:color w:val="auto"/>
        </w:rPr>
      </w:pPr>
    </w:p>
    <w:p>
      <w:pPr>
        <w:jc w:val="both"/>
        <w:ind w:firstLine="400"/>
        <w:spacing w:after="0" w:line="264" w:lineRule="auto"/>
        <w:rPr>
          <w:sz w:val="20"/>
          <w:szCs w:val="20"/>
          <w:color w:val="auto"/>
        </w:rPr>
      </w:pPr>
      <w:r>
        <w:rPr>
          <w:rFonts w:ascii="Arial" w:cs="Arial" w:eastAsia="Arial" w:hAnsi="Arial"/>
          <w:sz w:val="17"/>
          <w:szCs w:val="17"/>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Other comprehensive income (loss) consists of unrealized gains (losses) on marketable securities, net of tax, and derivative financial instruments designated as cash flow hedges which are not included in the Company’s net income. Total comprehensive income includes net income and other comprehensive income (loss) and is included in the consolidated statements of comprehensive income.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0"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0"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outstanding during the period. Diluted net income per share is computed by dividing net income by the weighted-average number of shares outstanding plus potentially dilutive shares outstanding during the period. The potentially dilutive shares are computed by applying the treasury stock method to the Company's stock options, RSUs and the stock purchase rights under the ESPP. Any potential shares that would be anti-dilutive are excluded from the computation of diluted net income per share.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In December 2019, the Financial Accounting Standards Board ("FASB") issued Accounting Standard Update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adopted ASU 2019-12 in the first quarter of 2021 with no material impact on the Company's consolidated financial statements.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0"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Company does not believe any other new accounting pronouncements issued by the FASB that have not become effective will have a material impact on its consolidated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Fair Value of Financial Instruments</w:t>
      </w:r>
    </w:p>
    <w:p>
      <w:pPr>
        <w:spacing w:after="0" w:line="224"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7"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less active or inactive markets, quoted prices for similar assets or liabilities in active markets, or inputs other than quoted prices that are observable for substantially the full term of the assets or liabilities.</w:t>
      </w:r>
    </w:p>
    <w:p>
      <w:pPr>
        <w:spacing w:after="0" w:line="18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5"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60"/>
              <w:spacing w:after="0"/>
              <w:rPr>
                <w:sz w:val="20"/>
                <w:szCs w:val="20"/>
                <w:color w:val="auto"/>
              </w:rPr>
            </w:pPr>
            <w:r>
              <w:rPr>
                <w:rFonts w:ascii="Arial" w:cs="Arial" w:eastAsia="Arial" w:hAnsi="Arial"/>
                <w:sz w:val="18"/>
                <w:szCs w:val="18"/>
                <w:color w:val="auto"/>
              </w:rPr>
              <w:t>Cash</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61,220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61,220</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0" w:type="dxa"/>
            <w:vAlign w:val="bottom"/>
          </w:tcPr>
          <w:p>
            <w:pPr>
              <w:spacing w:after="0"/>
              <w:rPr>
                <w:sz w:val="1"/>
                <w:szCs w:val="1"/>
                <w:color w:val="auto"/>
              </w:rPr>
            </w:pPr>
          </w:p>
        </w:tc>
      </w:tr>
      <w:tr>
        <w:trPr>
          <w:trHeight w:val="213"/>
        </w:trPr>
        <w:tc>
          <w:tcPr>
            <w:tcW w:w="42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13"/>
        </w:trPr>
        <w:tc>
          <w:tcPr>
            <w:tcW w:w="42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216,999</w:t>
            </w:r>
          </w:p>
        </w:tc>
        <w:tc>
          <w:tcPr>
            <w:tcW w:w="0" w:type="dxa"/>
            <w:vAlign w:val="bottom"/>
          </w:tcPr>
          <w:p>
            <w:pPr>
              <w:spacing w:after="0"/>
              <w:rPr>
                <w:sz w:val="1"/>
                <w:szCs w:val="1"/>
                <w:color w:val="auto"/>
              </w:rPr>
            </w:pPr>
          </w:p>
        </w:tc>
      </w:tr>
      <w:tr>
        <w:trPr>
          <w:trHeight w:val="213"/>
        </w:trPr>
        <w:tc>
          <w:tcPr>
            <w:tcW w:w="4280" w:type="dxa"/>
            <w:vAlign w:val="bottom"/>
          </w:tcPr>
          <w:p>
            <w:pPr>
              <w:ind w:left="160"/>
              <w:spacing w:after="0"/>
              <w:rPr>
                <w:sz w:val="20"/>
                <w:szCs w:val="20"/>
                <w:color w:val="auto"/>
              </w:rPr>
            </w:pPr>
            <w:r>
              <w:rPr>
                <w:rFonts w:ascii="Arial" w:cs="Arial" w:eastAsia="Arial" w:hAnsi="Arial"/>
                <w:sz w:val="18"/>
                <w:szCs w:val="18"/>
                <w:color w:val="auto"/>
              </w:rPr>
              <w:t>U.S. Treasury and government agencies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267,960</w:t>
            </w:r>
          </w:p>
        </w:tc>
        <w:tc>
          <w:tcPr>
            <w:tcW w:w="0" w:type="dxa"/>
            <w:vAlign w:val="bottom"/>
          </w:tcPr>
          <w:p>
            <w:pPr>
              <w:spacing w:after="0"/>
              <w:rPr>
                <w:sz w:val="1"/>
                <w:szCs w:val="1"/>
                <w:color w:val="auto"/>
              </w:rPr>
            </w:pPr>
          </w:p>
        </w:tc>
      </w:tr>
      <w:tr>
        <w:trPr>
          <w:trHeight w:val="207"/>
        </w:trPr>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marketable securities:</w:t>
            </w:r>
          </w:p>
        </w:tc>
        <w:tc>
          <w:tcPr>
            <w:tcW w:w="1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3"/>
        </w:trPr>
        <w:tc>
          <w:tcPr>
            <w:tcW w:w="4280" w:type="dxa"/>
            <w:vAlign w:val="bottom"/>
          </w:tcPr>
          <w:p>
            <w:pPr>
              <w:ind w:left="160"/>
              <w:spacing w:after="0"/>
              <w:rPr>
                <w:sz w:val="20"/>
                <w:szCs w:val="20"/>
                <w:color w:val="auto"/>
              </w:rPr>
            </w:pPr>
            <w:r>
              <w:rPr>
                <w:rFonts w:ascii="Arial" w:cs="Arial" w:eastAsia="Arial" w:hAnsi="Arial"/>
                <w:sz w:val="18"/>
                <w:szCs w:val="18"/>
                <w:color w:val="auto"/>
              </w:rPr>
              <w:t>U.S. Treasury and government agencies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37,528</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3"/>
        </w:trPr>
        <w:tc>
          <w:tcPr>
            <w:tcW w:w="42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57,740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111,374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111,198</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516,729</w:t>
            </w:r>
          </w:p>
        </w:tc>
        <w:tc>
          <w:tcPr>
            <w:tcW w:w="12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516,486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00" w:type="dxa"/>
            <w:vAlign w:val="bottom"/>
            <w:vMerge w:val="restart"/>
          </w:tcPr>
          <w:p>
            <w:pPr>
              <w:jc w:val="right"/>
              <w:ind w:right="171"/>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1260" w:type="dxa"/>
            <w:vAlign w:val="bottom"/>
            <w:tcBorders>
              <w:top w:val="single" w:sz="8" w:color="0000EE"/>
            </w:tcBorders>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2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12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08"/>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33,105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33,105</w:t>
            </w:r>
          </w:p>
        </w:tc>
      </w:tr>
      <w:tr>
        <w:trPr>
          <w:trHeight w:val="227"/>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8"/>
                <w:szCs w:val="18"/>
                <w:color w:val="auto"/>
              </w:rPr>
            </w:pPr>
          </w:p>
        </w:tc>
      </w:tr>
      <w:tr>
        <w:trPr>
          <w:trHeight w:val="207"/>
        </w:trPr>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r>
      <w:tr>
        <w:trPr>
          <w:trHeight w:val="20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24,368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24,538</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244,926</w:t>
            </w: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281,892</w:t>
            </w:r>
          </w:p>
        </w:tc>
      </w:tr>
      <w:tr>
        <w:trPr>
          <w:trHeight w:val="20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51,907</w:t>
            </w: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98,458</w:t>
            </w:r>
          </w:p>
        </w:tc>
      </w:tr>
      <w:tr>
        <w:trPr>
          <w:trHeight w:val="20"/>
        </w:trPr>
        <w:tc>
          <w:tcPr>
            <w:tcW w:w="1260" w:type="dxa"/>
            <w:vAlign w:val="bottom"/>
            <w:shd w:val="clear" w:color="auto" w:fill="CCEEFF"/>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452,892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454,482</w:t>
            </w: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As of December 31, 2021 and 2020, there were no marketable securities that had been in a continuous unrealized loss position for 12 months or longer.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60"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8"/>
                <w:szCs w:val="18"/>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7"/>
        </w:trPr>
        <w:tc>
          <w:tcPr>
            <w:tcW w:w="4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18,896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254,527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Foreign government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86,703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18,863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380,008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455,266</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8"/>
                <w:szCs w:val="18"/>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7"/>
        </w:trPr>
        <w:tc>
          <w:tcPr>
            <w:tcW w:w="4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r>
      <w:tr>
        <w:trPr>
          <w:trHeight w:val="213"/>
        </w:trPr>
        <w:tc>
          <w:tcPr>
            <w:tcW w:w="4180" w:type="dxa"/>
            <w:vAlign w:val="bottom"/>
          </w:tcPr>
          <w:p>
            <w:pPr>
              <w:spacing w:after="0"/>
              <w:rPr>
                <w:sz w:val="20"/>
                <w:szCs w:val="20"/>
                <w:color w:val="auto"/>
              </w:rPr>
            </w:pPr>
            <w:r>
              <w:rPr>
                <w:rFonts w:ascii="Arial" w:cs="Arial" w:eastAsia="Arial" w:hAnsi="Arial"/>
                <w:sz w:val="18"/>
                <w:szCs w:val="18"/>
                <w:color w:val="auto"/>
              </w:rPr>
              <w:t>Commercial paper</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9,146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r>
      <w:tr>
        <w:trPr>
          <w:trHeight w:val="21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251,827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r>
      <w:tr>
        <w:trPr>
          <w:trHeight w:val="213"/>
        </w:trPr>
        <w:tc>
          <w:tcPr>
            <w:tcW w:w="4180" w:type="dxa"/>
            <w:vAlign w:val="bottom"/>
          </w:tcPr>
          <w:p>
            <w:pPr>
              <w:spacing w:after="0"/>
              <w:rPr>
                <w:sz w:val="20"/>
                <w:szCs w:val="20"/>
                <w:color w:val="auto"/>
              </w:rPr>
            </w:pPr>
            <w:r>
              <w:rPr>
                <w:rFonts w:ascii="Arial" w:cs="Arial" w:eastAsia="Arial" w:hAnsi="Arial"/>
                <w:sz w:val="18"/>
                <w:szCs w:val="18"/>
                <w:color w:val="auto"/>
              </w:rPr>
              <w:t>Foreign government</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76,445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r>
      <w:tr>
        <w:trPr>
          <w:trHeight w:val="213"/>
        </w:trPr>
        <w:tc>
          <w:tcPr>
            <w:tcW w:w="41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44,894</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r>
      <w:tr>
        <w:trPr>
          <w:trHeight w:val="20"/>
        </w:trPr>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383,349</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421,377</w:t>
            </w:r>
          </w:p>
        </w:tc>
      </w:tr>
      <w:tr>
        <w:trPr>
          <w:trHeight w:val="406"/>
        </w:trPr>
        <w:tc>
          <w:tcPr>
            <w:tcW w:w="418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jc w:val="right"/>
              <w:ind w:right="511"/>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6"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2"/>
        </w:trPr>
        <w:tc>
          <w:tcPr>
            <w:tcW w:w="7220" w:type="dxa"/>
            <w:vAlign w:val="bottom"/>
            <w:gridSpan w:val="5"/>
          </w:tcPr>
          <w:p>
            <w:pPr>
              <w:ind w:left="400"/>
              <w:spacing w:after="0"/>
              <w:rPr>
                <w:sz w:val="20"/>
                <w:szCs w:val="20"/>
                <w:color w:val="auto"/>
              </w:rPr>
            </w:pPr>
            <w:r>
              <w:rPr>
                <w:rFonts w:ascii="Arial" w:cs="Arial" w:eastAsia="Arial" w:hAnsi="Arial"/>
                <w:sz w:val="18"/>
                <w:szCs w:val="18"/>
                <w:color w:val="auto"/>
                <w:w w:val="96"/>
              </w:rPr>
              <w:t>The following summarizes the fair value of marketable securities by contractual maturity: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1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2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95"/>
              </w:rPr>
              <w:t>Mature after</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One Year</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Mature within</w:t>
            </w: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through Two</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Mature over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12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6"/>
              </w:rPr>
              <w:t>One 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b w:val="1"/>
                <w:bCs w:val="1"/>
                <w:color w:val="auto"/>
              </w:rPr>
              <w:t>Two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08"/>
        </w:trPr>
        <w:tc>
          <w:tcPr>
            <w:tcW w:w="1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111"/>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18,896</w:t>
            </w:r>
          </w:p>
        </w:tc>
      </w:tr>
      <w:tr>
        <w:trPr>
          <w:trHeight w:val="213"/>
        </w:trPr>
        <w:tc>
          <w:tcPr>
            <w:tcW w:w="5980" w:type="dxa"/>
            <w:vAlign w:val="bottom"/>
            <w:gridSpan w:val="2"/>
          </w:tcPr>
          <w:p>
            <w:pPr>
              <w:spacing w:after="0"/>
              <w:rPr>
                <w:sz w:val="20"/>
                <w:szCs w:val="20"/>
                <w:color w:val="auto"/>
              </w:rPr>
            </w:pPr>
            <w:r>
              <w:rPr>
                <w:rFonts w:ascii="Arial" w:cs="Arial" w:eastAsia="Arial" w:hAnsi="Arial"/>
                <w:sz w:val="18"/>
                <w:szCs w:val="18"/>
                <w:color w:val="auto"/>
              </w:rPr>
              <w:t>U.S. Treasury and government agencies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37,528</w:t>
            </w:r>
          </w:p>
        </w:tc>
        <w:tc>
          <w:tcPr>
            <w:tcW w:w="6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254,527</w:t>
            </w:r>
          </w:p>
        </w:tc>
      </w:tr>
      <w:tr>
        <w:trPr>
          <w:trHeight w:val="21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r>
      <w:tr>
        <w:trPr>
          <w:trHeight w:val="213"/>
        </w:trPr>
        <w:tc>
          <w:tcPr>
            <w:tcW w:w="59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38,407</w:t>
            </w:r>
          </w:p>
        </w:tc>
        <w:tc>
          <w:tcPr>
            <w:tcW w:w="6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86,703</w:t>
            </w:r>
          </w:p>
        </w:tc>
      </w:tr>
      <w:tr>
        <w:trPr>
          <w:trHeight w:val="21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268,810</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84,913</w:t>
            </w: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26,285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380,008</w:t>
            </w:r>
          </w:p>
        </w:tc>
      </w:tr>
      <w:tr>
        <w:trPr>
          <w:trHeight w:val="20"/>
        </w:trPr>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Designated cash flow hedges</w:t>
      </w:r>
    </w:p>
    <w:p>
      <w:pPr>
        <w:spacing w:after="0" w:line="22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 enters into foreign currency forward contracts to reduce the risk of variability in future cash flow due to foreign currency exchange rate fluctuation from certain forecasted subscription revenue orders billed in GBP and Euro and operation expenses incurred in INR, which are designated as cash flow hedges.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hit earnings.</w:t>
      </w:r>
    </w:p>
    <w:p>
      <w:pPr>
        <w:spacing w:after="0" w:line="19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As of December 31, 2021, the Company had designated cash flow hedge forward contracts with notional amounts of €29.8 million, £9.4 million and Rs.2,955.3 million. As of December 31, 2020, the Company had designated cash flow hedge forward contracts with notional amounts of €25.9 million, £8.7 million and Rs.1,933.5 million. As of December 31, 2021, a net amount of unrealized gains of $1.0 million before tax on the foreign currency forward contracts for GBP and Euro reported in AOCI is expected to be reclassified into revenue within the next 12 months. As of December 31, 2021, a net amount of unrealized gains of $0.3 million before tax on the foreign currency forward contracts for INR reported in AOCI is expected to be reclassified into operating expenses within the next 12 months.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Non-designated forward contracts</w:t>
      </w:r>
    </w:p>
    <w:p>
      <w:pPr>
        <w:spacing w:after="0" w:line="220"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cashflow hedges.</w:t>
      </w:r>
    </w:p>
    <w:p>
      <w:pPr>
        <w:spacing w:after="0" w:line="175"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As of December 31, 2021, the Company had non-designated forward contracts with notional amounts of €34.5 million, £11.6 million, Rs.74.9 million, C$2.5 million and CHF1.0 million. As of December 31, 2020, the Company had non-designated forward contracts with notional amounts of €17.7 million, £6.5 million and Rs.32.8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ind w:left="400"/>
              <w:spacing w:after="0"/>
              <w:rPr>
                <w:sz w:val="20"/>
                <w:szCs w:val="20"/>
                <w:color w:val="auto"/>
              </w:rPr>
            </w:pPr>
            <w:r>
              <w:rPr>
                <w:rFonts w:ascii="Arial" w:cs="Arial" w:eastAsia="Arial" w:hAnsi="Arial"/>
                <w:sz w:val="18"/>
                <w:szCs w:val="18"/>
                <w:color w:val="auto"/>
              </w:rPr>
              <w:t>The following summarizes derivative financial instruments as of December 31, 2021 and 2020:</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80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b w:val="1"/>
                <w:bCs w:val="1"/>
                <w:color w:val="auto"/>
                <w:w w:val="93"/>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0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07"/>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20" w:type="dxa"/>
            <w:vAlign w:val="bottom"/>
          </w:tcPr>
          <w:p>
            <w:pPr>
              <w:ind w:left="16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2"/>
              <w:spacing w:after="0"/>
              <w:rPr>
                <w:sz w:val="20"/>
                <w:szCs w:val="20"/>
                <w:color w:val="auto"/>
              </w:rPr>
            </w:pPr>
            <w:r>
              <w:rPr>
                <w:rFonts w:ascii="Arial" w:cs="Arial" w:eastAsia="Arial" w:hAnsi="Arial"/>
                <w:sz w:val="18"/>
                <w:szCs w:val="18"/>
                <w:color w:val="auto"/>
              </w:rPr>
              <w:t>1,737</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3"/>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1,599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0"/>
        </w:trPr>
        <w:tc>
          <w:tcPr>
            <w:tcW w:w="80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2"/>
              <w:spacing w:after="0"/>
              <w:rPr>
                <w:sz w:val="20"/>
                <w:szCs w:val="20"/>
                <w:color w:val="auto"/>
              </w:rPr>
            </w:pPr>
            <w:r>
              <w:rPr>
                <w:rFonts w:ascii="Arial" w:cs="Arial" w:eastAsia="Arial" w:hAnsi="Arial"/>
                <w:sz w:val="18"/>
                <w:szCs w:val="18"/>
                <w:color w:val="auto"/>
              </w:rPr>
              <w:t>3,336</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r>
      <w:tr>
        <w:trPr>
          <w:trHeight w:val="20"/>
        </w:trPr>
        <w:tc>
          <w:tcPr>
            <w:tcW w:w="8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Liabilities</w:t>
            </w: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020" w:type="dxa"/>
            <w:vAlign w:val="bottom"/>
          </w:tcPr>
          <w:p>
            <w:pPr>
              <w:ind w:left="16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2"/>
              <w:spacing w:after="0"/>
              <w:rPr>
                <w:sz w:val="20"/>
                <w:szCs w:val="20"/>
                <w:color w:val="auto"/>
              </w:rPr>
            </w:pPr>
            <w:r>
              <w:rPr>
                <w:rFonts w:ascii="Arial" w:cs="Arial" w:eastAsia="Arial" w:hAnsi="Arial"/>
                <w:sz w:val="18"/>
                <w:szCs w:val="18"/>
                <w:color w:val="auto"/>
              </w:rPr>
              <w:t>(181)</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(2,200)</w:t>
            </w:r>
          </w:p>
        </w:tc>
      </w:tr>
      <w:tr>
        <w:trPr>
          <w:trHeight w:val="213"/>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(207)</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r>
      <w:tr>
        <w:trPr>
          <w:trHeight w:val="20"/>
        </w:trPr>
        <w:tc>
          <w:tcPr>
            <w:tcW w:w="80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2"/>
              <w:spacing w:after="0"/>
              <w:rPr>
                <w:sz w:val="20"/>
                <w:szCs w:val="20"/>
                <w:color w:val="auto"/>
              </w:rPr>
            </w:pPr>
            <w:r>
              <w:rPr>
                <w:rFonts w:ascii="Arial" w:cs="Arial" w:eastAsia="Arial" w:hAnsi="Arial"/>
                <w:sz w:val="18"/>
                <w:szCs w:val="18"/>
                <w:color w:val="auto"/>
              </w:rPr>
              <w:t>(388)</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(3,877)</w:t>
            </w:r>
          </w:p>
        </w:tc>
      </w:tr>
      <w:tr>
        <w:trPr>
          <w:trHeight w:val="20"/>
        </w:trPr>
        <w:tc>
          <w:tcPr>
            <w:tcW w:w="8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right="20" w:firstLine="400"/>
        <w:spacing w:after="0" w:line="270"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in the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91"/>
              <w:spacing w:after="0"/>
              <w:rPr>
                <w:sz w:val="20"/>
                <w:szCs w:val="20"/>
                <w:color w:val="auto"/>
              </w:rPr>
            </w:pPr>
            <w:r>
              <w:rPr>
                <w:rFonts w:ascii="Arial" w:cs="Arial" w:eastAsia="Arial" w:hAnsi="Arial"/>
                <w:sz w:val="18"/>
                <w:szCs w:val="18"/>
                <w:b w:val="1"/>
                <w:bCs w:val="1"/>
                <w:color w:val="auto"/>
                <w:w w:val="89"/>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non-designated forward contracts</w:t>
            </w:r>
          </w:p>
        </w:tc>
        <w:tc>
          <w:tcPr>
            <w:tcW w:w="208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(1,634)</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13"/>
        </w:trPr>
        <w:tc>
          <w:tcPr>
            <w:tcW w:w="5200" w:type="dxa"/>
            <w:vAlign w:val="bottom"/>
          </w:tcPr>
          <w:p>
            <w:pPr>
              <w:spacing w:after="0"/>
              <w:rPr>
                <w:sz w:val="20"/>
                <w:szCs w:val="20"/>
                <w:color w:val="auto"/>
              </w:rPr>
            </w:pPr>
            <w:r>
              <w:rPr>
                <w:rFonts w:ascii="Arial" w:cs="Arial" w:eastAsia="Arial" w:hAnsi="Arial"/>
                <w:sz w:val="18"/>
                <w:szCs w:val="18"/>
                <w:color w:val="auto"/>
              </w:rPr>
              <w:t>Other foreign currency transactions gains (losses)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(2,749)</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r>
      <w:tr>
        <w:trPr>
          <w:trHeight w:val="20"/>
        </w:trPr>
        <w:tc>
          <w:tcPr>
            <w:tcW w:w="5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foreign exchange gains (losses), net</w:t>
            </w: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0"/>
        </w:trPr>
        <w:tc>
          <w:tcPr>
            <w:tcW w:w="5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200" w:type="dxa"/>
            <w:vAlign w:val="bottom"/>
          </w:tcPr>
          <w:p>
            <w:pPr>
              <w:spacing w:after="0"/>
              <w:rPr>
                <w:sz w:val="20"/>
                <w:szCs w:val="20"/>
                <w:color w:val="auto"/>
              </w:rPr>
            </w:pPr>
            <w:r>
              <w:rPr>
                <w:rFonts w:ascii="Arial" w:cs="Arial" w:eastAsia="Arial" w:hAnsi="Arial"/>
                <w:sz w:val="18"/>
                <w:szCs w:val="18"/>
                <w:color w:val="auto"/>
              </w:rPr>
              <w:t>Other expenses</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0"/>
        </w:trPr>
        <w:tc>
          <w:tcPr>
            <w:tcW w:w="5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08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and changes in accumulated other comprehensive income (loss)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Available-for-sale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debt securities</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8"/>
              </w:rPr>
              <w:t>Cash flow hedges</w:t>
            </w:r>
          </w:p>
        </w:tc>
        <w:tc>
          <w:tcPr>
            <w:tcW w:w="3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31"/>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(586</w:t>
            </w:r>
            <w:r>
              <w:rPr>
                <w:rFonts w:ascii="Arial" w:cs="Arial" w:eastAsia="Arial" w:hAnsi="Arial"/>
                <w:sz w:val="18"/>
                <w:szCs w:val="18"/>
                <w:color w:val="auto"/>
              </w:rPr>
              <w:t>)</w:t>
            </w:r>
          </w:p>
        </w:tc>
      </w:tr>
      <w:tr>
        <w:trPr>
          <w:trHeight w:val="20"/>
        </w:trPr>
        <w:tc>
          <w:tcPr>
            <w:tcW w:w="6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320" w:type="dxa"/>
            <w:vAlign w:val="bottom"/>
          </w:tcPr>
          <w:p>
            <w:pPr>
              <w:ind w:left="160"/>
              <w:spacing w:after="0"/>
              <w:rPr>
                <w:sz w:val="20"/>
                <w:szCs w:val="20"/>
                <w:color w:val="auto"/>
              </w:rPr>
            </w:pPr>
            <w:r>
              <w:rPr>
                <w:rFonts w:ascii="Arial" w:cs="Arial" w:eastAsia="Arial" w:hAnsi="Arial"/>
                <w:sz w:val="18"/>
                <w:szCs w:val="18"/>
                <w:color w:val="auto"/>
              </w:rPr>
              <w:t>Change in unrealized gains during the period</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reclassified into income during the period</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r>
      <w:tr>
        <w:trPr>
          <w:trHeight w:val="207"/>
        </w:trPr>
        <w:tc>
          <w:tcPr>
            <w:tcW w:w="6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change during the period</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1,162</w:t>
            </w: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632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color w:val="auto"/>
              </w:rPr>
              <w:t>Change in unrealized gains (losses) during the period</w:t>
            </w:r>
          </w:p>
        </w:tc>
        <w:tc>
          <w:tcPr>
            <w:tcW w:w="140" w:type="dxa"/>
            <w:vAlign w:val="bottom"/>
            <w:shd w:val="clear" w:color="auto" w:fill="CCEEFF"/>
          </w:tcPr>
          <w:p>
            <w:pPr>
              <w:spacing w:after="0"/>
              <w:rPr>
                <w:sz w:val="16"/>
                <w:szCs w:val="16"/>
                <w:color w:val="auto"/>
              </w:rPr>
            </w:pPr>
          </w:p>
        </w:tc>
        <w:tc>
          <w:tcPr>
            <w:tcW w:w="136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8"/>
                <w:szCs w:val="18"/>
                <w:color w:val="auto"/>
              </w:rPr>
              <w:t>(2,099)</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8"/>
                <w:szCs w:val="18"/>
                <w:color w:val="auto"/>
              </w:rPr>
              <w:t>(1,550)</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Net gains reclassified into income during the period</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07"/>
        </w:trPr>
        <w:tc>
          <w:tcPr>
            <w:tcW w:w="6320" w:type="dxa"/>
            <w:vAlign w:val="bottom"/>
          </w:tcPr>
          <w:p>
            <w:pPr>
              <w:ind w:left="320"/>
              <w:spacing w:after="0"/>
              <w:rPr>
                <w:sz w:val="20"/>
                <w:szCs w:val="20"/>
                <w:color w:val="auto"/>
              </w:rPr>
            </w:pPr>
            <w:r>
              <w:rPr>
                <w:rFonts w:ascii="Arial" w:cs="Arial" w:eastAsia="Arial" w:hAnsi="Arial"/>
                <w:sz w:val="18"/>
                <w:szCs w:val="18"/>
                <w:color w:val="auto"/>
              </w:rPr>
              <w:t>Net change during the period</w:t>
            </w: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2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7"/>
                <w:szCs w:val="17"/>
                <w:color w:val="auto"/>
              </w:rPr>
            </w:pPr>
          </w:p>
        </w:tc>
      </w:tr>
      <w:tr>
        <w:trPr>
          <w:trHeight w:val="227"/>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(1,708)</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(484)</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6320" w:type="dxa"/>
            <w:vAlign w:val="bottom"/>
          </w:tcPr>
          <w:p>
            <w:pPr>
              <w:ind w:left="160"/>
              <w:spacing w:after="0" w:line="194" w:lineRule="exact"/>
              <w:rPr>
                <w:sz w:val="20"/>
                <w:szCs w:val="20"/>
                <w:color w:val="auto"/>
              </w:rPr>
            </w:pPr>
            <w:r>
              <w:rPr>
                <w:rFonts w:ascii="Arial" w:cs="Arial" w:eastAsia="Arial" w:hAnsi="Arial"/>
                <w:sz w:val="18"/>
                <w:szCs w:val="18"/>
                <w:color w:val="auto"/>
              </w:rPr>
              <w:t>Change in unrealized gains (losses) during the period</w:t>
            </w:r>
          </w:p>
        </w:tc>
        <w:tc>
          <w:tcPr>
            <w:tcW w:w="140" w:type="dxa"/>
            <w:vAlign w:val="bottom"/>
          </w:tcPr>
          <w:p>
            <w:pPr>
              <w:spacing w:after="0"/>
              <w:rPr>
                <w:sz w:val="16"/>
                <w:szCs w:val="16"/>
                <w:color w:val="auto"/>
              </w:rPr>
            </w:pPr>
          </w:p>
        </w:tc>
        <w:tc>
          <w:tcPr>
            <w:tcW w:w="1560" w:type="dxa"/>
            <w:vAlign w:val="bottom"/>
            <w:gridSpan w:val="2"/>
          </w:tcPr>
          <w:p>
            <w:pPr>
              <w:jc w:val="right"/>
              <w:ind w:right="160"/>
              <w:spacing w:after="0" w:line="194" w:lineRule="exact"/>
              <w:rPr>
                <w:sz w:val="20"/>
                <w:szCs w:val="20"/>
                <w:color w:val="auto"/>
              </w:rPr>
            </w:pPr>
            <w:r>
              <w:rPr>
                <w:rFonts w:ascii="Arial" w:cs="Arial" w:eastAsia="Arial" w:hAnsi="Arial"/>
                <w:sz w:val="18"/>
                <w:szCs w:val="18"/>
                <w:color w:val="auto"/>
              </w:rPr>
              <w:t>(1,854)</w:t>
            </w:r>
          </w:p>
        </w:tc>
        <w:tc>
          <w:tcPr>
            <w:tcW w:w="120" w:type="dxa"/>
            <w:vAlign w:val="bottom"/>
          </w:tcPr>
          <w:p>
            <w:pPr>
              <w:spacing w:after="0"/>
              <w:rPr>
                <w:sz w:val="16"/>
                <w:szCs w:val="16"/>
                <w:color w:val="auto"/>
              </w:rPr>
            </w:pPr>
          </w:p>
        </w:tc>
        <w:tc>
          <w:tcPr>
            <w:tcW w:w="154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2,837</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983</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reclassified into income during the period</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Income tax benefit (provision)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r>
      <w:tr>
        <w:trPr>
          <w:trHeight w:val="207"/>
        </w:trPr>
        <w:tc>
          <w:tcPr>
            <w:tcW w:w="6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change during the period</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8"/>
                <w:szCs w:val="18"/>
                <w:b w:val="1"/>
                <w:bCs w:val="1"/>
                <w:color w:val="auto"/>
              </w:rPr>
              <w:t>Balances at December 31,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1,007</w:t>
            </w: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effects on income before income taxes of amounts reclassified from AOCI to the consolidated statements of operations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91"/>
              <w:spacing w:after="0"/>
              <w:rPr>
                <w:sz w:val="20"/>
                <w:szCs w:val="20"/>
                <w:color w:val="auto"/>
              </w:rPr>
            </w:pPr>
            <w:r>
              <w:rPr>
                <w:rFonts w:ascii="Arial" w:cs="Arial" w:eastAsia="Arial" w:hAnsi="Arial"/>
                <w:sz w:val="18"/>
                <w:szCs w:val="18"/>
                <w:b w:val="1"/>
                <w:bCs w:val="1"/>
                <w:color w:val="auto"/>
                <w:w w:val="89"/>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AOCI - Available-for-sale debt securities</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36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Reclassification of AOCI - Cash flow hedges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(1,667)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3"/>
        </w:trPr>
        <w:tc>
          <w:tcPr>
            <w:tcW w:w="492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vMerge w:val="restart"/>
          </w:tcPr>
          <w:p>
            <w:pPr>
              <w:jc w:val="right"/>
              <w:ind w:right="511"/>
              <w:spacing w:after="0"/>
              <w:rPr>
                <w:sz w:val="20"/>
                <w:szCs w:val="20"/>
                <w:color w:val="auto"/>
              </w:rPr>
            </w:pPr>
            <w:r>
              <w:rPr>
                <w:rFonts w:ascii="Arial" w:cs="Arial" w:eastAsia="Arial" w:hAnsi="Arial"/>
                <w:sz w:val="18"/>
                <w:szCs w:val="18"/>
                <w:color w:val="auto"/>
              </w:rPr>
              <w:t>65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0" w:name="page71"/>
    <w:bookmarkEnd w:id="70"/>
    <w:p>
      <w:pPr>
        <w:spacing w:after="0" w:line="5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100" w:type="dxa"/>
            <w:vAlign w:val="bottom"/>
          </w:tcPr>
          <w:p>
            <w:pPr>
              <w:ind w:left="22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000" w:type="dxa"/>
            <w:vAlign w:val="bottom"/>
            <w:gridSpan w:val="2"/>
          </w:tcPr>
          <w:p>
            <w:pPr>
              <w:ind w:left="400"/>
              <w:spacing w:after="0"/>
              <w:rPr>
                <w:sz w:val="20"/>
                <w:szCs w:val="20"/>
                <w:color w:val="auto"/>
              </w:rPr>
            </w:pPr>
            <w:r>
              <w:rPr>
                <w:rFonts w:ascii="Arial" w:cs="Arial" w:eastAsia="Arial" w:hAnsi="Arial"/>
                <w:sz w:val="18"/>
                <w:szCs w:val="18"/>
                <w:color w:val="auto"/>
                <w:w w:val="96"/>
              </w:rPr>
              <w:t>Property and equipment, net, which includes assets under finance leases, consists of the following:</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9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9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7"/>
        </w:trPr>
        <w:tc>
          <w:tcPr>
            <w:tcW w:w="90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161,809</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136,286</w:t>
            </w:r>
          </w:p>
        </w:tc>
      </w:tr>
      <w:tr>
        <w:trPr>
          <w:trHeight w:val="213"/>
        </w:trPr>
        <w:tc>
          <w:tcPr>
            <w:tcW w:w="80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25,807</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26,164</w:t>
            </w:r>
          </w:p>
        </w:tc>
      </w:tr>
      <w:tr>
        <w:trPr>
          <w:trHeight w:val="227"/>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21,092</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w:t>
            </w:r>
          </w:p>
        </w:tc>
      </w:tr>
      <w:tr>
        <w:trPr>
          <w:trHeight w:val="213"/>
        </w:trPr>
        <w:tc>
          <w:tcPr>
            <w:tcW w:w="8000" w:type="dxa"/>
            <w:vAlign w:val="bottom"/>
            <w:gridSpan w:val="2"/>
          </w:tcPr>
          <w:p>
            <w:pPr>
              <w:spacing w:after="0"/>
              <w:rPr>
                <w:sz w:val="20"/>
                <w:szCs w:val="20"/>
                <w:color w:val="auto"/>
              </w:rPr>
            </w:pPr>
            <w:r>
              <w:rPr>
                <w:rFonts w:ascii="Arial" w:cs="Arial" w:eastAsia="Arial" w:hAnsi="Arial"/>
                <w:sz w:val="18"/>
                <w:szCs w:val="18"/>
                <w:color w:val="auto"/>
              </w:rPr>
              <w:t>Scanner appliances</w:t>
            </w:r>
          </w:p>
        </w:tc>
        <w:tc>
          <w:tcPr>
            <w:tcW w:w="32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16,510</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16,749</w:t>
            </w:r>
          </w:p>
        </w:tc>
      </w:tr>
      <w:tr>
        <w:trPr>
          <w:trHeight w:val="213"/>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6,479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r>
      <w:tr>
        <w:trPr>
          <w:trHeight w:val="213"/>
        </w:trPr>
        <w:tc>
          <w:tcPr>
            <w:tcW w:w="8000" w:type="dxa"/>
            <w:vAlign w:val="bottom"/>
            <w:gridSpan w:val="2"/>
          </w:tcPr>
          <w:p>
            <w:pPr>
              <w:spacing w:after="0"/>
              <w:rPr>
                <w:sz w:val="20"/>
                <w:szCs w:val="20"/>
                <w:color w:val="auto"/>
              </w:rPr>
            </w:pPr>
            <w:r>
              <w:rPr>
                <w:rFonts w:ascii="Arial" w:cs="Arial" w:eastAsia="Arial" w:hAnsi="Arial"/>
                <w:sz w:val="18"/>
                <w:szCs w:val="18"/>
                <w:color w:val="auto"/>
              </w:rPr>
              <w:t>Finance leases - right of use asset</w:t>
            </w:r>
          </w:p>
        </w:tc>
        <w:tc>
          <w:tcPr>
            <w:tcW w:w="32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07"/>
        </w:trPr>
        <w:tc>
          <w:tcPr>
            <w:tcW w:w="80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231,697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0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82"/>
              <w:spacing w:after="0"/>
              <w:rPr>
                <w:sz w:val="20"/>
                <w:szCs w:val="20"/>
                <w:color w:val="auto"/>
              </w:rPr>
            </w:pPr>
            <w:r>
              <w:rPr>
                <w:rFonts w:ascii="Arial" w:cs="Arial" w:eastAsia="Arial" w:hAnsi="Arial"/>
                <w:sz w:val="18"/>
                <w:szCs w:val="18"/>
                <w:color w:val="auto"/>
              </w:rPr>
              <w:t>(169,843)</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(145,558)</w:t>
            </w:r>
          </w:p>
        </w:tc>
      </w:tr>
      <w:tr>
        <w:trPr>
          <w:trHeight w:val="20"/>
        </w:trPr>
        <w:tc>
          <w:tcPr>
            <w:tcW w:w="9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61,854</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64,850</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As of December 31, 2021 and 2020, physical scanner appliances and other computer equipment that are or will be subject to leases by customers had a net carrying value of $5.3 million and $7.5 million, respectively, including assets that had not been placed in service of $1.3 million and $1.9 million, respectively. Depreciation and amortization expenses relating to property and equipment were $28.5 million, $26.1 million and $24.9 million for the years ended December 31, 2021, 2020 and 2019, respectively. Assets under finance leases were acquired upon completion of lease term and placed within computer equipment as of December 31, 2021.</w:t>
      </w:r>
    </w:p>
    <w:p>
      <w:pPr>
        <w:spacing w:after="0" w:line="200" w:lineRule="exact"/>
        <w:rPr>
          <w:sz w:val="20"/>
          <w:szCs w:val="20"/>
          <w:color w:val="auto"/>
        </w:rPr>
      </w:pPr>
    </w:p>
    <w:p>
      <w:pPr>
        <w:spacing w:after="0" w:line="22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Revenue from Contracts with Customers</w:t>
      </w:r>
    </w:p>
    <w:p>
      <w:pPr>
        <w:spacing w:after="0" w:line="224"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The Company records deferred revenue when cash payments are received or due in advance of its performance obligations offset by revenue recognized in the period. Revenues of $211.0 million and $188.6 million were recognized during the years ended December 31, 2021 and December 31, 2020, respectively, which amounts were included in the deferred revenue balances as of December 31, 2020 and December 31, 2019, respectively.</w:t>
      </w:r>
    </w:p>
    <w:p>
      <w:pPr>
        <w:spacing w:after="0" w:line="15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680" w:type="dxa"/>
            <w:vAlign w:val="bottom"/>
          </w:tcPr>
          <w:p>
            <w:pPr>
              <w:ind w:left="400"/>
              <w:spacing w:after="0"/>
              <w:rPr>
                <w:sz w:val="20"/>
                <w:szCs w:val="20"/>
                <w:color w:val="auto"/>
              </w:rPr>
            </w:pPr>
            <w:r>
              <w:rPr>
                <w:rFonts w:ascii="Arial" w:cs="Arial" w:eastAsia="Arial" w:hAnsi="Arial"/>
                <w:sz w:val="18"/>
                <w:szCs w:val="18"/>
                <w:color w:val="auto"/>
                <w:w w:val="96"/>
              </w:rPr>
              <w:t>The following table sets forth the expected revenue from all remaining performance obligations as of December 31, 2021:</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142,812</w:t>
            </w: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101,482</w:t>
            </w:r>
          </w:p>
        </w:tc>
      </w:tr>
      <w:tr>
        <w:trPr>
          <w:trHeight w:val="21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36,361</w:t>
            </w: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r>
      <w:tr>
        <w:trPr>
          <w:trHeight w:val="21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2027 and thereafter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47"/>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8" w:lineRule="exact"/>
        <w:rPr>
          <w:sz w:val="20"/>
          <w:szCs w:val="20"/>
          <w:color w:val="auto"/>
        </w:rPr>
      </w:pPr>
    </w:p>
    <w:p>
      <w:pPr>
        <w:jc w:val="both"/>
        <w:ind w:firstLine="400"/>
        <w:spacing w:after="0" w:line="300" w:lineRule="auto"/>
        <w:rPr>
          <w:sz w:val="20"/>
          <w:szCs w:val="20"/>
          <w:color w:val="auto"/>
        </w:rPr>
      </w:pPr>
      <w:r>
        <w:rPr>
          <w:rFonts w:ascii="Arial" w:cs="Arial" w:eastAsia="Arial" w:hAnsi="Arial"/>
          <w:sz w:val="17"/>
          <w:szCs w:val="17"/>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60" w:type="dxa"/>
            <w:vAlign w:val="bottom"/>
          </w:tcPr>
          <w:p>
            <w:pPr>
              <w:ind w:left="400"/>
              <w:spacing w:after="0"/>
              <w:rPr>
                <w:sz w:val="20"/>
                <w:szCs w:val="20"/>
                <w:color w:val="auto"/>
              </w:rPr>
            </w:pPr>
            <w:r>
              <w:rPr>
                <w:rFonts w:ascii="Arial" w:cs="Arial" w:eastAsia="Arial" w:hAnsi="Arial"/>
                <w:sz w:val="18"/>
                <w:szCs w:val="18"/>
                <w:color w:val="auto"/>
              </w:rPr>
              <w:t>Revenues by sales channel are as follows:</w:t>
            </w: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4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711"/>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4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242,709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212,296</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186,130</w:t>
            </w:r>
          </w:p>
        </w:tc>
      </w:tr>
      <w:tr>
        <w:trPr>
          <w:trHeight w:val="213"/>
        </w:trPr>
        <w:tc>
          <w:tcPr>
            <w:tcW w:w="4860" w:type="dxa"/>
            <w:vAlign w:val="bottom"/>
          </w:tcPr>
          <w:p>
            <w:pPr>
              <w:spacing w:after="0"/>
              <w:rPr>
                <w:sz w:val="20"/>
                <w:szCs w:val="20"/>
                <w:color w:val="auto"/>
              </w:rPr>
            </w:pPr>
            <w:r>
              <w:rPr>
                <w:rFonts w:ascii="Arial" w:cs="Arial" w:eastAsia="Arial" w:hAnsi="Arial"/>
                <w:sz w:val="18"/>
                <w:szCs w:val="18"/>
                <w:color w:val="auto"/>
              </w:rPr>
              <w:t>Partner</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168,463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150,667</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135,477</w:t>
            </w:r>
          </w:p>
        </w:tc>
      </w:tr>
      <w:tr>
        <w:trPr>
          <w:trHeight w:val="20"/>
        </w:trPr>
        <w:tc>
          <w:tcPr>
            <w:tcW w:w="4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411,172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362,963</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321,607</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ectPr>
          <w:pgSz w:w="11900" w:h="16896" w:orient="portrait"/>
          <w:cols w:equalWidth="0" w:num="1">
            <w:col w:w="11240"/>
          </w:cols>
          <w:pgMar w:left="320" w:top="125" w:right="3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6"/>
        </w:trPr>
        <w:tc>
          <w:tcPr>
            <w:tcW w:w="8000" w:type="dxa"/>
            <w:vAlign w:val="bottom"/>
          </w:tcPr>
          <w:p>
            <w:pPr>
              <w:ind w:left="400"/>
              <w:spacing w:after="0"/>
              <w:rPr>
                <w:sz w:val="20"/>
                <w:szCs w:val="20"/>
                <w:color w:val="auto"/>
              </w:rPr>
            </w:pPr>
            <w:r>
              <w:rPr>
                <w:rFonts w:ascii="Arial" w:cs="Arial" w:eastAsia="Arial" w:hAnsi="Arial"/>
                <w:sz w:val="18"/>
                <w:szCs w:val="18"/>
                <w:color w:val="auto"/>
              </w:rPr>
              <w:t>Deferred costs to obtain contracts are as follows: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80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w:t>
            </w:r>
          </w:p>
        </w:tc>
        <w:tc>
          <w:tcPr>
            <w:tcW w:w="960" w:type="dxa"/>
            <w:vAlign w:val="bottom"/>
          </w:tcPr>
          <w:p>
            <w:pPr>
              <w:jc w:val="right"/>
              <w:ind w:right="802"/>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4,223</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3,459</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8,391</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w:t>
            </w:r>
          </w:p>
        </w:tc>
      </w:tr>
    </w:tbl>
    <w:p>
      <w:pPr>
        <w:spacing w:after="0" w:line="199"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For the years ended December 31, 2021, 2020 and 2019, the Company recognized $4.0 million, $3.0 million and $2.0 million, respectively, of amortization expense relating to deferred costs to obtain contracts in sales and marketing expense in the consolidated statements of operations. During the same periods, there was no impairment loss related to the deferred costs to obtain contracts.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4"/>
          <w:szCs w:val="14"/>
          <w:b w:val="1"/>
          <w:bCs w:val="1"/>
          <w:color w:val="auto"/>
        </w:rPr>
        <w:t>Acquisitions</w:t>
      </w:r>
    </w:p>
    <w:p>
      <w:pPr>
        <w:spacing w:after="0" w:line="224" w:lineRule="exact"/>
        <w:rPr>
          <w:sz w:val="20"/>
          <w:szCs w:val="20"/>
          <w:color w:val="auto"/>
        </w:rPr>
      </w:pPr>
    </w:p>
    <w:p>
      <w:pPr>
        <w:jc w:val="both"/>
        <w:ind w:right="20" w:firstLine="400"/>
        <w:spacing w:after="0" w:line="270" w:lineRule="auto"/>
        <w:rPr>
          <w:sz w:val="20"/>
          <w:szCs w:val="20"/>
          <w:color w:val="auto"/>
        </w:rPr>
      </w:pPr>
      <w:r>
        <w:rPr>
          <w:rFonts w:ascii="Arial" w:cs="Arial" w:eastAsia="Arial" w:hAnsi="Arial"/>
          <w:sz w:val="18"/>
          <w:szCs w:val="18"/>
          <w:color w:val="auto"/>
        </w:rPr>
        <w:t>The following table summarizes the purchase price allocation of business and asset acquisitions for the years ended December 31, 2021, 2020 and 2019 based on estimated fair values of the acquired assets as of the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Purchase</w:t>
            </w: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Purchased Intangible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b w:val="1"/>
                <w:bCs w:val="1"/>
                <w:color w:val="auto"/>
              </w:rPr>
              <w:t>Acquiree</w:t>
            </w:r>
          </w:p>
        </w:tc>
        <w:tc>
          <w:tcPr>
            <w:tcW w:w="120" w:type="dxa"/>
            <w:vAlign w:val="bottom"/>
          </w:tcPr>
          <w:p>
            <w:pPr>
              <w:spacing w:after="0"/>
              <w:rPr>
                <w:sz w:val="20"/>
                <w:szCs w:val="20"/>
                <w:color w:val="auto"/>
              </w:rPr>
            </w:pPr>
          </w:p>
        </w:tc>
        <w:tc>
          <w:tcPr>
            <w:tcW w:w="2700" w:type="dxa"/>
            <w:vAlign w:val="bottom"/>
          </w:tcPr>
          <w:p>
            <w:pPr>
              <w:ind w:left="720"/>
              <w:spacing w:after="0"/>
              <w:rPr>
                <w:sz w:val="20"/>
                <w:szCs w:val="20"/>
                <w:color w:val="auto"/>
              </w:rPr>
            </w:pPr>
            <w:r>
              <w:rPr>
                <w:rFonts w:ascii="Arial" w:cs="Arial" w:eastAsia="Arial" w:hAnsi="Arial"/>
                <w:sz w:val="18"/>
                <w:szCs w:val="18"/>
                <w:b w:val="1"/>
                <w:bCs w:val="1"/>
                <w:color w:val="auto"/>
              </w:rPr>
              <w:t>Acquisition Date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Consideration</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Goodwill</w:t>
            </w:r>
          </w:p>
        </w:tc>
      </w:tr>
      <w:tr>
        <w:trPr>
          <w:trHeight w:val="208"/>
        </w:trPr>
        <w:tc>
          <w:tcPr>
            <w:tcW w:w="2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TotalCloud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August 19, 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720" w:type="dxa"/>
            <w:vAlign w:val="bottom"/>
          </w:tcPr>
          <w:p>
            <w:pPr>
              <w:spacing w:after="0"/>
              <w:rPr>
                <w:sz w:val="20"/>
                <w:szCs w:val="20"/>
                <w:color w:val="auto"/>
              </w:rPr>
            </w:pPr>
            <w:r>
              <w:rPr>
                <w:rFonts w:ascii="Arial" w:cs="Arial" w:eastAsia="Arial" w:hAnsi="Arial"/>
                <w:sz w:val="18"/>
                <w:szCs w:val="18"/>
                <w:color w:val="auto"/>
              </w:rPr>
              <w:t>Spell security</w:t>
            </w:r>
          </w:p>
        </w:tc>
        <w:tc>
          <w:tcPr>
            <w:tcW w:w="1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July 24, 2020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Adya</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January 10, 2019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bl>
    <w:p>
      <w:pPr>
        <w:spacing w:after="0" w:line="199"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On August 19, 2021, the Company acquired certain developed technology intangible assets of TotalCloud, a privately held company incorporated in India, for a total cash consideration of $1.2 million, of which $1.1 million was paid on the acquisition date and the remaining $0.1 million will be due one year from the acquisition date, subject to potential adjustment from possible indemnity claims. TotalCloud's technology strengthens the Company's cloud security solution by allowing customers to build user-defined workflows for custom policies and execute them on-demand for simplified security and compliance. The acquired intangible assets will be amortized over five years.</w:t>
      </w:r>
    </w:p>
    <w:p>
      <w:pPr>
        <w:spacing w:after="0" w:line="19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On July 24, 2020, the Company acquired certain intangible assets of Spell Security, a privately held company incorporated in India, for a total cash consideration of $1.5 million, of which $1.3 million was paid on the acquisition date and the remaining $0.2 million was deferred and paid in October 2021. Spell Security’s technology expands the Company's endpoint behavior detection, threat hunting, malware research and multi-layered response capabilities for its EDR application. The Company recognized intangible assets of $1.0 million for developed technology and $0.5 million for non-compete agreements, which will be amortized over four and two years, respectively.</w:t>
      </w:r>
    </w:p>
    <w:p>
      <w:pPr>
        <w:spacing w:after="0" w:line="190"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On January 10, 2019, the Company acquired Adya, an India-based company. The acquisition included a cloud application management platform, which enables security and compliance audits of SaaS applications. Total purchase consideration included $0.2 million of deferred consideration due 18 months from the closing date of the acquisition, subject to potential adjustment from possible indemnity claims, which was fully paid to Adya during the fiscal year ended December 31, 2020. The acquired intangible assets relating to Adya's developed technology are being amortized over the estimated useful lives of approximately four years. Goodwill arising from the Adya acquisition is deductible for tax purposes over 15 years.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changes in the carrying amount of goodwill for the years ended December 31, 2021 and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4"/>
          <w:szCs w:val="14"/>
          <w:b w:val="1"/>
          <w:bCs w:val="1"/>
          <w:color w:val="auto"/>
        </w:rPr>
        <w:t>Intangible Assets, Net</w:t>
      </w:r>
    </w:p>
    <w:p>
      <w:pPr>
        <w:spacing w:after="0" w:line="224"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Pr>
          <w:p>
            <w:pPr>
              <w:ind w:left="400"/>
              <w:spacing w:after="0"/>
              <w:rPr>
                <w:sz w:val="20"/>
                <w:szCs w:val="20"/>
                <w:color w:val="auto"/>
              </w:rPr>
            </w:pPr>
            <w:r>
              <w:rPr>
                <w:rFonts w:ascii="Arial" w:cs="Arial" w:eastAsia="Arial" w:hAnsi="Arial"/>
                <w:sz w:val="18"/>
                <w:szCs w:val="18"/>
                <w:color w:val="auto"/>
                <w:w w:val="93"/>
              </w:rPr>
              <w:t>The carrying values of intangible assets are as follows: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88"/>
              </w:rPr>
              <w:t>December 31, 2021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 Life</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231"/>
        </w:trPr>
        <w:tc>
          <w:tcPr>
            <w:tcW w:w="450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3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8"/>
                <w:szCs w:val="18"/>
                <w:color w:val="auto"/>
              </w:rPr>
              <w:t>Patent licenses</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14.0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00" w:type="dxa"/>
            <w:vAlign w:val="bottom"/>
          </w:tcPr>
          <w:p>
            <w:pPr>
              <w:ind w:left="160"/>
              <w:spacing w:after="0"/>
              <w:rPr>
                <w:sz w:val="20"/>
                <w:szCs w:val="20"/>
                <w:color w:val="auto"/>
              </w:rPr>
            </w:pPr>
            <w:r>
              <w:rPr>
                <w:rFonts w:ascii="Arial" w:cs="Arial" w:eastAsia="Arial" w:hAnsi="Arial"/>
                <w:sz w:val="18"/>
                <w:szCs w:val="18"/>
                <w:color w:val="auto"/>
              </w:rPr>
              <w:t>Total intangibles subject to amortization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(23,938)</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Intangible assets not subject to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60"/>
              <w:spacing w:after="0"/>
              <w:rPr>
                <w:sz w:val="20"/>
                <w:szCs w:val="20"/>
                <w:color w:val="auto"/>
              </w:rPr>
            </w:pPr>
            <w:r>
              <w:rPr>
                <w:rFonts w:ascii="Arial" w:cs="Arial" w:eastAsia="Arial" w:hAnsi="Arial"/>
                <w:sz w:val="18"/>
                <w:szCs w:val="18"/>
                <w:color w:val="auto"/>
              </w:rPr>
              <w:t>Total intangible assets, net</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 Life</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231"/>
        </w:trPr>
        <w:tc>
          <w:tcPr>
            <w:tcW w:w="450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3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00" w:type="dxa"/>
            <w:vAlign w:val="bottom"/>
          </w:tcPr>
          <w:p>
            <w:pPr>
              <w:spacing w:after="0"/>
              <w:rPr>
                <w:sz w:val="20"/>
                <w:szCs w:val="20"/>
                <w:color w:val="auto"/>
              </w:rPr>
            </w:pPr>
            <w:r>
              <w:rPr>
                <w:rFonts w:ascii="Arial" w:cs="Arial" w:eastAsia="Arial" w:hAnsi="Arial"/>
                <w:sz w:val="18"/>
                <w:szCs w:val="18"/>
                <w:color w:val="auto"/>
              </w:rPr>
              <w:t>Patent licenses</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14.0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60"/>
              <w:spacing w:after="0"/>
              <w:rPr>
                <w:sz w:val="20"/>
                <w:szCs w:val="20"/>
                <w:color w:val="auto"/>
              </w:rPr>
            </w:pPr>
            <w:r>
              <w:rPr>
                <w:rFonts w:ascii="Arial" w:cs="Arial" w:eastAsia="Arial" w:hAnsi="Arial"/>
                <w:sz w:val="18"/>
                <w:szCs w:val="18"/>
                <w:color w:val="auto"/>
              </w:rPr>
              <w:t>Total intangibles subject to amortization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(17,277)</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Intangible assets not subject to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60"/>
              <w:spacing w:after="0"/>
              <w:rPr>
                <w:sz w:val="20"/>
                <w:szCs w:val="20"/>
                <w:color w:val="auto"/>
              </w:rPr>
            </w:pPr>
            <w:r>
              <w:rPr>
                <w:rFonts w:ascii="Arial" w:cs="Arial" w:eastAsia="Arial" w:hAnsi="Arial"/>
                <w:sz w:val="18"/>
                <w:szCs w:val="18"/>
                <w:color w:val="auto"/>
              </w:rPr>
              <w:t>Total intangible assets, net</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Intangible assets amortization expenses were $6.7 million, $6.3 million and $6.1 million for the years ended December 31, 2021, 2020 and 2019, respectively, which were recorded in the consolidated statements of operations.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the Company expects amortization expense in future periods to be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8"/>
                <w:szCs w:val="18"/>
                <w:color w:val="auto"/>
              </w:rPr>
              <w:t>2023</w:t>
            </w: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8"/>
                <w:szCs w:val="18"/>
                <w:color w:val="auto"/>
              </w:rPr>
              <w:t>2025</w:t>
            </w: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Arial" w:cs="Arial" w:eastAsia="Arial" w:hAnsi="Arial"/>
                <w:sz w:val="18"/>
                <w:szCs w:val="18"/>
                <w:color w:val="auto"/>
              </w:rPr>
              <w:t>Total expected future amortization expense</w:t>
            </w:r>
          </w:p>
        </w:tc>
        <w:tc>
          <w:tcPr>
            <w:tcW w:w="53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380" w:type="dxa"/>
            <w:vAlign w:val="bottom"/>
            <w:vMerge w:val="restart"/>
          </w:tcPr>
          <w:p>
            <w:pPr>
              <w:jc w:val="right"/>
              <w:ind w:right="3871"/>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30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auto"/>
            </w:tcBorders>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4"/>
          <w:szCs w:val="14"/>
          <w:b w:val="1"/>
          <w:bCs w:val="1"/>
          <w:color w:val="auto"/>
        </w:rPr>
        <w:t>Leases</w:t>
      </w:r>
    </w:p>
    <w:p>
      <w:pPr>
        <w:spacing w:after="0" w:line="224"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7"/>
          <w:szCs w:val="17"/>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$16.8 million, $16.7 million and $13.9 million for the years ended December 31, 2021, 2020 and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80" w:type="dxa"/>
            <w:vAlign w:val="bottom"/>
          </w:tcPr>
          <w:p>
            <w:pPr>
              <w:ind w:left="400"/>
              <w:spacing w:after="0"/>
              <w:rPr>
                <w:sz w:val="20"/>
                <w:szCs w:val="20"/>
                <w:color w:val="auto"/>
              </w:rPr>
            </w:pPr>
            <w:r>
              <w:rPr>
                <w:rFonts w:ascii="Arial" w:cs="Arial" w:eastAsia="Arial" w:hAnsi="Arial"/>
                <w:sz w:val="18"/>
                <w:szCs w:val="18"/>
                <w:color w:val="auto"/>
                <w:w w:val="91"/>
              </w:rPr>
              <w:t>Supplemental cash flow information related to operating leases was as follows: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91"/>
              <w:spacing w:after="0"/>
              <w:rPr>
                <w:sz w:val="20"/>
                <w:szCs w:val="20"/>
                <w:color w:val="auto"/>
              </w:rPr>
            </w:pPr>
            <w:r>
              <w:rPr>
                <w:rFonts w:ascii="Arial" w:cs="Arial" w:eastAsia="Arial" w:hAnsi="Arial"/>
                <w:sz w:val="18"/>
                <w:szCs w:val="18"/>
                <w:b w:val="1"/>
                <w:bCs w:val="1"/>
                <w:color w:val="auto"/>
                <w:w w:val="89"/>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110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14,646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9,372</w:t>
            </w:r>
          </w:p>
        </w:tc>
      </w:tr>
      <w:tr>
        <w:trPr>
          <w:trHeight w:val="226"/>
        </w:trPr>
        <w:tc>
          <w:tcPr>
            <w:tcW w:w="618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10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4,110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15,837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17,359</w:t>
            </w: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27"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r>
      <w:tr>
        <w:trPr>
          <w:trHeight w:val="226"/>
        </w:trPr>
        <w:tc>
          <w:tcPr>
            <w:tcW w:w="89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w w:val="87"/>
              </w:rPr>
              <w:t>4.8%</w:t>
            </w:r>
          </w:p>
        </w:tc>
      </w:tr>
      <w:tr>
        <w:trPr>
          <w:trHeight w:val="413"/>
        </w:trPr>
        <w:tc>
          <w:tcPr>
            <w:tcW w:w="8980" w:type="dxa"/>
            <w:vAlign w:val="bottom"/>
            <w:gridSpan w:val="2"/>
          </w:tcPr>
          <w:p>
            <w:pPr>
              <w:ind w:left="400"/>
              <w:spacing w:after="0"/>
              <w:rPr>
                <w:sz w:val="20"/>
                <w:szCs w:val="20"/>
                <w:color w:val="auto"/>
              </w:rPr>
            </w:pPr>
            <w:r>
              <w:rPr>
                <w:rFonts w:ascii="Arial" w:cs="Arial" w:eastAsia="Arial" w:hAnsi="Arial"/>
                <w:sz w:val="18"/>
                <w:szCs w:val="18"/>
                <w:color w:val="auto"/>
              </w:rPr>
              <w:t>Maturities of the Company's operating lease liabilities as of December 31, 2021 are as follows: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7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14,543</w:t>
            </w:r>
          </w:p>
        </w:tc>
      </w:tr>
      <w:tr>
        <w:trPr>
          <w:trHeight w:val="213"/>
        </w:trPr>
        <w:tc>
          <w:tcPr>
            <w:tcW w:w="7900" w:type="dxa"/>
            <w:vAlign w:val="bottom"/>
          </w:tcPr>
          <w:p>
            <w:pPr>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12,042</w:t>
            </w:r>
          </w:p>
        </w:tc>
      </w:tr>
      <w:tr>
        <w:trPr>
          <w:trHeight w:val="213"/>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10,735</w:t>
            </w:r>
          </w:p>
        </w:tc>
      </w:tr>
      <w:tr>
        <w:trPr>
          <w:trHeight w:val="213"/>
        </w:trPr>
        <w:tc>
          <w:tcPr>
            <w:tcW w:w="7900" w:type="dxa"/>
            <w:vAlign w:val="bottom"/>
          </w:tcPr>
          <w:p>
            <w:pPr>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6,536</w:t>
            </w:r>
          </w:p>
        </w:tc>
      </w:tr>
      <w:tr>
        <w:trPr>
          <w:trHeight w:val="213"/>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r>
      <w:tr>
        <w:trPr>
          <w:trHeight w:val="213"/>
        </w:trPr>
        <w:tc>
          <w:tcPr>
            <w:tcW w:w="8980" w:type="dxa"/>
            <w:vAlign w:val="bottom"/>
            <w:gridSpan w:val="2"/>
          </w:tcPr>
          <w:p>
            <w:pPr>
              <w:spacing w:after="0"/>
              <w:rPr>
                <w:sz w:val="20"/>
                <w:szCs w:val="20"/>
                <w:color w:val="auto"/>
              </w:rPr>
            </w:pPr>
            <w:r>
              <w:rPr>
                <w:rFonts w:ascii="Arial" w:cs="Arial" w:eastAsia="Arial" w:hAnsi="Arial"/>
                <w:sz w:val="18"/>
                <w:szCs w:val="18"/>
                <w:color w:val="auto"/>
              </w:rPr>
              <w:t>2027 and thereafter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8"/>
                <w:szCs w:val="18"/>
                <w:color w:val="auto"/>
              </w:rPr>
            </w:pPr>
          </w:p>
        </w:tc>
      </w:tr>
      <w:tr>
        <w:trPr>
          <w:trHeight w:val="207"/>
        </w:trPr>
        <w:tc>
          <w:tcPr>
            <w:tcW w:w="8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54,173</w:t>
            </w:r>
          </w:p>
        </w:tc>
      </w:tr>
      <w:tr>
        <w:trPr>
          <w:trHeight w:val="213"/>
        </w:trPr>
        <w:tc>
          <w:tcPr>
            <w:tcW w:w="898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(5,651)</w:t>
            </w:r>
          </w:p>
        </w:tc>
      </w:tr>
      <w:tr>
        <w:trPr>
          <w:trHeight w:val="207"/>
        </w:trPr>
        <w:tc>
          <w:tcPr>
            <w:tcW w:w="8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Present value of net minimum lease payments</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48,522</w:t>
            </w:r>
          </w:p>
        </w:tc>
        <w:tc>
          <w:tcPr>
            <w:tcW w:w="100" w:type="dxa"/>
            <w:vAlign w:val="bottom"/>
            <w:shd w:val="clear" w:color="auto" w:fill="CCEEFF"/>
          </w:tcPr>
          <w:p>
            <w:pPr>
              <w:spacing w:after="0"/>
              <w:rPr>
                <w:sz w:val="17"/>
                <w:szCs w:val="17"/>
                <w:color w:val="auto"/>
              </w:rPr>
            </w:pPr>
          </w:p>
        </w:tc>
      </w:tr>
      <w:tr>
        <w:trPr>
          <w:trHeight w:val="213"/>
        </w:trPr>
        <w:tc>
          <w:tcPr>
            <w:tcW w:w="8980" w:type="dxa"/>
            <w:vAlign w:val="bottom"/>
            <w:gridSpan w:val="2"/>
          </w:tcPr>
          <w:p>
            <w:pPr>
              <w:spacing w:after="0"/>
              <w:rPr>
                <w:sz w:val="20"/>
                <w:szCs w:val="20"/>
                <w:color w:val="auto"/>
              </w:rPr>
            </w:pPr>
            <w:r>
              <w:rPr>
                <w:rFonts w:ascii="Arial" w:cs="Arial" w:eastAsia="Arial" w:hAnsi="Arial"/>
                <w:sz w:val="18"/>
                <w:szCs w:val="18"/>
                <w:color w:val="auto"/>
              </w:rPr>
              <w:t>Less: lease liabilities, current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(12,608)</w:t>
            </w:r>
          </w:p>
        </w:tc>
      </w:tr>
      <w:tr>
        <w:trPr>
          <w:trHeight w:val="247"/>
        </w:trPr>
        <w:tc>
          <w:tcPr>
            <w:tcW w:w="8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Lease liabilities, noncurrent</w:t>
            </w:r>
          </w:p>
        </w:tc>
        <w:tc>
          <w:tcPr>
            <w:tcW w:w="70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6"/>
        </w:trPr>
        <w:tc>
          <w:tcPr>
            <w:tcW w:w="7900" w:type="dxa"/>
            <w:vAlign w:val="bottom"/>
          </w:tcPr>
          <w:p>
            <w:pPr>
              <w:ind w:left="5540"/>
              <w:spacing w:after="0"/>
              <w:rPr>
                <w:sz w:val="20"/>
                <w:szCs w:val="20"/>
                <w:color w:val="auto"/>
              </w:rPr>
            </w:pPr>
            <w:r>
              <w:rPr>
                <w:rFonts w:ascii="Arial" w:cs="Arial" w:eastAsia="Arial" w:hAnsi="Arial"/>
                <w:sz w:val="18"/>
                <w:szCs w:val="18"/>
                <w:color w:val="auto"/>
              </w:rPr>
              <w:t>69</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9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8320" w:type="dxa"/>
            <w:vAlign w:val="bottom"/>
          </w:tcPr>
          <w:p>
            <w:pPr>
              <w:ind w:left="220"/>
              <w:spacing w:after="0"/>
              <w:rPr>
                <w:sz w:val="20"/>
                <w:szCs w:val="20"/>
                <w:color w:val="auto"/>
              </w:rPr>
            </w:pPr>
            <w:r>
              <w:rPr>
                <w:rFonts w:ascii="Arial" w:cs="Arial" w:eastAsia="Arial" w:hAnsi="Arial"/>
                <w:sz w:val="18"/>
                <w:szCs w:val="18"/>
                <w:b w:val="1"/>
                <w:bCs w:val="1"/>
                <w:color w:val="auto"/>
              </w:rPr>
              <w:t>Commitment and Contingencies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22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Purchase Obligation</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220" w:type="dxa"/>
            <w:vAlign w:val="bottom"/>
            <w:gridSpan w:val="2"/>
          </w:tcPr>
          <w:p>
            <w:pPr>
              <w:ind w:left="400"/>
              <w:spacing w:after="0"/>
              <w:rPr>
                <w:sz w:val="20"/>
                <w:szCs w:val="20"/>
                <w:color w:val="auto"/>
              </w:rPr>
            </w:pPr>
            <w:r>
              <w:rPr>
                <w:rFonts w:ascii="Arial" w:cs="Arial" w:eastAsia="Arial" w:hAnsi="Arial"/>
                <w:sz w:val="18"/>
                <w:szCs w:val="18"/>
                <w:color w:val="auto"/>
                <w:w w:val="94"/>
              </w:rPr>
              <w:t>The Company has entered into agreements to purchase goods and services in the ordinary course of business. As of</w:t>
            </w:r>
          </w:p>
        </w:tc>
        <w:tc>
          <w:tcPr>
            <w:tcW w:w="2020" w:type="dxa"/>
            <w:vAlign w:val="bottom"/>
            <w:gridSpan w:val="4"/>
          </w:tcPr>
          <w:p>
            <w:pPr>
              <w:ind w:left="80"/>
              <w:spacing w:after="0"/>
              <w:rPr>
                <w:sz w:val="20"/>
                <w:szCs w:val="20"/>
                <w:color w:val="auto"/>
              </w:rPr>
            </w:pPr>
            <w:r>
              <w:rPr>
                <w:rFonts w:ascii="Arial" w:cs="Arial" w:eastAsia="Arial" w:hAnsi="Arial"/>
                <w:sz w:val="18"/>
                <w:szCs w:val="18"/>
                <w:color w:val="auto"/>
                <w:w w:val="90"/>
              </w:rPr>
              <w:t>December 31, 2021, these</w:t>
            </w:r>
          </w:p>
        </w:tc>
      </w:tr>
      <w:tr>
        <w:trPr>
          <w:trHeight w:val="226"/>
        </w:trPr>
        <w:tc>
          <w:tcPr>
            <w:tcW w:w="9220" w:type="dxa"/>
            <w:vAlign w:val="bottom"/>
            <w:gridSpan w:val="2"/>
          </w:tcPr>
          <w:p>
            <w:pPr>
              <w:spacing w:after="0"/>
              <w:rPr>
                <w:sz w:val="20"/>
                <w:szCs w:val="20"/>
                <w:color w:val="auto"/>
              </w:rPr>
            </w:pPr>
            <w:r>
              <w:rPr>
                <w:rFonts w:ascii="Arial" w:cs="Arial" w:eastAsia="Arial" w:hAnsi="Arial"/>
                <w:sz w:val="18"/>
                <w:szCs w:val="18"/>
                <w:color w:val="auto"/>
              </w:rPr>
              <w:t>remaining purchase commitments for future periods are as follows: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90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23,672</w:t>
            </w:r>
          </w:p>
        </w:tc>
      </w:tr>
      <w:tr>
        <w:trPr>
          <w:trHeight w:val="213"/>
        </w:trPr>
        <w:tc>
          <w:tcPr>
            <w:tcW w:w="900" w:type="dxa"/>
            <w:vAlign w:val="bottom"/>
          </w:tcPr>
          <w:p>
            <w:pPr>
              <w:spacing w:after="0"/>
              <w:rPr>
                <w:sz w:val="20"/>
                <w:szCs w:val="20"/>
                <w:color w:val="auto"/>
              </w:rPr>
            </w:pPr>
            <w:r>
              <w:rPr>
                <w:rFonts w:ascii="Arial" w:cs="Arial" w:eastAsia="Arial" w:hAnsi="Arial"/>
                <w:sz w:val="18"/>
                <w:szCs w:val="18"/>
                <w:color w:val="auto"/>
              </w:rPr>
              <w:t>2023</w:t>
            </w:r>
          </w:p>
        </w:tc>
        <w:tc>
          <w:tcPr>
            <w:tcW w:w="8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11,488</w:t>
            </w:r>
          </w:p>
        </w:tc>
      </w:tr>
      <w:tr>
        <w:trPr>
          <w:trHeight w:val="213"/>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w:t>
            </w:r>
          </w:p>
        </w:tc>
      </w:tr>
      <w:tr>
        <w:trPr>
          <w:trHeight w:val="213"/>
        </w:trPr>
        <w:tc>
          <w:tcPr>
            <w:tcW w:w="900" w:type="dxa"/>
            <w:vAlign w:val="bottom"/>
          </w:tcPr>
          <w:p>
            <w:pPr>
              <w:spacing w:after="0"/>
              <w:rPr>
                <w:sz w:val="20"/>
                <w:szCs w:val="20"/>
                <w:color w:val="auto"/>
              </w:rPr>
            </w:pPr>
            <w:r>
              <w:rPr>
                <w:rFonts w:ascii="Arial" w:cs="Arial" w:eastAsia="Arial" w:hAnsi="Arial"/>
                <w:sz w:val="18"/>
                <w:szCs w:val="18"/>
                <w:color w:val="auto"/>
              </w:rPr>
              <w:t>2025</w:t>
            </w:r>
          </w:p>
        </w:tc>
        <w:tc>
          <w:tcPr>
            <w:tcW w:w="8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r>
      <w:tr>
        <w:trPr>
          <w:trHeight w:val="247"/>
        </w:trPr>
        <w:tc>
          <w:tcPr>
            <w:tcW w:w="92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purchase commitments</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0"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From time to time the Company may become involved in legal proceedings or be subject to claims arising in the ordinary course of our business. The Company records a provision for a liability when it is both probable that a liability has been incurred and the amount can be reasonably estimated. The Company provides disclosure if it is reasonably possible that a loss has been incurred and a range of loss or possible loss can be reasonably estimated. Significant judgment is required to determine both probability and the estimated amount. The Company reviews these provisions at least quarterly and adjust these provisions to reflect the impact of negotiations, settlements, rulings, advice of legal counsel, and updated information.</w:t>
      </w:r>
    </w:p>
    <w:p>
      <w:pPr>
        <w:spacing w:after="0" w:line="162"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color w:val="auto"/>
        </w:rPr>
        <w:t>As of December 31, 2021,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4"/>
          <w:szCs w:val="14"/>
          <w:b w:val="1"/>
          <w:bCs w:val="1"/>
          <w:color w:val="auto"/>
        </w:rPr>
        <w:t>Stockholders' Equity and Stock-based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Effective October 3, 2012, the Company is authorized to issue 20.0 million shares of undesignated preferred stock with a par value of $0.001 per share. Each series of preferred stock will have such rights and preferences including dividend rights, dividend rate, conversion rights, voting rights, rights and terms of redemption (including sinking fund provisions), redemption price, and liquidation preferences as determined by the board of directors. As of December 31, 2021, and 2020, there were no issued or outstanding shares of preferred stock.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2000 Equity Incentive Plan</w:t>
      </w:r>
    </w:p>
    <w:p>
      <w:pPr>
        <w:spacing w:after="0" w:line="220"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Under the 2000 Equity Incentive Plan (“2000 Plan”), the Company was authorized to grant to eligible participants either incentive stock options (“ISOs”) or non-statutory stock options (“NSOs”). The ISOs were granted at a price per share not less than the fair market value at the date of grant. The NSOs were granted at a price per share not less than 85% of the fair market value at the date of grant. Options granted generally vest over a period of up to four years, with a maximum term of ten years.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2012 Equity Incentive Plan</w:t>
      </w:r>
    </w:p>
    <w:p>
      <w:pPr>
        <w:spacing w:after="0" w:line="220"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2012 Equity Incentive Plan (“2012 Plan”) was adopted and approved in September 2012 and became effective on September 26, 2012. Under the 2012 Plan, the Company is authorized to grant to eligible participant’s ISOs, NSOs, stock appreciation rights (“SARs”), restricted stock awards (“RSAs”), RSUs, performance units and performance shares. The number of shares of common stock available for issuance under the 2012 Plan is subject to an annual increase on January 1 of each year by an amount equal to the least of 3,050 thousand shares, 5% of the outstanding shares of stock as of the last day of the immediately preceding fiscal year or an amount determined by the board of directors. For the year ended December 31, 2021, 1,963 thousand shares were added to the 2012 Plan. As of December 31, 2021, a total of 17,662 thousand shares have been authorized for issuance under the 2012 Plan and 8,091 thousand shares are available for future grants. Options may be granted with an exercise price that is at least equal to the fair market value of the Company's stock at the date of grant and are exercisable when vested. Options and RSU's granted generally vest over a period of up to four years. ISOs may only be granted to employees and any subsidiary corporations' employees. All other awards may be granted to employees, directors and consultants and subsidiary corporations' employees and consultants. Options, SARs, RSUs, performance units and performance awards may be granted with vesting terms as determined by the board of directors and expire no more than ten years after the date of grant or earlier if employment or service is terminated.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2021 Employee Stock Purchase Plan</w:t>
      </w:r>
    </w:p>
    <w:p>
      <w:pPr>
        <w:spacing w:after="0" w:line="220"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On June 9, 2021, the Company’s stockholders approved the 2021 ESPP. A total of 600 thousand shares were authorized for issuance to eligible participating employees upon adoption of the ESPP, all of which are available for future purchases as of December 31, 2021.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 The first ESPP offering period commenced on August 16, 2021 and will end on February 15, 2022.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jc w:val="both"/>
        <w:ind w:right="20" w:firstLine="400"/>
        <w:spacing w:after="0" w:line="270" w:lineRule="auto"/>
        <w:rPr>
          <w:sz w:val="20"/>
          <w:szCs w:val="20"/>
          <w:color w:val="auto"/>
        </w:rPr>
      </w:pPr>
      <w:r>
        <w:rPr>
          <w:rFonts w:ascii="Arial" w:cs="Arial" w:eastAsia="Arial" w:hAnsi="Arial"/>
          <w:sz w:val="18"/>
          <w:szCs w:val="18"/>
          <w:color w:val="auto"/>
        </w:rPr>
        <w:t>The following table shows a summary of the stock-based compensation expenses included in the consolidated statements of operations for the years ended December 31, 2021, 2020 and 2019:</w:t>
      </w:r>
    </w:p>
    <w:p>
      <w:pPr>
        <w:sectPr>
          <w:pgSz w:w="11900" w:h="16838" w:orient="portrait"/>
          <w:cols w:equalWidth="0" w:num="1">
            <w:col w:w="11240"/>
          </w:cols>
          <w:pgMar w:left="320" w:top="152" w:right="33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Total stock-based compensation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11"/>
              <w:spacing w:after="0" w:line="193" w:lineRule="exact"/>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320" w:type="dxa"/>
            <w:vAlign w:val="bottom"/>
            <w:gridSpan w:val="2"/>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3,782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2,767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2,262</w:t>
            </w: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13,502</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11,151</w:t>
            </w: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5,785</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4,984</w:t>
            </w:r>
          </w:p>
        </w:tc>
      </w:tr>
      <w:tr>
        <w:trPr>
          <w:trHeight w:val="226"/>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17,981</w:t>
            </w:r>
          </w:p>
        </w:tc>
        <w:tc>
          <w:tcPr>
            <w:tcW w:w="3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16,495</w:t>
            </w:r>
          </w:p>
        </w:tc>
      </w:tr>
      <w:tr>
        <w:trPr>
          <w:trHeight w:val="208"/>
        </w:trPr>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67,579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-711200</wp:posOffset>
            </wp:positionV>
            <wp:extent cx="7134225"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-440055</wp:posOffset>
            </wp:positionV>
            <wp:extent cx="7134225"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-160655</wp:posOffset>
            </wp:positionV>
            <wp:extent cx="7134225" cy="161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5600" w:space="720"/>
            <w:col w:w="4920"/>
          </w:cols>
          <w:pgMar w:left="320" w:top="152" w:right="339" w:bottom="1078" w:gutter="0" w:footer="0" w:header="0"/>
          <w:type w:val="continuous"/>
        </w:sectPr>
      </w:pPr>
    </w:p>
    <w:p>
      <w:pPr>
        <w:jc w:val="both"/>
        <w:ind w:firstLine="400"/>
        <w:spacing w:after="0" w:line="255" w:lineRule="auto"/>
        <w:rPr>
          <w:sz w:val="20"/>
          <w:szCs w:val="20"/>
          <w:color w:val="auto"/>
        </w:rPr>
      </w:pPr>
      <w:r>
        <w:rPr>
          <w:rFonts w:ascii="Arial" w:cs="Arial" w:eastAsia="Arial" w:hAnsi="Arial"/>
          <w:sz w:val="18"/>
          <w:szCs w:val="18"/>
          <w:color w:val="auto"/>
        </w:rPr>
        <w:t>The income tax benefit related to the stock-based compensation expenses was $6.2 million, $5.5 million and $5.5 million for the years ended December 31, 2021, 2020 and 2019, respectively. As of December 31, 2021, the Company had unrecognized stock-based compensation expenses of $16.7 million, $77.0 million and $0.2 million related to options, RSUs and ESPP, respectively, which are expected to be recognized over weighted-average periods of 2.8 years, 2.8 years and 0.1 years,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52" w:right="339" w:bottom="1078"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220"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On December 21, 2018, the compensation committee of the Company's board of directors (“Compensation Committee”) granted the equity award for 2019 to the Company’s former chief executive officer, Philippe Courtot (“Mr. Courtot”). The first portion of the award consists of 56 thousand RSUs that were scheduled to vest in 16 quarterly increments beginning on January 1, 2019. The second portion of the award consists of a target number of 33 thousand PSUs, which were scheduled to vest at the end of the three-year performance period from January 2019 through December 2021. The actual number of PSUs eligible to vest range from 0% to 200% of the target number, depending on the level of achievement of goals related to revenue growth during the three-year performance period from January 2019 through December 2021 and Adjusted EBITDA margin for the fiscal year of 2021. The third portion of the award consists of a target number of 33 thousand PSUs, one third of which (11 thousand target PSUs) was scheduled to vest at the end of each fiscal year of 2019, 2020 and 2021. The actual number of PSUs eligible to vest at each vesting date range from 0% to 200% of the target number, depending on the level of achievement of goals related to revenue growth and Adjusted EBITDA margin for each of those years.</w:t>
      </w:r>
    </w:p>
    <w:p>
      <w:pPr>
        <w:spacing w:after="0" w:line="168"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On November 2, 2019, the Compensation Committee granted the equity award for 2020 to Mr. Courtot. The first portion of the award consists of 49 thousand RSUs that were scheduled to vest in 16 quarterly installments beginning on December 1, 2019. The second portion of the award consists of a target number of 124 thousand PSOs, which were scheduled to vest at the end of the three-year performance period from January 2020 through December 2022. The actual number of PSOs eligible to vest range from 0% to 200% of the target number, depending on the level of achievement of goals related to revenue growth and free cash flow per share growth during the performance period.</w:t>
      </w:r>
    </w:p>
    <w:p>
      <w:pPr>
        <w:spacing w:after="0" w:line="177"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On December 10, 2020, the Compensation Committee granted the equity award for 2021 to Mr. Courtot. The first portion of the award consists of 69 thousand RSUs that were scheduled to vest in 16 quarterly installments beginning on November 1, 2020. The second portion of the award consists of a target number of 224 thousand PSOs, which were scheduled to vest at the end of the three-year performance period from January 2021 through December 2023. The actual number of PSOs eligible to vest range from 0% to 200% of the target number, depending on the level of achievement of goals related to revenue growth and free cash flow per share growth during the performance period.</w:t>
      </w:r>
    </w:p>
    <w:p>
      <w:pPr>
        <w:spacing w:after="0" w:line="177"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vesting of the above awards was conditioned on Mr. Courtot’s continued service through the vesting dates or, for PSOs and PSUs, the dates that performance is certified in addition to the achievement of performance goals. If Mr. Courtot’s employment was terminated (a) by reason of death or disability or (b) by the Company for reasons other than cause or good reason within 12 months following a change in control, then 100% of any unvested portions of these awards would vest, with any vesting in connection with change in control terminations conditioned upon the effectiveness of a release of claims in favor of the Company.</w:t>
      </w:r>
    </w:p>
    <w:p>
      <w:pPr>
        <w:spacing w:after="0" w:line="19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In February 2021 and 2020, 22 thousand shares (representing 200% of target number of awards) and 15 thousand shares (representing 135% of target number of awards) under the equity award for 2019 for Mr. Courtot, vested as a result of the Company achieving the corresponding level of performance goals for 2020 and 2019, respectively.</w:t>
      </w:r>
    </w:p>
    <w:p>
      <w:pPr>
        <w:spacing w:after="0" w:line="18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On March 19, 2021, Mr. Courtot resigned from the Company due to health issues. The Compensation Committee determined that Mr. Courtot’s termination of employment was on account of disability. In accordance with the grant agreements of the equity awards for 2021, 2020 and 2019 for Mr. Courtot, all remaining outstanding RSUs, PSUs and PSOs under these grants were subject to accelerated vesting and became fully vested at 100% of the target number of awards as of the date of his termination of employment, which consist of 127 thousand RSUs, 44 thousand PSUs and 348 thousand PSOs. As a result, the Company recognized an additional $27.3 million of stock-based compensation expense due to the accelerated vesting in the consolidated statements of operations for the year ended December 31, 2021.</w:t>
      </w:r>
    </w:p>
    <w:p>
      <w:pPr>
        <w:spacing w:after="0" w:line="190"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On April 27, 2021, the Compensation Committee granted to the Company’s current president and chief executive officer an equity award consisting of certain RSUs and a target number of 10 thousand PSUs. The PSUs are scheduled to vest at the end of the three-year performance period from January 2021 through December 2023. The actual number of the PSUs eligible to vest range from 0% to 200% of the target number, depending on the level of achievement of goals related to revenue growth and free cash flow per share growth during the performance period. If the Company's current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80"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On October 28, 2021, the Compensation Committee granted to certain executive officers of the Company equity awards consisting of certain RSUs and an aggregate number of 73 thousand PSUs. The target PSUs are scheduled to vest in three equal annual installments over a three-year period from January 2022 through December 2024. The actual number of the PSUs eligible to vest each year range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 If any of the executive officers is terminated</w:t>
      </w:r>
    </w:p>
    <w:p>
      <w:pPr>
        <w:spacing w:after="0" w:line="1" w:lineRule="exact"/>
        <w:rPr>
          <w:sz w:val="20"/>
          <w:szCs w:val="20"/>
          <w:color w:val="auto"/>
        </w:rPr>
      </w:pPr>
    </w:p>
    <w:p>
      <w:pPr>
        <w:jc w:val="both"/>
        <w:ind w:firstLine="7"/>
        <w:spacing w:after="0" w:line="25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reason of death or disability or (b) by the Company for reasons other than cause 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spacing w:after="0" w:line="192"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For the years ended December 31, 2021, 2020 and 2019, stock-based compensation expenses of $13.3 million, $0.2 million and $0.3 million for PSOs, respectively, and $5.3 million, $2.8 million and $0.9 million for PSUs, respectively, were recognized.</w:t>
      </w:r>
    </w:p>
    <w:p>
      <w:pPr>
        <w:sectPr>
          <w:pgSz w:w="11900" w:h="16838" w:orient="portrait"/>
          <w:cols w:equalWidth="0" w:num="1">
            <w:col w:w="11240"/>
          </w:cols>
          <w:pgMar w:left="320" w:top="125"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ind w:right="20" w:firstLine="400"/>
        <w:spacing w:after="0" w:line="300" w:lineRule="auto"/>
        <w:rPr>
          <w:sz w:val="20"/>
          <w:szCs w:val="20"/>
          <w:color w:val="auto"/>
        </w:rPr>
      </w:pPr>
      <w:r>
        <w:rPr>
          <w:rFonts w:ascii="Arial" w:cs="Arial" w:eastAsia="Arial" w:hAnsi="Arial"/>
          <w:sz w:val="17"/>
          <w:szCs w:val="17"/>
          <w:color w:val="auto"/>
        </w:rPr>
        <w:t>The weighted-average grant date fair value of the Company’s stock options granted for the years ended December 31, 2021, 2020 and 2019 was $41.23, $35.49 and $34.02, respectively, using the Black-Scholes-Merton option-pricing model based on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6220" w:type="dxa"/>
            <w:vAlign w:val="bottom"/>
          </w:tcPr>
          <w:p>
            <w:pPr>
              <w:spacing w:after="0"/>
              <w:rPr>
                <w:sz w:val="18"/>
                <w:szCs w:val="18"/>
                <w:color w:val="auto"/>
              </w:rPr>
            </w:pPr>
          </w:p>
        </w:tc>
        <w:tc>
          <w:tcPr>
            <w:tcW w:w="14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70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5.2 to 5.5</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 to 5.5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 to 6.6</w:t>
            </w: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Volatility</w:t>
            </w:r>
          </w:p>
        </w:tc>
        <w:tc>
          <w:tcPr>
            <w:tcW w:w="1700" w:type="dxa"/>
            <w:vAlign w:val="bottom"/>
            <w:gridSpan w:val="2"/>
          </w:tcPr>
          <w:p>
            <w:pPr>
              <w:jc w:val="right"/>
              <w:ind w:right="31"/>
              <w:spacing w:after="0"/>
              <w:rPr>
                <w:sz w:val="20"/>
                <w:szCs w:val="20"/>
                <w:color w:val="auto"/>
              </w:rPr>
            </w:pPr>
            <w:r>
              <w:rPr>
                <w:rFonts w:ascii="Arial" w:cs="Arial" w:eastAsia="Arial" w:hAnsi="Arial"/>
                <w:sz w:val="18"/>
                <w:szCs w:val="18"/>
                <w:color w:val="auto"/>
              </w:rPr>
              <w:t>38% to 41%</w:t>
            </w:r>
          </w:p>
        </w:tc>
        <w:tc>
          <w:tcPr>
            <w:tcW w:w="1980" w:type="dxa"/>
            <w:vAlign w:val="bottom"/>
            <w:gridSpan w:val="3"/>
          </w:tcPr>
          <w:p>
            <w:pPr>
              <w:jc w:val="right"/>
              <w:ind w:right="400"/>
              <w:spacing w:after="0"/>
              <w:rPr>
                <w:sz w:val="20"/>
                <w:szCs w:val="20"/>
                <w:color w:val="auto"/>
              </w:rPr>
            </w:pPr>
            <w:r>
              <w:rPr>
                <w:rFonts w:ascii="Arial" w:cs="Arial" w:eastAsia="Arial" w:hAnsi="Arial"/>
                <w:sz w:val="18"/>
                <w:szCs w:val="18"/>
                <w:color w:val="auto"/>
              </w:rPr>
              <w:t>38% to 43%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 to 46%</w:t>
            </w: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0.5% to 1.2%</w:t>
            </w:r>
          </w:p>
        </w:tc>
        <w:tc>
          <w:tcPr>
            <w:tcW w:w="1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 to 1.4%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 to 2.4%</w:t>
            </w:r>
          </w:p>
        </w:tc>
      </w:tr>
      <w:tr>
        <w:trPr>
          <w:trHeight w:val="226"/>
        </w:trPr>
        <w:tc>
          <w:tcPr>
            <w:tcW w:w="6220" w:type="dxa"/>
            <w:vAlign w:val="bottom"/>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right="240" w:firstLine="400"/>
        <w:spacing w:after="0" w:line="255" w:lineRule="auto"/>
        <w:rPr>
          <w:sz w:val="20"/>
          <w:szCs w:val="20"/>
          <w:color w:val="auto"/>
        </w:rPr>
      </w:pPr>
      <w:r>
        <w:rPr>
          <w:rFonts w:ascii="Arial" w:cs="Arial" w:eastAsia="Arial" w:hAnsi="Arial"/>
          <w:sz w:val="18"/>
          <w:szCs w:val="18"/>
          <w:color w:val="auto"/>
        </w:rPr>
        <w:t>The expected term of the options is based on evaluations of historical and expected future employee exercise behavior.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ind w:left="400"/>
              <w:spacing w:after="0"/>
              <w:rPr>
                <w:sz w:val="20"/>
                <w:szCs w:val="20"/>
                <w:color w:val="auto"/>
              </w:rPr>
            </w:pPr>
            <w:r>
              <w:rPr>
                <w:rFonts w:ascii="Arial" w:cs="Arial" w:eastAsia="Arial" w:hAnsi="Arial"/>
                <w:sz w:val="18"/>
                <w:szCs w:val="18"/>
                <w:color w:val="auto"/>
              </w:rPr>
              <w:t>A summary of the Company’s stock option activity is as follows: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5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Aggregate</w:t>
            </w:r>
          </w:p>
        </w:tc>
      </w:tr>
      <w:tr>
        <w:trPr>
          <w:trHeight w:val="213"/>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Outstanding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30"/>
        </w:trPr>
        <w:tc>
          <w:tcPr>
            <w:tcW w:w="59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Options</w:t>
            </w:r>
          </w:p>
        </w:tc>
        <w:tc>
          <w:tcPr>
            <w:tcW w:w="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8"/>
        </w:trPr>
        <w:tc>
          <w:tcPr>
            <w:tcW w:w="59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139,121</w:t>
            </w:r>
          </w:p>
        </w:tc>
      </w:tr>
      <w:tr>
        <w:trPr>
          <w:trHeight w:val="213"/>
        </w:trPr>
        <w:tc>
          <w:tcPr>
            <w:tcW w:w="59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495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112.43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60"/>
              <w:spacing w:after="0" w:line="213" w:lineRule="exact"/>
              <w:rPr>
                <w:sz w:val="20"/>
                <w:szCs w:val="20"/>
                <w:color w:val="auto"/>
              </w:rPr>
            </w:pPr>
            <w:r>
              <w:rPr>
                <w:rFonts w:ascii="Arial" w:cs="Arial" w:eastAsia="Arial" w:hAnsi="Arial"/>
                <w:sz w:val="18"/>
                <w:szCs w:val="18"/>
                <w:color w:val="auto"/>
              </w:rPr>
              <w:t>(725)</w:t>
            </w:r>
            <w:r>
              <w:rPr>
                <w:rFonts w:ascii="Arial" w:cs="Arial" w:eastAsia="Arial" w:hAnsi="Arial"/>
                <w:sz w:val="23"/>
                <w:szCs w:val="23"/>
                <w:color w:val="auto"/>
                <w:vertAlign w:val="superscript"/>
              </w:rPr>
              <w:t>(1)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ind w:left="320"/>
              <w:spacing w:after="0"/>
              <w:rPr>
                <w:sz w:val="20"/>
                <w:szCs w:val="20"/>
                <w:color w:val="auto"/>
              </w:rPr>
            </w:pPr>
            <w:r>
              <w:rPr>
                <w:rFonts w:ascii="Arial" w:cs="Arial" w:eastAsia="Arial" w:hAnsi="Arial"/>
                <w:sz w:val="18"/>
                <w:szCs w:val="18"/>
                <w:color w:val="auto"/>
              </w:rPr>
              <w:t>Canceled</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102.92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66.05</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130,791</w:t>
            </w: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8"/>
                <w:szCs w:val="18"/>
                <w:color w:val="auto"/>
              </w:rPr>
              <w:t>Vested and expected to vest - December 31, 2021</w:t>
            </w:r>
          </w:p>
        </w:tc>
        <w:tc>
          <w:tcPr>
            <w:tcW w:w="1360" w:type="dxa"/>
            <w:vAlign w:val="bottom"/>
            <w:gridSpan w:val="2"/>
          </w:tcPr>
          <w:p>
            <w:pPr>
              <w:jc w:val="right"/>
              <w:ind w:right="260"/>
              <w:spacing w:after="0" w:line="194" w:lineRule="exact"/>
              <w:rPr>
                <w:sz w:val="20"/>
                <w:szCs w:val="20"/>
                <w:color w:val="auto"/>
              </w:rPr>
            </w:pPr>
            <w:r>
              <w:rPr>
                <w:rFonts w:ascii="Arial" w:cs="Arial" w:eastAsia="Arial" w:hAnsi="Arial"/>
                <w:sz w:val="18"/>
                <w:szCs w:val="18"/>
                <w:color w:val="auto"/>
              </w:rPr>
              <w:t>1,659</w:t>
            </w:r>
          </w:p>
        </w:tc>
        <w:tc>
          <w:tcPr>
            <w:tcW w:w="180" w:type="dxa"/>
            <w:vAlign w:val="bottom"/>
            <w:gridSpan w:val="2"/>
          </w:tcPr>
          <w:p>
            <w:pPr>
              <w:ind w:left="40"/>
              <w:spacing w:after="0" w:line="194"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4" w:lineRule="exact"/>
              <w:rPr>
                <w:sz w:val="20"/>
                <w:szCs w:val="20"/>
                <w:color w:val="auto"/>
              </w:rPr>
            </w:pPr>
            <w:r>
              <w:rPr>
                <w:rFonts w:ascii="Arial" w:cs="Arial" w:eastAsia="Arial" w:hAnsi="Arial"/>
                <w:sz w:val="18"/>
                <w:szCs w:val="18"/>
                <w:color w:val="auto"/>
              </w:rPr>
              <w:t>61.43</w:t>
            </w: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5.7</w:t>
            </w:r>
          </w:p>
        </w:tc>
        <w:tc>
          <w:tcPr>
            <w:tcW w:w="240" w:type="dxa"/>
            <w:vAlign w:val="bottom"/>
            <w:gridSpan w:val="2"/>
          </w:tcPr>
          <w:p>
            <w:pPr>
              <w:ind w:left="100"/>
              <w:spacing w:after="0" w:line="194"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125,769</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 December 31, 2021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110,495</w:t>
            </w:r>
          </w:p>
        </w:tc>
      </w:tr>
      <w:tr>
        <w:trPr>
          <w:trHeight w:val="308"/>
        </w:trPr>
        <w:tc>
          <w:tcPr>
            <w:tcW w:w="5980" w:type="dxa"/>
            <w:vAlign w:val="bottom"/>
          </w:tcPr>
          <w:p>
            <w:pPr>
              <w:ind w:left="8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w:t>
            </w:r>
            <w:r>
              <w:rPr>
                <w:rFonts w:ascii="Arial" w:cs="Arial" w:eastAsia="Arial" w:hAnsi="Arial"/>
                <w:sz w:val="23"/>
                <w:szCs w:val="23"/>
                <w:color w:val="auto"/>
                <w:vertAlign w:val="superscript"/>
              </w:rPr>
              <w:t>)</w:t>
            </w:r>
            <w:r>
              <w:rPr>
                <w:rFonts w:ascii="Arial" w:cs="Arial" w:eastAsia="Arial" w:hAnsi="Arial"/>
                <w:sz w:val="12"/>
                <w:szCs w:val="12"/>
                <w:color w:val="auto"/>
              </w:rPr>
              <w:t xml:space="preserve"> </w:t>
            </w:r>
            <w:r>
              <w:rPr>
                <w:rFonts w:ascii="Arial" w:cs="Arial" w:eastAsia="Arial" w:hAnsi="Arial"/>
                <w:sz w:val="17"/>
                <w:szCs w:val="17"/>
                <w:color w:val="auto"/>
              </w:rPr>
              <w:t>Included 348 thousand shares of PSOs.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05"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The total intrinsic value of options exercised for the years ended December 31, 2021, 2020 and 2019 was $42.5 million, $77.5 million and $52.1 million, respectively. Intrinsic value of an option is the difference between the fair value of the Company’s common stock at the time of exercise and the exercise price paid.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Restricted Stock Units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7440" w:type="dxa"/>
            <w:vAlign w:val="bottom"/>
          </w:tcPr>
          <w:p>
            <w:pPr>
              <w:ind w:left="400"/>
              <w:spacing w:after="0"/>
              <w:rPr>
                <w:sz w:val="20"/>
                <w:szCs w:val="20"/>
                <w:color w:val="auto"/>
              </w:rPr>
            </w:pPr>
            <w:r>
              <w:rPr>
                <w:rFonts w:ascii="Arial" w:cs="Arial" w:eastAsia="Arial" w:hAnsi="Arial"/>
                <w:sz w:val="18"/>
                <w:szCs w:val="18"/>
                <w:color w:val="auto"/>
              </w:rPr>
              <w:t>A summary of the Company’s RSU activity is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r>
      <w:tr>
        <w:trPr>
          <w:trHeight w:val="213"/>
        </w:trPr>
        <w:tc>
          <w:tcPr>
            <w:tcW w:w="7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 Fair</w:t>
            </w:r>
          </w:p>
        </w:tc>
      </w:tr>
      <w:tr>
        <w:trPr>
          <w:trHeight w:val="230"/>
        </w:trPr>
        <w:tc>
          <w:tcPr>
            <w:tcW w:w="7440" w:type="dxa"/>
            <w:vAlign w:val="bottom"/>
          </w:tcPr>
          <w:p>
            <w:pPr>
              <w:spacing w:after="0"/>
              <w:rPr>
                <w:sz w:val="20"/>
                <w:szCs w:val="20"/>
                <w:color w:val="auto"/>
              </w:rPr>
            </w:pPr>
          </w:p>
        </w:tc>
        <w:tc>
          <w:tcPr>
            <w:tcW w:w="19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6"/>
              </w:rPr>
              <w:t>Outstanding RSUs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08"/>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w:t>
            </w:r>
          </w:p>
        </w:tc>
      </w:tr>
      <w:tr>
        <w:trPr>
          <w:trHeight w:val="213"/>
        </w:trPr>
        <w:tc>
          <w:tcPr>
            <w:tcW w:w="7440" w:type="dxa"/>
            <w:vAlign w:val="bottom"/>
          </w:tcPr>
          <w:p>
            <w:pPr>
              <w:ind w:left="320"/>
              <w:spacing w:after="0"/>
              <w:rPr>
                <w:sz w:val="20"/>
                <w:szCs w:val="20"/>
                <w:color w:val="auto"/>
              </w:rPr>
            </w:pPr>
            <w:r>
              <w:rPr>
                <w:rFonts w:ascii="Arial" w:cs="Arial" w:eastAsia="Arial" w:hAnsi="Arial"/>
                <w:sz w:val="18"/>
                <w:szCs w:val="18"/>
                <w:color w:val="auto"/>
              </w:rPr>
              <w:t>Granted</w:t>
            </w:r>
          </w:p>
        </w:tc>
        <w:tc>
          <w:tcPr>
            <w:tcW w:w="1960" w:type="dxa"/>
            <w:vAlign w:val="bottom"/>
            <w:gridSpan w:val="3"/>
          </w:tcPr>
          <w:p>
            <w:pPr>
              <w:jc w:val="right"/>
              <w:ind w:right="120"/>
              <w:spacing w:after="0" w:line="213" w:lineRule="exact"/>
              <w:rPr>
                <w:sz w:val="20"/>
                <w:szCs w:val="20"/>
                <w:color w:val="auto"/>
              </w:rPr>
            </w:pPr>
            <w:r>
              <w:rPr>
                <w:rFonts w:ascii="Arial" w:cs="Arial" w:eastAsia="Arial" w:hAnsi="Arial"/>
                <w:sz w:val="18"/>
                <w:szCs w:val="18"/>
                <w:color w:val="auto"/>
              </w:rPr>
              <w:t>583</w:t>
            </w:r>
            <w:r>
              <w:rPr>
                <w:rFonts w:ascii="Arial" w:cs="Arial" w:eastAsia="Arial" w:hAnsi="Arial"/>
                <w:sz w:val="23"/>
                <w:szCs w:val="23"/>
                <w:color w:val="auto"/>
                <w:vertAlign w:val="superscript"/>
              </w:rPr>
              <w:t>(1)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114.59</w:t>
            </w:r>
          </w:p>
        </w:tc>
      </w:tr>
      <w:tr>
        <w:trPr>
          <w:trHeight w:val="213"/>
        </w:trPr>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960" w:type="dxa"/>
            <w:vAlign w:val="bottom"/>
            <w:gridSpan w:val="3"/>
            <w:shd w:val="clear" w:color="auto" w:fill="CCEEFF"/>
          </w:tcPr>
          <w:p>
            <w:pPr>
              <w:jc w:val="right"/>
              <w:ind w:right="60"/>
              <w:spacing w:after="0" w:line="213" w:lineRule="exact"/>
              <w:rPr>
                <w:sz w:val="20"/>
                <w:szCs w:val="20"/>
                <w:color w:val="auto"/>
              </w:rPr>
            </w:pPr>
            <w:r>
              <w:rPr>
                <w:rFonts w:ascii="Arial" w:cs="Arial" w:eastAsia="Arial" w:hAnsi="Arial"/>
                <w:sz w:val="18"/>
                <w:szCs w:val="18"/>
                <w:color w:val="auto"/>
              </w:rPr>
              <w:t>(530)</w:t>
            </w:r>
            <w:r>
              <w:rPr>
                <w:rFonts w:ascii="Arial" w:cs="Arial" w:eastAsia="Arial" w:hAnsi="Arial"/>
                <w:sz w:val="23"/>
                <w:szCs w:val="23"/>
                <w:color w:val="auto"/>
                <w:vertAlign w:val="superscript"/>
              </w:rPr>
              <w:t>(2)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84.97</w:t>
            </w:r>
          </w:p>
        </w:tc>
      </w:tr>
      <w:tr>
        <w:trPr>
          <w:trHeight w:val="213"/>
        </w:trPr>
        <w:tc>
          <w:tcPr>
            <w:tcW w:w="7440" w:type="dxa"/>
            <w:vAlign w:val="bottom"/>
          </w:tcPr>
          <w:p>
            <w:pPr>
              <w:ind w:left="320"/>
              <w:spacing w:after="0"/>
              <w:rPr>
                <w:sz w:val="20"/>
                <w:szCs w:val="20"/>
                <w:color w:val="auto"/>
              </w:rPr>
            </w:pPr>
            <w:r>
              <w:rPr>
                <w:rFonts w:ascii="Arial" w:cs="Arial" w:eastAsia="Arial" w:hAnsi="Arial"/>
                <w:sz w:val="18"/>
                <w:szCs w:val="18"/>
                <w:color w:val="auto"/>
              </w:rPr>
              <w:t>Canceled</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(183)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r>
      <w:tr>
        <w:trPr>
          <w:trHeight w:val="20"/>
        </w:trPr>
        <w:tc>
          <w:tcPr>
            <w:tcW w:w="74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960" w:type="dxa"/>
            <w:vAlign w:val="bottom"/>
            <w:gridSpan w:val="3"/>
            <w:shd w:val="clear" w:color="auto" w:fill="CCEEFF"/>
          </w:tcPr>
          <w:p>
            <w:pPr>
              <w:jc w:val="right"/>
              <w:ind w:right="120"/>
              <w:spacing w:after="0" w:line="207" w:lineRule="exact"/>
              <w:rPr>
                <w:sz w:val="20"/>
                <w:szCs w:val="20"/>
                <w:color w:val="auto"/>
              </w:rPr>
            </w:pPr>
            <w:r>
              <w:rPr>
                <w:rFonts w:ascii="Arial" w:cs="Arial" w:eastAsia="Arial" w:hAnsi="Arial"/>
                <w:sz w:val="18"/>
                <w:szCs w:val="18"/>
                <w:color w:val="auto"/>
              </w:rPr>
              <w:t>917</w:t>
            </w:r>
            <w:r>
              <w:rPr>
                <w:rFonts w:ascii="Arial" w:cs="Arial" w:eastAsia="Arial" w:hAnsi="Arial"/>
                <w:sz w:val="23"/>
                <w:szCs w:val="23"/>
                <w:color w:val="auto"/>
                <w:vertAlign w:val="superscript"/>
              </w:rPr>
              <w:t>(3)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r>
      <w:tr>
        <w:trPr>
          <w:trHeight w:val="194"/>
        </w:trPr>
        <w:tc>
          <w:tcPr>
            <w:tcW w:w="744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color w:val="auto"/>
              </w:rPr>
              <w:t>Outstanding and expected to vest - December 31, 2021</w:t>
            </w:r>
          </w:p>
        </w:tc>
        <w:tc>
          <w:tcPr>
            <w:tcW w:w="17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815</w:t>
            </w:r>
          </w:p>
        </w:tc>
        <w:tc>
          <w:tcPr>
            <w:tcW w:w="20" w:type="dxa"/>
            <w:vAlign w:val="bottom"/>
            <w:tcBorders>
              <w:top w:val="single" w:sz="8" w:color="CCEEFF"/>
              <w:bottom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gridSpan w:val="2"/>
          </w:tcPr>
          <w:p>
            <w:pPr>
              <w:jc w:val="right"/>
              <w:ind w:right="20"/>
              <w:spacing w:after="0" w:line="194"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gridSpan w:val="2"/>
          </w:tcPr>
          <w:p>
            <w:pPr>
              <w:jc w:val="right"/>
              <w:ind w:right="100"/>
              <w:spacing w:after="0" w:line="194" w:lineRule="exact"/>
              <w:rPr>
                <w:sz w:val="20"/>
                <w:szCs w:val="20"/>
                <w:color w:val="auto"/>
              </w:rPr>
            </w:pPr>
            <w:r>
              <w:rPr>
                <w:rFonts w:ascii="Arial" w:cs="Arial" w:eastAsia="Arial" w:hAnsi="Arial"/>
                <w:sz w:val="18"/>
                <w:szCs w:val="18"/>
                <w:color w:val="auto"/>
              </w:rPr>
              <w:t>104.22</w:t>
            </w: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right="340" w:firstLine="80"/>
        <w:spacing w:after="0" w:line="222"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w:t>
      </w:r>
      <w:r>
        <w:rPr>
          <w:rFonts w:ascii="Arial" w:cs="Arial" w:eastAsia="Arial" w:hAnsi="Arial"/>
          <w:sz w:val="23"/>
          <w:szCs w:val="23"/>
          <w:color w:val="auto"/>
          <w:vertAlign w:val="superscript"/>
        </w:rPr>
        <w:t>)</w:t>
      </w:r>
      <w:r>
        <w:rPr>
          <w:rFonts w:ascii="Arial" w:cs="Arial" w:eastAsia="Arial" w:hAnsi="Arial"/>
          <w:sz w:val="12"/>
          <w:szCs w:val="12"/>
          <w:color w:val="auto"/>
        </w:rPr>
        <w:t xml:space="preserve"> </w:t>
      </w:r>
      <w:r>
        <w:rPr>
          <w:rFonts w:ascii="Arial" w:cs="Arial" w:eastAsia="Arial" w:hAnsi="Arial"/>
          <w:sz w:val="17"/>
          <w:szCs w:val="17"/>
          <w:color w:val="auto"/>
        </w:rPr>
        <w:t>Included 34 thousand shares of PSUs granted to certain executive officers in 2021 and 11 thousand additional shares of PSUs vested as a result of the</w:t>
      </w:r>
      <w:r>
        <w:rPr>
          <w:rFonts w:ascii="Arial" w:cs="Arial" w:eastAsia="Arial" w:hAnsi="Arial"/>
          <w:sz w:val="12"/>
          <w:szCs w:val="12"/>
          <w:color w:val="auto"/>
        </w:rPr>
        <w:t xml:space="preserve"> </w:t>
      </w:r>
      <w:r>
        <w:rPr>
          <w:rFonts w:ascii="Arial" w:cs="Arial" w:eastAsia="Arial" w:hAnsi="Arial"/>
          <w:sz w:val="17"/>
          <w:szCs w:val="17"/>
          <w:color w:val="auto"/>
        </w:rPr>
        <w:t>Company achieving the corresponding level of performance goals for 2020.</w:t>
      </w:r>
    </w:p>
    <w:p>
      <w:pPr>
        <w:ind w:left="80"/>
        <w:spacing w:after="0" w:line="205"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2</w:t>
      </w:r>
      <w:r>
        <w:rPr>
          <w:rFonts w:ascii="Arial" w:cs="Arial" w:eastAsia="Arial" w:hAnsi="Arial"/>
          <w:sz w:val="22"/>
          <w:szCs w:val="22"/>
          <w:color w:val="auto"/>
          <w:vertAlign w:val="superscript"/>
        </w:rPr>
        <w:t>)</w:t>
      </w:r>
      <w:r>
        <w:rPr>
          <w:rFonts w:ascii="Arial" w:cs="Arial" w:eastAsia="Arial" w:hAnsi="Arial"/>
          <w:sz w:val="11"/>
          <w:szCs w:val="11"/>
          <w:color w:val="auto"/>
        </w:rPr>
        <w:t xml:space="preserve"> </w:t>
      </w:r>
      <w:r>
        <w:rPr>
          <w:rFonts w:ascii="Arial" w:cs="Arial" w:eastAsia="Arial" w:hAnsi="Arial"/>
          <w:sz w:val="16"/>
          <w:szCs w:val="16"/>
          <w:color w:val="auto"/>
        </w:rPr>
        <w:t>Included 11 thousand additional shares of PSUs vested as a result of the Company achieving the corresponding level of performance goals for 2020.</w:t>
      </w:r>
    </w:p>
    <w:p>
      <w:pPr>
        <w:ind w:left="8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3</w:t>
      </w:r>
      <w:r>
        <w:rPr>
          <w:rFonts w:ascii="Arial" w:cs="Arial" w:eastAsia="Arial" w:hAnsi="Arial"/>
          <w:sz w:val="23"/>
          <w:szCs w:val="23"/>
          <w:color w:val="auto"/>
          <w:vertAlign w:val="superscript"/>
        </w:rPr>
        <w:t>)</w:t>
      </w:r>
      <w:r>
        <w:rPr>
          <w:rFonts w:ascii="Arial" w:cs="Arial" w:eastAsia="Arial" w:hAnsi="Arial"/>
          <w:sz w:val="12"/>
          <w:szCs w:val="12"/>
          <w:color w:val="auto"/>
        </w:rPr>
        <w:t xml:space="preserve"> </w:t>
      </w:r>
      <w:r>
        <w:rPr>
          <w:rFonts w:ascii="Arial" w:cs="Arial" w:eastAsia="Arial" w:hAnsi="Arial"/>
          <w:sz w:val="17"/>
          <w:szCs w:val="17"/>
          <w:color w:val="auto"/>
        </w:rPr>
        <w:t>Included 34 thousand shares of PSUs granted to certain executive officers in 2021.</w:t>
      </w:r>
    </w:p>
    <w:p>
      <w:pPr>
        <w:spacing w:after="0" w:line="147"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The aggregate fair value of RSUs vested for the years ended December 31, 2021, 2020 and 2019 was $59.5 million, $46.5 million and $37.9 million, respectively.</w:t>
      </w:r>
    </w:p>
    <w:p>
      <w:pPr>
        <w:sectPr>
          <w:pgSz w:w="11900" w:h="16838" w:orient="portrait"/>
          <w:cols w:equalWidth="0" w:num="1">
            <w:col w:w="11240"/>
          </w:cols>
          <w:pgMar w:left="320" w:top="125"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0"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The weighted-average grant date fair value of the Company’s ESPP for the year ended December 31, 2021 was $26.88 using the Black-Scholes-Merton option-pricing model based on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2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r>
      <w:tr>
        <w:trPr>
          <w:trHeight w:val="231"/>
        </w:trPr>
        <w:tc>
          <w:tcPr>
            <w:tcW w:w="962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08"/>
        </w:trPr>
        <w:tc>
          <w:tcPr>
            <w:tcW w:w="96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r>
      <w:tr>
        <w:trPr>
          <w:trHeight w:val="207"/>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3"/>
        </w:trPr>
        <w:tc>
          <w:tcPr>
            <w:tcW w:w="9620" w:type="dxa"/>
            <w:vAlign w:val="bottom"/>
          </w:tcPr>
          <w:p>
            <w:pPr>
              <w:spacing w:after="0"/>
              <w:rPr>
                <w:sz w:val="20"/>
                <w:szCs w:val="20"/>
                <w:color w:val="auto"/>
              </w:rPr>
            </w:pPr>
            <w:r>
              <w:rPr>
                <w:rFonts w:ascii="Arial" w:cs="Arial" w:eastAsia="Arial" w:hAnsi="Arial"/>
                <w:sz w:val="18"/>
                <w:szCs w:val="18"/>
                <w:color w:val="auto"/>
              </w:rPr>
              <w:t>Volatility</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3"/>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26"/>
        </w:trPr>
        <w:tc>
          <w:tcPr>
            <w:tcW w:w="9620" w:type="dxa"/>
            <w:vAlign w:val="bottom"/>
          </w:tcPr>
          <w:p>
            <w:pPr>
              <w:spacing w:after="0"/>
              <w:rPr>
                <w:sz w:val="20"/>
                <w:szCs w:val="20"/>
                <w:color w:val="auto"/>
              </w:rPr>
            </w:pPr>
            <w:r>
              <w:rPr>
                <w:rFonts w:ascii="Arial" w:cs="Arial" w:eastAsia="Arial" w:hAnsi="Arial"/>
                <w:sz w:val="18"/>
                <w:szCs w:val="18"/>
                <w:color w:val="auto"/>
              </w:rPr>
              <w:t>Dividend yield</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right="100" w:firstLine="400"/>
        <w:spacing w:after="0" w:line="281" w:lineRule="auto"/>
        <w:rPr>
          <w:sz w:val="20"/>
          <w:szCs w:val="20"/>
          <w:color w:val="auto"/>
        </w:rPr>
      </w:pPr>
      <w:r>
        <w:rPr>
          <w:rFonts w:ascii="Arial" w:cs="Arial" w:eastAsia="Arial" w:hAnsi="Arial"/>
          <w:sz w:val="17"/>
          <w:szCs w:val="17"/>
          <w:color w:val="auto"/>
        </w:rPr>
        <w:t>The expected term of the ESPP represents the six-month offering period.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56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9560" w:type="dxa"/>
            <w:vAlign w:val="bottom"/>
          </w:tcPr>
          <w:p>
            <w:pPr>
              <w:ind w:left="400"/>
              <w:spacing w:after="0"/>
              <w:rPr>
                <w:sz w:val="20"/>
                <w:szCs w:val="20"/>
                <w:color w:val="auto"/>
              </w:rPr>
            </w:pPr>
            <w:r>
              <w:rPr>
                <w:rFonts w:ascii="Arial" w:cs="Arial" w:eastAsia="Arial" w:hAnsi="Arial"/>
                <w:sz w:val="18"/>
                <w:szCs w:val="18"/>
                <w:color w:val="auto"/>
              </w:rPr>
              <w:t>The Company's share repurchase program was authorized by the board of directors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Authorized Dollar</w:t>
            </w:r>
          </w:p>
        </w:tc>
      </w:tr>
      <w:tr>
        <w:trPr>
          <w:trHeight w:val="230"/>
        </w:trPr>
        <w:tc>
          <w:tcPr>
            <w:tcW w:w="9560" w:type="dxa"/>
            <w:vAlign w:val="bottom"/>
          </w:tcPr>
          <w:p>
            <w:pPr>
              <w:spacing w:after="0"/>
              <w:rPr>
                <w:sz w:val="20"/>
                <w:szCs w:val="20"/>
                <w:color w:val="auto"/>
              </w:rPr>
            </w:pPr>
            <w:r>
              <w:rPr>
                <w:rFonts w:ascii="Arial" w:cs="Arial" w:eastAsia="Arial" w:hAnsi="Arial"/>
                <w:sz w:val="18"/>
                <w:szCs w:val="18"/>
                <w:b w:val="1"/>
                <w:bCs w:val="1"/>
                <w:color w:val="auto"/>
              </w:rPr>
              <w:t>Announcement Date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r>
      <w:tr>
        <w:trPr>
          <w:trHeight w:val="208"/>
        </w:trPr>
        <w:tc>
          <w:tcPr>
            <w:tcW w:w="9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(in millions)</w:t>
            </w:r>
          </w:p>
        </w:tc>
        <w:tc>
          <w:tcPr>
            <w:tcW w:w="100" w:type="dxa"/>
            <w:vAlign w:val="bottom"/>
          </w:tcPr>
          <w:p>
            <w:pPr>
              <w:spacing w:after="0"/>
              <w:rPr>
                <w:sz w:val="18"/>
                <w:szCs w:val="18"/>
                <w:color w:val="auto"/>
              </w:rPr>
            </w:pPr>
          </w:p>
        </w:tc>
      </w:tr>
      <w:tr>
        <w:trPr>
          <w:trHeight w:val="213"/>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12, 2018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3"/>
        </w:trPr>
        <w:tc>
          <w:tcPr>
            <w:tcW w:w="9560" w:type="dxa"/>
            <w:vAlign w:val="bottom"/>
          </w:tcPr>
          <w:p>
            <w:pPr>
              <w:spacing w:after="0"/>
              <w:rPr>
                <w:sz w:val="20"/>
                <w:szCs w:val="20"/>
                <w:color w:val="auto"/>
              </w:rPr>
            </w:pPr>
            <w:r>
              <w:rPr>
                <w:rFonts w:ascii="Arial" w:cs="Arial" w:eastAsia="Arial" w:hAnsi="Arial"/>
                <w:sz w:val="18"/>
                <w:szCs w:val="18"/>
                <w:color w:val="auto"/>
              </w:rPr>
              <w:t>October 30,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3"/>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October 30, 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3"/>
        </w:trPr>
        <w:tc>
          <w:tcPr>
            <w:tcW w:w="9560" w:type="dxa"/>
            <w:vAlign w:val="bottom"/>
          </w:tcPr>
          <w:p>
            <w:pPr>
              <w:spacing w:after="0"/>
              <w:rPr>
                <w:sz w:val="20"/>
                <w:szCs w:val="20"/>
                <w:color w:val="auto"/>
              </w:rPr>
            </w:pPr>
            <w:r>
              <w:rPr>
                <w:rFonts w:ascii="Arial" w:cs="Arial" w:eastAsia="Arial" w:hAnsi="Arial"/>
                <w:sz w:val="18"/>
                <w:szCs w:val="18"/>
                <w:color w:val="auto"/>
              </w:rPr>
              <w:t>May 7,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3"/>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10, 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3"/>
        </w:trPr>
        <w:tc>
          <w:tcPr>
            <w:tcW w:w="9560" w:type="dxa"/>
            <w:vAlign w:val="bottom"/>
          </w:tcPr>
          <w:p>
            <w:pPr>
              <w:spacing w:after="0"/>
              <w:rPr>
                <w:sz w:val="20"/>
                <w:szCs w:val="20"/>
                <w:color w:val="auto"/>
              </w:rPr>
            </w:pPr>
            <w:r>
              <w:rPr>
                <w:rFonts w:ascii="Arial" w:cs="Arial" w:eastAsia="Arial" w:hAnsi="Arial"/>
                <w:sz w:val="18"/>
                <w:szCs w:val="18"/>
                <w:color w:val="auto"/>
              </w:rPr>
              <w:t>November 3, 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47"/>
        </w:trPr>
        <w:tc>
          <w:tcPr>
            <w:tcW w:w="9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 of December 31, 2021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9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For the years ended December 31, 2021, 2020 and 2019, the Company repurchased 1.1 million shares, 1.3 million shares and 1.0 million shares of its common stock for $130.0 million, $126.7 million and $86.4 million, respectively. As of December 31, 2021, $271.8 million remained available for share repurchases pursuant to the Company's share repurchase program.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4"/>
          <w:szCs w:val="14"/>
          <w:b w:val="1"/>
          <w:bCs w:val="1"/>
          <w:color w:val="auto"/>
        </w:rPr>
        <w:t>Employee Benefits Plan</w:t>
      </w:r>
    </w:p>
    <w:p>
      <w:pPr>
        <w:spacing w:after="0" w:line="224"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For the years ended December 31, 2021, 2020 and 2019, the Company made contributions to the 401(k) Plan of $2.4 million, $1.3 million and $1.3 million, respectively.</w:t>
      </w:r>
    </w:p>
    <w:p>
      <w:pPr>
        <w:spacing w:after="0" w:line="188"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The Company contributes to a Provident Fund Plan for its employees in India, which is a defined contribution plan set up in accordance with local labor and tax laws. Gratuity is also paid by the Company to eligible employees in India in accordance with Payment of Gratuity Act, 1972. For the years ended December 31, 2021, 2020 and 2019, the Company contributed $1.7 million, $1.4 million and $1.1 million, respectively, to those plans.</w:t>
      </w:r>
    </w:p>
    <w:p>
      <w:pPr>
        <w:spacing w:after="0" w:line="38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4"/>
          <w:szCs w:val="14"/>
          <w:b w:val="1"/>
          <w:bCs w:val="1"/>
          <w:color w:val="auto"/>
        </w:rPr>
        <w:t>Income Taxes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geographical breakdown of income before income taxes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9"/>
          </w:tcPr>
          <w:p>
            <w:pPr>
              <w:jc w:val="center"/>
              <w:ind w:left="691"/>
              <w:spacing w:after="0"/>
              <w:rPr>
                <w:sz w:val="20"/>
                <w:szCs w:val="20"/>
                <w:color w:val="auto"/>
              </w:rPr>
            </w:pPr>
            <w:r>
              <w:rPr>
                <w:rFonts w:ascii="Arial" w:cs="Arial" w:eastAsia="Arial" w:hAnsi="Arial"/>
                <w:sz w:val="18"/>
                <w:szCs w:val="18"/>
                <w:b w:val="1"/>
                <w:bCs w:val="1"/>
                <w:color w:val="auto"/>
                <w:w w:val="88"/>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94,099</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72,124</w:t>
            </w:r>
          </w:p>
        </w:tc>
        <w:tc>
          <w:tcPr>
            <w:tcW w:w="0" w:type="dxa"/>
            <w:vAlign w:val="bottom"/>
          </w:tcPr>
          <w:p>
            <w:pPr>
              <w:spacing w:after="0"/>
              <w:rPr>
                <w:sz w:val="1"/>
                <w:szCs w:val="1"/>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7,938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89,397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102,037</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79,983</w:t>
            </w:r>
          </w:p>
        </w:tc>
        <w:tc>
          <w:tcPr>
            <w:tcW w:w="0" w:type="dxa"/>
            <w:vAlign w:val="bottom"/>
          </w:tcPr>
          <w:p>
            <w:pPr>
              <w:spacing w:after="0"/>
              <w:rPr>
                <w:sz w:val="1"/>
                <w:szCs w:val="1"/>
                <w:color w:val="auto"/>
              </w:rPr>
            </w:pPr>
          </w:p>
        </w:tc>
      </w:tr>
      <w:tr>
        <w:trPr>
          <w:trHeight w:val="406"/>
        </w:trPr>
        <w:tc>
          <w:tcPr>
            <w:tcW w:w="4760" w:type="dxa"/>
            <w:vAlign w:val="bottom"/>
            <w:tcBorders>
              <w:top w:val="single" w:sz="8" w:color="CCEEFF"/>
            </w:tcBorders>
          </w:tcPr>
          <w:p>
            <w:pPr>
              <w:ind w:left="400"/>
              <w:spacing w:after="0"/>
              <w:rPr>
                <w:sz w:val="20"/>
                <w:szCs w:val="20"/>
                <w:color w:val="auto"/>
              </w:rPr>
            </w:pPr>
            <w:r>
              <w:rPr>
                <w:rFonts w:ascii="Arial" w:cs="Arial" w:eastAsia="Arial" w:hAnsi="Arial"/>
                <w:sz w:val="18"/>
                <w:szCs w:val="18"/>
                <w:color w:val="auto"/>
              </w:rPr>
              <w:t>Income tax provision consists of the following:</w:t>
            </w:r>
          </w:p>
        </w:tc>
        <w:tc>
          <w:tcPr>
            <w:tcW w:w="2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center"/>
              <w:ind w:left="691"/>
              <w:spacing w:after="0"/>
              <w:rPr>
                <w:sz w:val="20"/>
                <w:szCs w:val="20"/>
                <w:color w:val="auto"/>
              </w:rPr>
            </w:pPr>
            <w:r>
              <w:rPr>
                <w:rFonts w:ascii="Arial" w:cs="Arial" w:eastAsia="Arial" w:hAnsi="Arial"/>
                <w:sz w:val="18"/>
                <w:szCs w:val="18"/>
                <w:b w:val="1"/>
                <w:bCs w:val="1"/>
                <w:color w:val="auto"/>
                <w:w w:val="88"/>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60"/>
              <w:spacing w:after="0"/>
              <w:rPr>
                <w:sz w:val="20"/>
                <w:szCs w:val="20"/>
                <w:color w:val="auto"/>
              </w:rPr>
            </w:pPr>
            <w:r>
              <w:rPr>
                <w:rFonts w:ascii="Arial" w:cs="Arial" w:eastAsia="Arial" w:hAnsi="Arial"/>
                <w:sz w:val="18"/>
                <w:szCs w:val="18"/>
                <w:color w:val="auto"/>
              </w:rPr>
              <w:t>Federal</w:t>
            </w:r>
          </w:p>
        </w:tc>
        <w:tc>
          <w:tcPr>
            <w:tcW w:w="242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20,135</w:t>
            </w:r>
          </w:p>
        </w:tc>
        <w:tc>
          <w:tcPr>
            <w:tcW w:w="10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1,944</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3"/>
        </w:trPr>
        <w:tc>
          <w:tcPr>
            <w:tcW w:w="4760" w:type="dxa"/>
            <w:vAlign w:val="bottom"/>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income tax provision</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28,160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6,953</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07"/>
        </w:trPr>
        <w:tc>
          <w:tcPr>
            <w:tcW w:w="47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Deferred</w:t>
            </w:r>
          </w:p>
        </w:tc>
        <w:tc>
          <w:tcPr>
            <w:tcW w:w="2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3"/>
        </w:trPr>
        <w:tc>
          <w:tcPr>
            <w:tcW w:w="4760" w:type="dxa"/>
            <w:vAlign w:val="bottom"/>
          </w:tcPr>
          <w:p>
            <w:pPr>
              <w:ind w:left="160"/>
              <w:spacing w:after="0"/>
              <w:rPr>
                <w:sz w:val="20"/>
                <w:szCs w:val="20"/>
                <w:color w:val="auto"/>
              </w:rPr>
            </w:pPr>
            <w:r>
              <w:rPr>
                <w:rFonts w:ascii="Arial" w:cs="Arial" w:eastAsia="Arial" w:hAnsi="Arial"/>
                <w:sz w:val="18"/>
                <w:szCs w:val="18"/>
                <w:color w:val="auto"/>
              </w:rPr>
              <w:t>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60" w:type="dxa"/>
            <w:vAlign w:val="bottom"/>
          </w:tcPr>
          <w:p>
            <w:pPr>
              <w:ind w:left="320"/>
              <w:spacing w:after="0"/>
              <w:rPr>
                <w:sz w:val="20"/>
                <w:szCs w:val="20"/>
                <w:color w:val="auto"/>
              </w:rPr>
            </w:pPr>
            <w:r>
              <w:rPr>
                <w:rFonts w:ascii="Arial" w:cs="Arial" w:eastAsia="Arial" w:hAnsi="Arial"/>
                <w:sz w:val="18"/>
                <w:szCs w:val="18"/>
                <w:color w:val="auto"/>
              </w:rPr>
              <w:t>Deferred income tax provision (benefit)</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3,512</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4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22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8460" w:type="dxa"/>
            <w:vAlign w:val="bottom"/>
            <w:gridSpan w:val="8"/>
          </w:tcPr>
          <w:p>
            <w:pPr>
              <w:ind w:left="400"/>
              <w:spacing w:after="0"/>
              <w:rPr>
                <w:sz w:val="20"/>
                <w:szCs w:val="20"/>
                <w:color w:val="auto"/>
              </w:rPr>
            </w:pPr>
            <w:r>
              <w:rPr>
                <w:rFonts w:ascii="Arial" w:cs="Arial" w:eastAsia="Arial" w:hAnsi="Arial"/>
                <w:sz w:val="18"/>
                <w:szCs w:val="18"/>
                <w:color w:val="auto"/>
                <w:w w:val="95"/>
              </w:rPr>
              <w:t>The reconciliation of the statutory federal income tax rate to the Company’s effective tax rate is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center"/>
              <w:ind w:left="511"/>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State taxes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Excess tax benefits related to stock-based compensation</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source income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Foreign-derived intangible income deduction</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Federal and state research and development credit</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60" w:type="dxa"/>
            <w:vAlign w:val="bottom"/>
          </w:tcPr>
          <w:p>
            <w:pPr>
              <w:spacing w:after="0"/>
              <w:rPr>
                <w:sz w:val="20"/>
                <w:szCs w:val="20"/>
                <w:color w:val="auto"/>
              </w:rPr>
            </w:pPr>
            <w:r>
              <w:rPr>
                <w:rFonts w:ascii="Arial" w:cs="Arial" w:eastAsia="Arial" w:hAnsi="Arial"/>
                <w:sz w:val="18"/>
                <w:szCs w:val="18"/>
                <w:color w:val="auto"/>
              </w:rPr>
              <w:t>Income tax provision</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00" w:type="dxa"/>
            <w:vAlign w:val="bottom"/>
            <w:vMerge w:val="restart"/>
          </w:tcPr>
          <w:p>
            <w:pPr>
              <w:jc w:val="right"/>
              <w:ind w:right="1051"/>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2"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0" w:lineRule="exact"/>
        <w:rPr>
          <w:sz w:val="20"/>
          <w:szCs w:val="20"/>
          <w:color w:val="auto"/>
        </w:rPr>
      </w:pPr>
    </w:p>
    <w:p>
      <w:pPr>
        <w:jc w:val="both"/>
        <w:ind w:firstLine="400"/>
        <w:spacing w:after="0" w:line="333"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07"/>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ind w:right="131"/>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Research and development credit carryforwards</w:t>
            </w:r>
          </w:p>
        </w:tc>
        <w:tc>
          <w:tcPr>
            <w:tcW w:w="920" w:type="dxa"/>
            <w:vAlign w:val="bottom"/>
          </w:tcPr>
          <w:p>
            <w:pPr>
              <w:jc w:val="right"/>
              <w:ind w:right="76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10,743</w:t>
            </w:r>
          </w:p>
        </w:tc>
        <w:tc>
          <w:tcPr>
            <w:tcW w:w="22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16,965</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 carryforwards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11,777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15,924</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12,377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r>
      <w:tr>
        <w:trPr>
          <w:trHeight w:val="213"/>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Gross deferred tax assets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51,807</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49,552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86"/>
              </w:rPr>
              <w:t>(11,364)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(11,188)</w:t>
            </w:r>
          </w:p>
        </w:tc>
      </w:tr>
      <w:tr>
        <w:trPr>
          <w:trHeight w:val="20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40,443</w:t>
            </w: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38,364</w:t>
            </w: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8"/>
                <w:szCs w:val="18"/>
                <w:color w:val="auto"/>
              </w:rPr>
              <w:t>(3,320)</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(7,017)</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 - right of use asset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(9,010)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(13,054)</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Deferred commissions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8"/>
                <w:szCs w:val="18"/>
                <w:color w:val="auto"/>
              </w:rPr>
              <w:t>(3,026)</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9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86"/>
              </w:rPr>
              <w:t>(15,356)</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(22,553)</w:t>
            </w:r>
          </w:p>
        </w:tc>
      </w:tr>
      <w:tr>
        <w:trPr>
          <w:trHeight w:val="20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deferred tax assets</w:t>
            </w:r>
          </w:p>
        </w:tc>
        <w:tc>
          <w:tcPr>
            <w:tcW w:w="9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25,087</w:t>
            </w: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15,811</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2021. Additionally, due to a lack of sufficient future income of the appropriate character, certain U.S. federal and state deferred tax assets are not more-likely-than-not to be realized. Accordingly, the Company has recorded a valuation allowance of $11.4 million and $11.2 million against such deferred tax assets as of December 31, 2021 and 2020, respectively. The increase of $0.2 million in valuation allowance was mainly associated with the California research and development credit generated during the year ended December 31, 2021 that will not likely be realized in the foreseeable future.</w:t>
      </w:r>
    </w:p>
    <w:p>
      <w:pPr>
        <w:spacing w:after="0" w:line="168" w:lineRule="exact"/>
        <w:rPr>
          <w:sz w:val="20"/>
          <w:szCs w:val="20"/>
          <w:color w:val="auto"/>
        </w:rPr>
      </w:pPr>
    </w:p>
    <w:p>
      <w:pPr>
        <w:jc w:val="both"/>
        <w:ind w:firstLine="400"/>
        <w:spacing w:after="0" w:line="289" w:lineRule="auto"/>
        <w:rPr>
          <w:sz w:val="20"/>
          <w:szCs w:val="20"/>
          <w:color w:val="auto"/>
        </w:rPr>
      </w:pPr>
      <w:r>
        <w:rPr>
          <w:rFonts w:ascii="Arial" w:cs="Arial" w:eastAsia="Arial" w:hAnsi="Arial"/>
          <w:sz w:val="16"/>
          <w:szCs w:val="16"/>
          <w:color w:val="auto"/>
        </w:rPr>
        <w:t>As of December 31, 2021, the Company had federal net operating loss carryforwards of approximately $0.7 million available to reduce federal taxable income. The state net operating loss carryforwards are not material. The federal net operating losses begin to expire in 2022. Utilization of the Company’s net operating loss carryforwards may be subject to an annual limitation due to the ownership change limitations provided by the Internal Revenue Code and similar state provisions. Such an annual limitation could result in the expiration of the net operating loss carryforwards before utilization. As of December 31, 2021, the Company had $15.5 million of state research and development credit carryforwards. State research and development credits do not expire. As of December 31, 2021, the Company had foreign tax credit carryforwards of $0.9 million which begin to expire in 2028.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2"/>
        </w:trPr>
        <w:tc>
          <w:tcPr>
            <w:tcW w:w="7340" w:type="dxa"/>
            <w:vAlign w:val="bottom"/>
            <w:gridSpan w:val="3"/>
          </w:tcPr>
          <w:p>
            <w:pPr>
              <w:ind w:left="400"/>
              <w:spacing w:after="0"/>
              <w:rPr>
                <w:sz w:val="20"/>
                <w:szCs w:val="20"/>
                <w:color w:val="auto"/>
              </w:rPr>
            </w:pPr>
            <w:r>
              <w:rPr>
                <w:rFonts w:ascii="Arial" w:cs="Arial" w:eastAsia="Arial" w:hAnsi="Arial"/>
                <w:sz w:val="18"/>
                <w:szCs w:val="18"/>
                <w:color w:val="auto"/>
                <w:w w:val="90"/>
              </w:rPr>
              <w:t>The following table summarizes the activity related to the Company’s unrecognized tax benefits: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2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31"/>
              <w:spacing w:after="0"/>
              <w:rPr>
                <w:sz w:val="20"/>
                <w:szCs w:val="20"/>
                <w:color w:val="auto"/>
              </w:rPr>
            </w:pPr>
            <w:r>
              <w:rPr>
                <w:rFonts w:ascii="Arial" w:cs="Arial" w:eastAsia="Arial" w:hAnsi="Arial"/>
                <w:sz w:val="18"/>
                <w:szCs w:val="18"/>
                <w:b w:val="1"/>
                <w:bCs w:val="1"/>
                <w:color w:val="auto"/>
                <w:w w:val="89"/>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12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Unrecognized tax benefits beginning balance</w:t>
            </w:r>
          </w:p>
        </w:tc>
        <w:tc>
          <w:tcPr>
            <w:tcW w:w="1000" w:type="dxa"/>
            <w:vAlign w:val="bottom"/>
            <w:shd w:val="clear" w:color="auto" w:fill="CCEEFF"/>
          </w:tcPr>
          <w:p>
            <w:pPr>
              <w:jc w:val="right"/>
              <w:ind w:right="87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7,778</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r>
      <w:tr>
        <w:trPr>
          <w:trHeight w:val="213"/>
        </w:trPr>
        <w:tc>
          <w:tcPr>
            <w:tcW w:w="6340" w:type="dxa"/>
            <w:vAlign w:val="bottom"/>
            <w:gridSpan w:val="2"/>
          </w:tcPr>
          <w:p>
            <w:pPr>
              <w:spacing w:after="0"/>
              <w:rPr>
                <w:sz w:val="20"/>
                <w:szCs w:val="20"/>
                <w:color w:val="auto"/>
              </w:rPr>
            </w:pPr>
            <w:r>
              <w:rPr>
                <w:rFonts w:ascii="Arial" w:cs="Arial" w:eastAsia="Arial" w:hAnsi="Arial"/>
                <w:sz w:val="18"/>
                <w:szCs w:val="18"/>
                <w:color w:val="auto"/>
              </w:rPr>
              <w:t>Gross increase for tax positions of prior years</w:t>
            </w:r>
          </w:p>
        </w:tc>
        <w:tc>
          <w:tcPr>
            <w:tcW w:w="10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decrease for tax positions of prior years</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3"/>
        </w:trPr>
        <w:tc>
          <w:tcPr>
            <w:tcW w:w="6340" w:type="dxa"/>
            <w:vAlign w:val="bottom"/>
            <w:gridSpan w:val="2"/>
          </w:tcPr>
          <w:p>
            <w:pPr>
              <w:spacing w:after="0"/>
              <w:rPr>
                <w:sz w:val="20"/>
                <w:szCs w:val="20"/>
                <w:color w:val="auto"/>
              </w:rPr>
            </w:pPr>
            <w:r>
              <w:rPr>
                <w:rFonts w:ascii="Arial" w:cs="Arial" w:eastAsia="Arial" w:hAnsi="Arial"/>
                <w:sz w:val="18"/>
                <w:szCs w:val="18"/>
                <w:color w:val="auto"/>
              </w:rPr>
              <w:t>Gross increase for tax positions of current year</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r>
      <w:tr>
        <w:trPr>
          <w:trHeight w:val="213"/>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60" w:type="dxa"/>
            <w:vAlign w:val="bottom"/>
            <w:shd w:val="clear" w:color="auto" w:fill="CCEEFF"/>
          </w:tcPr>
          <w:p>
            <w:pPr>
              <w:spacing w:after="0" w:line="20" w:lineRule="exact"/>
              <w:rPr>
                <w:sz w:val="1"/>
                <w:szCs w:val="1"/>
                <w:color w:val="auto"/>
              </w:rPr>
            </w:pPr>
          </w:p>
        </w:tc>
        <w:tc>
          <w:tcPr>
            <w:tcW w:w="508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Total unrecognized tax benefits</w:t>
            </w:r>
          </w:p>
        </w:tc>
        <w:tc>
          <w:tcPr>
            <w:tcW w:w="1000" w:type="dxa"/>
            <w:vAlign w:val="bottom"/>
          </w:tcPr>
          <w:p>
            <w:pPr>
              <w:jc w:val="right"/>
              <w:ind w:right="87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9,676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8,855</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7,778</w:t>
            </w:r>
          </w:p>
        </w:tc>
      </w:tr>
      <w:tr>
        <w:trPr>
          <w:trHeight w:val="20"/>
        </w:trPr>
        <w:tc>
          <w:tcPr>
            <w:tcW w:w="12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The unrecognized tax benefits, if recognized, would impact the income tax provision by $4.9 million, $4.6 million and $4.2 million as of December 31, 2021, 2020 and 2019, respectively. The remaining amount would result in the recognition of a corresponding deferred tax asset that is then offset by a full valuation allowance. As of December 31, 2021, the Company does not believe that its estimates, as otherwise provided for, on such tax positions will significantly increase or decrease within the next twelve months. The Company has elected to include interest and penalties as a component of income tax expense. The amounts were not material for the years ended December 31, 2021, 2020 and 2019.</w:t>
      </w:r>
    </w:p>
    <w:p>
      <w:pPr>
        <w:spacing w:after="0" w:line="177"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2001 through 2020 remain open to examination by the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income tax provision in the period such resolution occurs.</w:t>
      </w:r>
    </w:p>
    <w:p>
      <w:pPr>
        <w:spacing w:after="0" w:line="19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As of December 31, 2021, the Company has undistributed earnings in certain foreign subsidiaries that the Company has indefinitely reinvested outside the United States. As a result, the Company has not provided for deferred tax liabilities on those earnings. The Company may be required to pay additional income taxes if the Company repatriates those earnings in the future.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and Geographic Area Information</w:t>
      </w:r>
    </w:p>
    <w:p>
      <w:pPr>
        <w:spacing w:after="0" w:line="224"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center"/>
              <w:ind w:left="731"/>
              <w:spacing w:after="0"/>
              <w:rPr>
                <w:sz w:val="20"/>
                <w:szCs w:val="20"/>
                <w:color w:val="auto"/>
              </w:rPr>
            </w:pPr>
            <w:r>
              <w:rPr>
                <w:rFonts w:ascii="Arial" w:cs="Arial" w:eastAsia="Arial" w:hAnsi="Arial"/>
                <w:sz w:val="18"/>
                <w:szCs w:val="18"/>
                <w:b w:val="1"/>
                <w:bCs w:val="1"/>
                <w:color w:val="auto"/>
                <w:w w:val="89"/>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3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250,761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230,444</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206,555</w:t>
            </w:r>
          </w:p>
        </w:tc>
      </w:tr>
      <w:tr>
        <w:trPr>
          <w:trHeight w:val="213"/>
        </w:trPr>
        <w:tc>
          <w:tcPr>
            <w:tcW w:w="3680" w:type="dxa"/>
            <w:vAlign w:val="bottom"/>
          </w:tcPr>
          <w:p>
            <w:pPr>
              <w:spacing w:after="0"/>
              <w:rPr>
                <w:sz w:val="20"/>
                <w:szCs w:val="20"/>
                <w:color w:val="auto"/>
              </w:rPr>
            </w:pPr>
            <w:r>
              <w:rPr>
                <w:rFonts w:ascii="Arial" w:cs="Arial" w:eastAsia="Arial" w:hAnsi="Arial"/>
                <w:sz w:val="18"/>
                <w:szCs w:val="18"/>
                <w:color w:val="auto"/>
              </w:rPr>
              <w:t>Foreign</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160,411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132,519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115,052</w:t>
            </w:r>
          </w:p>
        </w:tc>
      </w:tr>
      <w:tr>
        <w:trPr>
          <w:trHeight w:val="20"/>
        </w:trPr>
        <w:tc>
          <w:tcPr>
            <w:tcW w:w="3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411,172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362,963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321,607</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Long-lived assets, which consist of Property and equipment, net and Operating leases - right of use asset, by geographic area,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9"/>
              </w:rPr>
              <w:t>United States</w:t>
            </w: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75"/>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66,440</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69,256</w:t>
            </w:r>
          </w:p>
        </w:tc>
        <w:tc>
          <w:tcPr>
            <w:tcW w:w="0" w:type="dxa"/>
            <w:vAlign w:val="bottom"/>
          </w:tcPr>
          <w:p>
            <w:pPr>
              <w:spacing w:after="0"/>
              <w:rPr>
                <w:sz w:val="1"/>
                <w:szCs w:val="1"/>
                <w:color w:val="auto"/>
              </w:rPr>
            </w:pPr>
          </w:p>
        </w:tc>
      </w:tr>
      <w:tr>
        <w:trPr>
          <w:trHeight w:val="213"/>
        </w:trPr>
        <w:tc>
          <w:tcPr>
            <w:tcW w:w="1100" w:type="dxa"/>
            <w:vAlign w:val="bottom"/>
          </w:tcPr>
          <w:p>
            <w:pPr>
              <w:spacing w:after="0"/>
              <w:rPr>
                <w:sz w:val="20"/>
                <w:szCs w:val="20"/>
                <w:color w:val="auto"/>
              </w:rPr>
            </w:pPr>
            <w:r>
              <w:rPr>
                <w:rFonts w:ascii="Arial" w:cs="Arial" w:eastAsia="Arial" w:hAnsi="Arial"/>
                <w:sz w:val="18"/>
                <w:szCs w:val="18"/>
                <w:color w:val="auto"/>
              </w:rPr>
              <w:t>India</w:t>
            </w: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20,401</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12,029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15,658</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60" w:type="dxa"/>
            <w:vAlign w:val="bottom"/>
            <w:gridSpan w:val="2"/>
          </w:tcPr>
          <w:p>
            <w:pPr>
              <w:spacing w:after="0"/>
              <w:rPr>
                <w:sz w:val="20"/>
                <w:szCs w:val="20"/>
                <w:color w:val="auto"/>
              </w:rPr>
            </w:pPr>
            <w:r>
              <w:rPr>
                <w:rFonts w:ascii="Arial" w:cs="Arial" w:eastAsia="Arial" w:hAnsi="Arial"/>
                <w:sz w:val="18"/>
                <w:szCs w:val="18"/>
                <w:color w:val="auto"/>
              </w:rPr>
              <w:t>Total Long-lived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ind w:right="175"/>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98,870</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109,688</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NOTE 14.</w:t>
            </w:r>
          </w:p>
        </w:tc>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100" w:type="dxa"/>
            <w:vAlign w:val="bottom"/>
            <w:vMerge w:val="continue"/>
          </w:tcPr>
          <w:p>
            <w:pPr>
              <w:spacing w:after="0"/>
              <w:rPr>
                <w:sz w:val="24"/>
                <w:szCs w:val="24"/>
                <w:color w:val="auto"/>
              </w:rPr>
            </w:pPr>
          </w:p>
        </w:tc>
        <w:tc>
          <w:tcPr>
            <w:tcW w:w="4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60" w:type="dxa"/>
            <w:vAlign w:val="bottom"/>
            <w:gridSpan w:val="2"/>
          </w:tcPr>
          <w:p>
            <w:pPr>
              <w:ind w:left="400"/>
              <w:spacing w:after="0"/>
              <w:rPr>
                <w:sz w:val="20"/>
                <w:szCs w:val="20"/>
                <w:color w:val="auto"/>
              </w:rPr>
            </w:pPr>
            <w:r>
              <w:rPr>
                <w:rFonts w:ascii="Arial" w:cs="Arial" w:eastAsia="Arial" w:hAnsi="Arial"/>
                <w:sz w:val="18"/>
                <w:szCs w:val="18"/>
                <w:color w:val="auto"/>
                <w:w w:val="93"/>
              </w:rPr>
              <w:t>The computations for basic and diluted net income per share are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(in thousands, except per share data)</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960" w:type="dxa"/>
            <w:vAlign w:val="bottom"/>
          </w:tcPr>
          <w:p>
            <w:pPr>
              <w:spacing w:after="0"/>
              <w:rPr>
                <w:sz w:val="18"/>
                <w:szCs w:val="18"/>
                <w:color w:val="auto"/>
              </w:rPr>
            </w:pPr>
          </w:p>
        </w:tc>
        <w:tc>
          <w:tcPr>
            <w:tcW w:w="12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70,960</w:t>
            </w:r>
          </w:p>
        </w:tc>
        <w:tc>
          <w:tcPr>
            <w:tcW w:w="300" w:type="dxa"/>
            <w:vAlign w:val="bottom"/>
          </w:tcPr>
          <w:p>
            <w:pPr>
              <w:jc w:val="right"/>
              <w:ind w:right="155"/>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91,572</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69,336</w:t>
            </w: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Denominator:</w:t>
            </w:r>
          </w:p>
        </w:tc>
        <w:tc>
          <w:tcPr>
            <w:tcW w:w="4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tcPr>
          <w:p>
            <w:pPr>
              <w:ind w:left="160"/>
              <w:spacing w:after="0"/>
              <w:rPr>
                <w:sz w:val="20"/>
                <w:szCs w:val="20"/>
                <w:color w:val="auto"/>
              </w:rPr>
            </w:pPr>
            <w:r>
              <w:rPr>
                <w:rFonts w:ascii="Arial" w:cs="Arial" w:eastAsia="Arial" w:hAnsi="Arial"/>
                <w:sz w:val="18"/>
                <w:szCs w:val="18"/>
                <w:color w:val="auto"/>
              </w:rPr>
              <w:t>Basic weighted average shares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39,030</w:t>
            </w:r>
          </w:p>
        </w:tc>
        <w:tc>
          <w:tcPr>
            <w:tcW w:w="30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39,167</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39,075</w:t>
            </w:r>
          </w:p>
        </w:tc>
        <w:tc>
          <w:tcPr>
            <w:tcW w:w="0" w:type="dxa"/>
            <w:vAlign w:val="bottom"/>
          </w:tcPr>
          <w:p>
            <w:pPr>
              <w:spacing w:after="0"/>
              <w:rPr>
                <w:sz w:val="1"/>
                <w:szCs w:val="1"/>
                <w:color w:val="auto"/>
              </w:rPr>
            </w:pPr>
          </w:p>
        </w:tc>
      </w:tr>
      <w:tr>
        <w:trPr>
          <w:trHeight w:val="213"/>
        </w:trPr>
        <w:tc>
          <w:tcPr>
            <w:tcW w:w="6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Effect of potentially dilutive shares: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gridSpan w:val="2"/>
          </w:tcPr>
          <w:p>
            <w:pPr>
              <w:ind w:left="48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30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1,262</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7"/>
        </w:trPr>
        <w:tc>
          <w:tcPr>
            <w:tcW w:w="6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Restricted stock units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311</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3"/>
        </w:trPr>
        <w:tc>
          <w:tcPr>
            <w:tcW w:w="6060" w:type="dxa"/>
            <w:vAlign w:val="bottom"/>
            <w:gridSpan w:val="2"/>
          </w:tcPr>
          <w:p>
            <w:pPr>
              <w:ind w:left="480"/>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0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40,118</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9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2.34</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6"/>
        </w:trPr>
        <w:tc>
          <w:tcPr>
            <w:tcW w:w="1100" w:type="dxa"/>
            <w:vAlign w:val="bottom"/>
          </w:tcPr>
          <w:p>
            <w:pPr>
              <w:ind w:left="160"/>
              <w:spacing w:after="0"/>
              <w:rPr>
                <w:sz w:val="20"/>
                <w:szCs w:val="20"/>
                <w:color w:val="auto"/>
              </w:rPr>
            </w:pPr>
            <w:r>
              <w:rPr>
                <w:rFonts w:ascii="Arial" w:cs="Arial" w:eastAsia="Arial" w:hAnsi="Arial"/>
                <w:sz w:val="18"/>
                <w:szCs w:val="18"/>
                <w:color w:val="auto"/>
              </w:rPr>
              <w:t>Diluted</w:t>
            </w:r>
          </w:p>
        </w:tc>
        <w:tc>
          <w:tcPr>
            <w:tcW w:w="4960" w:type="dxa"/>
            <w:vAlign w:val="bottom"/>
          </w:tcPr>
          <w:p>
            <w:pPr>
              <w:spacing w:after="0"/>
              <w:rPr>
                <w:sz w:val="19"/>
                <w:szCs w:val="19"/>
                <w:color w:val="auto"/>
              </w:rPr>
            </w:pPr>
          </w:p>
        </w:tc>
        <w:tc>
          <w:tcPr>
            <w:tcW w:w="12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300" w:type="dxa"/>
            <w:vAlign w:val="bottom"/>
          </w:tcPr>
          <w:p>
            <w:pPr>
              <w:jc w:val="right"/>
              <w:ind w:right="155"/>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2.25</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6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b w:val="1"/>
                <w:bCs w:val="1"/>
                <w:color w:val="auto"/>
                <w:w w:val="98"/>
              </w:rPr>
              <w:t>(in thousands)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27"/>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r>
      <w:tr>
        <w:trPr>
          <w:trHeight w:val="247"/>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shares</w:t>
            </w:r>
          </w:p>
        </w:tc>
        <w:tc>
          <w:tcPr>
            <w:tcW w:w="10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0"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Our management, with the participation of our Chief Executive Officer, Chief Financial Officer and our Principal Accounting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82"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ind w:firstLine="400"/>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Chief Financial Officer and our Principal Accounting Officer, we conducted an evaluation of the effectiveness of our internal control over financial reporting as of December 31, 2021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2021.</w:t>
      </w:r>
    </w:p>
    <w:p>
      <w:pPr>
        <w:spacing w:after="0" w:line="177" w:lineRule="exact"/>
        <w:rPr>
          <w:sz w:val="20"/>
          <w:szCs w:val="20"/>
          <w:color w:val="auto"/>
        </w:rPr>
      </w:pPr>
    </w:p>
    <w:p>
      <w:pPr>
        <w:jc w:val="both"/>
        <w:ind w:firstLine="400"/>
        <w:spacing w:after="0" w:line="300" w:lineRule="auto"/>
        <w:rPr>
          <w:sz w:val="20"/>
          <w:szCs w:val="20"/>
          <w:color w:val="auto"/>
        </w:rPr>
      </w:pPr>
      <w:r>
        <w:rPr>
          <w:rFonts w:ascii="Arial" w:cs="Arial" w:eastAsia="Arial" w:hAnsi="Arial"/>
          <w:sz w:val="17"/>
          <w:szCs w:val="17"/>
          <w:color w:val="auto"/>
        </w:rPr>
        <w:t>The effectiveness of the Company's internal control over financial reporting as of December 31, 2021 has been audited by Grant Thornton LLP, an independent registered public accounting firm, as stated in its report, which is included in Item 8 of this Annual Report on Form 10-K.</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0"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2021 that has materially affected, or is reasonably likely to materially affect, our internal control over financial reporting.</w:t>
      </w:r>
    </w:p>
    <w:p>
      <w:pPr>
        <w:spacing w:after="0" w:line="18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4"/>
          <w:szCs w:val="14"/>
          <w:b w:val="1"/>
          <w:bCs w:val="1"/>
          <w:color w:val="auto"/>
        </w:rPr>
        <w:t>Disclosure Regarding Foreign Jurisdictions that Prevent Inspections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4" w:lineRule="exact"/>
        <w:rPr>
          <w:sz w:val="20"/>
          <w:szCs w:val="20"/>
          <w:color w:val="auto"/>
        </w:rPr>
      </w:pPr>
    </w:p>
    <w:p>
      <w:pPr>
        <w:jc w:val="both"/>
        <w:ind w:right="20" w:firstLine="400"/>
        <w:spacing w:after="0" w:line="270"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2022 Annual Meeting of Stockholders to be filed with the SEC within 120 days after the end of the fiscal year ended December 31, 2021.</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20"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17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24"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Meeting of Stockholders to be filed with the SEC within 120 days after the end of the fiscal year ended December 31, 2021.</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4" w:lineRule="exact"/>
        <w:rPr>
          <w:sz w:val="20"/>
          <w:szCs w:val="20"/>
          <w:color w:val="auto"/>
        </w:rPr>
      </w:pPr>
    </w:p>
    <w:p>
      <w:pPr>
        <w:jc w:val="both"/>
        <w:ind w:firstLine="400"/>
        <w:spacing w:after="0" w:line="292" w:lineRule="auto"/>
        <w:rPr>
          <w:sz w:val="20"/>
          <w:szCs w:val="20"/>
          <w:color w:val="auto"/>
        </w:rPr>
      </w:pPr>
      <w:r>
        <w:rPr>
          <w:rFonts w:ascii="Arial" w:cs="Arial" w:eastAsia="Arial" w:hAnsi="Arial"/>
          <w:sz w:val="16"/>
          <w:szCs w:val="16"/>
          <w:color w:val="auto"/>
        </w:rPr>
        <w:t>The information required by this item with respect to Item 403 of Regulation S-K regarding security ownership of certain beneficial owners and management is incorporated by reference to our Proxy Statement for our 2022 Annual Meeting of Stockholders to be filed with the SEC within 120 days after the end of the fiscal year ended December 31, 2021. For the information required by this item with respect to Item 201(d) of Regulation S-K regarding securities authorized for issuance under equity compensation plans, see “Market for Registrant’s Common Equity, Related Stockholder Matters and Issuer Purchases of Equity Securities—Securities Authorized for Issuance under Equity Compensation Plans” in Item 5 of this Annual Report on Form 10-K.</w:t>
      </w:r>
    </w:p>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4"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Meeting of Stockholders to be filed with the SEC within 120 days after the end of the fiscal year ended December 31, 2021.</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24"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Meeting of Stockholders to be filed with the SEC within 120 days after the end of the fiscal year ended December 31,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24" w:lineRule="exact"/>
        <w:rPr>
          <w:sz w:val="20"/>
          <w:szCs w:val="20"/>
          <w:color w:val="auto"/>
        </w:rPr>
      </w:pPr>
    </w:p>
    <w:p>
      <w:pPr>
        <w:ind w:right="680" w:firstLine="400"/>
        <w:spacing w:after="0" w:line="270"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75" w:lineRule="exact"/>
        <w:rPr>
          <w:sz w:val="20"/>
          <w:szCs w:val="20"/>
          <w:color w:val="auto"/>
        </w:rPr>
      </w:pPr>
    </w:p>
    <w:p>
      <w:pPr>
        <w:ind w:right="480" w:firstLine="400"/>
        <w:spacing w:after="0" w:line="270" w:lineRule="auto"/>
        <w:rPr>
          <w:sz w:val="20"/>
          <w:szCs w:val="20"/>
          <w:color w:val="auto"/>
        </w:rPr>
      </w:pPr>
      <w:r>
        <w:rPr>
          <w:rFonts w:ascii="Arial" w:cs="Arial" w:eastAsia="Arial" w:hAnsi="Arial"/>
          <w:sz w:val="18"/>
          <w:szCs w:val="18"/>
          <w:color w:val="auto"/>
        </w:rPr>
        <w:t>(a)(2) Financial Statement Schedules - All financial statement schedules have been omitted since the required information is not applicable or has been included in the consolidated financial statements and accompanying notes included in this Form 10-K.</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Incorporated by Reference</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20" w:type="dxa"/>
            <w:vAlign w:val="bottom"/>
          </w:tcPr>
          <w:p>
            <w:pPr>
              <w:jc w:val="center"/>
              <w:spacing w:after="0" w:line="194" w:lineRule="exact"/>
              <w:rPr>
                <w:sz w:val="20"/>
                <w:szCs w:val="20"/>
                <w:color w:val="auto"/>
              </w:rPr>
            </w:pPr>
            <w:r>
              <w:rPr>
                <w:rFonts w:ascii="Arial" w:cs="Arial" w:eastAsia="Arial" w:hAnsi="Arial"/>
                <w:sz w:val="18"/>
                <w:szCs w:val="18"/>
                <w:color w:val="auto"/>
                <w:w w:val="96"/>
              </w:rPr>
              <w:t>Exhibit</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spacing w:after="0" w:line="194" w:lineRule="exact"/>
              <w:rPr>
                <w:sz w:val="20"/>
                <w:szCs w:val="20"/>
                <w:color w:val="auto"/>
              </w:rPr>
            </w:pPr>
            <w:r>
              <w:rPr>
                <w:rFonts w:ascii="Arial" w:cs="Arial" w:eastAsia="Arial" w:hAnsi="Arial"/>
                <w:sz w:val="18"/>
                <w:szCs w:val="18"/>
                <w:color w:val="auto"/>
                <w:w w:val="92"/>
              </w:rPr>
              <w:t>Filed</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center"/>
              <w:spacing w:after="0" w:line="194" w:lineRule="exact"/>
              <w:rPr>
                <w:sz w:val="20"/>
                <w:szCs w:val="20"/>
                <w:color w:val="auto"/>
              </w:rPr>
            </w:pPr>
            <w:r>
              <w:rPr>
                <w:rFonts w:ascii="Arial" w:cs="Arial" w:eastAsia="Arial" w:hAnsi="Arial"/>
                <w:sz w:val="18"/>
                <w:szCs w:val="18"/>
                <w:color w:val="auto"/>
                <w:w w:val="96"/>
              </w:rPr>
              <w:t>Exhibit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5720" w:type="dxa"/>
            <w:vAlign w:val="bottom"/>
            <w:tcBorders>
              <w:bottom w:val="single" w:sz="8" w:color="auto"/>
            </w:tcBorders>
            <w:gridSpan w:val="17"/>
          </w:tcPr>
          <w:p>
            <w:pPr>
              <w:ind w:left="160"/>
              <w:spacing w:after="0"/>
              <w:rPr>
                <w:sz w:val="20"/>
                <w:szCs w:val="20"/>
                <w:color w:val="auto"/>
              </w:rPr>
            </w:pPr>
            <w:r>
              <w:rPr>
                <w:rFonts w:ascii="Arial" w:cs="Arial" w:eastAsia="Arial" w:hAnsi="Arial"/>
                <w:sz w:val="18"/>
                <w:szCs w:val="18"/>
                <w:color w:val="auto"/>
              </w:rPr>
              <w:t>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Herewith</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Form</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File No.</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407"/>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86">
              <w:r>
                <w:rPr>
                  <w:rFonts w:ascii="Arial" w:cs="Arial" w:eastAsia="Arial" w:hAnsi="Arial"/>
                  <w:sz w:val="18"/>
                  <w:szCs w:val="18"/>
                  <w:color w:val="0000EE"/>
                </w:rPr>
                <w:t>Amended and Restated Certificate of Incorporation of Qualys, Inc.</w:t>
              </w:r>
            </w:hyperlink>
          </w:p>
        </w:tc>
        <w:tc>
          <w:tcPr>
            <w:tcW w:w="6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5"/>
              </w:rPr>
              <w:t>3.3</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September 12,</w:t>
            </w: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12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4"/>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87">
              <w:r>
                <w:rPr>
                  <w:rFonts w:ascii="Arial" w:cs="Arial" w:eastAsia="Arial" w:hAnsi="Arial"/>
                  <w:sz w:val="18"/>
                  <w:szCs w:val="18"/>
                  <w:color w:val="0000EE"/>
                </w:rPr>
                <w:t>Amended and Restated Bylaws of Qualys, Inc.</w:t>
              </w:r>
            </w:hyperlink>
          </w:p>
        </w:tc>
        <w:tc>
          <w:tcPr>
            <w:tcW w:w="6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5"/>
              </w:rPr>
              <w:t>3.5</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September 12,</w:t>
            </w: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12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4"/>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88">
              <w:r>
                <w:rPr>
                  <w:rFonts w:ascii="Arial" w:cs="Arial" w:eastAsia="Arial" w:hAnsi="Arial"/>
                  <w:sz w:val="18"/>
                  <w:szCs w:val="18"/>
                  <w:color w:val="0000EE"/>
                </w:rPr>
                <w:t>Form of common stock certificate.</w:t>
              </w:r>
            </w:hyperlink>
          </w:p>
        </w:tc>
        <w:tc>
          <w:tcPr>
            <w:tcW w:w="6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September 12,</w:t>
            </w: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12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8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 w:type="dxa"/>
            <w:vAlign w:val="bottom"/>
          </w:tcPr>
          <w:p>
            <w:pPr>
              <w:spacing w:after="0"/>
              <w:rPr>
                <w:sz w:val="24"/>
                <w:szCs w:val="24"/>
                <w:color w:val="auto"/>
              </w:rPr>
            </w:pPr>
          </w:p>
        </w:tc>
        <w:tc>
          <w:tcPr>
            <w:tcW w:w="2640" w:type="dxa"/>
            <w:vAlign w:val="bottom"/>
            <w:tcBorders>
              <w:bottom w:val="single" w:sz="8" w:color="0000EE"/>
            </w:tcBorders>
            <w:gridSpan w:val="4"/>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Description of Registrant’s securities</w:t>
              </w:r>
            </w:hyperlink>
          </w:p>
        </w:tc>
        <w:tc>
          <w:tcPr>
            <w:tcW w:w="288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407"/>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5"/>
              </w:rPr>
              <w:t>10.1*</w:t>
            </w:r>
          </w:p>
        </w:tc>
        <w:tc>
          <w:tcPr>
            <w:tcW w:w="20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2000 Equity Incentive Plan, as amended, and the form of stock option</w:t>
              </w:r>
            </w:hyperlink>
          </w:p>
        </w:tc>
        <w:tc>
          <w:tcPr>
            <w:tcW w:w="54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6"/>
              </w:rPr>
              <w:t>June 8, 2012</w:t>
            </w:r>
          </w:p>
        </w:tc>
        <w:tc>
          <w:tcPr>
            <w:tcW w:w="0" w:type="dxa"/>
            <w:vAlign w:val="bottom"/>
          </w:tcPr>
          <w:p>
            <w:pPr>
              <w:spacing w:after="0"/>
              <w:rPr>
                <w:sz w:val="1"/>
                <w:szCs w:val="1"/>
                <w:color w:val="auto"/>
              </w:rPr>
            </w:pPr>
          </w:p>
        </w:tc>
      </w:tr>
      <w:tr>
        <w:trPr>
          <w:trHeight w:val="125"/>
        </w:trPr>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520" w:type="dxa"/>
            <w:vAlign w:val="bottom"/>
            <w:gridSpan w:val="16"/>
            <w:vMerge w:val="restart"/>
          </w:tcPr>
          <w:p>
            <w:pPr>
              <w:spacing w:after="0" w:line="194" w:lineRule="exact"/>
              <w:rPr>
                <w:rFonts w:ascii="Arial" w:cs="Arial" w:eastAsia="Arial" w:hAnsi="Arial"/>
                <w:sz w:val="18"/>
                <w:szCs w:val="18"/>
                <w:color w:val="0000EE"/>
              </w:rPr>
            </w:pPr>
            <w:hyperlink r:id="rId90">
              <w:r>
                <w:rPr>
                  <w:rFonts w:ascii="Arial" w:cs="Arial" w:eastAsia="Arial" w:hAnsi="Arial"/>
                  <w:sz w:val="18"/>
                  <w:szCs w:val="18"/>
                  <w:color w:val="0000EE"/>
                </w:rPr>
                <w:t>agreement thereunder.</w:t>
              </w:r>
            </w:hyperlink>
          </w:p>
        </w:tc>
        <w:tc>
          <w:tcPr>
            <w:tcW w:w="6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520" w:type="dxa"/>
            <w:vAlign w:val="bottom"/>
            <w:gridSpan w:val="16"/>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6"/>
              </w:rPr>
              <w:t>September 12,</w:t>
            </w:r>
          </w:p>
        </w:tc>
        <w:tc>
          <w:tcPr>
            <w:tcW w:w="0" w:type="dxa"/>
            <w:vAlign w:val="bottom"/>
          </w:tcPr>
          <w:p>
            <w:pPr>
              <w:spacing w:after="0" w:line="20" w:lineRule="exact"/>
              <w:rPr>
                <w:sz w:val="1"/>
                <w:szCs w:val="1"/>
                <w:color w:val="auto"/>
              </w:rPr>
            </w:pPr>
          </w:p>
        </w:tc>
      </w:tr>
      <w:tr>
        <w:trPr>
          <w:trHeight w:val="433"/>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5"/>
              </w:rPr>
              <w:t>10.2*</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91">
              <w:r>
                <w:rPr>
                  <w:rFonts w:ascii="Arial" w:cs="Arial" w:eastAsia="Arial" w:hAnsi="Arial"/>
                  <w:sz w:val="18"/>
                  <w:szCs w:val="18"/>
                  <w:color w:val="0000EE"/>
                </w:rPr>
                <w:t>2012 Equity Incentive Plan and forms of agreements thereunder.</w:t>
              </w:r>
            </w:hyperlink>
          </w:p>
        </w:tc>
        <w:tc>
          <w:tcPr>
            <w:tcW w:w="6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12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rPr>
            </w:pPr>
            <w:hyperlink r:id="rId92">
              <w:r>
                <w:rPr>
                  <w:rFonts w:ascii="Arial" w:cs="Arial" w:eastAsia="Arial" w:hAnsi="Arial"/>
                  <w:sz w:val="18"/>
                  <w:szCs w:val="18"/>
                  <w:color w:val="0000EE"/>
                </w:rPr>
                <w:t>Qualys, Inc. 2021 Employee Stock Purchase Plan</w:t>
              </w:r>
            </w:hyperlink>
          </w:p>
        </w:tc>
        <w:tc>
          <w:tcPr>
            <w:tcW w:w="6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June 11, 2020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2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5"/>
              </w:rPr>
              <w:t>10.4*</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Offer Letter, between Qualys, Inc. and Sumedh S. Thakar, dated January 20,</w:t>
              </w:r>
            </w:hyperlink>
          </w:p>
        </w:tc>
        <w:tc>
          <w:tcPr>
            <w:tcW w:w="6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6"/>
              </w:rPr>
              <w:t>June 8, 2012</w:t>
            </w:r>
          </w:p>
        </w:tc>
        <w:tc>
          <w:tcPr>
            <w:tcW w:w="0" w:type="dxa"/>
            <w:vAlign w:val="bottom"/>
          </w:tcPr>
          <w:p>
            <w:pPr>
              <w:spacing w:after="0"/>
              <w:rPr>
                <w:sz w:val="1"/>
                <w:szCs w:val="1"/>
                <w:color w:val="auto"/>
              </w:rPr>
            </w:pPr>
          </w:p>
        </w:tc>
      </w:tr>
      <w:tr>
        <w:trPr>
          <w:trHeight w:val="125"/>
        </w:trPr>
        <w:tc>
          <w:tcPr>
            <w:tcW w:w="820" w:type="dxa"/>
            <w:vAlign w:val="bottom"/>
            <w:vMerge w:val="continue"/>
          </w:tcPr>
          <w:p>
            <w:pPr>
              <w:spacing w:after="0"/>
              <w:rPr>
                <w:sz w:val="10"/>
                <w:szCs w:val="10"/>
                <w:color w:val="auto"/>
              </w:rPr>
            </w:pPr>
          </w:p>
        </w:tc>
        <w:tc>
          <w:tcPr>
            <w:tcW w:w="200" w:type="dxa"/>
            <w:vAlign w:val="bottom"/>
            <w:vMerge w:val="restart"/>
          </w:tcPr>
          <w:p>
            <w:pPr>
              <w:spacing w:after="0"/>
              <w:rPr>
                <w:sz w:val="10"/>
                <w:szCs w:val="10"/>
                <w:color w:val="auto"/>
              </w:rPr>
            </w:pPr>
          </w:p>
        </w:tc>
        <w:tc>
          <w:tcPr>
            <w:tcW w:w="1580" w:type="dxa"/>
            <w:vAlign w:val="bottom"/>
            <w:tcBorders>
              <w:top w:val="single" w:sz="8" w:color="0000EE"/>
            </w:tcBorders>
            <w:gridSpan w:val="2"/>
            <w:vMerge w:val="restart"/>
          </w:tcPr>
          <w:p>
            <w:pPr>
              <w:spacing w:after="0" w:line="194" w:lineRule="exact"/>
              <w:rPr>
                <w:rFonts w:ascii="Arial" w:cs="Arial" w:eastAsia="Arial" w:hAnsi="Arial"/>
                <w:sz w:val="18"/>
                <w:szCs w:val="18"/>
                <w:color w:val="0000EE"/>
              </w:rPr>
            </w:pPr>
            <w:hyperlink r:id="rId93">
              <w:r>
                <w:rPr>
                  <w:rFonts w:ascii="Arial" w:cs="Arial" w:eastAsia="Arial" w:hAnsi="Arial"/>
                  <w:sz w:val="18"/>
                  <w:szCs w:val="18"/>
                  <w:color w:val="0000EE"/>
                </w:rPr>
                <w:t>2003.</w:t>
              </w:r>
            </w:hyperlink>
          </w:p>
        </w:tc>
        <w:tc>
          <w:tcPr>
            <w:tcW w:w="8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200" w:type="dxa"/>
            <w:vAlign w:val="bottom"/>
          </w:tcPr>
          <w:p>
            <w:pPr>
              <w:spacing w:after="0"/>
              <w:rPr>
                <w:sz w:val="24"/>
                <w:szCs w:val="24"/>
                <w:color w:val="auto"/>
              </w:rPr>
            </w:pPr>
          </w:p>
        </w:tc>
        <w:tc>
          <w:tcPr>
            <w:tcW w:w="5200" w:type="dxa"/>
            <w:vAlign w:val="bottom"/>
            <w:tcBorders>
              <w:bottom w:val="single" w:sz="8" w:color="0000EE"/>
            </w:tcBorders>
            <w:gridSpan w:val="12"/>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Offer Letter, between Qualys, Inc. and Joo Mi Kim, dated May 21, 2020.</w:t>
              </w:r>
            </w:hyperlink>
          </w:p>
        </w:tc>
        <w:tc>
          <w:tcPr>
            <w:tcW w:w="32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May 26, 2020</w:t>
            </w:r>
          </w:p>
        </w:tc>
        <w:tc>
          <w:tcPr>
            <w:tcW w:w="0" w:type="dxa"/>
            <w:vAlign w:val="bottom"/>
          </w:tcPr>
          <w:p>
            <w:pPr>
              <w:spacing w:after="0"/>
              <w:rPr>
                <w:sz w:val="1"/>
                <w:szCs w:val="1"/>
                <w:color w:val="auto"/>
              </w:rPr>
            </w:pPr>
          </w:p>
        </w:tc>
      </w:tr>
      <w:tr>
        <w:trPr>
          <w:trHeight w:val="407"/>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Offer Letter, between Qualys, Inc. and Bruce K. Posey, dated May 8, 2012.</w:t>
              </w:r>
            </w:hyperlink>
          </w:p>
        </w:tc>
        <w:tc>
          <w:tcPr>
            <w:tcW w:w="6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333-182027</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June 8, 2012</w:t>
            </w:r>
          </w:p>
        </w:tc>
        <w:tc>
          <w:tcPr>
            <w:tcW w:w="0" w:type="dxa"/>
            <w:vAlign w:val="bottom"/>
          </w:tcPr>
          <w:p>
            <w:pPr>
              <w:spacing w:after="0"/>
              <w:rPr>
                <w:sz w:val="1"/>
                <w:szCs w:val="1"/>
                <w:color w:val="auto"/>
              </w:rPr>
            </w:pPr>
          </w:p>
        </w:tc>
      </w:tr>
      <w:tr>
        <w:trPr>
          <w:trHeight w:val="407"/>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200" w:type="dxa"/>
            <w:vAlign w:val="bottom"/>
          </w:tcPr>
          <w:p>
            <w:pPr>
              <w:spacing w:after="0"/>
              <w:rPr>
                <w:sz w:val="24"/>
                <w:szCs w:val="24"/>
                <w:color w:val="auto"/>
              </w:rPr>
            </w:pPr>
          </w:p>
        </w:tc>
        <w:tc>
          <w:tcPr>
            <w:tcW w:w="5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Offer Letter, between Qualys, Inc. and Allan Peters, dated April 26, 2021.</w:t>
              </w:r>
            </w:hyperlink>
          </w:p>
        </w:tc>
        <w:tc>
          <w:tcPr>
            <w:tcW w:w="80" w:type="dxa"/>
            <w:vAlign w:val="bottom"/>
            <w:tcBorders>
              <w:top w:val="single" w:sz="8" w:color="0000EE"/>
            </w:tcBorders>
          </w:tcPr>
          <w:p>
            <w:pPr>
              <w:spacing w:after="0"/>
              <w:rPr>
                <w:sz w:val="24"/>
                <w:szCs w:val="24"/>
                <w:color w:val="auto"/>
              </w:rPr>
            </w:pPr>
          </w:p>
        </w:tc>
        <w:tc>
          <w:tcPr>
            <w:tcW w:w="180" w:type="dxa"/>
            <w:vAlign w:val="bottom"/>
            <w:gridSpan w:val="2"/>
          </w:tcPr>
          <w:p>
            <w:pPr>
              <w:spacing w:after="0"/>
              <w:rPr>
                <w:sz w:val="24"/>
                <w:szCs w:val="24"/>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X</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200" w:type="dxa"/>
            <w:vAlign w:val="bottom"/>
          </w:tcPr>
          <w:p>
            <w:pPr>
              <w:spacing w:after="0"/>
              <w:rPr>
                <w:sz w:val="24"/>
                <w:szCs w:val="24"/>
                <w:color w:val="auto"/>
              </w:rPr>
            </w:pPr>
          </w:p>
        </w:tc>
        <w:tc>
          <w:tcPr>
            <w:tcW w:w="5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Form of Performance-Based Restricted Stock Unit Agreement for Executives</w:t>
              </w:r>
            </w:hyperlink>
          </w:p>
        </w:tc>
        <w:tc>
          <w:tcPr>
            <w:tcW w:w="680" w:type="dxa"/>
            <w:vAlign w:val="bottom"/>
          </w:tcPr>
          <w:p>
            <w:pPr>
              <w:ind w:left="320"/>
              <w:spacing w:after="0"/>
              <w:rPr>
                <w:sz w:val="20"/>
                <w:szCs w:val="20"/>
                <w:color w:val="auto"/>
              </w:rPr>
            </w:pPr>
            <w:r>
              <w:rPr>
                <w:rFonts w:ascii="Arial" w:cs="Arial" w:eastAsia="Arial" w:hAnsi="Arial"/>
                <w:sz w:val="18"/>
                <w:szCs w:val="18"/>
                <w:color w:val="auto"/>
              </w:rPr>
              <w:t>X</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20" w:type="dxa"/>
            <w:vAlign w:val="bottom"/>
            <w:tcBorders>
              <w:bottom w:val="single" w:sz="8" w:color="0000EE"/>
            </w:tcBorders>
            <w:gridSpan w:val="7"/>
          </w:tcPr>
          <w:p>
            <w:pPr>
              <w:spacing w:after="0" w:line="194"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under the 2012 Equity Incentive Plan, dated October 28, 2021</w:t>
              </w:r>
            </w:hyperlink>
          </w:p>
        </w:tc>
        <w:tc>
          <w:tcPr>
            <w:tcW w:w="1100" w:type="dxa"/>
            <w:vAlign w:val="bottom"/>
            <w:gridSpan w:val="9"/>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200" w:type="dxa"/>
            <w:vAlign w:val="bottom"/>
          </w:tcPr>
          <w:p>
            <w:pPr>
              <w:spacing w:after="0"/>
              <w:rPr>
                <w:sz w:val="24"/>
                <w:szCs w:val="24"/>
                <w:color w:val="auto"/>
              </w:rPr>
            </w:pPr>
          </w:p>
        </w:tc>
        <w:tc>
          <w:tcPr>
            <w:tcW w:w="4720" w:type="dxa"/>
            <w:vAlign w:val="bottom"/>
            <w:tcBorders>
              <w:bottom w:val="single" w:sz="8" w:color="0000EE"/>
            </w:tcBorders>
            <w:gridSpan w:val="9"/>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director and executive officer indemnification agreement.</w:t>
              </w:r>
            </w:hyperlink>
          </w:p>
        </w:tc>
        <w:tc>
          <w:tcPr>
            <w:tcW w:w="80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60" w:type="dxa"/>
            <w:vAlign w:val="bottom"/>
            <w:gridSpan w:val="2"/>
          </w:tcPr>
          <w:p>
            <w:pPr>
              <w:jc w:val="right"/>
              <w:ind w:right="31"/>
              <w:spacing w:after="0"/>
              <w:rPr>
                <w:sz w:val="20"/>
                <w:szCs w:val="20"/>
                <w:color w:val="auto"/>
              </w:rPr>
            </w:pPr>
            <w:r>
              <w:rPr>
                <w:rFonts w:ascii="Arial" w:cs="Arial" w:eastAsia="Arial" w:hAnsi="Arial"/>
                <w:sz w:val="18"/>
                <w:szCs w:val="18"/>
                <w:color w:val="auto"/>
                <w:w w:val="93"/>
              </w:rPr>
              <w:t>333-182027  10.10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August 10, 2012</w:t>
            </w:r>
          </w:p>
        </w:tc>
        <w:tc>
          <w:tcPr>
            <w:tcW w:w="0" w:type="dxa"/>
            <w:vAlign w:val="bottom"/>
          </w:tcPr>
          <w:p>
            <w:pPr>
              <w:spacing w:after="0"/>
              <w:rPr>
                <w:sz w:val="1"/>
                <w:szCs w:val="1"/>
                <w:color w:val="auto"/>
              </w:rPr>
            </w:pPr>
          </w:p>
        </w:tc>
      </w:tr>
      <w:tr>
        <w:trPr>
          <w:trHeight w:val="507"/>
        </w:trPr>
        <w:tc>
          <w:tcPr>
            <w:tcW w:w="820" w:type="dxa"/>
            <w:vAlign w:val="bottom"/>
          </w:tcPr>
          <w:p>
            <w:pPr>
              <w:jc w:val="center"/>
              <w:spacing w:after="0"/>
              <w:rPr>
                <w:sz w:val="20"/>
                <w:szCs w:val="20"/>
                <w:color w:val="auto"/>
              </w:rPr>
            </w:pPr>
            <w:r>
              <w:rPr>
                <w:rFonts w:ascii="Arial" w:cs="Arial" w:eastAsia="Arial" w:hAnsi="Arial"/>
                <w:sz w:val="18"/>
                <w:szCs w:val="18"/>
                <w:color w:val="auto"/>
                <w:w w:val="92"/>
              </w:rPr>
              <w:t>10.10*</w:t>
            </w:r>
          </w:p>
        </w:tc>
        <w:tc>
          <w:tcPr>
            <w:tcW w:w="200" w:type="dxa"/>
            <w:vAlign w:val="bottom"/>
          </w:tcPr>
          <w:p>
            <w:pPr>
              <w:spacing w:after="0"/>
              <w:rPr>
                <w:sz w:val="24"/>
                <w:szCs w:val="24"/>
                <w:color w:val="auto"/>
              </w:rPr>
            </w:pPr>
          </w:p>
        </w:tc>
        <w:tc>
          <w:tcPr>
            <w:tcW w:w="3520" w:type="dxa"/>
            <w:vAlign w:val="bottom"/>
            <w:tcBorders>
              <w:bottom w:val="single" w:sz="8" w:color="0000EE"/>
            </w:tcBorders>
            <w:gridSpan w:val="6"/>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Qualys, Inc. Executive Performance Bonus Plan.</w:t>
              </w:r>
            </w:hyperlink>
          </w:p>
        </w:tc>
        <w:tc>
          <w:tcPr>
            <w:tcW w:w="200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Schedule 14A,</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April 25, 2016</w:t>
            </w: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4920" w:type="dxa"/>
            <w:vAlign w:val="bottom"/>
            <w:gridSpan w:val="10"/>
            <w:vMerge w:val="restart"/>
          </w:tcPr>
          <w:p>
            <w:pPr>
              <w:jc w:val="right"/>
              <w:ind w:right="2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Arial" w:cs="Arial" w:eastAsia="Arial" w:hAnsi="Arial"/>
                <w:sz w:val="18"/>
                <w:szCs w:val="18"/>
                <w:color w:val="auto"/>
                <w:w w:val="93"/>
              </w:rPr>
              <w:t>Appendix A</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820" w:type="dxa"/>
            <w:vAlign w:val="bottom"/>
          </w:tcPr>
          <w:p>
            <w:pPr>
              <w:spacing w:after="0"/>
              <w:rPr>
                <w:sz w:val="24"/>
                <w:szCs w:val="24"/>
                <w:color w:val="auto"/>
              </w:rPr>
            </w:pPr>
          </w:p>
        </w:tc>
        <w:tc>
          <w:tcPr>
            <w:tcW w:w="4920" w:type="dxa"/>
            <w:vAlign w:val="bottom"/>
            <w:gridSpan w:val="10"/>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46"/>
        </w:trPr>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w w:val="95"/>
              </w:rPr>
              <w:t>Incorporated by Reference</w:t>
            </w:r>
          </w:p>
        </w:tc>
        <w:tc>
          <w:tcPr>
            <w:tcW w:w="1240" w:type="dxa"/>
            <w:vAlign w:val="bottom"/>
            <w:tcBorders>
              <w:bottom w:val="single" w:sz="8" w:color="auto"/>
            </w:tcBorders>
          </w:tcPr>
          <w:p>
            <w:pPr>
              <w:spacing w:after="0"/>
              <w:rPr>
                <w:sz w:val="24"/>
                <w:szCs w:val="24"/>
                <w:color w:val="auto"/>
              </w:rPr>
            </w:pPr>
          </w:p>
        </w:tc>
      </w:tr>
      <w:tr>
        <w:trPr>
          <w:trHeight w:val="194"/>
        </w:trPr>
        <w:tc>
          <w:tcPr>
            <w:tcW w:w="840" w:type="dxa"/>
            <w:vAlign w:val="bottom"/>
          </w:tcPr>
          <w:p>
            <w:pPr>
              <w:jc w:val="center"/>
              <w:spacing w:after="0" w:line="194" w:lineRule="exact"/>
              <w:rPr>
                <w:sz w:val="20"/>
                <w:szCs w:val="20"/>
                <w:color w:val="auto"/>
              </w:rPr>
            </w:pPr>
            <w:r>
              <w:rPr>
                <w:rFonts w:ascii="Arial" w:cs="Arial" w:eastAsia="Arial" w:hAnsi="Arial"/>
                <w:sz w:val="18"/>
                <w:szCs w:val="18"/>
                <w:color w:val="auto"/>
                <w:w w:val="96"/>
              </w:rPr>
              <w:t>Exhibit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60" w:type="dxa"/>
            <w:vAlign w:val="bottom"/>
          </w:tcPr>
          <w:p>
            <w:pPr>
              <w:jc w:val="center"/>
              <w:ind w:right="91"/>
              <w:spacing w:after="0" w:line="194" w:lineRule="exact"/>
              <w:rPr>
                <w:sz w:val="20"/>
                <w:szCs w:val="20"/>
                <w:color w:val="auto"/>
              </w:rPr>
            </w:pPr>
            <w:r>
              <w:rPr>
                <w:rFonts w:ascii="Arial" w:cs="Arial" w:eastAsia="Arial" w:hAnsi="Arial"/>
                <w:sz w:val="18"/>
                <w:szCs w:val="18"/>
                <w:color w:val="auto"/>
                <w:w w:val="92"/>
              </w:rPr>
              <w:t>Filed</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Arial" w:cs="Arial" w:eastAsia="Arial" w:hAnsi="Arial"/>
                <w:sz w:val="18"/>
                <w:szCs w:val="18"/>
                <w:color w:val="auto"/>
                <w:w w:val="96"/>
              </w:rPr>
              <w:t>Exhibit</w:t>
            </w:r>
          </w:p>
        </w:tc>
        <w:tc>
          <w:tcPr>
            <w:tcW w:w="1240" w:type="dxa"/>
            <w:vAlign w:val="bottom"/>
          </w:tcPr>
          <w:p>
            <w:pPr>
              <w:spacing w:after="0"/>
              <w:rPr>
                <w:sz w:val="16"/>
                <w:szCs w:val="16"/>
                <w:color w:val="auto"/>
              </w:rPr>
            </w:pPr>
          </w:p>
        </w:tc>
      </w:tr>
      <w:tr>
        <w:trPr>
          <w:trHeight w:val="227"/>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570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Description</w:t>
            </w: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2"/>
              </w:rPr>
              <w:t>Herewith</w:t>
            </w: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Form</w:t>
            </w: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File 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Filing Date</w:t>
            </w:r>
          </w:p>
        </w:tc>
      </w:tr>
      <w:tr>
        <w:trPr>
          <w:trHeight w:val="381"/>
        </w:trPr>
        <w:tc>
          <w:tcPr>
            <w:tcW w:w="84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80" w:type="dxa"/>
            <w:vAlign w:val="bottom"/>
          </w:tcPr>
          <w:p>
            <w:pPr>
              <w:spacing w:after="0"/>
              <w:rPr>
                <w:sz w:val="24"/>
                <w:szCs w:val="24"/>
                <w:color w:val="auto"/>
              </w:rPr>
            </w:pPr>
          </w:p>
        </w:tc>
        <w:tc>
          <w:tcPr>
            <w:tcW w:w="5520" w:type="dxa"/>
            <w:vAlign w:val="bottom"/>
            <w:gridSpan w:val="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Qualys, Inc. 2021 Corporate Bonus Plan.</w:t>
              </w:r>
            </w:hyperlink>
          </w:p>
        </w:tc>
        <w:tc>
          <w:tcPr>
            <w:tcW w:w="860" w:type="dxa"/>
            <w:vAlign w:val="bottom"/>
          </w:tcPr>
          <w:p>
            <w:pPr>
              <w:ind w:left="320"/>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vMerge w:val="restart"/>
          </w:tcPr>
          <w:p>
            <w:pPr>
              <w:jc w:val="center"/>
              <w:ind w:right="191"/>
              <w:spacing w:after="0"/>
              <w:rPr>
                <w:sz w:val="20"/>
                <w:szCs w:val="20"/>
                <w:color w:val="auto"/>
              </w:rPr>
            </w:pPr>
            <w:r>
              <w:rPr>
                <w:rFonts w:ascii="Arial" w:cs="Arial" w:eastAsia="Arial" w:hAnsi="Arial"/>
                <w:sz w:val="18"/>
                <w:szCs w:val="18"/>
                <w:color w:val="auto"/>
                <w:w w:val="88"/>
              </w:rPr>
              <w:t>10.12</w:t>
            </w:r>
          </w:p>
        </w:tc>
        <w:tc>
          <w:tcPr>
            <w:tcW w:w="5740" w:type="dxa"/>
            <w:vAlign w:val="bottom"/>
            <w:gridSpan w:val="14"/>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Lease Agreement, between Qualys, Inc. and Hudson Metro Center, LLC, dated</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960" w:type="dxa"/>
            <w:vAlign w:val="bottom"/>
            <w:vMerge w:val="continue"/>
          </w:tcPr>
          <w:p>
            <w:pPr>
              <w:spacing w:after="0"/>
              <w:rPr>
                <w:sz w:val="10"/>
                <w:szCs w:val="10"/>
                <w:color w:val="auto"/>
              </w:rPr>
            </w:pPr>
          </w:p>
        </w:tc>
        <w:tc>
          <w:tcPr>
            <w:tcW w:w="5620" w:type="dxa"/>
            <w:vAlign w:val="bottom"/>
            <w:tcBorders>
              <w:top w:val="single" w:sz="8" w:color="0000EE"/>
            </w:tcBorders>
            <w:gridSpan w:val="13"/>
            <w:vMerge w:val="restart"/>
          </w:tcPr>
          <w:p>
            <w:pPr>
              <w:spacing w:after="0" w:line="194" w:lineRule="exact"/>
              <w:rPr>
                <w:rFonts w:ascii="Arial" w:cs="Arial" w:eastAsia="Arial" w:hAnsi="Arial"/>
                <w:sz w:val="18"/>
                <w:szCs w:val="18"/>
                <w:color w:val="0000EE"/>
              </w:rPr>
            </w:pPr>
            <w:hyperlink r:id="rId98">
              <w:r>
                <w:rPr>
                  <w:rFonts w:ascii="Arial" w:cs="Arial" w:eastAsia="Arial" w:hAnsi="Arial"/>
                  <w:sz w:val="18"/>
                  <w:szCs w:val="18"/>
                  <w:color w:val="0000EE"/>
                </w:rPr>
                <w:t>October 14, 2016.</w:t>
              </w:r>
            </w:hyperlink>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5620" w:type="dxa"/>
            <w:vAlign w:val="bottom"/>
            <w:gridSpan w:val="13"/>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960" w:type="dxa"/>
            <w:vAlign w:val="bottom"/>
            <w:vMerge w:val="restart"/>
          </w:tcPr>
          <w:p>
            <w:pPr>
              <w:jc w:val="center"/>
              <w:ind w:right="191"/>
              <w:spacing w:after="0"/>
              <w:rPr>
                <w:sz w:val="20"/>
                <w:szCs w:val="20"/>
                <w:color w:val="auto"/>
              </w:rPr>
            </w:pPr>
            <w:r>
              <w:rPr>
                <w:rFonts w:ascii="Arial" w:cs="Arial" w:eastAsia="Arial" w:hAnsi="Arial"/>
                <w:sz w:val="18"/>
                <w:szCs w:val="18"/>
                <w:color w:val="auto"/>
                <w:w w:val="87"/>
              </w:rPr>
              <w:t>10.13†</w:t>
            </w:r>
          </w:p>
        </w:tc>
        <w:tc>
          <w:tcPr>
            <w:tcW w:w="5740" w:type="dxa"/>
            <w:vAlign w:val="bottom"/>
            <w:gridSpan w:val="14"/>
          </w:tcPr>
          <w:p>
            <w:pPr>
              <w:spacing w:after="0"/>
              <w:rPr>
                <w:rFonts w:ascii="Arial" w:cs="Arial" w:eastAsia="Arial" w:hAnsi="Arial"/>
                <w:sz w:val="18"/>
                <w:szCs w:val="18"/>
                <w:color w:val="0000EE"/>
              </w:rPr>
            </w:pPr>
            <w:hyperlink r:id="rId99">
              <w:r>
                <w:rPr>
                  <w:rFonts w:ascii="Arial" w:cs="Arial" w:eastAsia="Arial" w:hAnsi="Arial"/>
                  <w:sz w:val="18"/>
                  <w:szCs w:val="18"/>
                  <w:color w:val="0000EE"/>
                </w:rPr>
                <w:t>Manufacturing Services Agreement, between Qualys, Inc. and Synnex</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960" w:type="dxa"/>
            <w:vAlign w:val="bottom"/>
            <w:vMerge w:val="continue"/>
          </w:tcPr>
          <w:p>
            <w:pPr>
              <w:spacing w:after="0"/>
              <w:rPr>
                <w:sz w:val="10"/>
                <w:szCs w:val="10"/>
                <w:color w:val="auto"/>
              </w:rPr>
            </w:pPr>
          </w:p>
        </w:tc>
        <w:tc>
          <w:tcPr>
            <w:tcW w:w="2480" w:type="dxa"/>
            <w:vAlign w:val="bottom"/>
            <w:tcBorders>
              <w:top w:val="single" w:sz="8" w:color="0000EE"/>
            </w:tcBorders>
            <w:gridSpan w:val="4"/>
            <w:vMerge w:val="restart"/>
          </w:tcPr>
          <w:p>
            <w:pPr>
              <w:spacing w:after="0" w:line="194"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Corporation, dated March 1, 2011.</w:t>
              </w:r>
            </w:hyperlink>
          </w:p>
        </w:tc>
        <w:tc>
          <w:tcPr>
            <w:tcW w:w="2520" w:type="dxa"/>
            <w:vAlign w:val="bottom"/>
            <w:tcBorders>
              <w:top w:val="single" w:sz="8" w:color="0000EE"/>
            </w:tcBorders>
            <w:gridSpan w:val="2"/>
            <w:vMerge w:val="restart"/>
          </w:tcPr>
          <w:p>
            <w:pPr>
              <w:spacing w:after="0"/>
              <w:rPr>
                <w:sz w:val="10"/>
                <w:szCs w:val="10"/>
                <w:color w:val="auto"/>
              </w:rPr>
            </w:pPr>
          </w:p>
        </w:tc>
        <w:tc>
          <w:tcPr>
            <w:tcW w:w="740" w:type="dxa"/>
            <w:vAlign w:val="bottom"/>
            <w:gridSpan w:val="8"/>
            <w:vMerge w:val="restart"/>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5"/>
                <w:szCs w:val="5"/>
                <w:color w:val="auto"/>
              </w:rPr>
            </w:pPr>
          </w:p>
        </w:tc>
        <w:tc>
          <w:tcPr>
            <w:tcW w:w="2480" w:type="dxa"/>
            <w:vAlign w:val="bottom"/>
            <w:tcBorders>
              <w:bottom w:val="single" w:sz="8" w:color="0000EE"/>
            </w:tcBorders>
            <w:gridSpan w:val="4"/>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740" w:type="dxa"/>
            <w:vAlign w:val="bottom"/>
            <w:gridSpan w:val="8"/>
            <w:vMerge w:val="continue"/>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7"/>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91"/>
              </w:rPr>
              <w:t>21.1</w:t>
            </w:r>
          </w:p>
        </w:tc>
        <w:tc>
          <w:tcPr>
            <w:tcW w:w="24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List of subsidiaries of Qualys, Inc.</w:t>
              </w:r>
            </w:hyperlink>
          </w:p>
        </w:tc>
        <w:tc>
          <w:tcPr>
            <w:tcW w:w="3280" w:type="dxa"/>
            <w:vAlign w:val="bottom"/>
            <w:gridSpan w:val="11"/>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7"/>
        </w:trPr>
        <w:tc>
          <w:tcPr>
            <w:tcW w:w="960" w:type="dxa"/>
            <w:vAlign w:val="bottom"/>
            <w:vMerge w:val="restart"/>
          </w:tcPr>
          <w:p>
            <w:pPr>
              <w:jc w:val="center"/>
              <w:ind w:right="191"/>
              <w:spacing w:after="0"/>
              <w:rPr>
                <w:sz w:val="20"/>
                <w:szCs w:val="20"/>
                <w:color w:val="auto"/>
              </w:rPr>
            </w:pPr>
            <w:r>
              <w:rPr>
                <w:rFonts w:ascii="Arial" w:cs="Arial" w:eastAsia="Arial" w:hAnsi="Arial"/>
                <w:sz w:val="18"/>
                <w:szCs w:val="18"/>
                <w:color w:val="auto"/>
                <w:w w:val="91"/>
              </w:rPr>
              <w:t>23.1</w:t>
            </w:r>
          </w:p>
        </w:tc>
        <w:tc>
          <w:tcPr>
            <w:tcW w:w="5740" w:type="dxa"/>
            <w:vAlign w:val="bottom"/>
            <w:gridSpan w:val="14"/>
          </w:tcPr>
          <w:p>
            <w:pPr>
              <w:spacing w:after="0"/>
              <w:rPr>
                <w:rFonts w:ascii="Arial" w:cs="Arial" w:eastAsia="Arial" w:hAnsi="Arial"/>
                <w:sz w:val="18"/>
                <w:szCs w:val="18"/>
                <w:color w:val="0000EE"/>
                <w:w w:val="97"/>
              </w:rPr>
            </w:pPr>
            <w:hyperlink w:anchor="page112">
              <w:r>
                <w:rPr>
                  <w:rFonts w:ascii="Arial" w:cs="Arial" w:eastAsia="Arial" w:hAnsi="Arial"/>
                  <w:sz w:val="18"/>
                  <w:szCs w:val="18"/>
                  <w:color w:val="0000EE"/>
                  <w:w w:val="97"/>
                </w:rPr>
                <w:t>Consent of Grant Thornton LLP, independent registered public accounting</w:t>
              </w:r>
            </w:hyperlink>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25"/>
        </w:trPr>
        <w:tc>
          <w:tcPr>
            <w:tcW w:w="960" w:type="dxa"/>
            <w:vAlign w:val="bottom"/>
            <w:vMerge w:val="continue"/>
          </w:tcPr>
          <w:p>
            <w:pPr>
              <w:spacing w:after="0"/>
              <w:rPr>
                <w:sz w:val="10"/>
                <w:szCs w:val="10"/>
                <w:color w:val="auto"/>
              </w:rPr>
            </w:pPr>
          </w:p>
        </w:tc>
        <w:tc>
          <w:tcPr>
            <w:tcW w:w="360" w:type="dxa"/>
            <w:vAlign w:val="bottom"/>
            <w:tcBorders>
              <w:top w:val="single" w:sz="8" w:color="0000EE"/>
            </w:tcBorders>
            <w:vMerge w:val="restart"/>
          </w:tcPr>
          <w:p>
            <w:pPr>
              <w:spacing w:after="0" w:line="194"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firm.</w:t>
              </w:r>
            </w:hyperlink>
          </w:p>
        </w:tc>
        <w:tc>
          <w:tcPr>
            <w:tcW w:w="4920" w:type="dxa"/>
            <w:vAlign w:val="bottom"/>
            <w:tcBorders>
              <w:top w:val="single" w:sz="8" w:color="0000EE"/>
            </w:tcBorders>
            <w:gridSpan w:val="8"/>
            <w:vMerge w:val="restart"/>
          </w:tcPr>
          <w:p>
            <w:pPr>
              <w:spacing w:after="0"/>
              <w:rPr>
                <w:sz w:val="10"/>
                <w:szCs w:val="10"/>
                <w:color w:val="auto"/>
              </w:rPr>
            </w:pPr>
          </w:p>
        </w:tc>
        <w:tc>
          <w:tcPr>
            <w:tcW w:w="460" w:type="dxa"/>
            <w:vAlign w:val="bottom"/>
            <w:gridSpan w:val="5"/>
            <w:vMerge w:val="restart"/>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960" w:type="dxa"/>
            <w:vAlign w:val="bottom"/>
          </w:tcPr>
          <w:p>
            <w:pPr>
              <w:spacing w:after="0"/>
              <w:rPr>
                <w:sz w:val="5"/>
                <w:szCs w:val="5"/>
                <w:color w:val="auto"/>
              </w:rPr>
            </w:pPr>
          </w:p>
        </w:tc>
        <w:tc>
          <w:tcPr>
            <w:tcW w:w="360" w:type="dxa"/>
            <w:vAlign w:val="bottom"/>
            <w:tcBorders>
              <w:bottom w:val="single" w:sz="8" w:color="0000EE"/>
            </w:tcBorders>
            <w:vMerge w:val="continue"/>
          </w:tcPr>
          <w:p>
            <w:pPr>
              <w:spacing w:after="0"/>
              <w:rPr>
                <w:sz w:val="5"/>
                <w:szCs w:val="5"/>
                <w:color w:val="auto"/>
              </w:rPr>
            </w:pPr>
          </w:p>
        </w:tc>
        <w:tc>
          <w:tcPr>
            <w:tcW w:w="4920" w:type="dxa"/>
            <w:vAlign w:val="bottom"/>
            <w:gridSpan w:val="8"/>
            <w:vMerge w:val="continue"/>
          </w:tcPr>
          <w:p>
            <w:pPr>
              <w:spacing w:after="0"/>
              <w:rPr>
                <w:sz w:val="5"/>
                <w:szCs w:val="5"/>
                <w:color w:val="auto"/>
              </w:rPr>
            </w:pPr>
          </w:p>
        </w:tc>
        <w:tc>
          <w:tcPr>
            <w:tcW w:w="46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7"/>
        </w:trPr>
        <w:tc>
          <w:tcPr>
            <w:tcW w:w="96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Certification of Chief Executive Officer pursuant to Rule 13a-14(a) or Rule</w:t>
              </w:r>
            </w:hyperlink>
          </w:p>
        </w:tc>
        <w:tc>
          <w:tcPr>
            <w:tcW w:w="36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60" w:type="dxa"/>
            <w:vAlign w:val="bottom"/>
          </w:tcPr>
          <w:p>
            <w:pPr>
              <w:jc w:val="center"/>
              <w:ind w:right="191"/>
              <w:spacing w:after="0" w:line="194" w:lineRule="exact"/>
              <w:rPr>
                <w:sz w:val="20"/>
                <w:szCs w:val="20"/>
                <w:color w:val="auto"/>
              </w:rPr>
            </w:pPr>
            <w:r>
              <w:rPr>
                <w:rFonts w:ascii="Arial" w:cs="Arial" w:eastAsia="Arial" w:hAnsi="Arial"/>
                <w:sz w:val="18"/>
                <w:szCs w:val="18"/>
                <w:color w:val="auto"/>
                <w:w w:val="91"/>
              </w:rPr>
              <w:t>31.1</w:t>
            </w:r>
          </w:p>
        </w:tc>
        <w:tc>
          <w:tcPr>
            <w:tcW w:w="5740" w:type="dxa"/>
            <w:vAlign w:val="bottom"/>
            <w:gridSpan w:val="14"/>
          </w:tcPr>
          <w:p>
            <w:pPr>
              <w:spacing w:after="0" w:line="194" w:lineRule="exact"/>
              <w:rPr>
                <w:rFonts w:ascii="Arial" w:cs="Arial" w:eastAsia="Arial" w:hAnsi="Arial"/>
                <w:sz w:val="18"/>
                <w:szCs w:val="18"/>
                <w:color w:val="0000EE"/>
                <w:w w:val="97"/>
              </w:rPr>
            </w:pPr>
            <w:hyperlink w:anchor="page113">
              <w:r>
                <w:rPr>
                  <w:rFonts w:ascii="Arial" w:cs="Arial" w:eastAsia="Arial" w:hAnsi="Arial"/>
                  <w:sz w:val="18"/>
                  <w:szCs w:val="18"/>
                  <w:color w:val="0000EE"/>
                  <w:w w:val="97"/>
                </w:rPr>
                <w:t>15d-14(a) of the Securities Exchange Act of 1934, as adopted pursuant to</w:t>
              </w:r>
            </w:hyperlink>
          </w:p>
        </w:tc>
        <w:tc>
          <w:tcPr>
            <w:tcW w:w="240" w:type="dxa"/>
            <w:vAlign w:val="bottom"/>
          </w:tcPr>
          <w:p>
            <w:pPr>
              <w:ind w:left="100"/>
              <w:spacing w:after="0" w:line="19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348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Section 302 of The Sarbanes-Oxley Act of 2002.</w:t>
              </w:r>
            </w:hyperlink>
          </w:p>
        </w:tc>
        <w:tc>
          <w:tcPr>
            <w:tcW w:w="1740" w:type="dxa"/>
            <w:vAlign w:val="bottom"/>
            <w:tcBorders>
              <w:top w:val="single" w:sz="8" w:color="0000EE"/>
            </w:tcBorders>
            <w:gridSpan w:val="3"/>
          </w:tcPr>
          <w:p>
            <w:pPr>
              <w:spacing w:after="0"/>
              <w:rPr>
                <w:sz w:val="16"/>
                <w:szCs w:val="16"/>
                <w:color w:val="auto"/>
              </w:rPr>
            </w:pPr>
          </w:p>
        </w:tc>
        <w:tc>
          <w:tcPr>
            <w:tcW w:w="520" w:type="dxa"/>
            <w:vAlign w:val="bottom"/>
            <w:gridSpan w:val="6"/>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960" w:type="dxa"/>
            <w:vAlign w:val="bottom"/>
          </w:tcPr>
          <w:p>
            <w:pPr>
              <w:spacing w:after="0"/>
              <w:rPr>
                <w:sz w:val="24"/>
                <w:szCs w:val="24"/>
                <w:color w:val="auto"/>
              </w:rPr>
            </w:pPr>
          </w:p>
        </w:tc>
        <w:tc>
          <w:tcPr>
            <w:tcW w:w="5740" w:type="dxa"/>
            <w:vAlign w:val="bottom"/>
            <w:gridSpan w:val="14"/>
          </w:tcPr>
          <w:p>
            <w:pPr>
              <w:spacing w:after="0"/>
              <w:rPr>
                <w:rFonts w:ascii="Arial" w:cs="Arial" w:eastAsia="Arial" w:hAnsi="Arial"/>
                <w:sz w:val="18"/>
                <w:szCs w:val="18"/>
                <w:color w:val="0000EE"/>
                <w:w w:val="98"/>
              </w:rPr>
            </w:pPr>
            <w:hyperlink w:anchor="page114">
              <w:r>
                <w:rPr>
                  <w:rFonts w:ascii="Arial" w:cs="Arial" w:eastAsia="Arial" w:hAnsi="Arial"/>
                  <w:sz w:val="18"/>
                  <w:szCs w:val="18"/>
                  <w:color w:val="0000EE"/>
                  <w:w w:val="98"/>
                </w:rPr>
                <w:t>Certification of Chief Financial Officer pursuant to Rule 13a-14(a) or Rule</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60" w:type="dxa"/>
            <w:vAlign w:val="bottom"/>
          </w:tcPr>
          <w:p>
            <w:pPr>
              <w:jc w:val="center"/>
              <w:ind w:right="191"/>
              <w:spacing w:after="0" w:line="194" w:lineRule="exact"/>
              <w:rPr>
                <w:sz w:val="20"/>
                <w:szCs w:val="20"/>
                <w:color w:val="auto"/>
              </w:rPr>
            </w:pPr>
            <w:r>
              <w:rPr>
                <w:rFonts w:ascii="Arial" w:cs="Arial" w:eastAsia="Arial" w:hAnsi="Arial"/>
                <w:sz w:val="18"/>
                <w:szCs w:val="18"/>
                <w:color w:val="auto"/>
                <w:w w:val="91"/>
              </w:rPr>
              <w:t>31.2</w:t>
            </w:r>
          </w:p>
        </w:tc>
        <w:tc>
          <w:tcPr>
            <w:tcW w:w="5320" w:type="dxa"/>
            <w:vAlign w:val="bottom"/>
            <w:tcBorders>
              <w:top w:val="single" w:sz="8" w:color="0000EE"/>
            </w:tcBorders>
            <w:gridSpan w:val="10"/>
          </w:tcPr>
          <w:p>
            <w:pPr>
              <w:spacing w:after="0" w:line="194"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15d-14(a) of the Securities Exchange Act of 1934, as adopted pursuant to</w:t>
              </w:r>
            </w:hyperlink>
          </w:p>
        </w:tc>
        <w:tc>
          <w:tcPr>
            <w:tcW w:w="420" w:type="dxa"/>
            <w:vAlign w:val="bottom"/>
            <w:gridSpan w:val="4"/>
          </w:tcPr>
          <w:p>
            <w:pPr>
              <w:spacing w:after="0"/>
              <w:rPr>
                <w:sz w:val="16"/>
                <w:szCs w:val="16"/>
                <w:color w:val="auto"/>
              </w:rPr>
            </w:pPr>
          </w:p>
        </w:tc>
        <w:tc>
          <w:tcPr>
            <w:tcW w:w="240" w:type="dxa"/>
            <w:vAlign w:val="bottom"/>
          </w:tcPr>
          <w:p>
            <w:pPr>
              <w:ind w:left="100"/>
              <w:spacing w:after="0" w:line="19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348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Section 302 of The Sarbanes-Oxley Act of 2002.</w:t>
              </w:r>
            </w:hyperlink>
          </w:p>
        </w:tc>
        <w:tc>
          <w:tcPr>
            <w:tcW w:w="1740" w:type="dxa"/>
            <w:vAlign w:val="bottom"/>
            <w:tcBorders>
              <w:top w:val="single" w:sz="8" w:color="0000EE"/>
            </w:tcBorders>
            <w:gridSpan w:val="3"/>
          </w:tcPr>
          <w:p>
            <w:pPr>
              <w:spacing w:after="0"/>
              <w:rPr>
                <w:sz w:val="16"/>
                <w:szCs w:val="16"/>
                <w:color w:val="auto"/>
              </w:rPr>
            </w:pPr>
          </w:p>
        </w:tc>
        <w:tc>
          <w:tcPr>
            <w:tcW w:w="520" w:type="dxa"/>
            <w:vAlign w:val="bottom"/>
            <w:gridSpan w:val="6"/>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960" w:type="dxa"/>
            <w:vAlign w:val="bottom"/>
          </w:tcPr>
          <w:p>
            <w:pPr>
              <w:spacing w:after="0"/>
              <w:rPr>
                <w:sz w:val="24"/>
                <w:szCs w:val="24"/>
                <w:color w:val="auto"/>
              </w:rPr>
            </w:pPr>
          </w:p>
        </w:tc>
        <w:tc>
          <w:tcPr>
            <w:tcW w:w="5740" w:type="dxa"/>
            <w:vAlign w:val="bottom"/>
            <w:gridSpan w:val="14"/>
          </w:tcPr>
          <w:p>
            <w:pPr>
              <w:spacing w:after="0"/>
              <w:rPr>
                <w:rFonts w:ascii="Arial" w:cs="Arial" w:eastAsia="Arial" w:hAnsi="Arial"/>
                <w:sz w:val="18"/>
                <w:szCs w:val="18"/>
                <w:color w:val="0000EE"/>
                <w:w w:val="97"/>
              </w:rPr>
            </w:pPr>
            <w:hyperlink w:anchor="page115">
              <w:r>
                <w:rPr>
                  <w:rFonts w:ascii="Arial" w:cs="Arial" w:eastAsia="Arial" w:hAnsi="Arial"/>
                  <w:sz w:val="18"/>
                  <w:szCs w:val="18"/>
                  <w:color w:val="0000EE"/>
                  <w:w w:val="97"/>
                </w:rPr>
                <w:t>Certification of Chief Executive Officer pursuant to Rule 13a-14(b) or Rule</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120" w:type="dxa"/>
            <w:vAlign w:val="bottom"/>
            <w:gridSpan w:val="7"/>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tcPr>
          <w:p>
            <w:pPr>
              <w:jc w:val="center"/>
              <w:ind w:right="191"/>
              <w:spacing w:after="0" w:line="194" w:lineRule="exact"/>
              <w:rPr>
                <w:sz w:val="20"/>
                <w:szCs w:val="20"/>
                <w:color w:val="auto"/>
              </w:rPr>
            </w:pPr>
            <w:r>
              <w:rPr>
                <w:rFonts w:ascii="Arial" w:cs="Arial" w:eastAsia="Arial" w:hAnsi="Arial"/>
                <w:sz w:val="18"/>
                <w:szCs w:val="18"/>
                <w:color w:val="auto"/>
                <w:w w:val="91"/>
              </w:rPr>
              <w:t>32.1</w:t>
            </w:r>
          </w:p>
        </w:tc>
        <w:tc>
          <w:tcPr>
            <w:tcW w:w="5580" w:type="dxa"/>
            <w:vAlign w:val="bottom"/>
            <w:tcBorders>
              <w:bottom w:val="single" w:sz="8" w:color="0000EE"/>
            </w:tcBorders>
            <w:gridSpan w:val="12"/>
          </w:tcPr>
          <w:p>
            <w:pPr>
              <w:spacing w:after="0" w:line="194"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15d-14(b) of the Securities Exchange Act of 1934 and 18 U.S.C. Section 1350</w:t>
              </w:r>
            </w:hyperlink>
          </w:p>
        </w:tc>
        <w:tc>
          <w:tcPr>
            <w:tcW w:w="160" w:type="dxa"/>
            <w:vAlign w:val="bottom"/>
            <w:gridSpan w:val="2"/>
          </w:tcPr>
          <w:p>
            <w:pPr>
              <w:spacing w:after="0"/>
              <w:rPr>
                <w:sz w:val="16"/>
                <w:szCs w:val="16"/>
                <w:color w:val="auto"/>
              </w:rPr>
            </w:pPr>
          </w:p>
        </w:tc>
        <w:tc>
          <w:tcPr>
            <w:tcW w:w="240" w:type="dxa"/>
            <w:vAlign w:val="bottom"/>
          </w:tcPr>
          <w:p>
            <w:pPr>
              <w:ind w:left="100"/>
              <w:spacing w:after="0" w:line="19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5120" w:type="dxa"/>
            <w:vAlign w:val="bottom"/>
            <w:tcBorders>
              <w:bottom w:val="single" w:sz="8" w:color="0000EE"/>
            </w:tcBorders>
            <w:gridSpan w:val="7"/>
          </w:tcPr>
          <w:p>
            <w:pPr>
              <w:spacing w:after="0" w:line="194"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as adopted pursuant to Section 906 of The Sarbanes-Oxley Act of 2002.</w:t>
              </w:r>
            </w:hyperlink>
          </w:p>
        </w:tc>
        <w:tc>
          <w:tcPr>
            <w:tcW w:w="62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96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Certification of Chief Financial Officer pursuant to Rule 13a-14(b) or Rule</w:t>
              </w:r>
            </w:hyperlink>
          </w:p>
        </w:tc>
        <w:tc>
          <w:tcPr>
            <w:tcW w:w="36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60" w:type="dxa"/>
            <w:vAlign w:val="bottom"/>
          </w:tcPr>
          <w:p>
            <w:pPr>
              <w:jc w:val="center"/>
              <w:ind w:right="191"/>
              <w:spacing w:after="0" w:line="194" w:lineRule="exact"/>
              <w:rPr>
                <w:sz w:val="20"/>
                <w:szCs w:val="20"/>
                <w:color w:val="auto"/>
              </w:rPr>
            </w:pPr>
            <w:r>
              <w:rPr>
                <w:rFonts w:ascii="Arial" w:cs="Arial" w:eastAsia="Arial" w:hAnsi="Arial"/>
                <w:sz w:val="18"/>
                <w:szCs w:val="18"/>
                <w:color w:val="auto"/>
                <w:w w:val="91"/>
              </w:rPr>
              <w:t>32.2</w:t>
            </w:r>
          </w:p>
        </w:tc>
        <w:tc>
          <w:tcPr>
            <w:tcW w:w="5580" w:type="dxa"/>
            <w:vAlign w:val="bottom"/>
            <w:tcBorders>
              <w:bottom w:val="single" w:sz="8" w:color="0000EE"/>
            </w:tcBorders>
            <w:gridSpan w:val="12"/>
          </w:tcPr>
          <w:p>
            <w:pPr>
              <w:spacing w:after="0" w:line="194"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15d-14(b) of the Securities Exchange Act of 1934 and 18 U.S.C. Section 1350</w:t>
              </w:r>
            </w:hyperlink>
          </w:p>
        </w:tc>
        <w:tc>
          <w:tcPr>
            <w:tcW w:w="160" w:type="dxa"/>
            <w:vAlign w:val="bottom"/>
            <w:gridSpan w:val="2"/>
          </w:tcPr>
          <w:p>
            <w:pPr>
              <w:spacing w:after="0"/>
              <w:rPr>
                <w:sz w:val="16"/>
                <w:szCs w:val="16"/>
                <w:color w:val="auto"/>
              </w:rPr>
            </w:pPr>
          </w:p>
        </w:tc>
        <w:tc>
          <w:tcPr>
            <w:tcW w:w="240" w:type="dxa"/>
            <w:vAlign w:val="bottom"/>
          </w:tcPr>
          <w:p>
            <w:pPr>
              <w:ind w:left="100"/>
              <w:spacing w:after="0" w:line="19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5120" w:type="dxa"/>
            <w:vAlign w:val="bottom"/>
            <w:tcBorders>
              <w:bottom w:val="single" w:sz="8" w:color="0000EE"/>
            </w:tcBorders>
            <w:gridSpan w:val="7"/>
          </w:tcPr>
          <w:p>
            <w:pPr>
              <w:spacing w:after="0" w:line="194"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as adopted pursuant to Section 906 of The Sarbanes-Oxley Act of 2002.</w:t>
              </w:r>
            </w:hyperlink>
          </w:p>
        </w:tc>
        <w:tc>
          <w:tcPr>
            <w:tcW w:w="62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960" w:type="dxa"/>
            <w:vAlign w:val="bottom"/>
          </w:tcPr>
          <w:p>
            <w:pPr>
              <w:spacing w:after="0"/>
              <w:rPr>
                <w:sz w:val="24"/>
                <w:szCs w:val="24"/>
                <w:color w:val="auto"/>
              </w:rPr>
            </w:pPr>
          </w:p>
        </w:tc>
        <w:tc>
          <w:tcPr>
            <w:tcW w:w="5740" w:type="dxa"/>
            <w:vAlign w:val="bottom"/>
            <w:gridSpan w:val="14"/>
          </w:tcPr>
          <w:p>
            <w:pPr>
              <w:spacing w:after="0"/>
              <w:rPr>
                <w:sz w:val="20"/>
                <w:szCs w:val="20"/>
                <w:color w:val="auto"/>
              </w:rPr>
            </w:pPr>
            <w:r>
              <w:rPr>
                <w:rFonts w:ascii="Arial" w:cs="Arial" w:eastAsia="Arial" w:hAnsi="Arial"/>
                <w:sz w:val="18"/>
                <w:szCs w:val="18"/>
                <w:color w:val="auto"/>
                <w:w w:val="94"/>
              </w:rPr>
              <w:t>Inline XBRL Instance Document - the instance document does not appear in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92"/>
              </w:rPr>
              <w:t>101.INS</w:t>
            </w:r>
          </w:p>
        </w:tc>
        <w:tc>
          <w:tcPr>
            <w:tcW w:w="5740" w:type="dxa"/>
            <w:vAlign w:val="bottom"/>
            <w:gridSpan w:val="14"/>
          </w:tcPr>
          <w:p>
            <w:pPr>
              <w:spacing w:after="0"/>
              <w:rPr>
                <w:sz w:val="20"/>
                <w:szCs w:val="20"/>
                <w:color w:val="auto"/>
              </w:rPr>
            </w:pPr>
            <w:r>
              <w:rPr>
                <w:rFonts w:ascii="Arial" w:cs="Arial" w:eastAsia="Arial" w:hAnsi="Arial"/>
                <w:sz w:val="18"/>
                <w:szCs w:val="18"/>
                <w:color w:val="auto"/>
                <w:w w:val="98"/>
              </w:rPr>
              <w:t>the Interactive Data File because its XBRL tags are embedded within the</w:t>
            </w: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5740" w:type="dxa"/>
            <w:vAlign w:val="bottom"/>
            <w:gridSpan w:val="14"/>
          </w:tcPr>
          <w:p>
            <w:pPr>
              <w:spacing w:after="0"/>
              <w:rPr>
                <w:sz w:val="20"/>
                <w:szCs w:val="20"/>
                <w:color w:val="auto"/>
              </w:rPr>
            </w:pPr>
            <w:r>
              <w:rPr>
                <w:rFonts w:ascii="Arial" w:cs="Arial" w:eastAsia="Arial" w:hAnsi="Arial"/>
                <w:sz w:val="18"/>
                <w:szCs w:val="18"/>
                <w:color w:val="auto"/>
              </w:rPr>
              <w:t>Inline XBRL document.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87"/>
              </w:rPr>
              <w:t>101.SCH</w:t>
            </w:r>
          </w:p>
        </w:tc>
        <w:tc>
          <w:tcPr>
            <w:tcW w:w="57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27"/>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97"/>
              </w:rPr>
              <w:t>101.CAL</w:t>
            </w:r>
          </w:p>
        </w:tc>
        <w:tc>
          <w:tcPr>
            <w:tcW w:w="57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27"/>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90"/>
              </w:rPr>
              <w:t>101.DEF</w:t>
            </w:r>
          </w:p>
        </w:tc>
        <w:tc>
          <w:tcPr>
            <w:tcW w:w="57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27"/>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98"/>
              </w:rPr>
              <w:t>101.LAB</w:t>
            </w:r>
          </w:p>
        </w:tc>
        <w:tc>
          <w:tcPr>
            <w:tcW w:w="57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27"/>
        </w:trPr>
        <w:tc>
          <w:tcPr>
            <w:tcW w:w="960" w:type="dxa"/>
            <w:vAlign w:val="bottom"/>
          </w:tcPr>
          <w:p>
            <w:pPr>
              <w:jc w:val="center"/>
              <w:ind w:right="191"/>
              <w:spacing w:after="0"/>
              <w:rPr>
                <w:sz w:val="20"/>
                <w:szCs w:val="20"/>
                <w:color w:val="auto"/>
              </w:rPr>
            </w:pPr>
            <w:r>
              <w:rPr>
                <w:rFonts w:ascii="Arial" w:cs="Arial" w:eastAsia="Arial" w:hAnsi="Arial"/>
                <w:sz w:val="18"/>
                <w:szCs w:val="18"/>
                <w:color w:val="auto"/>
                <w:w w:val="88"/>
              </w:rPr>
              <w:t>101.PRE</w:t>
            </w:r>
          </w:p>
        </w:tc>
        <w:tc>
          <w:tcPr>
            <w:tcW w:w="57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40" w:type="dxa"/>
            <w:vAlign w:val="bottom"/>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4"/>
        </w:trPr>
        <w:tc>
          <w:tcPr>
            <w:tcW w:w="960" w:type="dxa"/>
            <w:vAlign w:val="bottom"/>
            <w:vMerge w:val="restart"/>
          </w:tcPr>
          <w:p>
            <w:pPr>
              <w:jc w:val="center"/>
              <w:ind w:right="191"/>
              <w:spacing w:after="0"/>
              <w:rPr>
                <w:sz w:val="20"/>
                <w:szCs w:val="20"/>
                <w:color w:val="auto"/>
              </w:rPr>
            </w:pPr>
            <w:r>
              <w:rPr>
                <w:rFonts w:ascii="Arial" w:cs="Arial" w:eastAsia="Arial" w:hAnsi="Arial"/>
                <w:sz w:val="18"/>
                <w:szCs w:val="18"/>
                <w:color w:val="auto"/>
                <w:w w:val="93"/>
              </w:rPr>
              <w:t>104</w:t>
            </w:r>
          </w:p>
        </w:tc>
        <w:tc>
          <w:tcPr>
            <w:tcW w:w="5740" w:type="dxa"/>
            <w:vAlign w:val="bottom"/>
            <w:gridSpan w:val="14"/>
          </w:tcPr>
          <w:p>
            <w:pPr>
              <w:spacing w:after="0"/>
              <w:rPr>
                <w:sz w:val="20"/>
                <w:szCs w:val="20"/>
                <w:color w:val="auto"/>
              </w:rPr>
            </w:pPr>
            <w:r>
              <w:rPr>
                <w:rFonts w:ascii="Arial" w:cs="Arial" w:eastAsia="Arial" w:hAnsi="Arial"/>
                <w:sz w:val="18"/>
                <w:szCs w:val="18"/>
                <w:color w:val="auto"/>
                <w:w w:val="94"/>
              </w:rPr>
              <w:t>Cover Page Interactive Data File - formatted in Inline XBRL and included as</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5740" w:type="dxa"/>
            <w:vAlign w:val="bottom"/>
            <w:gridSpan w:val="14"/>
            <w:vMerge w:val="restart"/>
          </w:tcPr>
          <w:p>
            <w:pPr>
              <w:spacing w:after="0"/>
              <w:rPr>
                <w:sz w:val="20"/>
                <w:szCs w:val="20"/>
                <w:color w:val="auto"/>
              </w:rPr>
            </w:pPr>
            <w:r>
              <w:rPr>
                <w:rFonts w:ascii="Arial" w:cs="Arial" w:eastAsia="Arial" w:hAnsi="Arial"/>
                <w:sz w:val="18"/>
                <w:szCs w:val="18"/>
                <w:color w:val="auto"/>
              </w:rPr>
              <w:t>Exhibit 101</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5740" w:type="dxa"/>
            <w:vAlign w:val="bottom"/>
            <w:gridSpan w:val="14"/>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020" w:hanging="22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9" w:lineRule="exact"/>
        <w:rPr>
          <w:rFonts w:ascii="Arial" w:cs="Arial" w:eastAsia="Arial" w:hAnsi="Arial"/>
          <w:sz w:val="18"/>
          <w:szCs w:val="18"/>
          <w:color w:val="auto"/>
        </w:rPr>
      </w:pPr>
    </w:p>
    <w:p>
      <w:pPr>
        <w:ind w:left="1020" w:right="640" w:hanging="227"/>
        <w:spacing w:after="0" w:line="247" w:lineRule="auto"/>
        <w:rPr>
          <w:rFonts w:ascii="Arial" w:cs="Arial" w:eastAsia="Arial" w:hAnsi="Arial"/>
          <w:sz w:val="18"/>
          <w:szCs w:val="18"/>
          <w:color w:val="auto"/>
        </w:rPr>
      </w:pPr>
      <w:r>
        <w:rPr>
          <w:rFonts w:ascii="Arial" w:cs="Arial" w:eastAsia="Arial" w:hAnsi="Arial"/>
          <w:sz w:val="18"/>
          <w:szCs w:val="18"/>
          <w:color w:val="auto"/>
        </w:rPr>
        <w:t>† Portions of this exhibit have been omitted due to a determination by the Securities and Exchange Commission that these portions should be granted confidential treatment.</w:t>
      </w:r>
    </w:p>
    <w:p>
      <w:pPr>
        <w:spacing w:after="0" w:line="1" w:lineRule="exact"/>
        <w:rPr>
          <w:rFonts w:ascii="Arial" w:cs="Arial" w:eastAsia="Arial" w:hAnsi="Arial"/>
          <w:sz w:val="18"/>
          <w:szCs w:val="18"/>
          <w:color w:val="auto"/>
        </w:rPr>
      </w:pPr>
    </w:p>
    <w:p>
      <w:pPr>
        <w:ind w:left="1020" w:right="460" w:hanging="227"/>
        <w:spacing w:after="0" w:line="251" w:lineRule="auto"/>
        <w:rPr>
          <w:rFonts w:ascii="Arial" w:cs="Arial" w:eastAsia="Arial" w:hAnsi="Arial"/>
          <w:sz w:val="18"/>
          <w:szCs w:val="18"/>
          <w:color w:val="auto"/>
        </w:rPr>
      </w:pPr>
      <w:r>
        <w:rPr>
          <w:rFonts w:ascii="Arial" w:cs="Arial" w:eastAsia="Arial" w:hAnsi="Arial"/>
          <w:sz w:val="18"/>
          <w:szCs w:val="18"/>
          <w:color w:val="auto"/>
        </w:rPr>
        <w:t># Portions of the exhibit, marked by brackets, have been omitted because the omitted information (i) is not material and (ii) would likely cause competitive harm if publicly disclosed.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0" w:type="dxa"/>
            <w:vAlign w:val="bottom"/>
          </w:tcPr>
          <w:p>
            <w:pPr>
              <w:jc w:val="center"/>
              <w:ind w:right="71"/>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001-35662</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w w:val="93"/>
              </w:rPr>
              <w:t>10.1   October 19, 2016</w:t>
            </w:r>
          </w:p>
        </w:tc>
        <w:tc>
          <w:tcPr>
            <w:tcW w:w="0" w:type="dxa"/>
            <w:vAlign w:val="bottom"/>
          </w:tcPr>
          <w:p>
            <w:pPr>
              <w:spacing w:after="0"/>
              <w:rPr>
                <w:sz w:val="1"/>
                <w:szCs w:val="1"/>
                <w:color w:val="auto"/>
              </w:rPr>
            </w:pPr>
          </w:p>
        </w:tc>
      </w:tr>
      <w:tr>
        <w:trPr>
          <w:trHeight w:val="521"/>
        </w:trPr>
        <w:tc>
          <w:tcPr>
            <w:tcW w:w="600" w:type="dxa"/>
            <w:vAlign w:val="bottom"/>
            <w:vMerge w:val="restart"/>
          </w:tcPr>
          <w:p>
            <w:pPr>
              <w:jc w:val="center"/>
              <w:ind w:right="91"/>
              <w:spacing w:after="0"/>
              <w:rPr>
                <w:sz w:val="20"/>
                <w:szCs w:val="20"/>
                <w:color w:val="auto"/>
              </w:rPr>
            </w:pPr>
            <w:r>
              <w:rPr>
                <w:rFonts w:ascii="Arial" w:cs="Arial" w:eastAsia="Arial" w:hAnsi="Arial"/>
                <w:sz w:val="18"/>
                <w:szCs w:val="18"/>
                <w:color w:val="auto"/>
                <w:w w:val="93"/>
              </w:rPr>
              <w:t>S-1/A</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333-182027</w:t>
            </w:r>
          </w:p>
        </w:tc>
        <w:tc>
          <w:tcPr>
            <w:tcW w:w="620" w:type="dxa"/>
            <w:vAlign w:val="bottom"/>
            <w:vMerge w:val="restart"/>
          </w:tcPr>
          <w:p>
            <w:pPr>
              <w:jc w:val="right"/>
              <w:ind w:right="51"/>
              <w:spacing w:after="0"/>
              <w:rPr>
                <w:sz w:val="20"/>
                <w:szCs w:val="20"/>
                <w:color w:val="auto"/>
              </w:rPr>
            </w:pPr>
            <w:r>
              <w:rPr>
                <w:rFonts w:ascii="Arial" w:cs="Arial" w:eastAsia="Arial" w:hAnsi="Arial"/>
                <w:sz w:val="18"/>
                <w:szCs w:val="18"/>
                <w:color w:val="auto"/>
              </w:rPr>
              <w:t>10.16</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September 12,</w:t>
            </w:r>
          </w:p>
        </w:tc>
        <w:tc>
          <w:tcPr>
            <w:tcW w:w="0" w:type="dxa"/>
            <w:vAlign w:val="bottom"/>
          </w:tcPr>
          <w:p>
            <w:pPr>
              <w:spacing w:after="0"/>
              <w:rPr>
                <w:sz w:val="1"/>
                <w:szCs w:val="1"/>
                <w:color w:val="auto"/>
              </w:rPr>
            </w:pPr>
          </w:p>
        </w:tc>
      </w:tr>
      <w:tr>
        <w:trPr>
          <w:trHeight w:val="120"/>
        </w:trPr>
        <w:tc>
          <w:tcPr>
            <w:tcW w:w="6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80" w:type="dxa"/>
            <w:vAlign w:val="bottom"/>
            <w:vMerge w:val="restart"/>
          </w:tcPr>
          <w:p>
            <w:pPr>
              <w:jc w:val="right"/>
              <w:ind w:right="35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021" w:lineRule="exact"/>
        <w:rPr>
          <w:sz w:val="20"/>
          <w:szCs w:val="20"/>
          <w:color w:val="auto"/>
        </w:rPr>
      </w:pPr>
    </w:p>
    <w:p>
      <w:pPr>
        <w:sectPr>
          <w:pgSz w:w="11900" w:h="16838" w:orient="portrait"/>
          <w:cols w:equalWidth="0" w:num="2">
            <w:col w:w="7000" w:space="560"/>
            <w:col w:w="3680"/>
          </w:cols>
          <w:pgMar w:left="320" w:top="106"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22, 2022.</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QUALYS, INC.</w:t>
      </w:r>
    </w:p>
    <w:p>
      <w:pPr>
        <w:spacing w:after="0" w:line="24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SUMEDH THAKAR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Sumedh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2364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ind w:right="920"/>
        <w:spacing w:after="0" w:line="284" w:lineRule="auto"/>
        <w:rPr>
          <w:sz w:val="20"/>
          <w:szCs w:val="20"/>
          <w:color w:val="auto"/>
        </w:rPr>
      </w:pPr>
      <w:r>
        <w:rPr>
          <w:rFonts w:ascii="Arial" w:cs="Arial" w:eastAsia="Arial" w:hAnsi="Arial"/>
          <w:sz w:val="17"/>
          <w:szCs w:val="17"/>
          <w:color w:val="auto"/>
        </w:rPr>
        <w:t>President and Chief Executive Officer (principal executive officer)</w:t>
      </w:r>
    </w:p>
    <w:p>
      <w:pPr>
        <w:sectPr>
          <w:pgSz w:w="11900" w:h="16838" w:orient="portrait"/>
          <w:cols w:equalWidth="0" w:num="2">
            <w:col w:w="7340" w:space="180"/>
            <w:col w:w="3640"/>
          </w:cols>
          <w:pgMar w:left="320" w:top="125" w:right="41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100"/>
          </w:cols>
          <w:pgMar w:left="320" w:top="125" w:right="47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SUMEDH THAKAR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Sumedh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JOO MI KIM</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SAIKAT PAUL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Saikat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SANDRA BERGERON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Sandra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WILLIAM BERUTTI</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William Berutti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JEFFREY P. HANK</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 GENERAL PETER PACE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KRISTI M. ROGERS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WENDY M. PFEIFFER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Wendy M.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JOHN A. ZANGARDI</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John A. Zangardi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859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Director, President and Chief Executive Officer (principal</w:t>
      </w:r>
    </w:p>
    <w:p>
      <w:pPr>
        <w:spacing w:after="0" w:line="19"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executive officer)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34"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Chief Financial Officer (principal financial officer)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47"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Chief Accounting Officer (principal accounting officer)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47"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Chair of the Board of Directors</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47"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93"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22, 2022</w:t>
      </w:r>
    </w:p>
    <w:p>
      <w:pPr>
        <w:spacing w:after="0" w:line="200" w:lineRule="exact"/>
        <w:rPr>
          <w:sz w:val="20"/>
          <w:szCs w:val="20"/>
          <w:color w:val="auto"/>
        </w:rPr>
      </w:pP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84</w:t>
      </w:r>
    </w:p>
    <w:p>
      <w:pPr>
        <w:sectPr>
          <w:pgSz w:w="11900" w:h="16838" w:orient="portrait"/>
          <w:cols w:equalWidth="0" w:num="2">
            <w:col w:w="3680" w:space="720"/>
            <w:col w:w="6700"/>
          </w:cols>
          <w:pgMar w:left="320" w:top="125" w:right="47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050290" cy="974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1050290"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Allan Peters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Allan:</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On behalf of Qualys (the “Company”), I am pleased to offer you the position of Chief Revenue Officer, reporting to Sumedh Thakar, Interim CEO and Chief Product Officer. Your location of work will be your home office in Florida. The details of your offer are outlined below:</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Salary: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$325,000* (Annual Salary)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be paid semi-monthly. Less payroll deductions and all required withholding.</w:t>
      </w:r>
    </w:p>
    <w:p>
      <w:pPr>
        <w:spacing w:after="0" w:line="200"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spacing w:after="0" w:line="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Commission: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You will be eligible to receive up to $325,000 annually upon your achievement of 100% of quota. Further commission may be earned if you achieve more than 100% of quota. Commissions will be calculated and paid out on a quarterly basis. The full terms of the commission will be determined soon after you begin employment.</w:t>
      </w:r>
    </w:p>
    <w:p>
      <w:pPr>
        <w:spacing w:after="0" w:line="167"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ind w:left="920"/>
        <w:spacing w:after="0"/>
        <w:rPr>
          <w:sz w:val="20"/>
          <w:szCs w:val="20"/>
          <w:color w:val="auto"/>
        </w:rPr>
      </w:pPr>
      <w:r>
        <w:rPr>
          <w:rFonts w:ascii="Arial" w:cs="Arial" w:eastAsia="Arial" w:hAnsi="Arial"/>
          <w:sz w:val="14"/>
          <w:szCs w:val="14"/>
          <w:b w:val="1"/>
          <w:bCs w:val="1"/>
          <w:i w:val="1"/>
          <w:iCs w:val="1"/>
          <w:color w:val="auto"/>
        </w:rPr>
        <w:t>Benefits:</w:t>
      </w:r>
    </w:p>
    <w:p>
      <w:pPr>
        <w:spacing w:after="0" w:line="20" w:lineRule="exact"/>
        <w:rPr>
          <w:sz w:val="20"/>
          <w:szCs w:val="20"/>
          <w:color w:val="auto"/>
        </w:rPr>
      </w:pPr>
      <w:r>
        <w:rPr>
          <w:sz w:val="20"/>
          <w:szCs w:val="20"/>
          <w:color w:val="auto"/>
        </w:rPr>
        <w:br w:type="column"/>
      </w:r>
    </w:p>
    <w:p>
      <w:pPr>
        <w:jc w:val="both"/>
        <w:spacing w:after="0" w:line="274" w:lineRule="auto"/>
        <w:rPr>
          <w:sz w:val="20"/>
          <w:szCs w:val="20"/>
          <w:color w:val="auto"/>
        </w:rPr>
      </w:pPr>
      <w:r>
        <w:rPr>
          <w:rFonts w:ascii="Arial" w:cs="Arial" w:eastAsia="Arial" w:hAnsi="Arial"/>
          <w:sz w:val="17"/>
          <w:szCs w:val="17"/>
          <w:color w:val="auto"/>
        </w:rPr>
        <w:t>You will be eligible for the following standard Qualys benefits as of the first of the month following date of hire, pursuant to the terms and conditions of the applicable benefit plan and Company policies: Medical, Dental and Vision. In addition, you are eligible to participate in our life insurance, accidental death, vacation, sick time and 401(k) plans. Qualys may modify compensation and benefits from time to time as it deems necessary.</w:t>
      </w:r>
    </w:p>
    <w:p>
      <w:pPr>
        <w:spacing w:after="0" w:line="175"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ind w:left="920"/>
        <w:spacing w:after="0"/>
        <w:rPr>
          <w:sz w:val="20"/>
          <w:szCs w:val="20"/>
          <w:color w:val="auto"/>
        </w:rPr>
      </w:pPr>
      <w:r>
        <w:rPr>
          <w:rFonts w:ascii="Arial" w:cs="Arial" w:eastAsia="Arial" w:hAnsi="Arial"/>
          <w:sz w:val="14"/>
          <w:szCs w:val="14"/>
          <w:b w:val="1"/>
          <w:bCs w:val="1"/>
          <w:i w:val="1"/>
          <w:iCs w:val="1"/>
          <w:color w:val="auto"/>
        </w:rPr>
        <w:t>RSUs:</w:t>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6"/>
          <w:szCs w:val="16"/>
          <w:color w:val="auto"/>
        </w:rPr>
        <w:t>We will recommend to the Board of Directors (or its Compensation Committee) that you be granted restricted stock units (the “RSUs”) covering shares of Qualys Common Stock. The number of RSUs that management will recommend will be determined by dividing $3,000,000 by the average of the closing trading prices of Qualys Common Stock for the 30 days ending one week before the applicable grant date of your RSUs, rounding up to the nearest whole share. The RSUs will be subject to Qualys’ 2012 Equity Incentive Plan and an RSU agreement thereunder. Your RSUs will vest over approximately 4 years with 1/4 of the RSUs vesting on the one year anniversary of the 1st day of the month following your start date as an employee under this agreement (the “First Vesting Date”). Then 1/16 of the RSUs vest quarterly each three months after the First Vesting Date on the first day of the applicable month. All vesting is subject to your continued service to Qualys through each vesting date. However, 50% of the then unvested shares subject to the RSUs shall accelerate and vest if: (i) Qualys incurs a “change in control” (as defined in the 2012 Equity Incentive Plan); and (ii) your employment is terminated by Qualys other than for “cause” (as will be defined in your RSU agreement), death or disability or you resign for “good reason” (as will be defined in your RSU agreement), in each case, during the period on, and 12 months following, a change in control.</w:t>
      </w:r>
    </w:p>
    <w:p>
      <w:pPr>
        <w:spacing w:after="0" w:line="168"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b w:val="1"/>
          <w:bCs w:val="1"/>
          <w:i w:val="1"/>
          <w:iCs w:val="1"/>
          <w:color w:val="auto"/>
        </w:rPr>
        <w:t>Severance:</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8"/>
          <w:szCs w:val="18"/>
          <w:color w:val="auto"/>
        </w:rPr>
        <w:t>Should Qualys terminate your employment without cause in the first year of employment, you will be entitled to three (3) months of your base salary, provided you sign Qualys’ separation agreement.</w:t>
      </w:r>
    </w:p>
    <w:p>
      <w:pPr>
        <w:spacing w:after="0" w:line="175"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spacing w:after="0" w:line="270" w:lineRule="auto"/>
        <w:rPr>
          <w:sz w:val="20"/>
          <w:szCs w:val="20"/>
          <w:color w:val="auto"/>
        </w:rPr>
      </w:pPr>
      <w:r>
        <w:rPr>
          <w:rFonts w:ascii="Arial" w:cs="Arial" w:eastAsia="Arial" w:hAnsi="Arial"/>
          <w:sz w:val="18"/>
          <w:szCs w:val="18"/>
          <w:color w:val="auto"/>
        </w:rPr>
        <w:t>As a Qualys employee, you will be expected to abide by Qualys rules and regulations, and sign and comply with the attached Proprietary Information and Inventions Agreement, which prohibits unauthorized use or disclosure of Qualys’ proprietary information.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Qualys,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919 East Hillsdale Boulevard, 4th Floor, Foster City, CA 94404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650 801 6100</w:t>
      </w:r>
      <w:r>
        <w:rPr>
          <w:rFonts w:ascii="Arial" w:cs="Arial" w:eastAsia="Arial" w:hAnsi="Arial"/>
          <w:sz w:val="18"/>
          <w:szCs w:val="18"/>
          <w:b w:val="1"/>
          <w:bCs w:val="1"/>
          <w:color w:val="auto"/>
        </w:rPr>
        <w:t xml:space="preserve"> F </w:t>
      </w:r>
      <w:r>
        <w:rPr>
          <w:rFonts w:ascii="Arial" w:cs="Arial" w:eastAsia="Arial" w:hAnsi="Arial"/>
          <w:sz w:val="18"/>
          <w:szCs w:val="18"/>
          <w:color w:val="auto"/>
        </w:rPr>
        <w:t>650 801 6101 www.qualys.com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513080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jc w:val="both"/>
        <w:spacing w:after="0" w:line="258" w:lineRule="auto"/>
        <w:rPr>
          <w:sz w:val="20"/>
          <w:szCs w:val="20"/>
          <w:color w:val="auto"/>
        </w:rPr>
      </w:pPr>
      <w:r>
        <w:rPr>
          <w:rFonts w:ascii="Arial" w:cs="Arial" w:eastAsia="Arial" w:hAnsi="Arial"/>
          <w:sz w:val="18"/>
          <w:szCs w:val="18"/>
          <w:color w:val="auto"/>
        </w:rPr>
        <w:t>Your employment relationship with Qualys is at-will. You may terminate your employment with Qualys at any time and for any reason whatsoever simply by notifying Qualys. Likewise, Qualys may terminate your employment at any time and for any reason whatsoever, with or without cause or advance notice. This at-will employment relationship cannot be changed except in a writing signed by a Qualys officer.</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letter, together with your Employee Proprietary Information and Inventions Agreement and the RSU agreement between you and Qualys (relating to your grant described above), forms the complete and exclusive statement of your employment agreement with Qualys. The employment terms in this letter supersede any other agreements or promises made to you by anyone, whether oral or written.</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Your employment is contingent upon providing evidence of your legal right to work in the United States as required by the US Citizenship and Immigration Services.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look forward to your acceptance of employment with Qualys under the terms described above. To accept this offer, please sign and date this letter. Please keep a copy of these documents for your records. This offer will expire on Thursday, April 29, 2021 and is contingent upon successful reference checks and a satisfactory background check.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Allan, we are excited about you joining our team. If you have any questions, please feel free to call me at (650) 801-6151.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28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60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Rima Touma Bruno</w:t>
            </w:r>
          </w:p>
        </w:tc>
        <w:tc>
          <w:tcPr>
            <w:tcW w:w="1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9"/>
        </w:trPr>
        <w:tc>
          <w:tcPr>
            <w:tcW w:w="4700" w:type="dxa"/>
            <w:vAlign w:val="bottom"/>
            <w:gridSpan w:val="3"/>
          </w:tcPr>
          <w:p>
            <w:pPr>
              <w:spacing w:after="0"/>
              <w:rPr>
                <w:sz w:val="20"/>
                <w:szCs w:val="20"/>
                <w:color w:val="auto"/>
              </w:rPr>
            </w:pPr>
            <w:r>
              <w:rPr>
                <w:rFonts w:ascii="Arial" w:cs="Arial" w:eastAsia="Arial" w:hAnsi="Arial"/>
                <w:sz w:val="18"/>
                <w:szCs w:val="18"/>
                <w:color w:val="auto"/>
              </w:rPr>
              <w:t>Rima Touma Bruno</w:t>
            </w:r>
          </w:p>
        </w:tc>
        <w:tc>
          <w:tcPr>
            <w:tcW w:w="28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26"/>
        </w:trPr>
        <w:tc>
          <w:tcPr>
            <w:tcW w:w="4700" w:type="dxa"/>
            <w:vAlign w:val="bottom"/>
            <w:gridSpan w:val="3"/>
          </w:tcPr>
          <w:p>
            <w:pPr>
              <w:spacing w:after="0"/>
              <w:rPr>
                <w:sz w:val="20"/>
                <w:szCs w:val="20"/>
                <w:color w:val="auto"/>
              </w:rPr>
            </w:pPr>
            <w:r>
              <w:rPr>
                <w:rFonts w:ascii="Arial" w:cs="Arial" w:eastAsia="Arial" w:hAnsi="Arial"/>
                <w:sz w:val="18"/>
                <w:szCs w:val="18"/>
                <w:color w:val="auto"/>
              </w:rPr>
              <w:t>Chief Human Resources Officer</w:t>
            </w:r>
          </w:p>
        </w:tc>
        <w:tc>
          <w:tcPr>
            <w:tcW w:w="28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64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Offer Accepted By:</w:t>
            </w:r>
          </w:p>
        </w:tc>
        <w:tc>
          <w:tcPr>
            <w:tcW w:w="2800" w:type="dxa"/>
            <w:vAlign w:val="bottom"/>
          </w:tcPr>
          <w:p>
            <w:pPr>
              <w:jc w:val="center"/>
              <w:ind w:right="1191"/>
              <w:spacing w:after="0"/>
              <w:rPr>
                <w:sz w:val="20"/>
                <w:szCs w:val="20"/>
                <w:color w:val="auto"/>
              </w:rPr>
            </w:pPr>
            <w:r>
              <w:rPr>
                <w:rFonts w:ascii="Arial" w:cs="Arial" w:eastAsia="Arial" w:hAnsi="Arial"/>
                <w:sz w:val="18"/>
                <w:szCs w:val="18"/>
                <w:b w:val="1"/>
                <w:bCs w:val="1"/>
                <w:color w:val="auto"/>
                <w:w w:val="88"/>
              </w:rPr>
              <w:t>Date Accepted:</w:t>
            </w:r>
          </w:p>
        </w:tc>
        <w:tc>
          <w:tcPr>
            <w:tcW w:w="2340" w:type="dxa"/>
            <w:vAlign w:val="bottom"/>
          </w:tcPr>
          <w:p>
            <w:pPr>
              <w:jc w:val="center"/>
              <w:ind w:left="1371"/>
              <w:spacing w:after="0"/>
              <w:rPr>
                <w:sz w:val="20"/>
                <w:szCs w:val="20"/>
                <w:color w:val="auto"/>
              </w:rPr>
            </w:pPr>
            <w:r>
              <w:rPr>
                <w:rFonts w:ascii="Arial" w:cs="Arial" w:eastAsia="Arial" w:hAnsi="Arial"/>
                <w:sz w:val="18"/>
                <w:szCs w:val="18"/>
                <w:b w:val="1"/>
                <w:bCs w:val="1"/>
                <w:color w:val="auto"/>
                <w:w w:val="92"/>
              </w:rPr>
              <w:t>Start Date:</w:t>
            </w:r>
          </w:p>
        </w:tc>
      </w:tr>
      <w:tr>
        <w:trPr>
          <w:trHeight w:val="388"/>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Peters</w:t>
            </w:r>
          </w:p>
        </w:tc>
        <w:tc>
          <w:tcPr>
            <w:tcW w:w="2900" w:type="dxa"/>
            <w:vAlign w:val="bottom"/>
            <w:gridSpan w:val="2"/>
          </w:tcPr>
          <w:p>
            <w:pPr>
              <w:spacing w:after="0"/>
              <w:rPr>
                <w:sz w:val="24"/>
                <w:szCs w:val="24"/>
                <w:color w:val="auto"/>
              </w:rPr>
            </w:pPr>
          </w:p>
        </w:tc>
        <w:tc>
          <w:tcPr>
            <w:tcW w:w="2800" w:type="dxa"/>
            <w:vAlign w:val="bottom"/>
          </w:tcPr>
          <w:p>
            <w:pPr>
              <w:jc w:val="right"/>
              <w:ind w:right="1531"/>
              <w:spacing w:after="0"/>
              <w:rPr>
                <w:sz w:val="20"/>
                <w:szCs w:val="20"/>
                <w:color w:val="auto"/>
              </w:rPr>
            </w:pPr>
            <w:r>
              <w:rPr>
                <w:rFonts w:ascii="Arial" w:cs="Arial" w:eastAsia="Arial" w:hAnsi="Arial"/>
                <w:sz w:val="18"/>
                <w:szCs w:val="18"/>
                <w:color w:val="auto"/>
              </w:rPr>
              <w:t>2021-04-26</w:t>
            </w:r>
          </w:p>
        </w:tc>
        <w:tc>
          <w:tcPr>
            <w:tcW w:w="2340" w:type="dxa"/>
            <w:vAlign w:val="bottom"/>
          </w:tcPr>
          <w:p>
            <w:pPr>
              <w:jc w:val="center"/>
              <w:ind w:left="1351"/>
              <w:spacing w:after="0"/>
              <w:rPr>
                <w:sz w:val="20"/>
                <w:szCs w:val="20"/>
                <w:color w:val="auto"/>
              </w:rPr>
            </w:pPr>
            <w:r>
              <w:rPr>
                <w:rFonts w:ascii="Arial" w:cs="Arial" w:eastAsia="Arial" w:hAnsi="Arial"/>
                <w:sz w:val="18"/>
                <w:szCs w:val="18"/>
                <w:color w:val="auto"/>
                <w:w w:val="90"/>
              </w:rPr>
              <w:t>May 4, 2021</w:t>
            </w:r>
          </w:p>
        </w:tc>
      </w:tr>
      <w:tr>
        <w:trPr>
          <w:trHeight w:val="232"/>
        </w:trPr>
        <w:tc>
          <w:tcPr>
            <w:tcW w:w="4700" w:type="dxa"/>
            <w:vAlign w:val="bottom"/>
            <w:gridSpan w:val="3"/>
          </w:tcPr>
          <w:p>
            <w:pPr>
              <w:spacing w:after="0"/>
              <w:rPr>
                <w:sz w:val="20"/>
                <w:szCs w:val="20"/>
                <w:color w:val="auto"/>
              </w:rPr>
            </w:pPr>
            <w:r>
              <w:rPr>
                <w:rFonts w:ascii="Arial" w:cs="Arial" w:eastAsia="Arial" w:hAnsi="Arial"/>
                <w:sz w:val="18"/>
                <w:szCs w:val="18"/>
                <w:color w:val="auto"/>
              </w:rPr>
              <w:t>Allan Peters</w:t>
            </w:r>
          </w:p>
        </w:tc>
        <w:tc>
          <w:tcPr>
            <w:tcW w:w="28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841"/>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Qualys, Inc.</w:t>
            </w: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9"/>
        </w:trPr>
        <w:tc>
          <w:tcPr>
            <w:tcW w:w="4700" w:type="dxa"/>
            <w:vAlign w:val="bottom"/>
            <w:gridSpan w:val="3"/>
          </w:tcPr>
          <w:p>
            <w:pPr>
              <w:spacing w:after="0"/>
              <w:rPr>
                <w:sz w:val="20"/>
                <w:szCs w:val="20"/>
                <w:color w:val="auto"/>
              </w:rPr>
            </w:pPr>
            <w:r>
              <w:rPr>
                <w:rFonts w:ascii="Arial" w:cs="Arial" w:eastAsia="Arial" w:hAnsi="Arial"/>
                <w:sz w:val="18"/>
                <w:szCs w:val="18"/>
                <w:color w:val="auto"/>
                <w:w w:val="93"/>
              </w:rPr>
              <w:t>919 East Hillsdale Boulevard, 4th Floor, Foster City, CA 94404</w:t>
            </w:r>
          </w:p>
        </w:tc>
        <w:tc>
          <w:tcPr>
            <w:tcW w:w="28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650 801 6100</w:t>
            </w:r>
            <w:r>
              <w:rPr>
                <w:rFonts w:ascii="Arial" w:cs="Arial" w:eastAsia="Arial" w:hAnsi="Arial"/>
                <w:sz w:val="18"/>
                <w:szCs w:val="18"/>
                <w:b w:val="1"/>
                <w:bCs w:val="1"/>
                <w:color w:val="auto"/>
              </w:rPr>
              <w:t xml:space="preserve"> F </w:t>
            </w:r>
            <w:r>
              <w:rPr>
                <w:rFonts w:ascii="Arial" w:cs="Arial" w:eastAsia="Arial" w:hAnsi="Arial"/>
                <w:sz w:val="18"/>
                <w:szCs w:val="18"/>
                <w:color w:val="auto"/>
              </w:rPr>
              <w:t>650 801 6101 www.qualys.com</w:t>
            </w:r>
          </w:p>
        </w:tc>
        <w:tc>
          <w:tcPr>
            <w:tcW w:w="280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ectPr>
          <w:pgSz w:w="11900" w:h="16838" w:orient="portrait"/>
          <w:cols w:equalWidth="0" w:num="1">
            <w:col w:w="11240"/>
          </w:cols>
          <w:pgMar w:left="320" w:top="57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10.8</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QUALYS,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4"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 xml:space="preserve">Unless otherwise defined herein, the terms defined in the Qualys, Inc. 2012 Equity Incentive Plan (the “Plan”) will have the same defined meanings in this Restricted Stock Unit Agreement, including the Notice of Restricted Stock Unit Grant (the “Notice of Grant”), the Terms and Conditions of Restricted Stock Unit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any Appendix,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(all together, the “Award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Participant Name: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Address: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Participant has been granted the right to receive an Award of Restricted Stock Units, subject to the terms and conditions of the Plan and this Award Agreement, as follows: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rPr>
              <w:t>Grant Number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7"/>
        </w:trPr>
        <w:tc>
          <w:tcPr>
            <w:tcW w:w="136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100" w:type="dxa"/>
            <w:vAlign w:val="bottom"/>
          </w:tcPr>
          <w:p>
            <w:pPr>
              <w:spacing w:after="0"/>
              <w:rPr>
                <w:sz w:val="24"/>
                <w:szCs w:val="24"/>
                <w:color w:val="auto"/>
              </w:rPr>
            </w:pP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28, 2021</w:t>
            </w: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07"/>
        </w:trPr>
        <w:tc>
          <w:tcPr>
            <w:tcW w:w="1360" w:type="dxa"/>
            <w:vAlign w:val="bottom"/>
          </w:tcPr>
          <w:p>
            <w:pPr>
              <w:spacing w:after="0"/>
              <w:rPr>
                <w:sz w:val="20"/>
                <w:szCs w:val="20"/>
                <w:color w:val="auto"/>
              </w:rPr>
            </w:pPr>
            <w:r>
              <w:rPr>
                <w:rFonts w:ascii="Arial" w:cs="Arial" w:eastAsia="Arial" w:hAnsi="Arial"/>
                <w:sz w:val="18"/>
                <w:szCs w:val="18"/>
                <w:b w:val="1"/>
                <w:bCs w:val="1"/>
                <w:color w:val="auto"/>
              </w:rPr>
              <w:t>Vesting Date</w:t>
            </w:r>
          </w:p>
        </w:tc>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Certification dates</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Target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-8890</wp:posOffset>
            </wp:positionV>
            <wp:extent cx="16935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1693545" cy="8255"/>
                    </a:xfrm>
                    <a:prstGeom prst="rect">
                      <a:avLst/>
                    </a:prstGeom>
                    <a:noFill/>
                  </pic:spPr>
                </pic:pic>
              </a:graphicData>
            </a:graphic>
          </wp:anchor>
        </w:drawing>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Maximum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-8890</wp:posOffset>
            </wp:positionV>
            <wp:extent cx="16935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169354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Subject to any acceleration provisions contained in the Plan or set forth below, the Restricted Stock Units will vest only if certain performance-based goals are achieved (as described below) and Participant will not vest in the Restricted Stock Units unless he or she remains a Service Provider through the applicable vesting dates.</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 xml:space="preserve">Performance Periods: </w:t>
      </w:r>
      <w:r>
        <w:rPr>
          <w:rFonts w:ascii="Arial" w:cs="Arial" w:eastAsia="Arial" w:hAnsi="Arial"/>
          <w:sz w:val="18"/>
          <w:szCs w:val="18"/>
          <w:color w:val="auto"/>
        </w:rPr>
        <w:t>Each of the [year one], [year two] and [year three] calendar years. 1/3 of the Target Number of Restricted Stock Units are</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each of these three calendar years.</w:t>
      </w:r>
    </w:p>
    <w:p>
      <w:pPr>
        <w:spacing w:after="0" w:line="175"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i w:val="1"/>
          <w:iCs w:val="1"/>
          <w:color w:val="auto"/>
        </w:rPr>
        <w:t xml:space="preserve">Performance-Based Vesting Component: </w:t>
      </w:r>
      <w:r>
        <w:rPr>
          <w:rFonts w:ascii="Arial" w:cs="Arial" w:eastAsia="Arial" w:hAnsi="Arial"/>
          <w:sz w:val="16"/>
          <w:szCs w:val="16"/>
          <w:color w:val="auto"/>
        </w:rPr>
        <w:t>The actual number of RSUs that will become eligible to vest (if any) with respect to a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determined based on the Performance Achievement for such Performance Period and will vest on the Certification Date immediately after such performance period, except that the vesting percentage is capped at 100% on the Certification Dates for [year one] and [year two] performance periods with cumulative achievement over 100% (if any) to be vested on the Certification Date following the [year three]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40"/>
        <w:spacing w:after="0" w:line="270" w:lineRule="auto"/>
        <w:rPr>
          <w:sz w:val="20"/>
          <w:szCs w:val="20"/>
          <w:color w:val="auto"/>
        </w:rPr>
      </w:pPr>
      <w:r>
        <w:rPr>
          <w:rFonts w:ascii="Arial" w:cs="Arial" w:eastAsia="Arial" w:hAnsi="Arial"/>
          <w:sz w:val="18"/>
          <w:szCs w:val="18"/>
          <w:color w:val="auto"/>
        </w:rPr>
        <w:t>Any Restricted Stock Units that become eligible to vest after achievement of the performance-based vesting component described in this paragraph are referred to herein as “Eligible RSUs.”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Performance Metrics: </w:t>
      </w:r>
      <w:r>
        <w:rPr>
          <w:rFonts w:ascii="Arial" w:cs="Arial" w:eastAsia="Arial" w:hAnsi="Arial"/>
          <w:sz w:val="18"/>
          <w:szCs w:val="18"/>
          <w:color w:val="auto"/>
        </w:rPr>
        <w:t>Revenue Growth and Adjusted EBITDA margin (as defined below).</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Performance Targets for [year one] Performance Period: </w:t>
      </w:r>
      <w:r>
        <w:rPr>
          <w:rFonts w:ascii="Arial" w:cs="Arial" w:eastAsia="Arial" w:hAnsi="Arial"/>
          <w:sz w:val="18"/>
          <w:szCs w:val="18"/>
          <w:color w:val="auto"/>
        </w:rPr>
        <w:t>Annual operating plan for Revenue and adjusted EBITDA margin.</w:t>
      </w:r>
    </w:p>
    <w:p>
      <w:pPr>
        <w:spacing w:after="0" w:line="211" w:lineRule="exact"/>
        <w:rPr>
          <w:sz w:val="20"/>
          <w:szCs w:val="20"/>
          <w:color w:val="auto"/>
        </w:rPr>
      </w:pPr>
    </w:p>
    <w:tbl>
      <w:tblPr>
        <w:tblLayout w:type="fixed"/>
        <w:tblInd w:w="1690" w:type="dxa"/>
        <w:tblCellMar>
          <w:top w:w="0" w:type="dxa"/>
          <w:left w:w="0" w:type="dxa"/>
          <w:bottom w:w="0" w:type="dxa"/>
          <w:right w:w="0" w:type="dxa"/>
        </w:tblCellMar>
      </w:tblPr>
      <w:tr>
        <w:trPr>
          <w:trHeight w:val="247"/>
        </w:trPr>
        <w:tc>
          <w:tcPr>
            <w:tcW w:w="386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[year one] Revenue Growth</w:t>
            </w:r>
          </w:p>
        </w:tc>
        <w:tc>
          <w:tcPr>
            <w:tcW w:w="4020" w:type="dxa"/>
            <w:vAlign w:val="bottom"/>
            <w:tcBorders>
              <w:top w:val="single" w:sz="8" w:color="auto"/>
              <w:bottom w:val="single" w:sz="8" w:color="auto"/>
              <w:right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Performance Achievement</w:t>
            </w:r>
          </w:p>
        </w:tc>
      </w:tr>
      <w:tr>
        <w:trPr>
          <w:trHeight w:val="190"/>
        </w:trPr>
        <w:tc>
          <w:tcPr>
            <w:tcW w:w="386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Less than Threshold</w:t>
            </w:r>
          </w:p>
        </w:tc>
        <w:tc>
          <w:tcPr>
            <w:tcW w:w="402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0%</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Threshold — [__]%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Target — [__]%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Maximum — [__]%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1690" w:type="dxa"/>
        <w:tblCellMar>
          <w:top w:w="0" w:type="dxa"/>
          <w:left w:w="0" w:type="dxa"/>
          <w:bottom w:w="0" w:type="dxa"/>
          <w:right w:w="0" w:type="dxa"/>
        </w:tblCellMar>
      </w:tblPr>
      <w:tr>
        <w:trPr>
          <w:trHeight w:val="247"/>
        </w:trPr>
        <w:tc>
          <w:tcPr>
            <w:tcW w:w="386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[year one] Adjusted EBITDA Margin</w:t>
            </w:r>
          </w:p>
        </w:tc>
        <w:tc>
          <w:tcPr>
            <w:tcW w:w="4020" w:type="dxa"/>
            <w:vAlign w:val="bottom"/>
            <w:tcBorders>
              <w:top w:val="single" w:sz="8" w:color="auto"/>
              <w:bottom w:val="single" w:sz="8" w:color="auto"/>
              <w:right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Performance Achievement</w:t>
            </w:r>
          </w:p>
        </w:tc>
      </w:tr>
      <w:tr>
        <w:trPr>
          <w:trHeight w:val="190"/>
        </w:trPr>
        <w:tc>
          <w:tcPr>
            <w:tcW w:w="386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Less than Threshold</w:t>
            </w:r>
          </w:p>
        </w:tc>
        <w:tc>
          <w:tcPr>
            <w:tcW w:w="402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0%</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Threshold — [__]%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Target — [__]%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07"/>
        </w:trPr>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Maximum — [__]%</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199"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i w:val="1"/>
          <w:iCs w:val="1"/>
          <w:color w:val="auto"/>
        </w:rPr>
        <w:t xml:space="preserve">Performance Targets for [year two] and [year three] Performance Periods will be based on the </w:t>
      </w:r>
      <w:r>
        <w:rPr>
          <w:rFonts w:ascii="Arial" w:cs="Arial" w:eastAsia="Arial" w:hAnsi="Arial"/>
          <w:sz w:val="18"/>
          <w:szCs w:val="18"/>
          <w:color w:val="auto"/>
        </w:rPr>
        <w:t>Annual operating plan for Revenue and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margin to be determined by the board in the fourth quarter of [year one] and [year two], respectively.</w:t>
      </w:r>
    </w:p>
    <w:p>
      <w:pPr>
        <w:spacing w:after="0" w:line="17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All calculations will be rounded to the closest one hundredth decimal position for purposes of calculating achievement (e.g. [__].987% rounds to [__].99% and does not meet the Revenue Growth threshold). If the Performance Achievement for the Performance Period falls between levels set forth in the tables above, the actual Performance Achievement will be determined by linear interpolation between the applicable thresholds and the average level of Performance Achievement for the two metrics will be used to determine the actual number of Eligible RSUs. As an example, assume [__]% Revenue Growth and [__]% Adjusted EBITDA Margin for the performance period of [year one] calendar year:</w:t>
      </w:r>
    </w:p>
    <w:p>
      <w:pPr>
        <w:spacing w:after="0" w:line="177" w:lineRule="exact"/>
        <w:rPr>
          <w:sz w:val="20"/>
          <w:szCs w:val="20"/>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Revenue Growth is 200% achievement</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Adjusted EBITDA Margin is 100% achievement.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4" w:name="page95"/>
    <w:bookmarkEnd w:id="94"/>
    <w:p>
      <w:pPr>
        <w:jc w:val="both"/>
        <w:ind w:firstLine="640"/>
        <w:spacing w:after="0" w:line="281" w:lineRule="auto"/>
        <w:rPr>
          <w:sz w:val="20"/>
          <w:szCs w:val="20"/>
          <w:color w:val="auto"/>
        </w:rPr>
      </w:pPr>
      <w:r>
        <w:rPr>
          <w:rFonts w:ascii="Arial" w:cs="Arial" w:eastAsia="Arial" w:hAnsi="Arial"/>
          <w:sz w:val="17"/>
          <w:szCs w:val="17"/>
          <w:color w:val="auto"/>
        </w:rPr>
        <w:t>The resulting Performance Achievement in this example is 150%, resulting in Eligible RSUs being 150% of the Target Number of RSUs, of which 100% of the Eligible RSUs will vest on the Certification Date immediately following the completion of the [year one] performance period and the remaining 50% of the Eligible RSUs will vest on the Certification Date immediately following the completion of the [year three] performance period.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these vesting provisions, the following terms shall have the following meanings: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“Revenue Growth” means revenue growth during the year that contains the Performance Period and the immediately preceding year with Revenue determined according to generally accepted accounting principles in effect on the date of grant. In the sole discretion of the Administrator, adjustments may be made to exclude the effects of acquisitions and/or dispositions during the Performance Period.</w:t>
      </w:r>
    </w:p>
    <w:p>
      <w:pPr>
        <w:spacing w:after="0" w:line="186"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“Adjusted EBITDA Margin” means (A) net income (loss) for the Performance Period before (1) other (income) expense, net, which includes interest income, interest expense and other income and expense, (2) provision for (benefit from) income taxes, (3) depreciation and amortization of property and equipment, (4) amortization of intangible assets, and (5) stock-based compensation, divided by (B) Revenue for the Performance Period as determined above. In the sole discretion of the Administrator, adjustments may be made to exclude the effects of acquisitions and/or dispositions during the Performance Period.</w:t>
      </w:r>
    </w:p>
    <w:p>
      <w:pPr>
        <w:spacing w:after="0" w:line="16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All determinations regarding any Performance Metric or the Performance Achievement shall be made by the Administrator in its sole discretion and all such determinations shall be final and binding on all parties. The Certification Date means the first date on which (i) the Audit Committee of the Board has verified to the Administrator the calculation of the Performance Metrics for the Performance Period, and (ii) the Administrator has then determined the Performance Achievement for such Performance Period in formal resolutions or a consent action of the Administrator.</w:t>
      </w:r>
    </w:p>
    <w:p>
      <w:pPr>
        <w:spacing w:after="0" w:line="16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On the Certification Date, the number of RSUs assigned to the applicable performance period that did not become Eligible RSUs due to the required Performance Achievement threshold not being achieved shall immediately be forfeited without further consideration.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Accelerated Vesting in Special Circumstances</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i w:val="1"/>
          <w:iCs w:val="1"/>
          <w:color w:val="auto"/>
        </w:rPr>
        <w:t>Death and Disability</w:t>
      </w:r>
      <w:r>
        <w:rPr>
          <w:rFonts w:ascii="Arial" w:cs="Arial" w:eastAsia="Arial" w:hAnsi="Arial"/>
          <w:sz w:val="18"/>
          <w:szCs w:val="18"/>
          <w:color w:val="auto"/>
        </w:rPr>
        <w:t>. If the Participant’s employment is terminated due to Death or Disability prior to the Certification Date, 100% of the Target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will vest upon the date of Participant’s termination of employment.</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If a Change in Control occurs during the Performance Period, then 100% of the Target Number of RSUs assigned to any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that have not been completed and any cumulative achievement over 100% of Eligible RSUs determined for all performance periods that have already been completed will vest on January 1, [year four], contingent on the Participant continuing to be a Service Provider through each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5" w:name="page96"/>
    <w:bookmarkEnd w:id="95"/>
    <w:p>
      <w:pPr>
        <w:ind w:firstLine="640"/>
        <w:spacing w:after="0" w:line="270" w:lineRule="auto"/>
        <w:rPr>
          <w:sz w:val="20"/>
          <w:szCs w:val="20"/>
          <w:color w:val="auto"/>
        </w:rPr>
      </w:pPr>
      <w:r>
        <w:rPr>
          <w:rFonts w:ascii="Arial" w:cs="Arial" w:eastAsia="Arial" w:hAnsi="Arial"/>
          <w:sz w:val="18"/>
          <w:szCs w:val="18"/>
          <w:color w:val="auto"/>
        </w:rPr>
        <w:t>Notwithstanding the foregoing, if upon, or within twelve (12) months following, a Change in Control occurs while Participant is a Service Provider, the Participant’s status as a Service Provider of the Company or the successor corporation is terminated:</w:t>
      </w:r>
    </w:p>
    <w:p>
      <w:pPr>
        <w:spacing w:after="0" w:line="175" w:lineRule="exact"/>
        <w:rPr>
          <w:sz w:val="20"/>
          <w:szCs w:val="20"/>
          <w:color w:val="auto"/>
        </w:rPr>
      </w:pPr>
    </w:p>
    <w:p>
      <w:pPr>
        <w:ind w:left="1220" w:hanging="573"/>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Company or successor corporation other than for “Cause” (as defined below), death or Disability, or</w:t>
      </w:r>
    </w:p>
    <w:p>
      <w:pPr>
        <w:spacing w:after="0" w:line="219" w:lineRule="exact"/>
        <w:rPr>
          <w:rFonts w:ascii="Arial" w:cs="Arial" w:eastAsia="Arial" w:hAnsi="Arial"/>
          <w:sz w:val="18"/>
          <w:szCs w:val="18"/>
          <w:color w:val="auto"/>
        </w:rPr>
      </w:pPr>
    </w:p>
    <w:p>
      <w:pPr>
        <w:ind w:left="1260" w:hanging="61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Participant for “Good Reason” (as defined below),</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then, in each case, 100% of the Target Number of Restricted Stock Units assigned to any performance periods that have not been completed and any cumulative achievement over 100% of Eligible RSUs determined for all performance periods that have already been completed will vest immediately prior to such termination. Vesting under this paragraph is subject to Participant’s execution and non-revocation of a general release of claims agreement in a form acceptable to the Company.</w:t>
      </w:r>
    </w:p>
    <w:p>
      <w:pPr>
        <w:spacing w:after="0" w:line="188"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For purposes of this Award Agreement, “Cause” shall mean (i) indictment or conviction of any felony or of any crime involving dishonesty; (ii) participation in any fraud or act of dishonesty against the Company; (iii) material breach of Participant’s duties to the Company, including but not limited to unsatisfactory performance of job duties which he fails to correct within thirty (30) days after Participant is given written notice, if a cure is reasonably possible within said thirty (30)-day period, otherwise such longer period as is reasonably required to effect a cure; (iv) or a violation of Company policy disclosed to Participant, which causes a material detriment to the Company; (v) intentional damage to any property of the Company; (vi) conduct by Participant which, in the good faith and reasonable determination of the Company, demonstrates gross unfitness to serve; or (vii) material breach of Participant’s employment agreement or Proprietary Information and Inventions Agreement entered into with the Company.</w:t>
      </w:r>
    </w:p>
    <w:p>
      <w:pPr>
        <w:spacing w:after="0" w:line="18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For purposes of this Award Agreement, “Good Reason” shall mean Participant’s resignation because the Company, without Participant’s consent: (i) significantly reduces Participant’s rate of compensation, other than performance or commission based compensation, which is not earned through Participant’s efforts or lack thereof; (ii) fails to provide Participant with a package of benefit plans which, taken as a whole, provide substantially similar benefits to those in which Participant currently is entitled to participate as of the date of the Date of Grant (except that employee contributions may be raised to the extent of any costs increases imposed by third parties) or undertakes any action which would adversely affect Participant’s participation or reduce Participant’s benefits under any such plans; (iii) significantly diminishes Participant’s duties, responsibilities, authority, reporting structure, titles or offices, excluding for this purpose an isolated, insubstantial or inadvertent action not taken in bad faith which is remedied by the Company promptly after notice thereof is given by Participant; (iv) requests that Participant relocate to a worksite that is more than thirty-five (35) miles from Participant’s current worksite, unless Participant accepts such a relocation opportunity; or (v) materially breaches any of Participant’s obligations under Participant’s employment agreement or Proprietary Information and Inventions Agreement entered into with the Company and fails to correct any such breach within sixty (60) days after Participant gave the Company written notice.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6" w:name="page97"/>
    <w:bookmarkEnd w:id="96"/>
    <w:p>
      <w:pPr>
        <w:jc w:val="both"/>
        <w:ind w:firstLine="640"/>
        <w:spacing w:after="0" w:line="269" w:lineRule="auto"/>
        <w:rPr>
          <w:sz w:val="20"/>
          <w:szCs w:val="20"/>
          <w:color w:val="auto"/>
        </w:rPr>
      </w:pPr>
      <w:r>
        <w:rPr>
          <w:rFonts w:ascii="Arial" w:cs="Arial" w:eastAsia="Arial" w:hAnsi="Arial"/>
          <w:sz w:val="17"/>
          <w:szCs w:val="17"/>
          <w:color w:val="auto"/>
        </w:rPr>
        <w:t>By Participant’s signature and the signature of the representative of Qualys, Inc. (the “Company”) below, Participant and the Company agree that this Award of Restricted Stock Units is granted under and governed by the terms and conditions of the Plan and this Award Agreement,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4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4740" w:type="dxa"/>
            <w:vAlign w:val="bottom"/>
            <w:gridSpan w:val="2"/>
          </w:tcPr>
          <w:p>
            <w:pPr>
              <w:ind w:left="440"/>
              <w:spacing w:after="0"/>
              <w:rPr>
                <w:sz w:val="20"/>
                <w:szCs w:val="20"/>
                <w:color w:val="auto"/>
              </w:rPr>
            </w:pPr>
            <w:r>
              <w:rPr>
                <w:rFonts w:ascii="Arial" w:cs="Arial" w:eastAsia="Arial" w:hAnsi="Arial"/>
                <w:sz w:val="18"/>
                <w:szCs w:val="18"/>
                <w:color w:val="auto"/>
              </w:rPr>
              <w:t>QUALYS, INC.</w:t>
            </w:r>
          </w:p>
        </w:tc>
        <w:tc>
          <w:tcPr>
            <w:tcW w:w="2260" w:type="dxa"/>
            <w:vAlign w:val="bottom"/>
          </w:tcPr>
          <w:p>
            <w:pPr>
              <w:spacing w:after="0"/>
              <w:rPr>
                <w:sz w:val="19"/>
                <w:szCs w:val="19"/>
                <w:color w:val="auto"/>
              </w:rPr>
            </w:pPr>
          </w:p>
        </w:tc>
      </w:tr>
      <w:tr>
        <w:trPr>
          <w:trHeight w:val="640"/>
        </w:trPr>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40" w:type="dxa"/>
            <w:vAlign w:val="bottom"/>
            <w:gridSpan w:val="2"/>
          </w:tcPr>
          <w:p>
            <w:pPr>
              <w:ind w:left="440"/>
              <w:spacing w:after="0"/>
              <w:rPr>
                <w:sz w:val="20"/>
                <w:szCs w:val="20"/>
                <w:color w:val="auto"/>
              </w:rPr>
            </w:pPr>
            <w:r>
              <w:rPr>
                <w:rFonts w:ascii="Arial" w:cs="Arial" w:eastAsia="Arial" w:hAnsi="Arial"/>
                <w:sz w:val="18"/>
                <w:szCs w:val="18"/>
                <w:color w:val="auto"/>
              </w:rPr>
              <w:t>Rima Touma-Bruno</w:t>
            </w:r>
          </w:p>
        </w:tc>
        <w:tc>
          <w:tcPr>
            <w:tcW w:w="2260" w:type="dxa"/>
            <w:vAlign w:val="bottom"/>
          </w:tcPr>
          <w:p>
            <w:pPr>
              <w:spacing w:after="0"/>
              <w:rPr>
                <w:sz w:val="24"/>
                <w:szCs w:val="24"/>
                <w:color w:val="auto"/>
              </w:rPr>
            </w:pPr>
          </w:p>
        </w:tc>
      </w:tr>
      <w:tr>
        <w:trPr>
          <w:trHeight w:val="221"/>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2260" w:type="dxa"/>
            <w:vAlign w:val="bottom"/>
          </w:tcPr>
          <w:p>
            <w:pPr>
              <w:spacing w:after="0"/>
              <w:rPr>
                <w:sz w:val="19"/>
                <w:szCs w:val="19"/>
                <w:color w:val="auto"/>
              </w:rPr>
            </w:pPr>
          </w:p>
        </w:tc>
      </w:tr>
      <w:tr>
        <w:trPr>
          <w:trHeight w:val="413"/>
        </w:trPr>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40" w:type="dxa"/>
            <w:vAlign w:val="bottom"/>
            <w:gridSpan w:val="2"/>
          </w:tcPr>
          <w:p>
            <w:pPr>
              <w:ind w:left="440"/>
              <w:spacing w:after="0"/>
              <w:rPr>
                <w:sz w:val="20"/>
                <w:szCs w:val="20"/>
                <w:color w:val="auto"/>
              </w:rPr>
            </w:pPr>
            <w:r>
              <w:rPr>
                <w:rFonts w:ascii="Arial" w:cs="Arial" w:eastAsia="Arial" w:hAnsi="Arial"/>
                <w:sz w:val="18"/>
                <w:szCs w:val="18"/>
                <w:color w:val="auto"/>
              </w:rPr>
              <w:t>Chief Human Resources Officer</w:t>
            </w:r>
          </w:p>
        </w:tc>
        <w:tc>
          <w:tcPr>
            <w:tcW w:w="2260" w:type="dxa"/>
            <w:vAlign w:val="bottom"/>
          </w:tcPr>
          <w:p>
            <w:pPr>
              <w:spacing w:after="0"/>
              <w:rPr>
                <w:sz w:val="24"/>
                <w:szCs w:val="24"/>
                <w:color w:val="auto"/>
              </w:rPr>
            </w:pPr>
          </w:p>
        </w:tc>
      </w:tr>
      <w:tr>
        <w:trPr>
          <w:trHeight w:val="221"/>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w:t>
            </w:r>
          </w:p>
        </w:tc>
        <w:tc>
          <w:tcPr>
            <w:tcW w:w="440" w:type="dxa"/>
            <w:vAlign w:val="bottom"/>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19"/>
                <w:szCs w:val="19"/>
                <w:color w:val="auto"/>
              </w:rPr>
            </w:pPr>
          </w:p>
        </w:tc>
      </w:tr>
      <w:tr>
        <w:trPr>
          <w:trHeight w:val="374"/>
        </w:trPr>
        <w:tc>
          <w:tcPr>
            <w:tcW w:w="4240" w:type="dxa"/>
            <w:vAlign w:val="bottom"/>
            <w:gridSpan w:val="2"/>
          </w:tcPr>
          <w:p>
            <w:pPr>
              <w:spacing w:after="0"/>
              <w:rPr>
                <w:sz w:val="20"/>
                <w:szCs w:val="20"/>
                <w:color w:val="auto"/>
              </w:rPr>
            </w:pPr>
            <w:r>
              <w:rPr>
                <w:rFonts w:ascii="Arial" w:cs="Arial" w:eastAsia="Arial" w:hAnsi="Arial"/>
                <w:sz w:val="18"/>
                <w:szCs w:val="18"/>
                <w:color w:val="auto"/>
              </w:rPr>
              <w:t>Residence Address:</w:t>
            </w:r>
          </w:p>
        </w:tc>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6"/>
        </w:trPr>
        <w:tc>
          <w:tcPr>
            <w:tcW w:w="136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4740" w:type="dxa"/>
            <w:vAlign w:val="bottom"/>
            <w:gridSpan w:val="2"/>
          </w:tcPr>
          <w:p>
            <w:pPr>
              <w:jc w:val="right"/>
              <w:ind w:right="3171"/>
              <w:spacing w:after="0"/>
              <w:rPr>
                <w:sz w:val="20"/>
                <w:szCs w:val="20"/>
                <w:color w:val="auto"/>
              </w:rPr>
            </w:pPr>
            <w:r>
              <w:rPr>
                <w:rFonts w:ascii="Arial" w:cs="Arial" w:eastAsia="Arial" w:hAnsi="Arial"/>
                <w:sz w:val="18"/>
                <w:szCs w:val="18"/>
                <w:color w:val="auto"/>
              </w:rPr>
              <w:t>-5-</w:t>
            </w:r>
          </w:p>
        </w:tc>
        <w:tc>
          <w:tcPr>
            <w:tcW w:w="226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24" w:lineRule="exact"/>
        <w:rPr>
          <w:sz w:val="20"/>
          <w:szCs w:val="20"/>
          <w:color w:val="auto"/>
        </w:rPr>
      </w:pPr>
    </w:p>
    <w:p>
      <w:pPr>
        <w:jc w:val="both"/>
        <w:ind w:firstLine="647"/>
        <w:spacing w:after="0" w:line="255" w:lineRule="auto"/>
        <w:tabs>
          <w:tab w:leader="none" w:pos="120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individual named in the Notice of Grant (the “Participant”) under the Plan an Award of Restricted Stock Units, subject to all of the terms and conditions in this Award Agreement and the Plan, which is incorporated herein by reference. Subject to Section 18(c) of the Plan, in the event of a conflict between the terms and conditions of the Plan and the terms and conditions of this Award Agreement, the terms and conditions of the Plan will prevail.</w:t>
      </w:r>
    </w:p>
    <w:p>
      <w:pPr>
        <w:spacing w:after="0" w:line="187" w:lineRule="exact"/>
        <w:rPr>
          <w:rFonts w:ascii="Arial" w:cs="Arial" w:eastAsia="Arial" w:hAnsi="Arial"/>
          <w:sz w:val="18"/>
          <w:szCs w:val="18"/>
          <w:color w:val="auto"/>
        </w:rPr>
      </w:pPr>
    </w:p>
    <w:p>
      <w:pPr>
        <w:jc w:val="both"/>
        <w:ind w:firstLine="647"/>
        <w:spacing w:after="0" w:line="286" w:lineRule="auto"/>
        <w:tabs>
          <w:tab w:leader="none" w:pos="125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Sections 3 or 4, Participant will have no right to payment of any such Restricted Stock Units. Prior to actual payment of any vested Restricted Stock Units, such Restricted Stock Units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obligations for Tax-Related Items (as defined in Section 7). Subject to the provisions of Section 4, such vested Restricted Stock Units shall be paid in whole Shares as soon as practicable after vesting, but in each such case within the period sixty (60) days following the vesting date. In no event will Participant be permitted, directly or indirectly, to specify the taxable year of the payment of any Restricted Stock Units payable under this Award Agreement.</w:t>
      </w:r>
    </w:p>
    <w:p>
      <w:pPr>
        <w:spacing w:after="0" w:line="167" w:lineRule="exact"/>
        <w:rPr>
          <w:rFonts w:ascii="Arial" w:cs="Arial" w:eastAsia="Arial" w:hAnsi="Arial"/>
          <w:sz w:val="16"/>
          <w:szCs w:val="16"/>
          <w:color w:val="auto"/>
        </w:rPr>
      </w:pPr>
    </w:p>
    <w:p>
      <w:pPr>
        <w:jc w:val="both"/>
        <w:ind w:firstLine="647"/>
        <w:spacing w:after="0" w:line="274" w:lineRule="auto"/>
        <w:tabs>
          <w:tab w:leader="none" w:pos="124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74" w:lineRule="exact"/>
        <w:rPr>
          <w:rFonts w:ascii="Arial" w:cs="Arial" w:eastAsia="Arial" w:hAnsi="Arial"/>
          <w:sz w:val="17"/>
          <w:szCs w:val="17"/>
          <w:color w:val="auto"/>
        </w:rPr>
      </w:pPr>
    </w:p>
    <w:p>
      <w:pPr>
        <w:jc w:val="both"/>
        <w:ind w:firstLine="647"/>
        <w:spacing w:after="0" w:line="255" w:lineRule="auto"/>
        <w:tabs>
          <w:tab w:leader="none" w:pos="134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The payment of Shares vesting pursuant to this Section 4 shall in all cases be paid at a time or in a manner that is exempt from, or complies with, Section 409A.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8" w:name="page99"/>
    <w:bookmarkEnd w:id="98"/>
    <w:p>
      <w:pPr>
        <w:jc w:val="both"/>
        <w:ind w:firstLine="1281"/>
        <w:spacing w:after="0" w:line="265" w:lineRule="auto"/>
        <w:rPr>
          <w:sz w:val="20"/>
          <w:szCs w:val="20"/>
          <w:color w:val="auto"/>
        </w:rPr>
      </w:pPr>
      <w:r>
        <w:rPr>
          <w:rFonts w:ascii="Arial" w:cs="Arial" w:eastAsia="Arial" w:hAnsi="Arial"/>
          <w:sz w:val="17"/>
          <w:szCs w:val="17"/>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7"/>
          <w:szCs w:val="17"/>
          <w:b w:val="1"/>
          <w:bCs w:val="1"/>
          <w:color w:val="auto"/>
        </w:rPr>
        <w:t>,</w:t>
      </w:r>
      <w:r>
        <w:rPr>
          <w:rFonts w:ascii="Arial" w:cs="Arial" w:eastAsia="Arial" w:hAnsi="Arial"/>
          <w:sz w:val="17"/>
          <w:szCs w:val="17"/>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It is the intent of this Award Agreement that it and all payments and benefits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Internal Revenue Service guidance thereunder, as each may be amended from time to time.</w:t>
      </w:r>
    </w:p>
    <w:p>
      <w:pPr>
        <w:spacing w:after="0" w:line="181" w:lineRule="exact"/>
        <w:rPr>
          <w:sz w:val="20"/>
          <w:szCs w:val="20"/>
          <w:color w:val="auto"/>
        </w:rPr>
      </w:pPr>
    </w:p>
    <w:p>
      <w:pPr>
        <w:jc w:val="both"/>
        <w:ind w:firstLine="647"/>
        <w:spacing w:after="0" w:line="306" w:lineRule="auto"/>
        <w:tabs>
          <w:tab w:leader="none" w:pos="112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Forfeiture upon Termination of Status as a Service Provider</w:t>
      </w:r>
      <w:r>
        <w:rPr>
          <w:rFonts w:ascii="Arial" w:cs="Arial" w:eastAsia="Arial" w:hAnsi="Arial"/>
          <w:sz w:val="16"/>
          <w:szCs w:val="16"/>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The date of Participant’s termination as a Service Provider is detailed in Section 10(h).</w:t>
      </w:r>
    </w:p>
    <w:p>
      <w:pPr>
        <w:spacing w:after="0" w:line="150" w:lineRule="exact"/>
        <w:rPr>
          <w:rFonts w:ascii="Arial" w:cs="Arial" w:eastAsia="Arial" w:hAnsi="Arial"/>
          <w:sz w:val="16"/>
          <w:szCs w:val="16"/>
          <w:color w:val="auto"/>
        </w:rPr>
      </w:pPr>
    </w:p>
    <w:p>
      <w:pPr>
        <w:jc w:val="both"/>
        <w:ind w:firstLine="647"/>
        <w:spacing w:after="0" w:line="255" w:lineRule="auto"/>
        <w:tabs>
          <w:tab w:leader="none" w:pos="118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7" w:lineRule="exact"/>
        <w:rPr>
          <w:rFonts w:ascii="Arial" w:cs="Arial" w:eastAsia="Arial" w:hAnsi="Arial"/>
          <w:sz w:val="18"/>
          <w:szCs w:val="18"/>
          <w:color w:val="auto"/>
        </w:rPr>
      </w:pPr>
    </w:p>
    <w:p>
      <w:pPr>
        <w:jc w:val="both"/>
        <w:ind w:firstLine="647"/>
        <w:spacing w:after="0" w:line="281" w:lineRule="auto"/>
        <w:tabs>
          <w:tab w:leader="none" w:pos="114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Notwithstanding any contrary provision of this Award Agreement, no certificate representing the Shares will be issued to Participant, unless and until satisfactory arrangements (as determined by the Administrator) will have been made by Participant with respect to the payment of income, employment, social insurance, payroll tax, fringe benefit tax, payment on account or other tax-related items related to Participant’s participation in the Plan and legally applicable to Participant (“Tax-Related Items”) which the Company determines must be withheld with respect to such Shares. Prior to vesting and/or settlement of the Restricted Stock Units, Participant will pay or make adequate arrangements satisfactory to the Company and/or Participant’s employer (the “Employer”) to satisfy all withholding and payment obligations of Tax-Related Items of the Company and/or the Employer. In this regard, Participant authorizes the Company and/or the Employer to withhold any Tax-Related Items legally payable by Participant from his or her wages or other cash compensation paid to Participant by the Company and/or the Employer or from proceeds of the sale of Shares. Alternatively, or in addition, if permissible under applicable local law, the Administrator, in its sole discretion and pursuant to such procedures as it may specify from time to time, may permit or require Participant to satisfy such tax withholding obligation, in whole or in part (without limitation) by (a) paying cash, (b) electing to have the Company withhold otherwise deliverable Shares having a Fair Market Value equal to the minimum amount required to be withheld, (c) selling a sufficient number of such Shares otherwise deliverable to Participant through such means as the Company may determine in its sole discretion (whether through a broker or otherwise) equal to the amount required to be withheld, or (d) if Participant is a U.S. employee, delivering to the Company already vested and owned Shares having a Fair Market Value equal to the amount required to be withheld. To the extent determined appropriate by the Company in its discretion, it will have the right (but not the obligation) to satisfy any obligations for Tax-Related Items by reducing the number of Shares otherwise deliverable to Participant [and, until determined otherwise by the Company, this will be the method by which such tax withholding obligations are satisfied]. Further, if Participant is subject to tax in more than one jurisdiction between the Date of Grant and a date of any relevant taxable or tax withholding event, as applicable, Participant acknowledges and agrees that the Company and/or the Employer (or former employer, as applicable) may be required to withhold or account for tax in more than one jurisdiction. If Participant fails to make satisfactory arrangements for the payment of any Tax-Related Items hereunder at the time any applicable Restricted Stock Units otherwise are scheduled to vest pursuant to Sections 3 or 4 or Tax-Related Items related to Restricted Stock Units otherwise are due, Participant will permanently forfeit such Restricted Stock Units and any right to receive Shares thereunder and the Restricted Stock Units will be returned to the Company at no cost to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9" w:name="page100"/>
    <w:bookmarkEnd w:id="99"/>
    <w:p>
      <w:pPr>
        <w:jc w:val="both"/>
        <w:ind w:firstLine="647"/>
        <w:spacing w:after="0" w:line="253" w:lineRule="auto"/>
        <w:tabs>
          <w:tab w:leader="none" w:pos="118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9" w:lineRule="exact"/>
        <w:rPr>
          <w:rFonts w:ascii="Arial" w:cs="Arial" w:eastAsia="Arial" w:hAnsi="Arial"/>
          <w:sz w:val="18"/>
          <w:szCs w:val="18"/>
          <w:color w:val="auto"/>
        </w:rPr>
      </w:pPr>
    </w:p>
    <w:p>
      <w:pPr>
        <w:jc w:val="both"/>
        <w:ind w:firstLine="647"/>
        <w:spacing w:after="0" w:line="285" w:lineRule="auto"/>
        <w:tabs>
          <w:tab w:leader="none" w:pos="119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0" w:name="page101"/>
    <w:bookmarkEnd w:id="100"/>
    <w:p>
      <w:pPr>
        <w:ind w:left="613" w:hanging="613"/>
        <w:spacing w:after="0"/>
        <w:tabs>
          <w:tab w:leader="none" w:pos="61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grant, Participant acknowledges, understands and agrees that:</w:t>
      </w:r>
    </w:p>
    <w:p>
      <w:pPr>
        <w:spacing w:after="0" w:line="219" w:lineRule="exact"/>
        <w:rPr>
          <w:rFonts w:ascii="Arial" w:cs="Arial" w:eastAsia="Arial" w:hAnsi="Arial"/>
          <w:sz w:val="18"/>
          <w:szCs w:val="18"/>
          <w:color w:val="auto"/>
        </w:rPr>
      </w:pPr>
    </w:p>
    <w:p>
      <w:pPr>
        <w:ind w:left="873" w:hanging="312"/>
        <w:spacing w:after="0" w:line="270" w:lineRule="auto"/>
        <w:tabs>
          <w:tab w:leader="none" w:pos="8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18"/>
          <w:szCs w:val="18"/>
          <w:color w:val="auto"/>
        </w:rPr>
      </w:pPr>
    </w:p>
    <w:p>
      <w:pPr>
        <w:jc w:val="both"/>
        <w:ind w:left="873" w:hanging="312"/>
        <w:spacing w:after="0" w:line="258" w:lineRule="auto"/>
        <w:tabs>
          <w:tab w:leader="none" w:pos="8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Arial" w:cs="Arial" w:eastAsia="Arial" w:hAnsi="Arial"/>
          <w:sz w:val="18"/>
          <w:szCs w:val="18"/>
          <w:color w:val="auto"/>
        </w:rPr>
      </w:pPr>
    </w:p>
    <w:p>
      <w:pPr>
        <w:ind w:left="873" w:hanging="312"/>
        <w:spacing w:after="0"/>
        <w:tabs>
          <w:tab w:leader="none" w:pos="873"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grants, if any, will be at the sole discretion of the Company;</w:t>
      </w:r>
    </w:p>
    <w:p>
      <w:pPr>
        <w:spacing w:after="0" w:line="231" w:lineRule="exact"/>
        <w:rPr>
          <w:rFonts w:ascii="Arial" w:cs="Arial" w:eastAsia="Arial" w:hAnsi="Arial"/>
          <w:sz w:val="17"/>
          <w:szCs w:val="17"/>
          <w:color w:val="auto"/>
        </w:rPr>
      </w:pPr>
    </w:p>
    <w:p>
      <w:pPr>
        <w:ind w:left="873" w:hanging="312"/>
        <w:spacing w:after="0"/>
        <w:tabs>
          <w:tab w:leader="none" w:pos="8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19" w:lineRule="exact"/>
        <w:rPr>
          <w:rFonts w:ascii="Arial" w:cs="Arial" w:eastAsia="Arial" w:hAnsi="Arial"/>
          <w:sz w:val="18"/>
          <w:szCs w:val="18"/>
          <w:color w:val="auto"/>
        </w:rPr>
      </w:pPr>
    </w:p>
    <w:p>
      <w:pPr>
        <w:ind w:left="873" w:hanging="312"/>
        <w:spacing w:after="0" w:line="270" w:lineRule="auto"/>
        <w:tabs>
          <w:tab w:leader="none" w:pos="8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are not intended to replace any pension rights or compensation;</w:t>
      </w:r>
    </w:p>
    <w:p>
      <w:pPr>
        <w:spacing w:after="0" w:line="174" w:lineRule="exact"/>
        <w:rPr>
          <w:rFonts w:ascii="Arial" w:cs="Arial" w:eastAsia="Arial" w:hAnsi="Arial"/>
          <w:sz w:val="18"/>
          <w:szCs w:val="18"/>
          <w:color w:val="auto"/>
        </w:rPr>
      </w:pPr>
    </w:p>
    <w:p>
      <w:pPr>
        <w:jc w:val="both"/>
        <w:ind w:left="873" w:hanging="312"/>
        <w:spacing w:after="0" w:line="281" w:lineRule="auto"/>
        <w:tabs>
          <w:tab w:leader="none" w:pos="873"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67" w:lineRule="exact"/>
        <w:rPr>
          <w:rFonts w:ascii="Arial" w:cs="Arial" w:eastAsia="Arial" w:hAnsi="Arial"/>
          <w:sz w:val="17"/>
          <w:szCs w:val="17"/>
          <w:color w:val="auto"/>
        </w:rPr>
      </w:pPr>
    </w:p>
    <w:p>
      <w:pPr>
        <w:ind w:left="873" w:hanging="312"/>
        <w:spacing w:after="0"/>
        <w:tabs>
          <w:tab w:leader="none" w:pos="8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219" w:lineRule="exact"/>
        <w:rPr>
          <w:rFonts w:ascii="Arial" w:cs="Arial" w:eastAsia="Arial" w:hAnsi="Arial"/>
          <w:sz w:val="18"/>
          <w:szCs w:val="18"/>
          <w:color w:val="auto"/>
        </w:rPr>
      </w:pPr>
    </w:p>
    <w:p>
      <w:pPr>
        <w:jc w:val="both"/>
        <w:ind w:left="873" w:hanging="312"/>
        <w:spacing w:after="0" w:line="265" w:lineRule="auto"/>
        <w:tabs>
          <w:tab w:leader="none" w:pos="873" w:val="left"/>
        </w:tabs>
        <w:numPr>
          <w:ilvl w:val="1"/>
          <w:numId w:val="32"/>
        </w:numPr>
        <w:rPr>
          <w:rFonts w:ascii="Arial" w:cs="Arial" w:eastAsia="Arial" w:hAnsi="Arial"/>
          <w:sz w:val="17"/>
          <w:szCs w:val="17"/>
          <w:color w:val="auto"/>
        </w:rPr>
      </w:pPr>
      <w:r>
        <w:rPr>
          <w:rFonts w:ascii="Arial" w:cs="Arial" w:eastAsia="Arial" w:hAnsi="Arial"/>
          <w:sz w:val="17"/>
          <w:szCs w:val="17"/>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 Service Provider or the terms of Participant’s service agreement, if any), and unless otherwise expressly provided in this Award Agreement or determined by the Administrator, Participant’s right to vest in the Restricted Stock Units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the terms of Participant’s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w:t>
      </w:r>
    </w:p>
    <w:p>
      <w:pPr>
        <w:spacing w:after="0" w:line="188"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81280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3"/>
          </w:cols>
          <w:pgMar w:left="967" w:top="579" w:right="339" w:bottom="1440" w:gutter="0" w:footer="0" w:header="0"/>
        </w:sectPr>
      </w:pPr>
    </w:p>
    <w:bookmarkStart w:id="101" w:name="page102"/>
    <w:bookmarkEnd w:id="101"/>
    <w:p>
      <w:pPr>
        <w:jc w:val="both"/>
        <w:ind w:left="400" w:hanging="312"/>
        <w:spacing w:after="0" w:line="306"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50" w:lineRule="exact"/>
        <w:rPr>
          <w:rFonts w:ascii="Arial" w:cs="Arial" w:eastAsia="Arial" w:hAnsi="Arial"/>
          <w:sz w:val="16"/>
          <w:szCs w:val="16"/>
          <w:color w:val="auto"/>
        </w:rPr>
      </w:pPr>
    </w:p>
    <w:p>
      <w:pPr>
        <w:ind w:left="400" w:hanging="31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219" w:lineRule="exact"/>
        <w:rPr>
          <w:rFonts w:ascii="Arial" w:cs="Arial" w:eastAsia="Arial" w:hAnsi="Arial"/>
          <w:sz w:val="18"/>
          <w:szCs w:val="18"/>
          <w:color w:val="auto"/>
        </w:rPr>
      </w:pPr>
    </w:p>
    <w:p>
      <w:pPr>
        <w:ind w:left="800" w:hanging="312"/>
        <w:spacing w:after="0" w:line="270" w:lineRule="auto"/>
        <w:tabs>
          <w:tab w:leader="none" w:pos="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are not part of normal or expected compensation or salary for any purpose;</w:t>
      </w:r>
    </w:p>
    <w:p>
      <w:pPr>
        <w:spacing w:after="0" w:line="174" w:lineRule="exact"/>
        <w:rPr>
          <w:rFonts w:ascii="Arial" w:cs="Arial" w:eastAsia="Arial" w:hAnsi="Arial"/>
          <w:sz w:val="18"/>
          <w:szCs w:val="18"/>
          <w:color w:val="auto"/>
        </w:rPr>
      </w:pPr>
    </w:p>
    <w:p>
      <w:pPr>
        <w:jc w:val="both"/>
        <w:ind w:left="800" w:hanging="312"/>
        <w:spacing w:after="0" w:line="255" w:lineRule="auto"/>
        <w:tabs>
          <w:tab w:leader="none" w:pos="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7" w:lineRule="exact"/>
        <w:rPr>
          <w:rFonts w:ascii="Arial" w:cs="Arial" w:eastAsia="Arial" w:hAnsi="Arial"/>
          <w:sz w:val="18"/>
          <w:szCs w:val="18"/>
          <w:color w:val="auto"/>
        </w:rPr>
      </w:pPr>
    </w:p>
    <w:p>
      <w:pPr>
        <w:jc w:val="both"/>
        <w:ind w:left="800" w:hanging="312"/>
        <w:spacing w:after="0" w:line="285" w:lineRule="auto"/>
        <w:tabs>
          <w:tab w:leader="none" w:pos="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service agreement, if any), and in consideration of the grant of the Restricted Stock Units to which Participant is otherwise not entitled, Participant irrevocably agrees never to institute any claim against the Company, any Subsidiary or the Employer, waives his or her ability, if any, to bring any such claim, and releases the Company, any Parent, any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81280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579" w:right="339" w:bottom="1440" w:gutter="0" w:footer="0" w:header="0"/>
        </w:sectPr>
      </w:pPr>
    </w:p>
    <w:bookmarkStart w:id="102" w:name="page103"/>
    <w:bookmarkEnd w:id="102"/>
    <w:p>
      <w:pPr>
        <w:jc w:val="both"/>
        <w:ind w:firstLine="647"/>
        <w:spacing w:after="0" w:line="255" w:lineRule="auto"/>
        <w:tabs>
          <w:tab w:leader="none" w:pos="155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3" w:lineRule="exact"/>
        <w:rPr>
          <w:rFonts w:ascii="Arial" w:cs="Arial" w:eastAsia="Arial" w:hAnsi="Arial"/>
          <w:sz w:val="18"/>
          <w:szCs w:val="18"/>
          <w:color w:val="auto"/>
        </w:rPr>
      </w:pPr>
    </w:p>
    <w:p>
      <w:pPr>
        <w:jc w:val="both"/>
        <w:ind w:firstLine="647"/>
        <w:spacing w:after="0" w:line="256" w:lineRule="auto"/>
        <w:tabs>
          <w:tab w:leader="none" w:pos="1245"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of Participant</w:t>
      </w:r>
      <w:r>
        <w:rPr>
          <w:rFonts w:ascii="Arial" w:cs="Arial" w:eastAsia="Arial" w:hAnsi="Arial"/>
          <w:sz w:val="18"/>
          <w:szCs w:val="18"/>
          <w:color w:val="auto"/>
        </w:rPr>
        <w:t>’</w:t>
      </w:r>
      <w:r>
        <w:rPr>
          <w:rFonts w:ascii="Arial" w:cs="Arial" w:eastAsia="Arial" w:hAnsi="Arial"/>
          <w:sz w:val="18"/>
          <w:szCs w:val="18"/>
          <w:b w:val="1"/>
          <w:bCs w:val="1"/>
          <w:i w:val="1"/>
          <w:iCs w:val="1"/>
          <w:color w:val="auto"/>
        </w:rPr>
        <w:t>s personal data as described in this Award Agreement and any other Restricted Stock Unit grant materials by and among, as applicable, the Employer, the Company and any Parent or Subsidiary for the exclusive purpose of implementing, administering and managing Participant</w:t>
      </w:r>
      <w:r>
        <w:rPr>
          <w:rFonts w:ascii="Arial" w:cs="Arial" w:eastAsia="Arial" w:hAnsi="Arial"/>
          <w:sz w:val="18"/>
          <w:szCs w:val="18"/>
          <w:color w:val="auto"/>
        </w:rPr>
        <w:t>’</w:t>
      </w:r>
      <w:r>
        <w:rPr>
          <w:rFonts w:ascii="Arial" w:cs="Arial" w:eastAsia="Arial" w:hAnsi="Arial"/>
          <w:sz w:val="18"/>
          <w:szCs w:val="18"/>
          <w:b w:val="1"/>
          <w:bCs w:val="1"/>
          <w:i w:val="1"/>
          <w:iCs w:val="1"/>
          <w:color w:val="auto"/>
        </w:rPr>
        <w:t>s participation in the Plan.</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w:t>
      </w:r>
      <w:r>
        <w:rPr>
          <w:rFonts w:ascii="Arial" w:cs="Arial" w:eastAsia="Arial" w:hAnsi="Arial"/>
          <w:sz w:val="18"/>
          <w:szCs w:val="18"/>
          <w:color w:val="auto"/>
        </w:rPr>
        <w:t>’</w:t>
      </w:r>
      <w:r>
        <w:rPr>
          <w:rFonts w:ascii="Arial" w:cs="Arial" w:eastAsia="Arial" w:hAnsi="Arial"/>
          <w:sz w:val="18"/>
          <w:szCs w:val="18"/>
          <w:b w:val="1"/>
          <w:bCs w:val="1"/>
          <w:i w:val="1"/>
          <w:iCs w:val="1"/>
          <w:color w:val="auto"/>
        </w:rPr>
        <w:t>s name, home address and telephone number, date of birth, social insurance number or other identification number, salary, nationality, job title, any shares of stock or directorships held in the Company, details of all Restricted Stock Units or any other entitlement to shares of stock awarded, canceled, exercised, vested, unvested or outstanding in Participant</w:t>
      </w:r>
      <w:r>
        <w:rPr>
          <w:rFonts w:ascii="Arial" w:cs="Arial" w:eastAsia="Arial" w:hAnsi="Arial"/>
          <w:sz w:val="18"/>
          <w:szCs w:val="18"/>
          <w:color w:val="auto"/>
        </w:rPr>
        <w:t>’</w:t>
      </w:r>
      <w:r>
        <w:rPr>
          <w:rFonts w:ascii="Arial" w:cs="Arial" w:eastAsia="Arial" w:hAnsi="Arial"/>
          <w:sz w:val="18"/>
          <w:szCs w:val="18"/>
          <w:b w:val="1"/>
          <w:bCs w:val="1"/>
          <w:i w:val="1"/>
          <w:iCs w:val="1"/>
          <w:color w:val="auto"/>
        </w:rPr>
        <w:t>s favor (</w:t>
      </w:r>
      <w:r>
        <w:rPr>
          <w:rFonts w:ascii="Arial" w:cs="Arial" w:eastAsia="Arial" w:hAnsi="Arial"/>
          <w:sz w:val="18"/>
          <w:szCs w:val="18"/>
          <w:color w:val="auto"/>
        </w:rPr>
        <w:t>“</w:t>
      </w:r>
      <w:r>
        <w:rPr>
          <w:rFonts w:ascii="Arial" w:cs="Arial" w:eastAsia="Arial" w:hAnsi="Arial"/>
          <w:sz w:val="18"/>
          <w:szCs w:val="18"/>
          <w:b w:val="1"/>
          <w:bCs w:val="1"/>
          <w:i w:val="1"/>
          <w:iCs w:val="1"/>
          <w:color w:val="auto"/>
        </w:rPr>
        <w:t>Data</w:t>
      </w:r>
      <w:r>
        <w:rPr>
          <w:rFonts w:ascii="Arial" w:cs="Arial" w:eastAsia="Arial" w:hAnsi="Arial"/>
          <w:sz w:val="18"/>
          <w:szCs w:val="18"/>
          <w:color w:val="auto"/>
        </w:rPr>
        <w:t>”</w:t>
      </w:r>
      <w:r>
        <w:rPr>
          <w:rFonts w:ascii="Arial" w:cs="Arial" w:eastAsia="Arial" w:hAnsi="Arial"/>
          <w:sz w:val="18"/>
          <w:szCs w:val="18"/>
          <w:b w:val="1"/>
          <w:bCs w:val="1"/>
          <w:i w:val="1"/>
          <w:iCs w:val="1"/>
          <w:color w:val="auto"/>
        </w:rPr>
        <w:t>), for the exclusive purpose of implementing, administering and managing the Plan.</w:t>
      </w:r>
    </w:p>
    <w:p>
      <w:pPr>
        <w:spacing w:after="0" w:line="190" w:lineRule="exact"/>
        <w:rPr>
          <w:sz w:val="20"/>
          <w:szCs w:val="20"/>
          <w:color w:val="auto"/>
        </w:rPr>
      </w:pPr>
    </w:p>
    <w:p>
      <w:pPr>
        <w:jc w:val="both"/>
        <w:ind w:firstLine="640"/>
        <w:spacing w:after="0" w:line="320" w:lineRule="auto"/>
        <w:rPr>
          <w:sz w:val="20"/>
          <w:szCs w:val="20"/>
          <w:color w:val="auto"/>
        </w:rPr>
      </w:pPr>
      <w:r>
        <w:rPr>
          <w:rFonts w:ascii="Arial" w:cs="Arial" w:eastAsia="Arial" w:hAnsi="Arial"/>
          <w:sz w:val="14"/>
          <w:szCs w:val="14"/>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country (e.g., the United States) may have different data privacy laws and protections than Participant</w:t>
      </w:r>
      <w:r>
        <w:rPr>
          <w:rFonts w:ascii="Arial" w:cs="Arial" w:eastAsia="Arial" w:hAnsi="Arial"/>
          <w:sz w:val="14"/>
          <w:szCs w:val="14"/>
          <w:color w:val="auto"/>
        </w:rPr>
        <w:t>’</w:t>
      </w:r>
      <w:r>
        <w:rPr>
          <w:rFonts w:ascii="Arial" w:cs="Arial" w:eastAsia="Arial" w:hAnsi="Arial"/>
          <w:sz w:val="14"/>
          <w:szCs w:val="14"/>
          <w:b w:val="1"/>
          <w:bCs w:val="1"/>
          <w:i w:val="1"/>
          <w:iCs w:val="1"/>
          <w:color w:val="auto"/>
        </w:rPr>
        <w: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w:t>
      </w:r>
      <w:r>
        <w:rPr>
          <w:rFonts w:ascii="Arial" w:cs="Arial" w:eastAsia="Arial" w:hAnsi="Arial"/>
          <w:sz w:val="14"/>
          <w:szCs w:val="14"/>
          <w:color w:val="auto"/>
        </w:rPr>
        <w:t>’</w:t>
      </w:r>
      <w:r>
        <w:rPr>
          <w:rFonts w:ascii="Arial" w:cs="Arial" w:eastAsia="Arial" w:hAnsi="Arial"/>
          <w:sz w:val="14"/>
          <w:szCs w:val="14"/>
          <w:b w:val="1"/>
          <w:bCs w:val="1"/>
          <w:i w:val="1"/>
          <w:iCs w:val="1"/>
          <w:color w:val="auto"/>
        </w:rPr>
        <w:t>s participation in the Plan. Participant understands if he or she resides outside the</w:t>
      </w:r>
    </w:p>
    <w:p>
      <w:pPr>
        <w:spacing w:after="0" w:line="2" w:lineRule="exact"/>
        <w:rPr>
          <w:sz w:val="20"/>
          <w:szCs w:val="20"/>
          <w:color w:val="auto"/>
        </w:rPr>
      </w:pPr>
    </w:p>
    <w:p>
      <w:pPr>
        <w:jc w:val="both"/>
        <w:spacing w:after="0" w:line="318" w:lineRule="auto"/>
        <w:rPr>
          <w:sz w:val="20"/>
          <w:szCs w:val="20"/>
          <w:color w:val="auto"/>
        </w:rPr>
      </w:pPr>
      <w:r>
        <w:rPr>
          <w:rFonts w:ascii="Arial" w:cs="Arial" w:eastAsia="Arial" w:hAnsi="Arial"/>
          <w:sz w:val="14"/>
          <w:szCs w:val="14"/>
          <w:b w:val="1"/>
          <w:bCs w:val="1"/>
          <w:i w:val="1"/>
          <w:iCs w:val="1"/>
          <w:color w:val="auto"/>
        </w:rPr>
        <w:t>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w:t>
      </w:r>
      <w:r>
        <w:rPr>
          <w:rFonts w:ascii="Arial" w:cs="Arial" w:eastAsia="Arial" w:hAnsi="Arial"/>
          <w:sz w:val="14"/>
          <w:szCs w:val="14"/>
          <w:color w:val="auto"/>
        </w:rPr>
        <w:t>’</w:t>
      </w:r>
      <w:r>
        <w:rPr>
          <w:rFonts w:ascii="Arial" w:cs="Arial" w:eastAsia="Arial" w:hAnsi="Arial"/>
          <w:sz w:val="14"/>
          <w:szCs w:val="14"/>
          <w:b w:val="1"/>
          <w:bCs w:val="1"/>
          <w:i w:val="1"/>
          <w:iCs w:val="1"/>
          <w:color w:val="auto"/>
        </w:rPr>
        <w:t>s consent is that the Company would not be able to grant</w:t>
      </w:r>
    </w:p>
    <w:p>
      <w:pPr>
        <w:spacing w:after="0" w:line="1" w:lineRule="exact"/>
        <w:rPr>
          <w:sz w:val="20"/>
          <w:szCs w:val="20"/>
          <w:color w:val="auto"/>
        </w:rPr>
      </w:pPr>
    </w:p>
    <w:p>
      <w:pPr>
        <w:jc w:val="both"/>
        <w:spacing w:after="0" w:line="357" w:lineRule="auto"/>
        <w:rPr>
          <w:sz w:val="20"/>
          <w:szCs w:val="20"/>
          <w:color w:val="auto"/>
        </w:rPr>
      </w:pPr>
      <w:r>
        <w:rPr>
          <w:rFonts w:ascii="Arial" w:cs="Arial" w:eastAsia="Arial" w:hAnsi="Arial"/>
          <w:sz w:val="14"/>
          <w:szCs w:val="14"/>
          <w:b w:val="1"/>
          <w:bCs w:val="1"/>
          <w:i w:val="1"/>
          <w:iCs w:val="1"/>
          <w:color w:val="auto"/>
        </w:rPr>
        <w:t>Participant Restricted Stock Units or other equity awards or administer or maintain such awards. Therefore, Participant understands that refusing or withdrawing his or her consent may affect Participant</w:t>
      </w:r>
      <w:r>
        <w:rPr>
          <w:rFonts w:ascii="Arial" w:cs="Arial" w:eastAsia="Arial" w:hAnsi="Arial"/>
          <w:sz w:val="14"/>
          <w:szCs w:val="14"/>
          <w:color w:val="auto"/>
        </w:rPr>
        <w:t>’</w:t>
      </w:r>
      <w:r>
        <w:rPr>
          <w:rFonts w:ascii="Arial" w:cs="Arial" w:eastAsia="Arial" w:hAnsi="Arial"/>
          <w:sz w:val="14"/>
          <w:szCs w:val="14"/>
          <w:b w:val="1"/>
          <w:bCs w:val="1"/>
          <w:i w:val="1"/>
          <w:iCs w:val="1"/>
          <w:color w:val="auto"/>
        </w:rPr>
        <w:t>s ability to participate in the Plan. For more information on the consequences of Participant</w:t>
      </w:r>
      <w:r>
        <w:rPr>
          <w:rFonts w:ascii="Arial" w:cs="Arial" w:eastAsia="Arial" w:hAnsi="Arial"/>
          <w:sz w:val="14"/>
          <w:szCs w:val="14"/>
          <w:color w:val="auto"/>
        </w:rPr>
        <w:t>’</w:t>
      </w:r>
      <w:r>
        <w:rPr>
          <w:rFonts w:ascii="Arial" w:cs="Arial" w:eastAsia="Arial" w:hAnsi="Arial"/>
          <w:sz w:val="14"/>
          <w:szCs w:val="14"/>
          <w:b w:val="1"/>
          <w:bCs w:val="1"/>
          <w:i w:val="1"/>
          <w:iCs w:val="1"/>
          <w:color w:val="auto"/>
        </w:rPr>
        <w:t>s refusal to consent or withdrawal of consent, Participant understands that he or she may contact his or her local human resources representative.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3" w:name="page104"/>
    <w:bookmarkEnd w:id="103"/>
    <w:p>
      <w:pPr>
        <w:ind w:firstLine="647"/>
        <w:spacing w:after="0" w:line="333" w:lineRule="auto"/>
        <w:tabs>
          <w:tab w:leader="none" w:pos="126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Award Agreement will be addressed to the Company at Qualys, Inc., 919 East Hillsdale Boulevard, Foster City, California 94404, or at such other address as the Company may hereafter designate in writing.</w:t>
      </w:r>
    </w:p>
    <w:p>
      <w:pPr>
        <w:spacing w:after="0" w:line="129" w:lineRule="exact"/>
        <w:rPr>
          <w:rFonts w:ascii="Arial" w:cs="Arial" w:eastAsia="Arial" w:hAnsi="Arial"/>
          <w:sz w:val="16"/>
          <w:szCs w:val="16"/>
          <w:color w:val="auto"/>
        </w:rPr>
      </w:pPr>
    </w:p>
    <w:p>
      <w:pPr>
        <w:jc w:val="both"/>
        <w:ind w:firstLine="647"/>
        <w:spacing w:after="0" w:line="253" w:lineRule="auto"/>
        <w:tabs>
          <w:tab w:leader="none" w:pos="122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9" w:lineRule="exact"/>
        <w:rPr>
          <w:rFonts w:ascii="Arial" w:cs="Arial" w:eastAsia="Arial" w:hAnsi="Arial"/>
          <w:sz w:val="18"/>
          <w:szCs w:val="18"/>
          <w:color w:val="auto"/>
        </w:rPr>
      </w:pPr>
    </w:p>
    <w:p>
      <w:pPr>
        <w:ind w:firstLine="647"/>
        <w:spacing w:after="0" w:line="270" w:lineRule="auto"/>
        <w:tabs>
          <w:tab w:leader="none" w:pos="135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4" w:lineRule="exact"/>
        <w:rPr>
          <w:rFonts w:ascii="Arial" w:cs="Arial" w:eastAsia="Arial" w:hAnsi="Arial"/>
          <w:sz w:val="18"/>
          <w:szCs w:val="18"/>
          <w:color w:val="auto"/>
        </w:rPr>
      </w:pPr>
    </w:p>
    <w:p>
      <w:pPr>
        <w:jc w:val="both"/>
        <w:ind w:firstLine="647"/>
        <w:spacing w:after="0" w:line="250" w:lineRule="auto"/>
        <w:tabs>
          <w:tab w:leader="none" w:pos="142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qualification or rule compliance of the Shares upon any securities exchange or under any state, federal or foreign law,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rule compliance, consent or approval will have been completed,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federal or foreign law or securities exchange and to obtain any such consent or approval of any such governmental authority or securities exchange.</w:t>
      </w:r>
    </w:p>
    <w:p>
      <w:pPr>
        <w:spacing w:after="0" w:line="194" w:lineRule="exact"/>
        <w:rPr>
          <w:rFonts w:ascii="Arial" w:cs="Arial" w:eastAsia="Arial" w:hAnsi="Arial"/>
          <w:sz w:val="18"/>
          <w:szCs w:val="18"/>
          <w:color w:val="auto"/>
        </w:rPr>
      </w:pPr>
    </w:p>
    <w:p>
      <w:pPr>
        <w:jc w:val="both"/>
        <w:ind w:firstLine="647"/>
        <w:spacing w:after="0" w:line="258" w:lineRule="auto"/>
        <w:tabs>
          <w:tab w:leader="none" w:pos="136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4" w:name="page105"/>
    <w:bookmarkEnd w:id="104"/>
    <w:p>
      <w:pPr>
        <w:jc w:val="both"/>
        <w:ind w:firstLine="647"/>
        <w:spacing w:after="0" w:line="292" w:lineRule="auto"/>
        <w:tabs>
          <w:tab w:leader="none" w:pos="12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1" w:lineRule="exact"/>
        <w:rPr>
          <w:rFonts w:ascii="Arial" w:cs="Arial" w:eastAsia="Arial" w:hAnsi="Arial"/>
          <w:sz w:val="16"/>
          <w:szCs w:val="16"/>
          <w:color w:val="auto"/>
        </w:rPr>
      </w:pPr>
    </w:p>
    <w:p>
      <w:pPr>
        <w:jc w:val="both"/>
        <w:ind w:firstLine="647"/>
        <w:spacing w:after="0" w:line="296" w:lineRule="auto"/>
        <w:tabs>
          <w:tab w:leader="none" w:pos="125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59" w:lineRule="exact"/>
        <w:rPr>
          <w:rFonts w:ascii="Arial" w:cs="Arial" w:eastAsia="Arial" w:hAnsi="Arial"/>
          <w:sz w:val="16"/>
          <w:szCs w:val="16"/>
          <w:color w:val="auto"/>
        </w:rPr>
      </w:pPr>
    </w:p>
    <w:p>
      <w:pPr>
        <w:ind w:firstLine="647"/>
        <w:spacing w:after="0" w:line="270" w:lineRule="auto"/>
        <w:tabs>
          <w:tab w:leader="none" w:pos="127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4" w:lineRule="exact"/>
        <w:rPr>
          <w:rFonts w:ascii="Arial" w:cs="Arial" w:eastAsia="Arial" w:hAnsi="Arial"/>
          <w:sz w:val="18"/>
          <w:szCs w:val="18"/>
          <w:color w:val="auto"/>
        </w:rPr>
      </w:pPr>
    </w:p>
    <w:p>
      <w:pPr>
        <w:ind w:left="1260" w:hanging="613"/>
        <w:spacing w:after="0"/>
        <w:tabs>
          <w:tab w:leader="none" w:pos="12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6" w:lineRule="exact"/>
        <w:rPr>
          <w:rFonts w:ascii="Arial" w:cs="Arial" w:eastAsia="Arial" w:hAnsi="Arial"/>
          <w:sz w:val="16"/>
          <w:szCs w:val="16"/>
          <w:color w:val="auto"/>
        </w:rPr>
      </w:pPr>
    </w:p>
    <w:p>
      <w:pPr>
        <w:ind w:firstLine="647"/>
        <w:spacing w:after="0" w:line="333" w:lineRule="auto"/>
        <w:tabs>
          <w:tab w:leader="none" w:pos="126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9" w:lineRule="exact"/>
        <w:rPr>
          <w:rFonts w:ascii="Arial" w:cs="Arial" w:eastAsia="Arial" w:hAnsi="Arial"/>
          <w:sz w:val="16"/>
          <w:szCs w:val="16"/>
          <w:color w:val="auto"/>
        </w:rPr>
      </w:pPr>
    </w:p>
    <w:p>
      <w:pPr>
        <w:jc w:val="both"/>
        <w:ind w:firstLine="647"/>
        <w:spacing w:after="0" w:line="258" w:lineRule="auto"/>
        <w:tabs>
          <w:tab w:leader="none" w:pos="127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6" w:lineRule="exact"/>
        <w:rPr>
          <w:rFonts w:ascii="Arial" w:cs="Arial" w:eastAsia="Arial" w:hAnsi="Arial"/>
          <w:sz w:val="18"/>
          <w:szCs w:val="18"/>
          <w:color w:val="auto"/>
        </w:rPr>
      </w:pPr>
    </w:p>
    <w:p>
      <w:pPr>
        <w:jc w:val="both"/>
        <w:ind w:firstLine="647"/>
        <w:spacing w:after="0" w:line="253" w:lineRule="auto"/>
        <w:tabs>
          <w:tab w:leader="none" w:pos="131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will be governed by the laws of California without giving effect to the conflict of law principles thereof. For purposes of litigating any dispute that arises under this Award of Restricted Stock Units or this Award Agreement,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Award of Restricted Stock Units is made and/or to be performed.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5" w:name="page106"/>
    <w:bookmarkEnd w:id="105"/>
    <w:p>
      <w:pPr>
        <w:jc w:val="both"/>
        <w:ind w:firstLine="647"/>
        <w:spacing w:after="0" w:line="253" w:lineRule="auto"/>
        <w:tabs>
          <w:tab w:leader="none" w:pos="122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Award Agreement, the Restricted Stock Unit grant shall be subject to any special terms and conditions set forth in any appendix to this Award Agreement for Participant’s country (the “Appendix”).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Award Agreement.]</w:t>
      </w:r>
    </w:p>
    <w:p>
      <w:pPr>
        <w:spacing w:after="0" w:line="189" w:lineRule="exact"/>
        <w:rPr>
          <w:rFonts w:ascii="Arial" w:cs="Arial" w:eastAsia="Arial" w:hAnsi="Arial"/>
          <w:sz w:val="18"/>
          <w:szCs w:val="18"/>
          <w:color w:val="auto"/>
        </w:rPr>
      </w:pPr>
    </w:p>
    <w:p>
      <w:pPr>
        <w:jc w:val="both"/>
        <w:ind w:firstLine="647"/>
        <w:spacing w:after="0" w:line="289" w:lineRule="auto"/>
        <w:tabs>
          <w:tab w:leader="none" w:pos="130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Modifications to the Award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the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w:t>
      </w:r>
    </w:p>
    <w:p>
      <w:pPr>
        <w:spacing w:after="0" w:line="165" w:lineRule="exact"/>
        <w:rPr>
          <w:rFonts w:ascii="Arial" w:cs="Arial" w:eastAsia="Arial" w:hAnsi="Arial"/>
          <w:sz w:val="16"/>
          <w:szCs w:val="16"/>
          <w:color w:val="auto"/>
        </w:rPr>
      </w:pPr>
    </w:p>
    <w:p>
      <w:pPr>
        <w:ind w:firstLine="647"/>
        <w:spacing w:after="0" w:line="333" w:lineRule="auto"/>
        <w:tabs>
          <w:tab w:leader="none" w:pos="131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[ANY APPLICABLE APPENDIX TO BE ADDED]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9019"/>
          </w:cols>
          <w:pgMar w:left="1440" w:top="575"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10.11</w:t>
      </w:r>
    </w:p>
    <w:p>
      <w:pPr>
        <w:spacing w:after="0" w:line="220" w:lineRule="exact"/>
        <w:rPr>
          <w:sz w:val="20"/>
          <w:szCs w:val="20"/>
          <w:color w:val="auto"/>
        </w:rPr>
      </w:pPr>
    </w:p>
    <w:p>
      <w:pPr>
        <w:ind w:right="120" w:firstLine="7"/>
        <w:spacing w:after="0" w:line="274" w:lineRule="auto"/>
        <w:tabs>
          <w:tab w:leader="none" w:pos="43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because it both (i) is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118110</wp:posOffset>
            </wp:positionV>
            <wp:extent cx="1127125" cy="9994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127125" cy="99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CORPORATE BONUS PLAN</w:t>
      </w:r>
    </w:p>
    <w:p>
      <w:pPr>
        <w:spacing w:after="0" w:line="220" w:lineRule="exact"/>
        <w:rPr>
          <w:sz w:val="20"/>
          <w:szCs w:val="20"/>
          <w:color w:val="auto"/>
        </w:rPr>
      </w:pPr>
    </w:p>
    <w:p>
      <w:pPr>
        <w:ind w:right="760" w:firstLine="647"/>
        <w:spacing w:after="0" w:line="339" w:lineRule="auto"/>
        <w:tabs>
          <w:tab w:leader="none" w:pos="126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this 2021 Corporate Bonus Plan (the “Plan”) is to motivate and encourage the employees of Qualys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achieve its stated goals and to assist the Company in attracting, motivating and retaining employees on a competitive basis.</w:t>
      </w:r>
    </w:p>
    <w:p>
      <w:pPr>
        <w:spacing w:after="0" w:line="120" w:lineRule="exact"/>
        <w:rPr>
          <w:rFonts w:ascii="Arial" w:cs="Arial" w:eastAsia="Arial" w:hAnsi="Arial"/>
          <w:sz w:val="16"/>
          <w:szCs w:val="16"/>
          <w:b w:val="1"/>
          <w:bCs w:val="1"/>
          <w:color w:val="auto"/>
        </w:rPr>
      </w:pPr>
    </w:p>
    <w:p>
      <w:pPr>
        <w:ind w:left="1260" w:hanging="613"/>
        <w:spacing w:after="0"/>
        <w:tabs>
          <w:tab w:leader="none" w:pos="12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3" w:lineRule="exact"/>
        <w:rPr>
          <w:rFonts w:ascii="Arial" w:cs="Arial" w:eastAsia="Arial" w:hAnsi="Arial"/>
          <w:sz w:val="18"/>
          <w:szCs w:val="18"/>
          <w:b w:val="1"/>
          <w:bCs w:val="1"/>
          <w:color w:val="auto"/>
        </w:rPr>
      </w:pPr>
    </w:p>
    <w:p>
      <w:pPr>
        <w:ind w:right="80" w:firstLine="1288"/>
        <w:spacing w:after="0" w:line="258" w:lineRule="auto"/>
        <w:tabs>
          <w:tab w:leader="none" w:pos="18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officer or employee of the Company is designated as a participant in the Plan (“Participant”) and shall be eligible to participate in the Plan if he or she is a regular full-time or regular part-time employee (working greater than 20 hours a week) and he or she is not already participating in a separate Compensation Plan or MBO plan.</w:t>
      </w:r>
    </w:p>
    <w:p>
      <w:pPr>
        <w:spacing w:after="0" w:line="182" w:lineRule="exact"/>
        <w:rPr>
          <w:rFonts w:ascii="Arial" w:cs="Arial" w:eastAsia="Arial" w:hAnsi="Arial"/>
          <w:sz w:val="18"/>
          <w:szCs w:val="18"/>
          <w:color w:val="auto"/>
        </w:rPr>
      </w:pPr>
    </w:p>
    <w:p>
      <w:pPr>
        <w:ind w:firstLine="1288"/>
        <w:spacing w:after="0" w:line="274" w:lineRule="auto"/>
        <w:tabs>
          <w:tab w:leader="none" w:pos="1888"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New Hires</w:t>
      </w:r>
      <w:r>
        <w:rPr>
          <w:rFonts w:ascii="Arial" w:cs="Arial" w:eastAsia="Arial" w:hAnsi="Arial"/>
          <w:sz w:val="18"/>
          <w:szCs w:val="18"/>
          <w:color w:val="auto"/>
        </w:rPr>
        <w:t>. New employees hired in the first or second month of a quarter will be eligible to participate in the Plan for that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participation will be prorated based on the number of days employed in the quarter.</w:t>
      </w:r>
    </w:p>
    <w:p>
      <w:pPr>
        <w:spacing w:after="0" w:line="167" w:lineRule="exact"/>
        <w:rPr>
          <w:rFonts w:ascii="Arial" w:cs="Arial" w:eastAsia="Arial" w:hAnsi="Arial"/>
          <w:sz w:val="18"/>
          <w:szCs w:val="18"/>
          <w:color w:val="auto"/>
        </w:rPr>
      </w:pPr>
    </w:p>
    <w:p>
      <w:pPr>
        <w:ind w:left="1880" w:hanging="592"/>
        <w:spacing w:after="0"/>
        <w:tabs>
          <w:tab w:leader="none" w:pos="1880"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To be eligible for the bonus, the employee must be employed as of the last day of the quarter.</w:t>
      </w:r>
    </w:p>
    <w:p>
      <w:pPr>
        <w:spacing w:after="0" w:line="242" w:lineRule="exact"/>
        <w:rPr>
          <w:rFonts w:ascii="Arial" w:cs="Arial" w:eastAsia="Arial" w:hAnsi="Arial"/>
          <w:sz w:val="16"/>
          <w:szCs w:val="16"/>
          <w:color w:val="auto"/>
        </w:rPr>
      </w:pPr>
    </w:p>
    <w:p>
      <w:pPr>
        <w:ind w:right="180" w:firstLine="1288"/>
        <w:spacing w:after="0" w:line="261" w:lineRule="auto"/>
        <w:tabs>
          <w:tab w:leader="none" w:pos="1888"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Absence during Performance Period. </w:t>
      </w:r>
      <w:r>
        <w:rPr>
          <w:rFonts w:ascii="Arial" w:cs="Arial" w:eastAsia="Arial" w:hAnsi="Arial"/>
          <w:sz w:val="18"/>
          <w:szCs w:val="18"/>
          <w:color w:val="auto"/>
        </w:rPr>
        <w:t>If a Participant is absent for a period of more than one-half of the scheduled workdays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 quarter, for any reason, the Participant’s bonus payment will be prorated based on the number of days the Participant actually worked compared to the total number of scheduled work days during that quarter.</w:t>
      </w:r>
    </w:p>
    <w:p>
      <w:pPr>
        <w:spacing w:after="0" w:line="178" w:lineRule="exact"/>
        <w:rPr>
          <w:rFonts w:ascii="Arial" w:cs="Arial" w:eastAsia="Arial" w:hAnsi="Arial"/>
          <w:sz w:val="18"/>
          <w:szCs w:val="18"/>
          <w:color w:val="auto"/>
        </w:rPr>
      </w:pPr>
    </w:p>
    <w:p>
      <w:pPr>
        <w:ind w:left="1260" w:hanging="613"/>
        <w:spacing w:after="0"/>
        <w:tabs>
          <w:tab w:leader="none" w:pos="12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Bonus Criteria</w:t>
      </w:r>
    </w:p>
    <w:p>
      <w:pPr>
        <w:spacing w:after="0" w:line="219" w:lineRule="exact"/>
        <w:rPr>
          <w:rFonts w:ascii="Arial" w:cs="Arial" w:eastAsia="Arial" w:hAnsi="Arial"/>
          <w:sz w:val="18"/>
          <w:szCs w:val="18"/>
          <w:b w:val="1"/>
          <w:bCs w:val="1"/>
          <w:color w:val="auto"/>
        </w:rPr>
      </w:pPr>
    </w:p>
    <w:p>
      <w:pPr>
        <w:ind w:left="1880" w:hanging="592"/>
        <w:spacing w:after="0"/>
        <w:tabs>
          <w:tab w:leader="none" w:pos="1880"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Bonus Period. </w:t>
      </w:r>
      <w:r>
        <w:rPr>
          <w:rFonts w:ascii="Arial" w:cs="Arial" w:eastAsia="Arial" w:hAnsi="Arial"/>
          <w:sz w:val="16"/>
          <w:szCs w:val="16"/>
          <w:color w:val="auto"/>
        </w:rPr>
        <w:t>The Bonus Plan is effective from January 1, 2021 through December 31, 2021. Each calendar quarter is a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bonus period.</w:t>
      </w:r>
    </w:p>
    <w:p>
      <w:pPr>
        <w:spacing w:after="0" w:line="202" w:lineRule="exact"/>
        <w:rPr>
          <w:rFonts w:ascii="Arial" w:cs="Arial" w:eastAsia="Arial" w:hAnsi="Arial"/>
          <w:sz w:val="16"/>
          <w:szCs w:val="16"/>
          <w:color w:val="auto"/>
        </w:rPr>
      </w:pPr>
    </w:p>
    <w:p>
      <w:pPr>
        <w:ind w:right="560" w:firstLine="1288"/>
        <w:spacing w:after="0" w:line="339" w:lineRule="auto"/>
        <w:tabs>
          <w:tab w:leader="none" w:pos="1888"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Bonus Level. </w:t>
      </w:r>
      <w:r>
        <w:rPr>
          <w:rFonts w:ascii="Arial" w:cs="Arial" w:eastAsia="Arial" w:hAnsi="Arial"/>
          <w:sz w:val="16"/>
          <w:szCs w:val="16"/>
          <w:color w:val="auto"/>
        </w:rPr>
        <w:t>A Participant’s level of participation in the Plan is set based on their grade level as determined by the Human</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Department and is applied to the Participant’s base salary as of the last day of that quarter to determine the bonus amount.</w:t>
      </w:r>
    </w:p>
    <w:p>
      <w:pPr>
        <w:spacing w:after="0" w:line="120" w:lineRule="exact"/>
        <w:rPr>
          <w:rFonts w:ascii="Arial" w:cs="Arial" w:eastAsia="Arial" w:hAnsi="Arial"/>
          <w:sz w:val="16"/>
          <w:szCs w:val="16"/>
          <w:color w:val="auto"/>
        </w:rPr>
      </w:pPr>
    </w:p>
    <w:p>
      <w:pPr>
        <w:ind w:left="1880" w:hanging="592"/>
        <w:spacing w:after="0"/>
        <w:tabs>
          <w:tab w:leader="none" w:pos="1880"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Objective Criteria: </w:t>
      </w:r>
      <w:r>
        <w:rPr>
          <w:rFonts w:ascii="Arial" w:cs="Arial" w:eastAsia="Arial" w:hAnsi="Arial"/>
          <w:sz w:val="16"/>
          <w:szCs w:val="16"/>
          <w:color w:val="auto"/>
        </w:rPr>
        <w:t>The Plan payments will be based on ASV (as defined below), Revenue (as defined below) and Non-GAAP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EPS (as defined below).</w:t>
      </w:r>
    </w:p>
    <w:p>
      <w:pPr>
        <w:spacing w:after="0" w:line="202" w:lineRule="exact"/>
        <w:rPr>
          <w:rFonts w:ascii="Arial" w:cs="Arial" w:eastAsia="Arial" w:hAnsi="Arial"/>
          <w:sz w:val="16"/>
          <w:szCs w:val="16"/>
          <w:color w:val="auto"/>
        </w:rPr>
      </w:pPr>
    </w:p>
    <w:p>
      <w:pPr>
        <w:ind w:right="20" w:firstLine="1928"/>
        <w:spacing w:after="0" w:line="256" w:lineRule="auto"/>
        <w:tabs>
          <w:tab w:leader="none" w:pos="2297"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ASV</w:t>
      </w:r>
      <w:r>
        <w:rPr>
          <w:rFonts w:ascii="Arial" w:cs="Arial" w:eastAsia="Arial" w:hAnsi="Arial"/>
          <w:sz w:val="18"/>
          <w:szCs w:val="18"/>
          <w:color w:val="auto"/>
        </w:rPr>
        <w:t>. The stated goal is the growth in company-wide bookings as represented by Annual Subscription Value (“ASV”)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quarter over the same quarter of the prior year. ASV is the sum of one year’s worth of subscribed revenues to Qualys for all new, renewal and upsell subscriptions contracted by customers and channel partners in each quarter. ASV is determined by policies and practices administered by the Controller and the final quarterly ASV amount is approved by the CFO.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ind w:right="100" w:firstLine="1928"/>
        <w:spacing w:after="0" w:line="274" w:lineRule="auto"/>
        <w:tabs>
          <w:tab w:leader="none" w:pos="2306"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stated goal is the growth in company-wide revenue (as determined in accordance with GAAP and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quarterly and annual financial statements) for the current quarter over the same quarter of the prior year.</w:t>
      </w:r>
    </w:p>
    <w:p>
      <w:pPr>
        <w:spacing w:after="0" w:line="167" w:lineRule="exact"/>
        <w:rPr>
          <w:rFonts w:ascii="Arial" w:cs="Arial" w:eastAsia="Arial" w:hAnsi="Arial"/>
          <w:sz w:val="18"/>
          <w:szCs w:val="18"/>
          <w:b w:val="1"/>
          <w:bCs w:val="1"/>
          <w:color w:val="auto"/>
        </w:rPr>
      </w:pPr>
    </w:p>
    <w:p>
      <w:pPr>
        <w:ind w:right="180" w:firstLine="1928"/>
        <w:spacing w:after="0" w:line="261" w:lineRule="auto"/>
        <w:tabs>
          <w:tab w:leader="none" w:pos="2306" w:val="left"/>
        </w:tabs>
        <w:numPr>
          <w:ilvl w:val="2"/>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Non-GAAP EPS</w:t>
      </w:r>
      <w:r>
        <w:rPr>
          <w:rFonts w:ascii="Arial" w:cs="Arial" w:eastAsia="Arial" w:hAnsi="Arial"/>
          <w:sz w:val="18"/>
          <w:szCs w:val="18"/>
          <w:color w:val="auto"/>
        </w:rPr>
        <w:t>. The stated goal is Non-GAAP earnings per diluted share. Non-GAAP EPS is GAAP net income less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stock-based compensation expense, acquisition-related expenses (except for ordinary course advisory fees), tax adjustments and bonus payments under this Plan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weighted average shares (diluted) for the applicable quarter.</w:t>
      </w:r>
    </w:p>
    <w:p>
      <w:pPr>
        <w:spacing w:after="0" w:line="178" w:lineRule="exact"/>
        <w:rPr>
          <w:rFonts w:ascii="Arial" w:cs="Arial" w:eastAsia="Arial" w:hAnsi="Arial"/>
          <w:sz w:val="18"/>
          <w:szCs w:val="18"/>
          <w:b w:val="1"/>
          <w:bCs w:val="1"/>
          <w:color w:val="auto"/>
        </w:rPr>
      </w:pPr>
    </w:p>
    <w:p>
      <w:pPr>
        <w:ind w:left="1900" w:hanging="612"/>
        <w:spacing w:after="0"/>
        <w:tabs>
          <w:tab w:leader="none" w:pos="19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Payout Calculation</w:t>
      </w:r>
      <w:r>
        <w:rPr>
          <w:rFonts w:ascii="Arial" w:cs="Arial" w:eastAsia="Arial" w:hAnsi="Arial"/>
          <w:sz w:val="16"/>
          <w:szCs w:val="16"/>
          <w:color w:val="auto"/>
        </w:rPr>
        <w:t>. A Participant’s bonus amount will be equal to the aggregate for each of the applicable objective goals as</w:t>
      </w:r>
    </w:p>
    <w:p>
      <w:pPr>
        <w:spacing w:after="0" w:line="46" w:lineRule="exact"/>
        <w:rPr>
          <w:rFonts w:ascii="Arial" w:cs="Arial" w:eastAsia="Arial" w:hAnsi="Arial"/>
          <w:sz w:val="16"/>
          <w:szCs w:val="16"/>
          <w:color w:val="auto"/>
        </w:rPr>
      </w:pPr>
    </w:p>
    <w:p>
      <w:pPr>
        <w:ind w:right="48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follows: the payment percentage described below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weighting percentage for the applicable goal. ASV Growth, Revenue Growth and Non-GAAP EPS shall be the 3 goals and shall be equally weighted.</w:t>
      </w:r>
    </w:p>
    <w:p>
      <w:pPr>
        <w:spacing w:after="0" w:line="183" w:lineRule="exact"/>
        <w:rPr>
          <w:rFonts w:ascii="Arial" w:cs="Arial" w:eastAsia="Arial" w:hAnsi="Arial"/>
          <w:sz w:val="16"/>
          <w:szCs w:val="16"/>
          <w:color w:val="auto"/>
        </w:rPr>
      </w:pPr>
    </w:p>
    <w:p>
      <w:pPr>
        <w:ind w:left="2300" w:hanging="372"/>
        <w:spacing w:after="0"/>
        <w:tabs>
          <w:tab w:leader="none" w:pos="2300" w:val="left"/>
        </w:tabs>
        <w:numPr>
          <w:ilvl w:val="2"/>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ASV. </w:t>
      </w:r>
      <w:r>
        <w:rPr>
          <w:rFonts w:ascii="Arial" w:cs="Arial" w:eastAsia="Arial" w:hAnsi="Arial"/>
          <w:sz w:val="17"/>
          <w:szCs w:val="17"/>
          <w:color w:val="auto"/>
        </w:rPr>
        <w:t>The payout percentage scales based upon achievement of ASV as described in Section 1 of the Appendix.</w:t>
      </w:r>
    </w:p>
    <w:p>
      <w:pPr>
        <w:spacing w:after="0" w:line="231" w:lineRule="exact"/>
        <w:rPr>
          <w:rFonts w:ascii="Arial" w:cs="Arial" w:eastAsia="Arial" w:hAnsi="Arial"/>
          <w:sz w:val="17"/>
          <w:szCs w:val="17"/>
          <w:b w:val="1"/>
          <w:bCs w:val="1"/>
          <w:color w:val="auto"/>
        </w:rPr>
      </w:pPr>
    </w:p>
    <w:p>
      <w:pPr>
        <w:ind w:left="2320" w:hanging="392"/>
        <w:spacing w:after="0"/>
        <w:tabs>
          <w:tab w:leader="none" w:pos="2320" w:val="left"/>
        </w:tabs>
        <w:numPr>
          <w:ilvl w:val="2"/>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The payout percentage scales based upon achievement of Revenue as described in Section 2 of the Appendix.</w:t>
      </w:r>
    </w:p>
    <w:p>
      <w:pPr>
        <w:spacing w:after="0" w:line="242" w:lineRule="exact"/>
        <w:rPr>
          <w:rFonts w:ascii="Arial" w:cs="Arial" w:eastAsia="Arial" w:hAnsi="Arial"/>
          <w:sz w:val="16"/>
          <w:szCs w:val="16"/>
          <w:b w:val="1"/>
          <w:bCs w:val="1"/>
          <w:color w:val="auto"/>
        </w:rPr>
      </w:pPr>
    </w:p>
    <w:p>
      <w:pPr>
        <w:ind w:left="2320" w:hanging="392"/>
        <w:spacing w:after="0"/>
        <w:tabs>
          <w:tab w:leader="none" w:pos="2320" w:val="left"/>
        </w:tabs>
        <w:numPr>
          <w:ilvl w:val="2"/>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Non-GAAP EPS. </w:t>
      </w:r>
      <w:r>
        <w:rPr>
          <w:rFonts w:ascii="Arial" w:cs="Arial" w:eastAsia="Arial" w:hAnsi="Arial"/>
          <w:sz w:val="16"/>
          <w:szCs w:val="16"/>
          <w:color w:val="auto"/>
        </w:rPr>
        <w:t>The payout percentage scales based upon achievement of Non-GAAP EPS as described in Section 3 of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Appendix.</w:t>
      </w:r>
    </w:p>
    <w:p>
      <w:pPr>
        <w:spacing w:after="0" w:line="202" w:lineRule="exact"/>
        <w:rPr>
          <w:rFonts w:ascii="Arial" w:cs="Arial" w:eastAsia="Arial" w:hAnsi="Arial"/>
          <w:sz w:val="16"/>
          <w:szCs w:val="16"/>
          <w:b w:val="1"/>
          <w:bCs w:val="1"/>
          <w:color w:val="auto"/>
        </w:rPr>
      </w:pPr>
    </w:p>
    <w:p>
      <w:pPr>
        <w:ind w:firstLine="1288"/>
        <w:spacing w:after="0" w:line="272" w:lineRule="auto"/>
        <w:tabs>
          <w:tab w:leader="none" w:pos="1878" w:val="left"/>
        </w:tabs>
        <w:numPr>
          <w:ilvl w:val="1"/>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Bonus Payments. </w:t>
      </w:r>
      <w:r>
        <w:rPr>
          <w:rFonts w:ascii="Arial" w:cs="Arial" w:eastAsia="Arial" w:hAnsi="Arial"/>
          <w:sz w:val="17"/>
          <w:szCs w:val="17"/>
          <w:color w:val="auto"/>
        </w:rPr>
        <w:t>Bonus payments to Participants under this Plan will be made with the first payroll of the second month</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end of the quarter. Bonus payments are “gross” amounts, meaning that they constitute the full amount and that there will be no other increases (for example, to cover income taxes). The company will deduct from any payment under the Plan the amount of all applicable income and employment taxes, and any other amounts required by law to be withheld or deducted from such payment. None of the payments will be “benefits bearing” (i.e., the bonus amounts will not be used for purposes of determining any other company-provided benefits or compensation).</w:t>
      </w:r>
    </w:p>
    <w:p>
      <w:pPr>
        <w:spacing w:after="0" w:line="173" w:lineRule="exact"/>
        <w:rPr>
          <w:rFonts w:ascii="Arial" w:cs="Arial" w:eastAsia="Arial" w:hAnsi="Arial"/>
          <w:sz w:val="17"/>
          <w:szCs w:val="17"/>
          <w:color w:val="auto"/>
        </w:rPr>
      </w:pPr>
    </w:p>
    <w:p>
      <w:pPr>
        <w:ind w:right="60" w:firstLine="647"/>
        <w:spacing w:after="0" w:line="267" w:lineRule="auto"/>
        <w:tabs>
          <w:tab w:leader="none" w:pos="1263"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shall be administered by the Company’s CFO (except with respect to Participants who are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in which case the Compensation Committee of the Board of Directors will serve as the administrator), who may make and apply such rules deemed desirable or necessary to administer the Plan in the best interests of the Company. All questions of interpretation or application of the Plan may be addressed in writing to the CFO (or as applicable, the Compensation Committee), who shall review each inquiry in good faith, and each such determination shall be final and binding. With the approval of the Compensation Committee, the results with respect to determination of ASV, Revenue, and Non-GAAP EPS will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9" w:name="page110"/>
    <w:bookmarkEnd w:id="109"/>
    <w:p>
      <w:pPr>
        <w:jc w:val="center"/>
        <w:ind w:right="-12"/>
        <w:spacing w:after="0"/>
        <w:rPr>
          <w:sz w:val="20"/>
          <w:szCs w:val="20"/>
          <w:color w:val="auto"/>
        </w:rPr>
      </w:pPr>
      <w:r>
        <w:rPr>
          <w:rFonts w:ascii="Arial" w:cs="Arial" w:eastAsia="Arial" w:hAnsi="Arial"/>
          <w:sz w:val="18"/>
          <w:szCs w:val="18"/>
          <w:b w:val="1"/>
          <w:bCs w:val="1"/>
          <w:color w:val="auto"/>
        </w:rPr>
        <w:t>APPENDIX</w:t>
      </w:r>
    </w:p>
    <w:p>
      <w:pPr>
        <w:spacing w:after="0" w:line="220" w:lineRule="exact"/>
        <w:rPr>
          <w:sz w:val="20"/>
          <w:szCs w:val="20"/>
          <w:color w:val="auto"/>
        </w:rPr>
      </w:pPr>
    </w:p>
    <w:p>
      <w:pPr>
        <w:ind w:left="313" w:right="140" w:hanging="313"/>
        <w:spacing w:after="0" w:line="261" w:lineRule="auto"/>
        <w:tabs>
          <w:tab w:leader="none" w:pos="31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ASV. </w:t>
      </w:r>
      <w:r>
        <w:rPr>
          <w:rFonts w:ascii="Arial" w:cs="Arial" w:eastAsia="Arial" w:hAnsi="Arial"/>
          <w:sz w:val="18"/>
          <w:szCs w:val="18"/>
          <w:color w:val="auto"/>
        </w:rPr>
        <w:t>The bonus will be equal to 100% if the company plan number is achieved, as indicated in the table below. For ASV achievement below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plan targets, a sliding scale will be used. ASV achievement will be rounded to the nearest ten thousand. The floor indicates the minimum required achievement for payout. Below is the current year targets and payout schedule:</w:t>
      </w:r>
    </w:p>
    <w:p>
      <w:pPr>
        <w:spacing w:after="0" w:line="179"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33" w:lineRule="exact"/>
        <w:rPr>
          <w:sz w:val="20"/>
          <w:szCs w:val="20"/>
          <w:color w:val="auto"/>
        </w:rPr>
      </w:pPr>
    </w:p>
    <w:p>
      <w:pPr>
        <w:ind w:left="-7" w:firstLine="327"/>
        <w:spacing w:after="0" w:line="261" w:lineRule="auto"/>
        <w:tabs>
          <w:tab w:leader="none" w:pos="6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The bonus will be equal to 100% if the company plan number is achieved, as indicated in the table below. For revenue achievement below</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plan targets, a sliding scale will be used. Revenue achievement will be rounded to the nearest ten thousand. The floor indicates the minimum required achievement for payout. Below is the current year targets and payout schedule:</w:t>
      </w:r>
    </w:p>
    <w:p>
      <w:pPr>
        <w:spacing w:after="0" w:line="179"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33" w:lineRule="exact"/>
        <w:rPr>
          <w:sz w:val="20"/>
          <w:szCs w:val="20"/>
          <w:color w:val="auto"/>
        </w:rPr>
      </w:pPr>
    </w:p>
    <w:p>
      <w:pPr>
        <w:ind w:left="-7" w:right="180" w:firstLine="327"/>
        <w:spacing w:after="0" w:line="261" w:lineRule="auto"/>
        <w:tabs>
          <w:tab w:leader="none" w:pos="6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Non-GAAP EPS. </w:t>
      </w:r>
      <w:r>
        <w:rPr>
          <w:rFonts w:ascii="Arial" w:cs="Arial" w:eastAsia="Arial" w:hAnsi="Arial"/>
          <w:sz w:val="18"/>
          <w:szCs w:val="18"/>
          <w:color w:val="auto"/>
        </w:rPr>
        <w:t>The bonus will be equal to 100% if the company plan number is achieved, as indicated in the table below. For Non-GAAP EPS</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below company plan targets, a sliding scale will be used. Non-GAAP EPS achievement will be rounded to one cent. The floor indicates the minimum required achievement for payout.</w:t>
      </w:r>
    </w:p>
    <w:p>
      <w:pPr>
        <w:spacing w:after="0" w:line="179"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213"/>
          </w:cols>
          <w:pgMar w:left="327" w:top="575" w:right="3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20" w:type="dxa"/>
            <w:vAlign w:val="bottom"/>
          </w:tcPr>
          <w:p>
            <w:pPr>
              <w:spacing w:after="0"/>
              <w:rPr>
                <w:sz w:val="20"/>
                <w:szCs w:val="20"/>
                <w:color w:val="auto"/>
              </w:rPr>
            </w:pPr>
            <w:r>
              <w:rPr>
                <w:rFonts w:ascii="Arial" w:cs="Arial" w:eastAsia="Arial" w:hAnsi="Arial"/>
                <w:sz w:val="18"/>
                <w:szCs w:val="18"/>
                <w:color w:val="auto"/>
              </w:rPr>
              <w:t>List of subsidiaries of Qualys, Inc.</w:t>
            </w:r>
          </w:p>
        </w:tc>
        <w:tc>
          <w:tcPr>
            <w:tcW w:w="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3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International, Inc.</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Blue Jay Acquisition Sub, Inc.</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1"/>
              </w:rPr>
              <w:t>Qualys Brazil Desenvolvimento de Produtos e Consultoria de Tecnologias</w:t>
            </w:r>
          </w:p>
        </w:tc>
        <w:tc>
          <w:tcPr>
            <w:tcW w:w="582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20"/>
        </w:trPr>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 Seguranca LTDA.</w:t>
            </w:r>
          </w:p>
        </w:tc>
        <w:tc>
          <w:tcPr>
            <w:tcW w:w="58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2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Canada, Ltd.</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Technologies, S.A.</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GmbH</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Hong Kong Limited</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Security TechServices Private Ltd.</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Japan K.K.</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Singapore Pte. Ltd.</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Middle East FZE</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Ltd.</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Australia Pty Ltd.</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Switzerland Sarl</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Colombia S.A.S.</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Qualys South Africa Proprietary Limited</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Qualys Netherlands B.V.</w:t>
            </w:r>
          </w:p>
        </w:tc>
        <w:tc>
          <w:tcPr>
            <w:tcW w:w="5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issued our reports dated February 22, 2022, with respect to the consolidated financial statements and internal control over financial reporting included in the Annual Report of Qualys, Inc. on Form 10-K for the year ended December 31, 2021. We consent to the incorporation by reference of said reports in the Registration Statements of Qualys, Inc. on Forms S-8 (File Nos. 333-184394, 333-193576, 333-202587, 333-209735, 333-216232, 333-223192, 333-229908, 333-236576, 333-253373 and 333-257657).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0" w:lineRule="exact"/>
        <w:rPr>
          <w:sz w:val="20"/>
          <w:szCs w:val="20"/>
          <w:color w:val="auto"/>
        </w:rPr>
      </w:pPr>
    </w:p>
    <w:p>
      <w:pPr>
        <w:ind w:left="480" w:hanging="473"/>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46" w:lineRule="exact"/>
        <w:rPr>
          <w:rFonts w:ascii="Arial" w:cs="Arial" w:eastAsia="Arial" w:hAnsi="Arial"/>
          <w:sz w:val="18"/>
          <w:szCs w:val="18"/>
          <w:color w:val="auto"/>
        </w:rPr>
      </w:pPr>
    </w:p>
    <w:p>
      <w:pPr>
        <w:jc w:val="both"/>
        <w:ind w:left="480" w:hanging="473"/>
        <w:spacing w:after="0" w:line="258"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480" w:hanging="473"/>
        <w:spacing w:after="0" w:line="270"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480" w:hanging="473"/>
        <w:spacing w:after="0" w:line="258"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jc w:val="both"/>
        <w:ind w:left="800" w:hanging="313"/>
        <w:spacing w:after="0" w:line="258" w:lineRule="auto"/>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800" w:hanging="313"/>
        <w:spacing w:after="0" w:line="258" w:lineRule="auto"/>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ind w:left="800" w:hanging="313"/>
        <w:spacing w:after="0" w:line="300" w:lineRule="auto"/>
        <w:tabs>
          <w:tab w:leader="none" w:pos="8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7"/>
          <w:szCs w:val="17"/>
          <w:color w:val="auto"/>
        </w:rPr>
      </w:pPr>
    </w:p>
    <w:p>
      <w:pPr>
        <w:jc w:val="both"/>
        <w:ind w:left="800" w:hanging="313"/>
        <w:spacing w:after="0" w:line="258" w:lineRule="auto"/>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480" w:hanging="473"/>
        <w:spacing w:after="0" w:line="300"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800" w:hanging="313"/>
        <w:spacing w:after="0" w:line="270" w:lineRule="auto"/>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800" w:hanging="313"/>
        <w:spacing w:after="0" w:line="270" w:lineRule="auto"/>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22, 2022</w:t>
            </w:r>
          </w:p>
        </w:tc>
      </w:tr>
      <w:tr>
        <w:trPr>
          <w:trHeight w:val="22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2"/>
        </w:trPr>
        <w:tc>
          <w:tcPr>
            <w:tcW w:w="800" w:type="dxa"/>
            <w:vAlign w:val="bottom"/>
          </w:tcPr>
          <w:p>
            <w:pPr>
              <w:spacing w:after="0"/>
              <w:rPr>
                <w:sz w:val="16"/>
                <w:szCs w:val="16"/>
                <w:color w:val="auto"/>
              </w:rPr>
            </w:pPr>
          </w:p>
        </w:tc>
        <w:tc>
          <w:tcPr>
            <w:tcW w:w="4820" w:type="dxa"/>
            <w:vAlign w:val="bottom"/>
          </w:tcPr>
          <w:p>
            <w:pPr>
              <w:spacing w:after="0" w:line="193" w:lineRule="exact"/>
              <w:rPr>
                <w:sz w:val="20"/>
                <w:szCs w:val="20"/>
                <w:color w:val="auto"/>
              </w:rPr>
            </w:pPr>
            <w:r>
              <w:rPr>
                <w:rFonts w:ascii="Arial" w:cs="Arial" w:eastAsia="Arial" w:hAnsi="Arial"/>
                <w:sz w:val="18"/>
                <w:szCs w:val="18"/>
                <w:color w:val="auto"/>
              </w:rPr>
              <w:t>Sumedh Thakar</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26"/>
        </w:trPr>
        <w:tc>
          <w:tcPr>
            <w:tcW w:w="80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0" w:lineRule="exact"/>
        <w:rPr>
          <w:sz w:val="20"/>
          <w:szCs w:val="20"/>
          <w:color w:val="auto"/>
        </w:rPr>
      </w:pPr>
    </w:p>
    <w:p>
      <w:pPr>
        <w:ind w:left="480" w:hanging="473"/>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46" w:lineRule="exact"/>
        <w:rPr>
          <w:rFonts w:ascii="Arial" w:cs="Arial" w:eastAsia="Arial" w:hAnsi="Arial"/>
          <w:sz w:val="18"/>
          <w:szCs w:val="18"/>
          <w:color w:val="auto"/>
        </w:rPr>
      </w:pPr>
    </w:p>
    <w:p>
      <w:pPr>
        <w:jc w:val="both"/>
        <w:ind w:left="480" w:hanging="473"/>
        <w:spacing w:after="0" w:line="258"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480" w:hanging="473"/>
        <w:spacing w:after="0" w:line="270"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480" w:hanging="473"/>
        <w:spacing w:after="0" w:line="258"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800" w:hanging="313"/>
        <w:spacing w:after="0" w:line="258" w:lineRule="auto"/>
        <w:tabs>
          <w:tab w:leader="none" w:pos="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00" w:hanging="313"/>
        <w:spacing w:after="0" w:line="258" w:lineRule="auto"/>
        <w:tabs>
          <w:tab w:leader="none" w:pos="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800" w:hanging="313"/>
        <w:spacing w:after="0" w:line="300" w:lineRule="auto"/>
        <w:tabs>
          <w:tab w:leader="none" w:pos="8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jc w:val="both"/>
        <w:ind w:left="800" w:hanging="313"/>
        <w:spacing w:after="0" w:line="258" w:lineRule="auto"/>
        <w:tabs>
          <w:tab w:leader="none" w:pos="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480" w:hanging="473"/>
        <w:spacing w:after="0" w:line="300" w:lineRule="auto"/>
        <w:tabs>
          <w:tab w:leader="none" w:pos="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800" w:hanging="313"/>
        <w:spacing w:after="0" w:line="270" w:lineRule="auto"/>
        <w:tabs>
          <w:tab w:leader="none" w:pos="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800" w:hanging="313"/>
        <w:spacing w:after="0" w:line="270" w:lineRule="auto"/>
        <w:tabs>
          <w:tab w:leader="none" w:pos="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22, 2022</w:t>
            </w:r>
          </w:p>
        </w:tc>
      </w:tr>
      <w:tr>
        <w:trPr>
          <w:trHeight w:val="22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2"/>
        </w:trPr>
        <w:tc>
          <w:tcPr>
            <w:tcW w:w="800" w:type="dxa"/>
            <w:vAlign w:val="bottom"/>
          </w:tcPr>
          <w:p>
            <w:pPr>
              <w:spacing w:after="0"/>
              <w:rPr>
                <w:sz w:val="16"/>
                <w:szCs w:val="16"/>
                <w:color w:val="auto"/>
              </w:rPr>
            </w:pPr>
          </w:p>
        </w:tc>
        <w:tc>
          <w:tcPr>
            <w:tcW w:w="4820" w:type="dxa"/>
            <w:vAlign w:val="bottom"/>
          </w:tcPr>
          <w:p>
            <w:pPr>
              <w:spacing w:after="0" w:line="193" w:lineRule="exact"/>
              <w:rPr>
                <w:sz w:val="20"/>
                <w:szCs w:val="20"/>
                <w:color w:val="auto"/>
              </w:rPr>
            </w:pPr>
            <w:r>
              <w:rPr>
                <w:rFonts w:ascii="Arial" w:cs="Arial" w:eastAsia="Arial" w:hAnsi="Arial"/>
                <w:sz w:val="18"/>
                <w:szCs w:val="18"/>
                <w:color w:val="auto"/>
              </w:rPr>
              <w:t>Joo Mi Kim</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26"/>
        </w:trPr>
        <w:tc>
          <w:tcPr>
            <w:tcW w:w="80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Annual Report of Qualys, Inc. (the “Company”) on Form 10-K for the year ended December 31, 2021, as filed with the Securities and Exchange Commission on the date hereof (the “Report”), I, Sumedh Thakar, Interim Chief Executive Officer of the Company, certify, pursuant to 18 U.S.C.</w:t>
      </w:r>
    </w:p>
    <w:p>
      <w:pPr>
        <w:spacing w:after="0" w:line="1" w:lineRule="exact"/>
        <w:rPr>
          <w:sz w:val="20"/>
          <w:szCs w:val="20"/>
          <w:color w:val="auto"/>
        </w:rPr>
      </w:pPr>
    </w:p>
    <w:p>
      <w:pPr>
        <w:ind w:left="140" w:hanging="133"/>
        <w:spacing w:after="0"/>
        <w:tabs>
          <w:tab w:leader="none" w:pos="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my knowledge:</w:t>
      </w:r>
    </w:p>
    <w:p>
      <w:pPr>
        <w:spacing w:after="0" w:line="6" w:lineRule="exact"/>
        <w:rPr>
          <w:rFonts w:ascii="Arial" w:cs="Arial" w:eastAsia="Arial" w:hAnsi="Arial"/>
          <w:sz w:val="18"/>
          <w:szCs w:val="18"/>
          <w:color w:val="auto"/>
        </w:rPr>
      </w:pPr>
    </w:p>
    <w:p>
      <w:pPr>
        <w:ind w:left="700" w:hanging="249"/>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 w:lineRule="exact"/>
        <w:rPr>
          <w:rFonts w:ascii="Arial" w:cs="Arial" w:eastAsia="Arial" w:hAnsi="Arial"/>
          <w:sz w:val="18"/>
          <w:szCs w:val="18"/>
          <w:color w:val="auto"/>
        </w:rPr>
      </w:pPr>
    </w:p>
    <w:p>
      <w:pPr>
        <w:ind w:left="700" w:hanging="249"/>
        <w:spacing w:after="0"/>
        <w:tabs>
          <w:tab w:leader="none" w:pos="7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22, 2022</w:t>
            </w:r>
          </w:p>
        </w:tc>
      </w:tr>
      <w:tr>
        <w:trPr>
          <w:trHeight w:val="22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2"/>
        </w:trPr>
        <w:tc>
          <w:tcPr>
            <w:tcW w:w="800" w:type="dxa"/>
            <w:vAlign w:val="bottom"/>
          </w:tcPr>
          <w:p>
            <w:pPr>
              <w:spacing w:after="0"/>
              <w:rPr>
                <w:sz w:val="16"/>
                <w:szCs w:val="16"/>
                <w:color w:val="auto"/>
              </w:rPr>
            </w:pPr>
          </w:p>
        </w:tc>
        <w:tc>
          <w:tcPr>
            <w:tcW w:w="4820" w:type="dxa"/>
            <w:vAlign w:val="bottom"/>
          </w:tcPr>
          <w:p>
            <w:pPr>
              <w:spacing w:after="0" w:line="193" w:lineRule="exact"/>
              <w:rPr>
                <w:sz w:val="20"/>
                <w:szCs w:val="20"/>
                <w:color w:val="auto"/>
              </w:rPr>
            </w:pPr>
            <w:r>
              <w:rPr>
                <w:rFonts w:ascii="Arial" w:cs="Arial" w:eastAsia="Arial" w:hAnsi="Arial"/>
                <w:sz w:val="18"/>
                <w:szCs w:val="18"/>
                <w:color w:val="auto"/>
              </w:rPr>
              <w:t>Sumedh Thakar</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26"/>
        </w:trPr>
        <w:tc>
          <w:tcPr>
            <w:tcW w:w="80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2021,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700" w:hanging="249"/>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 w:lineRule="exact"/>
        <w:rPr>
          <w:rFonts w:ascii="Arial" w:cs="Arial" w:eastAsia="Arial" w:hAnsi="Arial"/>
          <w:sz w:val="18"/>
          <w:szCs w:val="18"/>
          <w:color w:val="auto"/>
        </w:rPr>
      </w:pPr>
    </w:p>
    <w:p>
      <w:pPr>
        <w:ind w:left="700" w:hanging="249"/>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22, 2022</w:t>
            </w:r>
          </w:p>
        </w:tc>
      </w:tr>
      <w:tr>
        <w:trPr>
          <w:trHeight w:val="22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2"/>
        </w:trPr>
        <w:tc>
          <w:tcPr>
            <w:tcW w:w="800" w:type="dxa"/>
            <w:vAlign w:val="bottom"/>
          </w:tcPr>
          <w:p>
            <w:pPr>
              <w:spacing w:after="0"/>
              <w:rPr>
                <w:sz w:val="16"/>
                <w:szCs w:val="16"/>
                <w:color w:val="auto"/>
              </w:rPr>
            </w:pPr>
          </w:p>
        </w:tc>
        <w:tc>
          <w:tcPr>
            <w:tcW w:w="4820" w:type="dxa"/>
            <w:vAlign w:val="bottom"/>
          </w:tcPr>
          <w:p>
            <w:pPr>
              <w:spacing w:after="0" w:line="193" w:lineRule="exact"/>
              <w:rPr>
                <w:sz w:val="20"/>
                <w:szCs w:val="20"/>
                <w:color w:val="auto"/>
              </w:rPr>
            </w:pPr>
            <w:r>
              <w:rPr>
                <w:rFonts w:ascii="Arial" w:cs="Arial" w:eastAsia="Arial" w:hAnsi="Arial"/>
                <w:sz w:val="18"/>
                <w:szCs w:val="18"/>
                <w:color w:val="auto"/>
              </w:rPr>
              <w:t>Joo Mi Kim</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3"/>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26"/>
        </w:trPr>
        <w:tc>
          <w:tcPr>
            <w:tcW w:w="80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5"/>
    </w:lvl>
  </w:abstractNum>
  <w:abstractNum w:abstractNumId="30">
    <w:nsid w:val="2D517796"/>
    <w:multiLevelType w:val="hybridMultilevel"/>
    <w:lvl w:ilvl="0">
      <w:lvlJc w:val="left"/>
      <w:lvlText w:val="%1."/>
      <w:numFmt w:val="decimal"/>
      <w:start w:val="8"/>
    </w:lvl>
  </w:abstractNum>
  <w:abstractNum w:abstractNumId="31">
    <w:nsid w:val="580BD78F"/>
    <w:multiLevelType w:val="hybridMultilevel"/>
    <w:lvl w:ilvl="0">
      <w:lvlJc w:val="left"/>
      <w:lvlText w:val="%1."/>
      <w:numFmt w:val="decimal"/>
      <w:start w:val="10"/>
    </w:lvl>
    <w:lvl w:ilvl="1">
      <w:lvlJc w:val="left"/>
      <w:lvlText w:val="(%2)"/>
      <w:numFmt w:val="lowerLetter"/>
      <w:start w:val="1"/>
    </w:lvl>
  </w:abstractNum>
  <w:abstractNum w:abstractNumId="32">
    <w:nsid w:val="153EA438"/>
    <w:multiLevelType w:val="hybridMultilevel"/>
    <w:lvl w:ilvl="0">
      <w:lvlJc w:val="left"/>
      <w:lvlText w:val="(%1)"/>
      <w:numFmt w:val="lowerLetter"/>
      <w:start w:val="9"/>
    </w:lvl>
    <w:lvl w:ilvl="1">
      <w:lvlJc w:val="left"/>
      <w:lvlText w:val="%2."/>
      <w:numFmt w:val="lowerRoman"/>
      <w:start w:val="1"/>
    </w:lvl>
  </w:abstractNum>
  <w:abstractNum w:abstractNumId="33">
    <w:nsid w:val="3855585C"/>
    <w:multiLevelType w:val="hybridMultilevel"/>
    <w:lvl w:ilvl="0">
      <w:lvlJc w:val="left"/>
      <w:lvlText w:val="%1."/>
      <w:numFmt w:val="decimal"/>
      <w:start w:val="11"/>
    </w:lvl>
  </w:abstractNum>
  <w:abstractNum w:abstractNumId="34">
    <w:nsid w:val="70A64E2A"/>
    <w:multiLevelType w:val="hybridMultilevel"/>
    <w:lvl w:ilvl="0">
      <w:lvlJc w:val="left"/>
      <w:lvlText w:val="%1."/>
      <w:numFmt w:val="decimal"/>
      <w:start w:val="13"/>
    </w:lvl>
  </w:abstractNum>
  <w:abstractNum w:abstractNumId="35">
    <w:nsid w:val="6A2342EC"/>
    <w:multiLevelType w:val="hybridMultilevel"/>
    <w:lvl w:ilvl="0">
      <w:lvlJc w:val="left"/>
      <w:lvlText w:val="%1."/>
      <w:numFmt w:val="decimal"/>
      <w:start w:val="18"/>
    </w:lvl>
  </w:abstractNum>
  <w:abstractNum w:abstractNumId="36">
    <w:nsid w:val="2A487CB0"/>
    <w:multiLevelType w:val="hybridMultilevel"/>
    <w:lvl w:ilvl="0">
      <w:lvlJc w:val="left"/>
      <w:lvlText w:val="%1."/>
      <w:numFmt w:val="decimal"/>
      <w:start w:val="25"/>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9">
    <w:nsid w:val="2CD89A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0">
    <w:nsid w:val="57E4CCAF"/>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41">
    <w:nsid w:val="7A6D8D3C"/>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2"/>
    </w:lvl>
  </w:abstractNum>
  <w:abstractNum w:abstractNumId="44">
    <w:nsid w:val="6DE91B18"/>
    <w:multiLevelType w:val="hybridMultilevel"/>
    <w:lvl w:ilvl="0">
      <w:lvlJc w:val="left"/>
      <w:lvlText w:val="%1."/>
      <w:numFmt w:val="decimal"/>
      <w:start w:val="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
      <w:numFmt w:val="bullet"/>
      <w:start w:val="1"/>
    </w:lvl>
    <w:lvl w:ilvl="1">
      <w:lvlJc w:val="left"/>
      <w:lvlText w:val="(%2)"/>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jpe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jpeg"/><Relationship Id="rId131" Type="http://schemas.openxmlformats.org/officeDocument/2006/relationships/image" Target="media/image110.png"/><Relationship Id="rId132" Type="http://schemas.openxmlformats.org/officeDocument/2006/relationships/image" Target="media/image111.png"/><Relationship Id="rId86" Type="http://schemas.openxmlformats.org/officeDocument/2006/relationships/hyperlink" Target="http://www.sec.gov/Archives/edgar/data/1107843/000119312512388433/d355355dex33.htm" TargetMode="External"/><Relationship Id="rId87" Type="http://schemas.openxmlformats.org/officeDocument/2006/relationships/hyperlink" Target="http://www.sec.gov/Archives/edgar/data/1107843/000119312512388433/d355355dex35.htm" TargetMode="External"/><Relationship Id="rId88" Type="http://schemas.openxmlformats.org/officeDocument/2006/relationships/hyperlink" Target="http://www.sec.gov/Archives/edgar/data/1107843/000119312512388433/d355355dex41.htm" TargetMode="External"/><Relationship Id="rId89" Type="http://schemas.openxmlformats.org/officeDocument/2006/relationships/hyperlink" Target="http://www.sec.gov/Archives/edgar/data/1107843/000162828020001963/qlys-201910kxexht42.htm" TargetMode="External"/><Relationship Id="rId90" Type="http://schemas.openxmlformats.org/officeDocument/2006/relationships/hyperlink" Target="http://www.sec.gov/Archives/edgar/data/1107843/000119312512265366/d355355dex101.htm" TargetMode="External"/><Relationship Id="rId91" Type="http://schemas.openxmlformats.org/officeDocument/2006/relationships/hyperlink" Target="http://www.sec.gov/Archives/edgar/data/1107843/000119312512388433/d355355dex102.htm" TargetMode="External"/><Relationship Id="rId92" Type="http://schemas.openxmlformats.org/officeDocument/2006/relationships/hyperlink" Target="http://www.sec.gov/Archives/edgar/data/0001107843/000119312521188846/d573211dex101.htm" TargetMode="External"/><Relationship Id="rId93" Type="http://schemas.openxmlformats.org/officeDocument/2006/relationships/hyperlink" Target="http://www.sec.gov/Archives/edgar/data/1107843/000119312512265366/d355355dex105.htm" TargetMode="External"/><Relationship Id="rId94" Type="http://schemas.openxmlformats.org/officeDocument/2006/relationships/hyperlink" Target="http://www.sec.gov/Archives/edgar/data/1107843/000119312520151509/d800805dex101.htm" TargetMode="External"/><Relationship Id="rId95" Type="http://schemas.openxmlformats.org/officeDocument/2006/relationships/hyperlink" Target="http://www.sec.gov/Archives/edgar/data/1107843/000119312512265366/d355355dex109.htm" TargetMode="External"/><Relationship Id="rId96" Type="http://schemas.openxmlformats.org/officeDocument/2006/relationships/hyperlink" Target="http://www.sec.gov/Archives/edgar/data/1107843/000119312512350036/d355355dex1010.htm" TargetMode="External"/><Relationship Id="rId97" Type="http://schemas.openxmlformats.org/officeDocument/2006/relationships/hyperlink" Target="http://www.sec.gov/Archives/edgar/data/1107843/000119312516554340/d85159ddef14a.htm" TargetMode="External"/><Relationship Id="rId98" Type="http://schemas.openxmlformats.org/officeDocument/2006/relationships/hyperlink" Target="http://www.sec.gov/Archives/edgar/data/1107843/000119312516741827/d270006dex101.htm" TargetMode="External"/><Relationship Id="rId99" Type="http://schemas.openxmlformats.org/officeDocument/2006/relationships/hyperlink" Target="http://www.sec.gov/Archives/edgar/data/1107843/000119312512388433/d355355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2022-02-22T15:44:09Z</dcterms:created>
  <dcterms:modified xsi:type="dcterms:W3CDTF">2022-02-22T15:44:09Z</dcterms:modified>
</cp:coreProperties>
</file>