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700" w:hanging="66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6"/>
          <w:szCs w:val="16"/>
          <w:b w:val="1"/>
          <w:bCs w:val="1"/>
          <w:color w:val="auto"/>
        </w:rPr>
        <w:t>For the Annual Period Ended December 31, 2014</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60" w:hanging="725"/>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249" w:right="239" w:bottom="60"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4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QUALYS,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420"/>
          </w:cols>
          <w:pgMar w:left="240" w:top="249" w:right="239" w:bottom="60" w:gutter="0" w:footer="0" w:header="0"/>
          <w:type w:val="continuous"/>
        </w:sectPr>
      </w:pPr>
    </w:p>
    <w:p>
      <w:pPr>
        <w:spacing w:after="0" w:line="213" w:lineRule="exact"/>
        <w:rPr>
          <w:sz w:val="24"/>
          <w:szCs w:val="24"/>
          <w:color w:val="auto"/>
        </w:rPr>
      </w:pPr>
    </w:p>
    <w:p>
      <w:pPr>
        <w:ind w:left="20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840"/>
          </w:cols>
          <w:pgMar w:left="240" w:top="249" w:right="239" w:bottom="6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3000"/>
          </w:cols>
          <w:pgMar w:left="240" w:top="249" w:right="239" w:bottom="60" w:gutter="0" w:footer="0" w:header="0"/>
          <w:type w:val="continuous"/>
        </w:sectPr>
      </w:pPr>
    </w:p>
    <w:p>
      <w:pPr>
        <w:ind w:left="13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82" w:lineRule="exact"/>
        <w:rPr>
          <w:sz w:val="24"/>
          <w:szCs w:val="24"/>
          <w:color w:val="auto"/>
        </w:rPr>
      </w:pPr>
    </w:p>
    <w:p>
      <w:pPr>
        <w:sectPr>
          <w:pgSz w:w="11900" w:h="16838" w:orient="portrait"/>
          <w:cols w:equalWidth="0" w:num="2">
            <w:col w:w="7480" w:space="720"/>
            <w:col w:w="3220"/>
          </w:cols>
          <w:pgMar w:left="240" w:top="249" w:right="239" w:bottom="6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1600 Bridge Parkway, Redwood City, California 94065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801-6100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ectPr>
          <w:pgSz w:w="11900" w:h="16838" w:orient="portrait"/>
          <w:cols w:equalWidth="0" w:num="1">
            <w:col w:w="11420"/>
          </w:cols>
          <w:pgMar w:left="240" w:top="249" w:right="239" w:bottom="60" w:gutter="0" w:footer="0" w:header="0"/>
          <w:type w:val="continuous"/>
        </w:sect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 of each class</w:t>
            </w:r>
          </w:p>
        </w:tc>
        <w:tc>
          <w:tcPr>
            <w:tcW w:w="1360" w:type="dxa"/>
            <w:vAlign w:val="bottom"/>
          </w:tcPr>
          <w:p>
            <w:pPr>
              <w:spacing w:after="0"/>
              <w:rPr>
                <w:sz w:val="17"/>
                <w:szCs w:val="17"/>
                <w:color w:val="auto"/>
              </w:rPr>
            </w:pPr>
          </w:p>
        </w:tc>
        <w:tc>
          <w:tcPr>
            <w:tcW w:w="50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Common stock, $0.001 par value per share</w:t>
            </w:r>
          </w:p>
        </w:tc>
        <w:tc>
          <w:tcPr>
            <w:tcW w:w="5020" w:type="dxa"/>
            <w:vAlign w:val="bottom"/>
          </w:tcPr>
          <w:p>
            <w:pPr>
              <w:ind w:left="40"/>
              <w:spacing w:after="0"/>
              <w:rPr>
                <w:sz w:val="20"/>
                <w:szCs w:val="20"/>
                <w:color w:val="auto"/>
              </w:rPr>
            </w:pPr>
            <w:r>
              <w:rPr>
                <w:rFonts w:ascii="Arial" w:cs="Arial" w:eastAsia="Arial" w:hAnsi="Arial"/>
                <w:sz w:val="18"/>
                <w:szCs w:val="18"/>
                <w:color w:val="auto"/>
              </w:rPr>
              <w:t>NASDAQ Stock Market</w:t>
            </w:r>
          </w:p>
        </w:tc>
      </w:tr>
    </w:tbl>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14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ind w:right="80"/>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7" w:lineRule="exact"/>
        <w:rPr>
          <w:sz w:val="24"/>
          <w:szCs w:val="24"/>
          <w:color w:val="auto"/>
        </w:rPr>
      </w:pPr>
    </w:p>
    <w:p>
      <w:pPr>
        <w:jc w:val="both"/>
        <w:ind w:right="22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From 10-K or any amendment to this Form 10-K. o</w:t>
      </w:r>
    </w:p>
    <w:p>
      <w:pPr>
        <w:spacing w:after="0" w:line="161" w:lineRule="exact"/>
        <w:rPr>
          <w:sz w:val="24"/>
          <w:szCs w:val="24"/>
          <w:color w:val="auto"/>
        </w:rPr>
      </w:pPr>
    </w:p>
    <w:p>
      <w:pPr>
        <w:ind w:right="160"/>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49" w:right="239" w:bottom="60" w:gutter="0" w:footer="0" w:header="0"/>
          <w:type w:val="continuous"/>
        </w:sectPr>
      </w:pPr>
    </w:p>
    <w:p>
      <w:pPr>
        <w:spacing w:after="0" w:line="1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84" w:lineRule="exact"/>
        <w:rPr>
          <w:sz w:val="24"/>
          <w:szCs w:val="24"/>
          <w:color w:val="auto"/>
        </w:rPr>
      </w:pPr>
    </w:p>
    <w:p>
      <w:pPr>
        <w:sectPr>
          <w:pgSz w:w="11900" w:h="16838" w:orient="portrait"/>
          <w:cols w:equalWidth="0" w:num="8">
            <w:col w:w="1660" w:space="720"/>
            <w:col w:w="80" w:space="560"/>
            <w:col w:w="1260" w:space="720"/>
            <w:col w:w="80" w:space="580"/>
            <w:col w:w="1480" w:space="700"/>
            <w:col w:w="80" w:space="560"/>
            <w:col w:w="1940" w:space="700"/>
            <w:col w:w="300"/>
          </w:cols>
          <w:pgMar w:left="240" w:top="249" w:right="239" w:bottom="60" w:gutter="0" w:footer="0" w:header="0"/>
          <w:type w:val="continuous"/>
        </w:sectPr>
      </w:pPr>
    </w:p>
    <w:p>
      <w:pPr>
        <w:jc w:val="center"/>
        <w:ind w:left="23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23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420"/>
          </w:cols>
          <w:pgMar w:left="240" w:top="249" w:right="239" w:bottom="60" w:gutter="0" w:footer="0" w:header="0"/>
          <w:type w:val="continuous"/>
        </w:sectPr>
      </w:pP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8" w:lineRule="exact"/>
        <w:rPr>
          <w:sz w:val="24"/>
          <w:szCs w:val="24"/>
          <w:color w:val="auto"/>
        </w:rPr>
      </w:pPr>
    </w:p>
    <w:p>
      <w:pPr>
        <w:sectPr>
          <w:pgSz w:w="11900" w:h="16838" w:orient="portrait"/>
          <w:cols w:equalWidth="0" w:num="5">
            <w:col w:w="8100" w:space="180"/>
            <w:col w:w="260" w:space="80"/>
            <w:col w:w="100" w:space="160"/>
            <w:col w:w="200" w:space="80"/>
            <w:col w:w="2260"/>
          </w:cols>
          <w:pgMar w:left="240" w:top="249" w:right="239" w:bottom="60" w:gutter="0" w:footer="0" w:header="0"/>
          <w:type w:val="continuous"/>
        </w:sectPr>
      </w:pPr>
    </w:p>
    <w:p>
      <w:pPr>
        <w:ind w:right="100"/>
        <w:spacing w:after="0" w:line="251" w:lineRule="auto"/>
        <w:rPr>
          <w:sz w:val="20"/>
          <w:szCs w:val="20"/>
          <w:color w:val="auto"/>
        </w:rPr>
      </w:pPr>
      <w:r>
        <w:rPr>
          <w:rFonts w:ascii="Arial" w:cs="Arial" w:eastAsia="Arial" w:hAnsi="Arial"/>
          <w:sz w:val="16"/>
          <w:szCs w:val="16"/>
          <w:color w:val="auto"/>
        </w:rPr>
        <w:t>As of June 30, 2014, the aggregate market value of voting shares of common stock held by non-affiliates of the registrant was $525 million based on the last reported sale price of the registrant's common stock on June 30, 2014.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February 27, 2015 was 33,915,121 shares.</w:t>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Portions of the registrant's Proxy Statement for its 2015 Annual Meeting of Stockholders are incorporated by reference in Part III of this Annual Report on Form 10-K where indicated. Such proxy statement will be filed with the Securities and Exchange Commission within 120 days of the registrant's fiscal year ended December 31, 2014.</w:t>
      </w:r>
    </w:p>
    <w:p>
      <w:pPr>
        <w:sectPr>
          <w:pgSz w:w="11900" w:h="16838" w:orient="portrait"/>
          <w:cols w:equalWidth="0" w:num="1">
            <w:col w:w="11420"/>
          </w:cols>
          <w:pgMar w:left="240" w:top="249" w:right="239" w:bottom="60" w:gutter="0" w:footer="0" w:header="0"/>
          <w:type w:val="continuous"/>
        </w:sectPr>
      </w:pPr>
    </w:p>
    <w:bookmarkStart w:id="1" w:name="page2"/>
    <w:bookmarkEnd w:id="1"/>
    <w:p>
      <w:pPr>
        <w:spacing w:after="0" w:line="25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0" w:type="dxa"/>
            <w:vAlign w:val="bottom"/>
          </w:tcPr>
          <w:p>
            <w:pPr>
              <w:jc w:val="center"/>
              <w:spacing w:after="0"/>
              <w:rPr>
                <w:sz w:val="20"/>
                <w:szCs w:val="20"/>
                <w:color w:val="auto"/>
              </w:rPr>
            </w:pPr>
            <w:r>
              <w:rPr>
                <w:rFonts w:ascii="Arial" w:cs="Arial" w:eastAsia="Arial" w:hAnsi="Arial"/>
                <w:sz w:val="18"/>
                <w:szCs w:val="18"/>
                <w:b w:val="1"/>
                <w:bCs w:val="1"/>
                <w:color w:val="231F20"/>
              </w:rPr>
              <w:t>Qualys, Inc.</w:t>
            </w:r>
          </w:p>
        </w:tc>
        <w:tc>
          <w:tcPr>
            <w:tcW w:w="800" w:type="dxa"/>
            <w:vAlign w:val="bottom"/>
          </w:tcPr>
          <w:p>
            <w:pPr>
              <w:spacing w:after="0"/>
              <w:rPr>
                <w:sz w:val="18"/>
                <w:szCs w:val="18"/>
                <w:color w:val="auto"/>
              </w:rPr>
            </w:pPr>
          </w:p>
        </w:tc>
      </w:tr>
      <w:tr>
        <w:trPr>
          <w:trHeight w:val="239"/>
        </w:trPr>
        <w:tc>
          <w:tcPr>
            <w:tcW w:w="780" w:type="dxa"/>
            <w:vAlign w:val="bottom"/>
          </w:tcPr>
          <w:p>
            <w:pPr>
              <w:spacing w:after="0"/>
              <w:rPr>
                <w:sz w:val="20"/>
                <w:szCs w:val="20"/>
                <w:color w:val="auto"/>
              </w:rPr>
            </w:pPr>
          </w:p>
        </w:tc>
        <w:tc>
          <w:tcPr>
            <w:tcW w:w="9800" w:type="dxa"/>
            <w:vAlign w:val="bottom"/>
          </w:tcPr>
          <w:p>
            <w:pPr>
              <w:jc w:val="center"/>
              <w:spacing w:after="0"/>
              <w:rPr>
                <w:sz w:val="20"/>
                <w:szCs w:val="20"/>
                <w:color w:val="auto"/>
              </w:rPr>
            </w:pPr>
            <w:r>
              <w:rPr>
                <w:rFonts w:ascii="Arial" w:cs="Arial" w:eastAsia="Arial" w:hAnsi="Arial"/>
                <w:sz w:val="18"/>
                <w:szCs w:val="18"/>
                <w:b w:val="1"/>
                <w:bCs w:val="1"/>
                <w:color w:val="231F20"/>
                <w:w w:val="98"/>
              </w:rPr>
              <w:t>TABLE OF CONTENTS</w:t>
            </w:r>
          </w:p>
        </w:tc>
        <w:tc>
          <w:tcPr>
            <w:tcW w:w="800" w:type="dxa"/>
            <w:vAlign w:val="bottom"/>
          </w:tcPr>
          <w:p>
            <w:pPr>
              <w:spacing w:after="0"/>
              <w:rPr>
                <w:sz w:val="20"/>
                <w:szCs w:val="20"/>
                <w:color w:val="auto"/>
              </w:rPr>
            </w:pPr>
          </w:p>
        </w:tc>
      </w:tr>
      <w:tr>
        <w:trPr>
          <w:trHeight w:val="372"/>
        </w:trPr>
        <w:tc>
          <w:tcPr>
            <w:tcW w:w="7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Page</w:t>
            </w:r>
          </w:p>
        </w:tc>
      </w:tr>
      <w:tr>
        <w:trPr>
          <w:trHeight w:val="210"/>
        </w:trPr>
        <w:tc>
          <w:tcPr>
            <w:tcW w:w="780" w:type="dxa"/>
            <w:vAlign w:val="bottom"/>
          </w:tcPr>
          <w:p>
            <w:pPr>
              <w:spacing w:after="0"/>
              <w:rPr>
                <w:sz w:val="18"/>
                <w:szCs w:val="18"/>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9"/>
              </w:rPr>
              <w:t>PART I</w:t>
            </w:r>
          </w:p>
        </w:tc>
        <w:tc>
          <w:tcPr>
            <w:tcW w:w="800" w:type="dxa"/>
            <w:vAlign w:val="bottom"/>
          </w:tcPr>
          <w:p>
            <w:pPr>
              <w:spacing w:after="0"/>
              <w:rPr>
                <w:sz w:val="18"/>
                <w:szCs w:val="18"/>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tcPr>
          <w:p>
            <w:pPr>
              <w:ind w:left="2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800" w:type="dxa"/>
            <w:vAlign w:val="bottom"/>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1A.</w:t>
            </w:r>
          </w:p>
        </w:tc>
        <w:tc>
          <w:tcPr>
            <w:tcW w:w="9800" w:type="dxa"/>
            <w:vAlign w:val="bottom"/>
          </w:tcPr>
          <w:p>
            <w:pPr>
              <w:ind w:left="20"/>
              <w:spacing w:after="0"/>
              <w:rPr>
                <w:rFonts w:ascii="Arial" w:cs="Arial" w:eastAsia="Arial" w:hAnsi="Arial"/>
                <w:sz w:val="16"/>
                <w:szCs w:val="16"/>
                <w:color w:val="0000EE"/>
              </w:rPr>
            </w:pPr>
            <w:hyperlink w:anchor="page12">
              <w:r>
                <w:rPr>
                  <w:rFonts w:ascii="Arial" w:cs="Arial" w:eastAsia="Arial" w:hAnsi="Arial"/>
                  <w:sz w:val="16"/>
                  <w:szCs w:val="16"/>
                  <w:color w:val="0000EE"/>
                </w:rPr>
                <w:t>Risk Factors</w:t>
              </w:r>
            </w:hyperlink>
          </w:p>
        </w:tc>
        <w:tc>
          <w:tcPr>
            <w:tcW w:w="800" w:type="dxa"/>
            <w:vAlign w:val="bottom"/>
          </w:tcPr>
          <w:p>
            <w:pPr>
              <w:jc w:val="center"/>
              <w:spacing w:after="0"/>
              <w:rPr>
                <w:rFonts w:ascii="Arial" w:cs="Arial" w:eastAsia="Arial" w:hAnsi="Arial"/>
                <w:sz w:val="16"/>
                <w:szCs w:val="16"/>
                <w:color w:val="0000EE"/>
              </w:rPr>
            </w:pPr>
            <w:hyperlink w:anchor="page12">
              <w:r>
                <w:rPr>
                  <w:rFonts w:ascii="Arial" w:cs="Arial" w:eastAsia="Arial" w:hAnsi="Arial"/>
                  <w:sz w:val="16"/>
                  <w:szCs w:val="16"/>
                  <w:color w:val="0000EE"/>
                </w:rPr>
                <w:t>12</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1B.</w:t>
            </w:r>
          </w:p>
        </w:tc>
        <w:tc>
          <w:tcPr>
            <w:tcW w:w="9800" w:type="dxa"/>
            <w:vAlign w:val="bottom"/>
          </w:tcPr>
          <w:p>
            <w:pPr>
              <w:ind w:left="20"/>
              <w:spacing w:after="0"/>
              <w:rPr>
                <w:rFonts w:ascii="Arial" w:cs="Arial" w:eastAsia="Arial" w:hAnsi="Arial"/>
                <w:sz w:val="16"/>
                <w:szCs w:val="16"/>
                <w:color w:val="0000EE"/>
              </w:rPr>
            </w:pPr>
            <w:hyperlink w:anchor="page33">
              <w:r>
                <w:rPr>
                  <w:rFonts w:ascii="Arial" w:cs="Arial" w:eastAsia="Arial" w:hAnsi="Arial"/>
                  <w:sz w:val="16"/>
                  <w:szCs w:val="16"/>
                  <w:color w:val="0000EE"/>
                </w:rPr>
                <w:t>Unresolved Staff Comments</w:t>
              </w:r>
            </w:hyperlink>
          </w:p>
        </w:tc>
        <w:tc>
          <w:tcPr>
            <w:tcW w:w="800" w:type="dxa"/>
            <w:vAlign w:val="bottom"/>
          </w:tcPr>
          <w:p>
            <w:pPr>
              <w:jc w:val="center"/>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tcPr>
          <w:p>
            <w:pPr>
              <w:ind w:left="20"/>
              <w:spacing w:after="0"/>
              <w:rPr>
                <w:rFonts w:ascii="Arial" w:cs="Arial" w:eastAsia="Arial" w:hAnsi="Arial"/>
                <w:sz w:val="16"/>
                <w:szCs w:val="16"/>
                <w:color w:val="0000EE"/>
              </w:rPr>
            </w:pPr>
            <w:hyperlink w:anchor="page34">
              <w:r>
                <w:rPr>
                  <w:rFonts w:ascii="Arial" w:cs="Arial" w:eastAsia="Arial" w:hAnsi="Arial"/>
                  <w:sz w:val="16"/>
                  <w:szCs w:val="16"/>
                  <w:color w:val="0000EE"/>
                </w:rPr>
                <w:t>Properties</w:t>
              </w:r>
            </w:hyperlink>
          </w:p>
        </w:tc>
        <w:tc>
          <w:tcPr>
            <w:tcW w:w="800" w:type="dxa"/>
            <w:vAlign w:val="bottom"/>
          </w:tcPr>
          <w:p>
            <w:pPr>
              <w:jc w:val="center"/>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9800" w:type="dxa"/>
            <w:vAlign w:val="bottom"/>
          </w:tcPr>
          <w:p>
            <w:pPr>
              <w:ind w:left="20"/>
              <w:spacing w:after="0"/>
              <w:rPr>
                <w:rFonts w:ascii="Arial" w:cs="Arial" w:eastAsia="Arial" w:hAnsi="Arial"/>
                <w:sz w:val="16"/>
                <w:szCs w:val="16"/>
                <w:color w:val="0000EE"/>
              </w:rPr>
            </w:pPr>
            <w:hyperlink w:anchor="page34">
              <w:r>
                <w:rPr>
                  <w:rFonts w:ascii="Arial" w:cs="Arial" w:eastAsia="Arial" w:hAnsi="Arial"/>
                  <w:sz w:val="16"/>
                  <w:szCs w:val="16"/>
                  <w:color w:val="0000EE"/>
                </w:rPr>
                <w:t>Legal Proceedings</w:t>
              </w:r>
            </w:hyperlink>
          </w:p>
        </w:tc>
        <w:tc>
          <w:tcPr>
            <w:tcW w:w="800" w:type="dxa"/>
            <w:vAlign w:val="bottom"/>
          </w:tcPr>
          <w:p>
            <w:pPr>
              <w:jc w:val="center"/>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tcPr>
          <w:p>
            <w:pPr>
              <w:ind w:left="20"/>
              <w:spacing w:after="0"/>
              <w:rPr>
                <w:rFonts w:ascii="Arial" w:cs="Arial" w:eastAsia="Arial" w:hAnsi="Arial"/>
                <w:sz w:val="16"/>
                <w:szCs w:val="16"/>
                <w:color w:val="0000EE"/>
              </w:rPr>
            </w:pPr>
            <w:hyperlink w:anchor="page34">
              <w:r>
                <w:rPr>
                  <w:rFonts w:ascii="Arial" w:cs="Arial" w:eastAsia="Arial" w:hAnsi="Arial"/>
                  <w:sz w:val="16"/>
                  <w:szCs w:val="16"/>
                  <w:color w:val="0000EE"/>
                </w:rPr>
                <w:t>Mine Safety Disclosures</w:t>
              </w:r>
            </w:hyperlink>
          </w:p>
        </w:tc>
        <w:tc>
          <w:tcPr>
            <w:tcW w:w="800" w:type="dxa"/>
            <w:vAlign w:val="bottom"/>
          </w:tcPr>
          <w:p>
            <w:pPr>
              <w:jc w:val="center"/>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8"/>
              </w:rPr>
              <w:t>PART II</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5.</w:t>
            </w:r>
          </w:p>
        </w:tc>
        <w:tc>
          <w:tcPr>
            <w:tcW w:w="9800" w:type="dxa"/>
            <w:vAlign w:val="bottom"/>
          </w:tcPr>
          <w:p>
            <w:pPr>
              <w:ind w:left="20"/>
              <w:spacing w:after="0"/>
              <w:rPr>
                <w:rFonts w:ascii="Arial" w:cs="Arial" w:eastAsia="Arial" w:hAnsi="Arial"/>
                <w:sz w:val="16"/>
                <w:szCs w:val="16"/>
                <w:color w:val="0000EE"/>
              </w:rPr>
            </w:pPr>
            <w:hyperlink w:anchor="page35">
              <w:r>
                <w:rPr>
                  <w:rFonts w:ascii="Arial" w:cs="Arial" w:eastAsia="Arial" w:hAnsi="Arial"/>
                  <w:sz w:val="16"/>
                  <w:szCs w:val="16"/>
                  <w:color w:val="0000EE"/>
                </w:rPr>
                <w:t>Market for Registrant's Common Equity, Related Stockholder Matters and Issuer Purchases of Equity Securities</w:t>
              </w:r>
            </w:hyperlink>
          </w:p>
        </w:tc>
        <w:tc>
          <w:tcPr>
            <w:tcW w:w="80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tcPr>
          <w:p>
            <w:pPr>
              <w:ind w:left="20"/>
              <w:spacing w:after="0"/>
              <w:rPr>
                <w:rFonts w:ascii="Arial" w:cs="Arial" w:eastAsia="Arial" w:hAnsi="Arial"/>
                <w:sz w:val="16"/>
                <w:szCs w:val="16"/>
                <w:color w:val="0000EE"/>
              </w:rPr>
            </w:pPr>
            <w:hyperlink w:anchor="page37">
              <w:r>
                <w:rPr>
                  <w:rFonts w:ascii="Arial" w:cs="Arial" w:eastAsia="Arial" w:hAnsi="Arial"/>
                  <w:sz w:val="16"/>
                  <w:szCs w:val="16"/>
                  <w:color w:val="0000EE"/>
                </w:rPr>
                <w:t>Selected Consolidated Financial Data</w:t>
              </w:r>
            </w:hyperlink>
          </w:p>
        </w:tc>
        <w:tc>
          <w:tcPr>
            <w:tcW w:w="800" w:type="dxa"/>
            <w:vAlign w:val="bottom"/>
          </w:tcPr>
          <w:p>
            <w:pPr>
              <w:jc w:val="center"/>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7.</w:t>
            </w:r>
          </w:p>
        </w:tc>
        <w:tc>
          <w:tcPr>
            <w:tcW w:w="9800" w:type="dxa"/>
            <w:vAlign w:val="bottom"/>
          </w:tcPr>
          <w:p>
            <w:pPr>
              <w:ind w:left="20"/>
              <w:spacing w:after="0"/>
              <w:rPr>
                <w:rFonts w:ascii="Arial" w:cs="Arial" w:eastAsia="Arial" w:hAnsi="Arial"/>
                <w:sz w:val="16"/>
                <w:szCs w:val="16"/>
                <w:color w:val="0000EE"/>
              </w:rPr>
            </w:pPr>
            <w:hyperlink w:anchor="page39">
              <w:r>
                <w:rPr>
                  <w:rFonts w:ascii="Arial" w:cs="Arial" w:eastAsia="Arial" w:hAnsi="Arial"/>
                  <w:sz w:val="16"/>
                  <w:szCs w:val="16"/>
                  <w:color w:val="0000EE"/>
                </w:rPr>
                <w:t>Management's Discussion and Analysis of Financial Condition and Results of Operations</w:t>
              </w:r>
            </w:hyperlink>
          </w:p>
        </w:tc>
        <w:tc>
          <w:tcPr>
            <w:tcW w:w="800" w:type="dxa"/>
            <w:vAlign w:val="bottom"/>
          </w:tcPr>
          <w:p>
            <w:pPr>
              <w:jc w:val="center"/>
              <w:spacing w:after="0"/>
              <w:rPr>
                <w:rFonts w:ascii="Arial" w:cs="Arial" w:eastAsia="Arial" w:hAnsi="Arial"/>
                <w:sz w:val="16"/>
                <w:szCs w:val="16"/>
                <w:color w:val="0000EE"/>
              </w:rPr>
            </w:pPr>
            <w:hyperlink w:anchor="page39">
              <w:r>
                <w:rPr>
                  <w:rFonts w:ascii="Arial" w:cs="Arial" w:eastAsia="Arial" w:hAnsi="Arial"/>
                  <w:sz w:val="16"/>
                  <w:szCs w:val="16"/>
                  <w:color w:val="0000EE"/>
                </w:rPr>
                <w:t>39</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7A.</w:t>
            </w:r>
          </w:p>
        </w:tc>
        <w:tc>
          <w:tcPr>
            <w:tcW w:w="9800" w:type="dxa"/>
            <w:vAlign w:val="bottom"/>
          </w:tcPr>
          <w:p>
            <w:pPr>
              <w:ind w:left="20"/>
              <w:spacing w:after="0"/>
              <w:rPr>
                <w:rFonts w:ascii="Arial" w:cs="Arial" w:eastAsia="Arial" w:hAnsi="Arial"/>
                <w:sz w:val="16"/>
                <w:szCs w:val="16"/>
                <w:color w:val="0000EE"/>
              </w:rPr>
            </w:pPr>
            <w:hyperlink w:anchor="page57">
              <w:r>
                <w:rPr>
                  <w:rFonts w:ascii="Arial" w:cs="Arial" w:eastAsia="Arial" w:hAnsi="Arial"/>
                  <w:sz w:val="16"/>
                  <w:szCs w:val="16"/>
                  <w:color w:val="0000EE"/>
                </w:rPr>
                <w:t>Quantitative and Qualitative Disclosures About Market Risk</w:t>
              </w:r>
            </w:hyperlink>
          </w:p>
        </w:tc>
        <w:tc>
          <w:tcPr>
            <w:tcW w:w="800" w:type="dxa"/>
            <w:vAlign w:val="bottom"/>
          </w:tcPr>
          <w:p>
            <w:pPr>
              <w:jc w:val="center"/>
              <w:spacing w:after="0"/>
              <w:rPr>
                <w:rFonts w:ascii="Arial" w:cs="Arial" w:eastAsia="Arial" w:hAnsi="Arial"/>
                <w:sz w:val="16"/>
                <w:szCs w:val="16"/>
                <w:color w:val="0000EE"/>
              </w:rPr>
            </w:pPr>
            <w:hyperlink w:anchor="page57">
              <w:r>
                <w:rPr>
                  <w:rFonts w:ascii="Arial" w:cs="Arial" w:eastAsia="Arial" w:hAnsi="Arial"/>
                  <w:sz w:val="16"/>
                  <w:szCs w:val="16"/>
                  <w:color w:val="0000EE"/>
                </w:rPr>
                <w:t>56</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8.</w:t>
            </w:r>
          </w:p>
        </w:tc>
        <w:tc>
          <w:tcPr>
            <w:tcW w:w="9800" w:type="dxa"/>
            <w:vAlign w:val="bottom"/>
          </w:tcPr>
          <w:p>
            <w:pPr>
              <w:ind w:left="20"/>
              <w:spacing w:after="0"/>
              <w:rPr>
                <w:rFonts w:ascii="Arial" w:cs="Arial" w:eastAsia="Arial" w:hAnsi="Arial"/>
                <w:sz w:val="16"/>
                <w:szCs w:val="16"/>
                <w:color w:val="0000EE"/>
              </w:rPr>
            </w:pPr>
            <w:hyperlink w:anchor="page57">
              <w:r>
                <w:rPr>
                  <w:rFonts w:ascii="Arial" w:cs="Arial" w:eastAsia="Arial" w:hAnsi="Arial"/>
                  <w:sz w:val="16"/>
                  <w:szCs w:val="16"/>
                  <w:color w:val="0000EE"/>
                </w:rPr>
                <w:t>Financial Statements and Supplementary Data</w:t>
              </w:r>
            </w:hyperlink>
          </w:p>
        </w:tc>
        <w:tc>
          <w:tcPr>
            <w:tcW w:w="800" w:type="dxa"/>
            <w:vAlign w:val="bottom"/>
          </w:tcPr>
          <w:p>
            <w:pPr>
              <w:jc w:val="center"/>
              <w:spacing w:after="0"/>
              <w:rPr>
                <w:rFonts w:ascii="Arial" w:cs="Arial" w:eastAsia="Arial" w:hAnsi="Arial"/>
                <w:sz w:val="16"/>
                <w:szCs w:val="16"/>
                <w:color w:val="0000EE"/>
              </w:rPr>
            </w:pPr>
            <w:hyperlink w:anchor="page57">
              <w:r>
                <w:rPr>
                  <w:rFonts w:ascii="Arial" w:cs="Arial" w:eastAsia="Arial" w:hAnsi="Arial"/>
                  <w:sz w:val="16"/>
                  <w:szCs w:val="16"/>
                  <w:color w:val="0000EE"/>
                </w:rPr>
                <w:t>57</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w:t>
            </w:r>
          </w:p>
        </w:tc>
        <w:tc>
          <w:tcPr>
            <w:tcW w:w="9800" w:type="dxa"/>
            <w:vAlign w:val="bottom"/>
          </w:tcPr>
          <w:p>
            <w:pPr>
              <w:ind w:left="20"/>
              <w:spacing w:after="0"/>
              <w:rPr>
                <w:rFonts w:ascii="Arial" w:cs="Arial" w:eastAsia="Arial" w:hAnsi="Arial"/>
                <w:sz w:val="16"/>
                <w:szCs w:val="16"/>
                <w:color w:val="0000EE"/>
              </w:rPr>
            </w:pPr>
            <w:hyperlink w:anchor="page91">
              <w:r>
                <w:rPr>
                  <w:rFonts w:ascii="Arial" w:cs="Arial" w:eastAsia="Arial" w:hAnsi="Arial"/>
                  <w:sz w:val="16"/>
                  <w:szCs w:val="16"/>
                  <w:color w:val="0000EE"/>
                </w:rPr>
                <w:t>Changes in and Disagreements with Accountants on Accounting and Financial Disclosure</w:t>
              </w:r>
            </w:hyperlink>
          </w:p>
        </w:tc>
        <w:tc>
          <w:tcPr>
            <w:tcW w:w="800" w:type="dxa"/>
            <w:vAlign w:val="bottom"/>
          </w:tcPr>
          <w:p>
            <w:pPr>
              <w:jc w:val="center"/>
              <w:spacing w:after="0"/>
              <w:rPr>
                <w:rFonts w:ascii="Arial" w:cs="Arial" w:eastAsia="Arial" w:hAnsi="Arial"/>
                <w:sz w:val="16"/>
                <w:szCs w:val="16"/>
                <w:color w:val="0000EE"/>
              </w:rPr>
            </w:pPr>
            <w:hyperlink w:anchor="page91">
              <w:r>
                <w:rPr>
                  <w:rFonts w:ascii="Arial" w:cs="Arial" w:eastAsia="Arial" w:hAnsi="Arial"/>
                  <w:sz w:val="16"/>
                  <w:szCs w:val="16"/>
                  <w:color w:val="0000EE"/>
                </w:rPr>
                <w:t>91</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9A.</w:t>
            </w:r>
          </w:p>
        </w:tc>
        <w:tc>
          <w:tcPr>
            <w:tcW w:w="9800" w:type="dxa"/>
            <w:vAlign w:val="bottom"/>
          </w:tcPr>
          <w:p>
            <w:pPr>
              <w:ind w:left="20"/>
              <w:spacing w:after="0"/>
              <w:rPr>
                <w:rFonts w:ascii="Arial" w:cs="Arial" w:eastAsia="Arial" w:hAnsi="Arial"/>
                <w:sz w:val="16"/>
                <w:szCs w:val="16"/>
                <w:color w:val="0000EE"/>
              </w:rPr>
            </w:pPr>
            <w:hyperlink w:anchor="page92">
              <w:r>
                <w:rPr>
                  <w:rFonts w:ascii="Arial" w:cs="Arial" w:eastAsia="Arial" w:hAnsi="Arial"/>
                  <w:sz w:val="16"/>
                  <w:szCs w:val="16"/>
                  <w:color w:val="0000EE"/>
                </w:rPr>
                <w:t>Controls and Procedures</w:t>
              </w:r>
            </w:hyperlink>
          </w:p>
        </w:tc>
        <w:tc>
          <w:tcPr>
            <w:tcW w:w="800" w:type="dxa"/>
            <w:vAlign w:val="bottom"/>
          </w:tcPr>
          <w:p>
            <w:pPr>
              <w:jc w:val="center"/>
              <w:spacing w:after="0"/>
              <w:rPr>
                <w:rFonts w:ascii="Arial" w:cs="Arial" w:eastAsia="Arial" w:hAnsi="Arial"/>
                <w:sz w:val="16"/>
                <w:szCs w:val="16"/>
                <w:color w:val="0000EE"/>
              </w:rPr>
            </w:pPr>
            <w:hyperlink w:anchor="page92">
              <w:r>
                <w:rPr>
                  <w:rFonts w:ascii="Arial" w:cs="Arial" w:eastAsia="Arial" w:hAnsi="Arial"/>
                  <w:sz w:val="16"/>
                  <w:szCs w:val="16"/>
                  <w:color w:val="0000EE"/>
                </w:rPr>
                <w:t>91</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9B.</w:t>
            </w:r>
          </w:p>
        </w:tc>
        <w:tc>
          <w:tcPr>
            <w:tcW w:w="9800" w:type="dxa"/>
            <w:vAlign w:val="bottom"/>
          </w:tcPr>
          <w:p>
            <w:pPr>
              <w:ind w:left="20"/>
              <w:spacing w:after="0"/>
              <w:rPr>
                <w:rFonts w:ascii="Arial" w:cs="Arial" w:eastAsia="Arial" w:hAnsi="Arial"/>
                <w:sz w:val="16"/>
                <w:szCs w:val="16"/>
                <w:color w:val="0000EE"/>
              </w:rPr>
            </w:pPr>
            <w:hyperlink w:anchor="page93">
              <w:r>
                <w:rPr>
                  <w:rFonts w:ascii="Arial" w:cs="Arial" w:eastAsia="Arial" w:hAnsi="Arial"/>
                  <w:sz w:val="16"/>
                  <w:szCs w:val="16"/>
                  <w:color w:val="0000EE"/>
                </w:rPr>
                <w:t>Other Information</w:t>
              </w:r>
            </w:hyperlink>
          </w:p>
        </w:tc>
        <w:tc>
          <w:tcPr>
            <w:tcW w:w="800" w:type="dxa"/>
            <w:vAlign w:val="bottom"/>
          </w:tcPr>
          <w:p>
            <w:pPr>
              <w:jc w:val="center"/>
              <w:spacing w:after="0"/>
              <w:rPr>
                <w:rFonts w:ascii="Arial" w:cs="Arial" w:eastAsia="Arial" w:hAnsi="Arial"/>
                <w:sz w:val="16"/>
                <w:szCs w:val="16"/>
                <w:color w:val="0000EE"/>
              </w:rPr>
            </w:pPr>
            <w:hyperlink w:anchor="page93">
              <w:r>
                <w:rPr>
                  <w:rFonts w:ascii="Arial" w:cs="Arial" w:eastAsia="Arial" w:hAnsi="Arial"/>
                  <w:sz w:val="16"/>
                  <w:szCs w:val="16"/>
                  <w:color w:val="0000EE"/>
                </w:rPr>
                <w:t>92</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10.</w:t>
            </w:r>
          </w:p>
        </w:tc>
        <w:tc>
          <w:tcPr>
            <w:tcW w:w="9800" w:type="dxa"/>
            <w:vAlign w:val="bottom"/>
          </w:tcPr>
          <w:p>
            <w:pPr>
              <w:ind w:left="20"/>
              <w:spacing w:after="0"/>
              <w:rPr>
                <w:rFonts w:ascii="Arial" w:cs="Arial" w:eastAsia="Arial" w:hAnsi="Arial"/>
                <w:sz w:val="16"/>
                <w:szCs w:val="16"/>
                <w:color w:val="0000EE"/>
              </w:rPr>
            </w:pPr>
            <w:hyperlink w:anchor="page94">
              <w:r>
                <w:rPr>
                  <w:rFonts w:ascii="Arial" w:cs="Arial" w:eastAsia="Arial" w:hAnsi="Arial"/>
                  <w:sz w:val="16"/>
                  <w:szCs w:val="16"/>
                  <w:color w:val="0000EE"/>
                </w:rPr>
                <w:t>Directors, Executive Officers and Corporate Governance</w:t>
              </w:r>
            </w:hyperlink>
          </w:p>
        </w:tc>
        <w:tc>
          <w:tcPr>
            <w:tcW w:w="800" w:type="dxa"/>
            <w:vAlign w:val="bottom"/>
          </w:tcPr>
          <w:p>
            <w:pPr>
              <w:jc w:val="center"/>
              <w:spacing w:after="0"/>
              <w:rPr>
                <w:rFonts w:ascii="Arial" w:cs="Arial" w:eastAsia="Arial" w:hAnsi="Arial"/>
                <w:sz w:val="16"/>
                <w:szCs w:val="16"/>
                <w:color w:val="0000EE"/>
              </w:rPr>
            </w:pPr>
            <w:hyperlink w:anchor="page94">
              <w:r>
                <w:rPr>
                  <w:rFonts w:ascii="Arial" w:cs="Arial" w:eastAsia="Arial" w:hAnsi="Arial"/>
                  <w:sz w:val="16"/>
                  <w:szCs w:val="16"/>
                  <w:color w:val="0000EE"/>
                </w:rPr>
                <w:t>93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11.</w:t>
            </w:r>
          </w:p>
        </w:tc>
        <w:tc>
          <w:tcPr>
            <w:tcW w:w="9800" w:type="dxa"/>
            <w:vAlign w:val="bottom"/>
          </w:tcPr>
          <w:p>
            <w:pPr>
              <w:ind w:left="20"/>
              <w:spacing w:after="0"/>
              <w:rPr>
                <w:rFonts w:ascii="Arial" w:cs="Arial" w:eastAsia="Arial" w:hAnsi="Arial"/>
                <w:sz w:val="16"/>
                <w:szCs w:val="16"/>
                <w:color w:val="0000EE"/>
              </w:rPr>
            </w:pPr>
            <w:hyperlink w:anchor="page94">
              <w:r>
                <w:rPr>
                  <w:rFonts w:ascii="Arial" w:cs="Arial" w:eastAsia="Arial" w:hAnsi="Arial"/>
                  <w:sz w:val="16"/>
                  <w:szCs w:val="16"/>
                  <w:color w:val="0000EE"/>
                </w:rPr>
                <w:t>Executive Compensation</w:t>
              </w:r>
            </w:hyperlink>
          </w:p>
        </w:tc>
        <w:tc>
          <w:tcPr>
            <w:tcW w:w="800" w:type="dxa"/>
            <w:vAlign w:val="bottom"/>
          </w:tcPr>
          <w:p>
            <w:pPr>
              <w:jc w:val="center"/>
              <w:spacing w:after="0"/>
              <w:rPr>
                <w:rFonts w:ascii="Arial" w:cs="Arial" w:eastAsia="Arial" w:hAnsi="Arial"/>
                <w:sz w:val="16"/>
                <w:szCs w:val="16"/>
                <w:color w:val="0000EE"/>
              </w:rPr>
            </w:pPr>
            <w:hyperlink w:anchor="page94">
              <w:r>
                <w:rPr>
                  <w:rFonts w:ascii="Arial" w:cs="Arial" w:eastAsia="Arial" w:hAnsi="Arial"/>
                  <w:sz w:val="16"/>
                  <w:szCs w:val="16"/>
                  <w:color w:val="0000EE"/>
                </w:rPr>
                <w:t>93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12.</w:t>
            </w:r>
          </w:p>
        </w:tc>
        <w:tc>
          <w:tcPr>
            <w:tcW w:w="9800" w:type="dxa"/>
            <w:vAlign w:val="bottom"/>
          </w:tcPr>
          <w:p>
            <w:pPr>
              <w:ind w:left="20"/>
              <w:spacing w:after="0"/>
              <w:rPr>
                <w:rFonts w:ascii="Arial" w:cs="Arial" w:eastAsia="Arial" w:hAnsi="Arial"/>
                <w:sz w:val="16"/>
                <w:szCs w:val="16"/>
                <w:color w:val="0000EE"/>
              </w:rPr>
            </w:pPr>
            <w:hyperlink w:anchor="page94">
              <w:r>
                <w:rPr>
                  <w:rFonts w:ascii="Arial" w:cs="Arial" w:eastAsia="Arial" w:hAnsi="Arial"/>
                  <w:sz w:val="16"/>
                  <w:szCs w:val="16"/>
                  <w:color w:val="0000EE"/>
                </w:rPr>
                <w:t>Security Ownership of Certain Beneficial Owners and Management and Related Stockholder Matters</w:t>
              </w:r>
            </w:hyperlink>
          </w:p>
        </w:tc>
        <w:tc>
          <w:tcPr>
            <w:tcW w:w="800" w:type="dxa"/>
            <w:vAlign w:val="bottom"/>
          </w:tcPr>
          <w:p>
            <w:pPr>
              <w:jc w:val="center"/>
              <w:spacing w:after="0"/>
              <w:rPr>
                <w:rFonts w:ascii="Arial" w:cs="Arial" w:eastAsia="Arial" w:hAnsi="Arial"/>
                <w:sz w:val="16"/>
                <w:szCs w:val="16"/>
                <w:color w:val="0000EE"/>
              </w:rPr>
            </w:pPr>
            <w:hyperlink w:anchor="page94">
              <w:r>
                <w:rPr>
                  <w:rFonts w:ascii="Arial" w:cs="Arial" w:eastAsia="Arial" w:hAnsi="Arial"/>
                  <w:sz w:val="16"/>
                  <w:szCs w:val="16"/>
                  <w:color w:val="0000EE"/>
                </w:rPr>
                <w:t>93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13.</w:t>
            </w:r>
          </w:p>
        </w:tc>
        <w:tc>
          <w:tcPr>
            <w:tcW w:w="9800" w:type="dxa"/>
            <w:vAlign w:val="bottom"/>
          </w:tcPr>
          <w:p>
            <w:pPr>
              <w:ind w:left="20"/>
              <w:spacing w:after="0"/>
              <w:rPr>
                <w:rFonts w:ascii="Arial" w:cs="Arial" w:eastAsia="Arial" w:hAnsi="Arial"/>
                <w:sz w:val="16"/>
                <w:szCs w:val="16"/>
                <w:color w:val="0000EE"/>
              </w:rPr>
            </w:pPr>
            <w:hyperlink w:anchor="page94">
              <w:r>
                <w:rPr>
                  <w:rFonts w:ascii="Arial" w:cs="Arial" w:eastAsia="Arial" w:hAnsi="Arial"/>
                  <w:sz w:val="16"/>
                  <w:szCs w:val="16"/>
                  <w:color w:val="0000EE"/>
                </w:rPr>
                <w:t>Certain Relationships and Related Transactions, and Director Independence</w:t>
              </w:r>
            </w:hyperlink>
          </w:p>
        </w:tc>
        <w:tc>
          <w:tcPr>
            <w:tcW w:w="800" w:type="dxa"/>
            <w:vAlign w:val="bottom"/>
          </w:tcPr>
          <w:p>
            <w:pPr>
              <w:jc w:val="center"/>
              <w:spacing w:after="0"/>
              <w:rPr>
                <w:rFonts w:ascii="Arial" w:cs="Arial" w:eastAsia="Arial" w:hAnsi="Arial"/>
                <w:sz w:val="16"/>
                <w:szCs w:val="16"/>
                <w:color w:val="0000EE"/>
              </w:rPr>
            </w:pPr>
            <w:hyperlink w:anchor="page94">
              <w:r>
                <w:rPr>
                  <w:rFonts w:ascii="Arial" w:cs="Arial" w:eastAsia="Arial" w:hAnsi="Arial"/>
                  <w:sz w:val="16"/>
                  <w:szCs w:val="16"/>
                  <w:color w:val="0000EE"/>
                </w:rPr>
                <w:t>93</w:t>
              </w:r>
            </w:hyperlink>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14.</w:t>
            </w:r>
          </w:p>
        </w:tc>
        <w:tc>
          <w:tcPr>
            <w:tcW w:w="9800" w:type="dxa"/>
            <w:vAlign w:val="bottom"/>
          </w:tcPr>
          <w:p>
            <w:pPr>
              <w:ind w:left="20"/>
              <w:spacing w:after="0"/>
              <w:rPr>
                <w:rFonts w:ascii="Arial" w:cs="Arial" w:eastAsia="Arial" w:hAnsi="Arial"/>
                <w:sz w:val="16"/>
                <w:szCs w:val="16"/>
                <w:color w:val="0000EE"/>
              </w:rPr>
            </w:pPr>
            <w:hyperlink w:anchor="page94">
              <w:r>
                <w:rPr>
                  <w:rFonts w:ascii="Arial" w:cs="Arial" w:eastAsia="Arial" w:hAnsi="Arial"/>
                  <w:sz w:val="16"/>
                  <w:szCs w:val="16"/>
                  <w:color w:val="0000EE"/>
                </w:rPr>
                <w:t>Principal Accounting Fees and Services</w:t>
              </w:r>
            </w:hyperlink>
          </w:p>
        </w:tc>
        <w:tc>
          <w:tcPr>
            <w:tcW w:w="800" w:type="dxa"/>
            <w:vAlign w:val="bottom"/>
          </w:tcPr>
          <w:p>
            <w:pPr>
              <w:jc w:val="center"/>
              <w:spacing w:after="0"/>
              <w:rPr>
                <w:rFonts w:ascii="Arial" w:cs="Arial" w:eastAsia="Arial" w:hAnsi="Arial"/>
                <w:sz w:val="16"/>
                <w:szCs w:val="16"/>
                <w:color w:val="0000EE"/>
              </w:rPr>
            </w:pPr>
            <w:hyperlink w:anchor="page94">
              <w:r>
                <w:rPr>
                  <w:rFonts w:ascii="Arial" w:cs="Arial" w:eastAsia="Arial" w:hAnsi="Arial"/>
                  <w:sz w:val="16"/>
                  <w:szCs w:val="16"/>
                  <w:color w:val="0000EE"/>
                </w:rPr>
                <w:t>94</w:t>
              </w:r>
            </w:hyperlink>
          </w:p>
        </w:tc>
      </w:tr>
      <w:tr>
        <w:trPr>
          <w:trHeight w:val="243"/>
        </w:trPr>
        <w:tc>
          <w:tcPr>
            <w:tcW w:w="780" w:type="dxa"/>
            <w:vAlign w:val="bottom"/>
          </w:tcPr>
          <w:p>
            <w:pPr>
              <w:spacing w:after="0"/>
              <w:rPr>
                <w:sz w:val="21"/>
                <w:szCs w:val="21"/>
                <w:color w:val="auto"/>
              </w:rPr>
            </w:pPr>
          </w:p>
        </w:tc>
        <w:tc>
          <w:tcPr>
            <w:tcW w:w="980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800" w:type="dxa"/>
            <w:vAlign w:val="bottom"/>
          </w:tcPr>
          <w:p>
            <w:pPr>
              <w:spacing w:after="0"/>
              <w:rPr>
                <w:sz w:val="21"/>
                <w:szCs w:val="21"/>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6"/>
                <w:szCs w:val="16"/>
                <w:color w:val="auto"/>
              </w:rPr>
              <w:t>Item 15.</w:t>
            </w:r>
          </w:p>
        </w:tc>
        <w:tc>
          <w:tcPr>
            <w:tcW w:w="9800" w:type="dxa"/>
            <w:vAlign w:val="bottom"/>
          </w:tcPr>
          <w:p>
            <w:pPr>
              <w:ind w:left="20"/>
              <w:spacing w:after="0"/>
              <w:rPr>
                <w:rFonts w:ascii="Arial" w:cs="Arial" w:eastAsia="Arial" w:hAnsi="Arial"/>
                <w:sz w:val="16"/>
                <w:szCs w:val="16"/>
                <w:color w:val="0000EE"/>
              </w:rPr>
            </w:pPr>
            <w:hyperlink w:anchor="page95">
              <w:r>
                <w:rPr>
                  <w:rFonts w:ascii="Arial" w:cs="Arial" w:eastAsia="Arial" w:hAnsi="Arial"/>
                  <w:sz w:val="16"/>
                  <w:szCs w:val="16"/>
                  <w:color w:val="0000EE"/>
                </w:rPr>
                <w:t>Exhibits and Financial Statement Schedules</w:t>
              </w:r>
            </w:hyperlink>
          </w:p>
        </w:tc>
        <w:tc>
          <w:tcPr>
            <w:tcW w:w="800" w:type="dxa"/>
            <w:vAlign w:val="bottom"/>
          </w:tcPr>
          <w:p>
            <w:pPr>
              <w:jc w:val="center"/>
              <w:spacing w:after="0"/>
              <w:rPr>
                <w:rFonts w:ascii="Arial" w:cs="Arial" w:eastAsia="Arial" w:hAnsi="Arial"/>
                <w:sz w:val="16"/>
                <w:szCs w:val="16"/>
                <w:color w:val="0000EE"/>
              </w:rPr>
            </w:pPr>
            <w:hyperlink w:anchor="page95">
              <w:r>
                <w:rPr>
                  <w:rFonts w:ascii="Arial" w:cs="Arial" w:eastAsia="Arial" w:hAnsi="Arial"/>
                  <w:sz w:val="16"/>
                  <w:szCs w:val="16"/>
                  <w:color w:val="0000EE"/>
                </w:rPr>
                <w:t>94</w:t>
              </w:r>
            </w:hyperlink>
          </w:p>
        </w:tc>
      </w:tr>
      <w:tr>
        <w:trPr>
          <w:trHeight w:val="243"/>
        </w:trPr>
        <w:tc>
          <w:tcPr>
            <w:tcW w:w="780" w:type="dxa"/>
            <w:vAlign w:val="bottom"/>
          </w:tcPr>
          <w:p>
            <w:pPr>
              <w:spacing w:after="0"/>
              <w:rPr>
                <w:rFonts w:ascii="Arial" w:cs="Arial" w:eastAsia="Arial" w:hAnsi="Arial"/>
                <w:sz w:val="16"/>
                <w:szCs w:val="16"/>
                <w:color w:val="0000EE"/>
                <w:w w:val="99"/>
              </w:rPr>
            </w:pPr>
            <w:hyperlink w:anchor="page95">
              <w:r>
                <w:rPr>
                  <w:rFonts w:ascii="Arial" w:cs="Arial" w:eastAsia="Arial" w:hAnsi="Arial"/>
                  <w:sz w:val="16"/>
                  <w:szCs w:val="16"/>
                  <w:color w:val="0000EE"/>
                  <w:w w:val="99"/>
                </w:rPr>
                <w:t>Signatures</w:t>
              </w:r>
            </w:hyperlink>
          </w:p>
        </w:tc>
        <w:tc>
          <w:tcPr>
            <w:tcW w:w="9800" w:type="dxa"/>
            <w:vAlign w:val="bottom"/>
          </w:tcPr>
          <w:p>
            <w:pPr>
              <w:spacing w:after="0"/>
              <w:rPr>
                <w:sz w:val="21"/>
                <w:szCs w:val="21"/>
                <w:color w:val="auto"/>
              </w:rPr>
            </w:pPr>
          </w:p>
        </w:tc>
        <w:tc>
          <w:tcPr>
            <w:tcW w:w="800" w:type="dxa"/>
            <w:vAlign w:val="bottom"/>
          </w:tcPr>
          <w:p>
            <w:pPr>
              <w:jc w:val="center"/>
              <w:spacing w:after="0"/>
              <w:rPr>
                <w:rFonts w:ascii="Arial" w:cs="Arial" w:eastAsia="Arial" w:hAnsi="Arial"/>
                <w:sz w:val="16"/>
                <w:szCs w:val="16"/>
                <w:color w:val="0000EE"/>
              </w:rPr>
            </w:pPr>
            <w:hyperlink w:anchor="page95">
              <w:r>
                <w:rPr>
                  <w:rFonts w:ascii="Arial" w:cs="Arial" w:eastAsia="Arial" w:hAnsi="Arial"/>
                  <w:sz w:val="16"/>
                  <w:szCs w:val="16"/>
                  <w:color w:val="0000EE"/>
                </w:rPr>
                <w:t>95</w:t>
              </w:r>
            </w:hyperlink>
          </w:p>
        </w:tc>
      </w:tr>
      <w:tr>
        <w:trPr>
          <w:trHeight w:val="243"/>
        </w:trPr>
        <w:tc>
          <w:tcPr>
            <w:tcW w:w="10580" w:type="dxa"/>
            <w:vAlign w:val="bottom"/>
            <w:gridSpan w:val="2"/>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Exhibit Index</w:t>
              </w:r>
            </w:hyperlink>
          </w:p>
        </w:tc>
        <w:tc>
          <w:tcPr>
            <w:tcW w:w="800" w:type="dxa"/>
            <w:vAlign w:val="bottom"/>
          </w:tcPr>
          <w:p>
            <w:pPr>
              <w:jc w:val="center"/>
              <w:spacing w:after="0"/>
              <w:rPr>
                <w:rFonts w:ascii="Arial" w:cs="Arial" w:eastAsia="Arial" w:hAnsi="Arial"/>
                <w:sz w:val="16"/>
                <w:szCs w:val="16"/>
                <w:color w:val="0000EE"/>
              </w:rPr>
            </w:pPr>
            <w:hyperlink w:anchor="page96">
              <w:r>
                <w:rPr>
                  <w:rFonts w:ascii="Arial" w:cs="Arial" w:eastAsia="Arial" w:hAnsi="Arial"/>
                  <w:sz w:val="16"/>
                  <w:szCs w:val="16"/>
                  <w:color w:val="0000EE"/>
                </w:rPr>
                <w:t>96</w:t>
              </w:r>
            </w:hyperlink>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104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benefit from income taxes and our deferred tax assets; and</w:t>
      </w:r>
    </w:p>
    <w:p>
      <w:pPr>
        <w:spacing w:after="0" w:line="9" w:lineRule="exact"/>
        <w:rPr>
          <w:rFonts w:ascii="Arial" w:cs="Arial" w:eastAsia="Arial" w:hAnsi="Arial"/>
          <w:sz w:val="18"/>
          <w:szCs w:val="18"/>
          <w:i w:val="1"/>
          <w:iCs w:val="1"/>
          <w:color w:val="231F20"/>
        </w:rPr>
      </w:pPr>
    </w:p>
    <w:p>
      <w:pPr>
        <w:ind w:left="1060" w:right="10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i w:val="1"/>
          <w:iCs w:val="1"/>
          <w:color w:val="231F20"/>
        </w:rPr>
        <w:t>Qualys, the Qualys logo and QualysGuard,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59"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myriad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 security and compliance solutions.</w:t>
      </w:r>
    </w:p>
    <w:p>
      <w:pPr>
        <w:spacing w:after="0" w:line="15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designed our QualysGuard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or in the cloud. Since inception, our solutions have been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or QualysGuard VM, in 2000. This solution has provided the substantial majority of our revenues to date, representing 82%, </w:t>
      </w:r>
      <w:r>
        <w:rPr>
          <w:rFonts w:ascii="Arial" w:cs="Arial" w:eastAsia="Arial" w:hAnsi="Arial"/>
          <w:sz w:val="18"/>
          <w:szCs w:val="18"/>
          <w:color w:val="000000"/>
        </w:rPr>
        <w:t>84%</w:t>
      </w:r>
      <w:r>
        <w:rPr>
          <w:rFonts w:ascii="Arial" w:cs="Arial" w:eastAsia="Arial" w:hAnsi="Arial"/>
          <w:sz w:val="18"/>
          <w:szCs w:val="18"/>
          <w:color w:val="231F20"/>
        </w:rPr>
        <w:t xml:space="preserve"> and </w:t>
      </w:r>
      <w:r>
        <w:rPr>
          <w:rFonts w:ascii="Arial" w:cs="Arial" w:eastAsia="Arial" w:hAnsi="Arial"/>
          <w:sz w:val="18"/>
          <w:szCs w:val="18"/>
          <w:color w:val="000000"/>
        </w:rPr>
        <w:t>87%</w:t>
      </w:r>
      <w:r>
        <w:rPr>
          <w:rFonts w:ascii="Arial" w:cs="Arial" w:eastAsia="Arial" w:hAnsi="Arial"/>
          <w:sz w:val="18"/>
          <w:szCs w:val="18"/>
          <w:color w:val="231F20"/>
        </w:rPr>
        <w:t xml:space="preserve"> of total revenues in </w:t>
      </w:r>
      <w:r>
        <w:rPr>
          <w:rFonts w:ascii="Arial" w:cs="Arial" w:eastAsia="Arial" w:hAnsi="Arial"/>
          <w:sz w:val="18"/>
          <w:szCs w:val="18"/>
          <w:color w:val="000000"/>
        </w:rPr>
        <w:t>2014</w:t>
      </w:r>
      <w:r>
        <w:rPr>
          <w:rFonts w:ascii="Arial" w:cs="Arial" w:eastAsia="Arial" w:hAnsi="Arial"/>
          <w:sz w:val="18"/>
          <w:szCs w:val="18"/>
          <w:color w:val="231F20"/>
        </w:rPr>
        <w:t xml:space="preserve">, </w:t>
      </w:r>
      <w:r>
        <w:rPr>
          <w:rFonts w:ascii="Arial" w:cs="Arial" w:eastAsia="Arial" w:hAnsi="Arial"/>
          <w:sz w:val="18"/>
          <w:szCs w:val="18"/>
          <w:color w:val="000000"/>
        </w:rPr>
        <w:t xml:space="preserve">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 As this solution gained acceptance, we introduced new solutions to help customers manage increasing IT security</w:t>
      </w:r>
      <w:r>
        <w:rPr>
          <w:rFonts w:ascii="Arial" w:cs="Arial" w:eastAsia="Arial" w:hAnsi="Arial"/>
          <w:sz w:val="18"/>
          <w:szCs w:val="18"/>
          <w:color w:val="000000"/>
        </w:rPr>
        <w:t xml:space="preserve"> </w:t>
      </w:r>
      <w:r>
        <w:rPr>
          <w:rFonts w:ascii="Arial" w:cs="Arial" w:eastAsia="Arial" w:hAnsi="Arial"/>
          <w:sz w:val="18"/>
          <w:szCs w:val="18"/>
          <w:color w:val="231F20"/>
        </w:rPr>
        <w:t>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an additional QualysGuard VM offering, for internet-facing systems, which allows customers to continuously monitor their mission-critical assets and to be alerted to security vulnerabilities or misconfigurations that may make them more susceptible to a cyber attack.</w:t>
      </w:r>
    </w:p>
    <w:p>
      <w:pPr>
        <w:spacing w:after="0" w:line="172"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 Revenues from customers existing at or prior to December 31, 2013 grew by $15.7 million to $123.7 million during 2014, representing 115% of total revenues in 2013. We expect this trend to continue.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1" w:right="25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Our QualysGuard Cloud Platform is currently used by over 7,700 organizations in more than 100 countries, including a majority of each of the Forbes Global 100 and Fortune 100. Our revenues increased from $91.4 million in 2012 to $108.0 million in 2013, and reached $ 133.6 million in 2014. We generated net income of $2.2 million in 2012, $1.5 million in 2013, and $30.2 million in 2014. Net income in 2014 includes a tax benefit of $23.7 million for recognition of our U.S. federal and certain state deferred tax assets. Total assets as of December 31, 2014 and 2013 were $260.0 million and $192.6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12"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We intend to leverage our innovation and extensive expertise to strengthen our leadership position as a trusted provider of cloud security and compliance solutions. The key elements of our growth strategy are:</w:t>
      </w:r>
    </w:p>
    <w:p>
      <w:pPr>
        <w:spacing w:after="0" w:line="66" w:lineRule="exact"/>
        <w:rPr>
          <w:sz w:val="20"/>
          <w:szCs w:val="20"/>
          <w:color w:val="auto"/>
        </w:rPr>
      </w:pPr>
    </w:p>
    <w:p>
      <w:pPr>
        <w:ind w:left="660" w:right="38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capabilities and further enhancing our existing suite of solutions. In 2014, we continued to introduce new solutions on our platform, such as Continuous Monitoring, an additional QualysGuard VM offering.</w:t>
      </w:r>
    </w:p>
    <w:p>
      <w:pPr>
        <w:spacing w:after="0" w:line="68"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7,700 customers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industries and geographies, we believe we have a significant opportunity to sell additional solutions to our customers and expand their use of our suite of solutions. Since many of our customers initially deploy only one of our solutions and in select parts of their IT infrastructures, our existing customers serve as a strong source of new sales. In this regard, we continue to expand our sales execution and marketing functions to increase adoption of our newly developed solutions among our existing customers.</w:t>
      </w:r>
    </w:p>
    <w:p>
      <w:pPr>
        <w:spacing w:after="0" w:line="71" w:lineRule="exact"/>
        <w:rPr>
          <w:rFonts w:ascii="Arial" w:cs="Arial" w:eastAsia="Arial" w:hAnsi="Arial"/>
          <w:sz w:val="18"/>
          <w:szCs w:val="18"/>
          <w:color w:val="auto"/>
        </w:rPr>
      </w:pPr>
    </w:p>
    <w:p>
      <w:pPr>
        <w:ind w:left="660" w:right="14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w:t>
      </w:r>
      <w:r>
        <w:rPr>
          <w:rFonts w:ascii="Arial" w:cs="Arial" w:eastAsia="Arial" w:hAnsi="Arial"/>
          <w:sz w:val="18"/>
          <w:szCs w:val="18"/>
          <w:color w:val="auto"/>
        </w:rPr>
        <w:t>We are pursuing new customers by targeting key accounts and expanding our 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and network of channel partners. We will continue to seek to make significant investments to encourage organizations to replace their existing security products with our cloud solutions.</w:t>
      </w:r>
    </w:p>
    <w:p>
      <w:pPr>
        <w:spacing w:after="0" w:line="60"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intend to expand our relationships with key security consulting organizations, managed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71" w:lineRule="exact"/>
        <w:rPr>
          <w:rFonts w:ascii="Arial" w:cs="Arial" w:eastAsia="Arial" w:hAnsi="Arial"/>
          <w:sz w:val="18"/>
          <w:szCs w:val="18"/>
          <w:color w:val="auto"/>
        </w:rPr>
      </w:pPr>
    </w:p>
    <w:p>
      <w:pPr>
        <w:jc w:val="both"/>
        <w:ind w:left="660" w:right="20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complementary to and can expand the functionality of our cloud platform. We may also seek to acquire technology teams to supplement our own team and increase the breadth of our cloud security and compliance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12"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Our QualysGuard Cloud Platform consists of a suite of IT security and compliance solutions that leverage our shared and extensible core services and our highly scalable multi-tenant cloud infrastructure.</w:t>
      </w:r>
    </w:p>
    <w:p>
      <w:pPr>
        <w:spacing w:after="0" w:line="14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Our suite of solutions provides security intelligence by automating the life cycle of IT asset discovery, security assessment and compliance management. Our core services layer provides a set of advanced shared technologies that are leveraged by our suite of security and compliance solutions, which we refer to as our Core Services.</w:t>
      </w:r>
    </w:p>
    <w:p>
      <w:pPr>
        <w:spacing w:after="0" w:line="148"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Built on our cloud platform infrastructure, our Core Services provide an integrated framework with proprietary functionalities that act as building blocks to enable efficient and scalable delivery of our customer-facing cloud solutions. Our cloud platform’s infrastructure includes integrated services that deliver a highly automated and scalable scanning infrastructure capable of scanning IT systems and web applications, inside and outside corporate firewalls.</w:t>
      </w:r>
    </w:p>
    <w:p>
      <w:pPr>
        <w:spacing w:after="0" w:line="150"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The Core Services and infrastructure layers of our cloud platform deliver benefits to our entire suite of security and compliance solutions, including: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41"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right="4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Dynamic and interactive user interfaces with configurable report templates to present scan data with a wide range of presentation options to match a customer’s needs;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Fast searching of several extensive QualysGuard data sets, including scan results, asset data, scan profiles, users and vulnerabilities;</w:t>
      </w:r>
    </w:p>
    <w:p>
      <w:pPr>
        <w:spacing w:after="0" w:line="171" w:lineRule="exact"/>
        <w:rPr>
          <w:rFonts w:ascii="Arial" w:cs="Arial" w:eastAsia="Arial" w:hAnsi="Arial"/>
          <w:sz w:val="18"/>
          <w:szCs w:val="18"/>
          <w:color w:val="auto"/>
        </w:rPr>
      </w:pPr>
    </w:p>
    <w:p>
      <w:pPr>
        <w:ind w:left="660" w:right="108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technology for hierarchical asset categorization via dynamic tagging and role-based customer access management;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Distributed scanning platform for global cloud-based environments.</w:t>
      </w:r>
    </w:p>
    <w:p>
      <w:pPr>
        <w:spacing w:after="0" w:line="171"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We also provide open application program interfaces, or APIs, and other developer tools that allow third parties to embed our technology into their solutions and build applications on our cloud platform.</w:t>
      </w:r>
    </w:p>
    <w:p>
      <w:pPr>
        <w:spacing w:after="0" w:line="142"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auto"/>
        </w:rPr>
        <w:t>Our cloud platform is delivered to customers via our shared platform offering from our global data centers or via our private platform offering (QualysGuard Private Cloud Platform, or PCP), for customers or partners that want the platform to reside within the customer's on-premise data center. The PCP is a standalone version of our multi-layer, multi-tenant services architecture and is a fully integrated turnkey solution, making it more scalable, cost effective and faster to deploy within a customer's on-premise data center. Solutions delivered through our PCP are typically on the same subscription basis as solutions delivered through our shared platform. Our PCP utilizes hardware and software owned by us and physically located on the customer's premises. The customer is not permitted to take possession of the software or access the software code. Our PCP provides our subscription-based platform services to the customer using a virtual version of our software. This virtualized PCP allows us to extend our security and compliance solutions without the complexity and cost associated with deploying traditional enterprise software.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Cloud Suite</w:t>
      </w:r>
    </w:p>
    <w:p>
      <w:pPr>
        <w:spacing w:after="0" w:line="112"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Our suite of solutions, which we refer to as the QualysGuard Cloud Suite, currently includes seven solutions: Vulnerability Management, Policy Compliance, PCI Compliance, Web Application Scanning, Malware Detection Service, Web Application Firewall, and Qualys SECURE Seal. This integrated set of cloud solutions enables organizations to:</w:t>
      </w:r>
    </w:p>
    <w:p>
      <w:pPr>
        <w:spacing w:after="0" w:line="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Discover and catalogue information assets inside the organization, on the perimeter, or in the cloud;</w:t>
      </w:r>
    </w:p>
    <w:p>
      <w:pPr>
        <w:spacing w:after="0" w:line="90" w:lineRule="exact"/>
        <w:rPr>
          <w:rFonts w:ascii="Arial" w:cs="Arial" w:eastAsia="Arial" w:hAnsi="Arial"/>
          <w:sz w:val="18"/>
          <w:szCs w:val="18"/>
          <w:color w:val="auto"/>
        </w:rPr>
      </w:pPr>
    </w:p>
    <w:p>
      <w:pPr>
        <w:ind w:left="660" w:right="78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 assets on an ongoing basis to establish a trusted repository for IT system configurations and to maintain hierarchical relationships between them;</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policies to establish a secure and compliant IT infrastructure and automate ongoing security and compliance assessments of IT systems and applications in accordance with best practices;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Proactively identify and help fix vulnerabilities to mitigate security risks and achieve compliance;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Monitor and measure security and compliance through a unified user interface;</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Distribute security and compliance reports tailored to differing customer needs, including management personnel, auditors and security professionals; and</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 web applications from cyber attacks in real time.</w:t>
      </w:r>
    </w:p>
    <w:p>
      <w:pPr>
        <w:spacing w:after="0" w:line="171"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Our customers can subscribe to one or more of our security and compliance solutions based on their initial needs and expand their subscriptions over time to new areas within their organization or to additional QualysGuard solutions. We offer three editions of our QualysGuard Cloud Suite, the Enterprise edition for large and medium-sized enterprises, the Express edition for medium-sized businesses, and Express Lite for small-sized businesses. QualysGuard Cloud Suite solutions are described below.</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Vulnerability Management</w:t>
      </w:r>
    </w:p>
    <w:p>
      <w:pPr>
        <w:spacing w:after="0" w:line="108"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QualysGuard Vulnerability Management, or QualysGuard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KnowledgeBase of known vulnerabilities, QualysGuard VM enables cost-effective protection against vulnerabilities without substantial resource deployment.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 xml:space="preserve">QualysGuard Continuous Monitoring, </w:t>
      </w:r>
      <w:r>
        <w:rPr>
          <w:rFonts w:ascii="Arial" w:cs="Arial" w:eastAsia="Arial" w:hAnsi="Arial"/>
          <w:sz w:val="18"/>
          <w:szCs w:val="18"/>
          <w:color w:val="231F20"/>
        </w:rPr>
        <w:t>an additional QualysGuard VM offering, gives organizations the ability to proactively identify threats</w:t>
      </w:r>
      <w:r>
        <w:rPr>
          <w:rFonts w:ascii="Arial" w:cs="Arial" w:eastAsia="Arial" w:hAnsi="Arial"/>
          <w:sz w:val="18"/>
          <w:szCs w:val="18"/>
          <w:color w:val="auto"/>
        </w:rPr>
        <w:t xml:space="preserve"> </w:t>
      </w:r>
      <w:r>
        <w:rPr>
          <w:rFonts w:ascii="Arial" w:cs="Arial" w:eastAsia="Arial" w:hAnsi="Arial"/>
          <w:sz w:val="18"/>
          <w:szCs w:val="18"/>
          <w:color w:val="231F20"/>
        </w:rPr>
        <w:t>and unexpected changes for their internet-facing systems, which allows customers to continuously monitor their mission-critical assets and to be alerted to security vulnerabilities or misconfigurations that may make them more susceptible to a cyber-attack.</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Policy Compliance</w:t>
      </w:r>
    </w:p>
    <w:p>
      <w:pPr>
        <w:spacing w:after="0" w:line="108"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auto"/>
        </w:rPr>
        <w:t>QualysGuard Policy Compliance, or QualysGuard PC, allows customers to analyze and collect configuration and access control information from their networked devices and web applications and automatically maps this information to internal policies and external regulations in order to document compliance. QualysGuard PC is fully automated and helps reduce customers’ cost of compliance without requiring the use of software agents.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PCI Compliance</w:t>
      </w:r>
    </w:p>
    <w:p>
      <w:pPr>
        <w:spacing w:after="0" w:line="108"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QualysGuard PCI Compliance, or QualysGuard PCI, provides organizations that store cardholder data a cost-effective and highly automated solution to verify and document compliance with PCI DSS. QualysGuard PCI allows merchants to complete the annual PCI Self-Assessment Questionnaire, or SAQ</w:t>
      </w:r>
      <w:r>
        <w:rPr>
          <w:rFonts w:ascii="Arial" w:cs="Arial" w:eastAsia="Arial" w:hAnsi="Arial"/>
          <w:sz w:val="18"/>
          <w:szCs w:val="18"/>
          <w:b w:val="1"/>
          <w:bCs w:val="1"/>
          <w:color w:val="auto"/>
        </w:rPr>
        <w:t>,</w:t>
      </w:r>
      <w:r>
        <w:rPr>
          <w:rFonts w:ascii="Arial" w:cs="Arial" w:eastAsia="Arial" w:hAnsi="Arial"/>
          <w:sz w:val="18"/>
          <w:szCs w:val="18"/>
          <w:color w:val="auto"/>
        </w:rPr>
        <w:t xml:space="preserve"> to perform vulnerability scanning for quarterly PCI audits and to meet the demands of PCI for web application security.</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Web Application Scanning</w:t>
      </w:r>
    </w:p>
    <w:p>
      <w:pPr>
        <w:spacing w:after="0" w:line="10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QualysGuard Web Application Scanning, or QualysGuard WAS, uses the scalability of our cloud platform to allow customers to discover, catalog and scan a large number of web applications. QualysGuard WAS scans and analyzes custom web applications and identifies vulnerabilities that threaten underlying databases or bypass access controls. These web applications are often the main attack vectors for cyber attackers.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Malware Detection Service</w:t>
      </w:r>
    </w:p>
    <w:p>
      <w:pPr>
        <w:spacing w:after="0" w:line="108"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QualysGuard Malware Detection Service, or QualysGuard MDS, provides organizations with the ability to scan, identify and remove malware infections from their websites. QualysGuard MDS utilizes behavioral and static analysis to provide malware detection to organizations. It provides periodic scanning to monitor websites and delivers email alerts to notify customers of infections.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QualysGuard Web Application Firewall</w:t>
      </w:r>
    </w:p>
    <w:p>
      <w:pPr>
        <w:spacing w:after="0" w:line="10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QualysGuard Web Application Firewall, or QualysGuard WAF, currently in limited release, delivers enterprise-grade web application security without the costs, footprint, and complexity associated with appliance-based web application firewall solutions. It is designed to protect web applications from attack vectors by enhancing default web application configurations and virtual patching. QualysGuard WAF can improve website performance by reducing page load times and optimizing bandwidth.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Qualys SECURE Seal</w:t>
      </w:r>
    </w:p>
    <w:p>
      <w:pPr>
        <w:spacing w:after="0" w:line="10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QualysGuard SECURE Seal helps organizations demonstrate to their online customers that they maintain a proactive security program. This solution includes scanning for the presence of malware, network and web application vulnerabilities and for SSL certificate validation. Websites that regularly perform these security scans with no critical security issues detected can display a QualysGuard SECURE Seal on their website to demonstrate to visitors that they are proactively securing their websites.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Core Services</w:t>
      </w:r>
    </w:p>
    <w:p>
      <w:pPr>
        <w:spacing w:after="0" w:line="112"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Our Core Services include:</w:t>
      </w:r>
    </w:p>
    <w:p>
      <w:pPr>
        <w:spacing w:after="0" w:line="43" w:lineRule="exact"/>
        <w:rPr>
          <w:sz w:val="20"/>
          <w:szCs w:val="20"/>
          <w:color w:val="auto"/>
        </w:rPr>
      </w:pPr>
    </w:p>
    <w:p>
      <w:pPr>
        <w:ind w:left="660" w:right="40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w:t>
      </w:r>
    </w:p>
    <w:p>
      <w:pPr>
        <w:spacing w:after="0" w:line="26" w:lineRule="exact"/>
        <w:rPr>
          <w:rFonts w:ascii="Arial" w:cs="Arial" w:eastAsia="Arial" w:hAnsi="Arial"/>
          <w:sz w:val="18"/>
          <w:szCs w:val="18"/>
          <w:color w:val="auto"/>
        </w:rPr>
      </w:pPr>
    </w:p>
    <w:p>
      <w:pPr>
        <w:ind w:left="660" w:right="260" w:hanging="328"/>
        <w:spacing w:after="0" w:line="28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roles and access privileges.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8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26" w:lineRule="exact"/>
        <w:rPr>
          <w:rFonts w:ascii="Arial" w:cs="Arial" w:eastAsia="Arial" w:hAnsi="Arial"/>
          <w:sz w:val="18"/>
          <w:szCs w:val="18"/>
          <w:color w:val="auto"/>
        </w:rPr>
      </w:pPr>
    </w:p>
    <w:p>
      <w:pPr>
        <w:ind w:left="660" w:right="380" w:hanging="328"/>
        <w:spacing w:after="0" w:line="28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Remediation and Workflow. </w:t>
      </w:r>
      <w:r>
        <w:rPr>
          <w:rFonts w:ascii="Arial" w:cs="Arial" w:eastAsia="Arial" w:hAnsi="Arial"/>
          <w:sz w:val="17"/>
          <w:szCs w:val="17"/>
          <w:color w:val="auto"/>
        </w:rPr>
        <w:t>An integrated workflow engine that allows customers to automatically generate helpdesk tickets for</w:t>
      </w:r>
      <w:r>
        <w:rPr>
          <w:rFonts w:ascii="Arial" w:cs="Arial" w:eastAsia="Arial" w:hAnsi="Arial"/>
          <w:sz w:val="17"/>
          <w:szCs w:val="17"/>
          <w:i w:val="1"/>
          <w:iCs w:val="1"/>
          <w:color w:val="auto"/>
        </w:rPr>
        <w:t xml:space="preserve"> </w:t>
      </w:r>
      <w:r>
        <w:rPr>
          <w:rFonts w:ascii="Arial" w:cs="Arial" w:eastAsia="Arial" w:hAnsi="Arial"/>
          <w:sz w:val="17"/>
          <w:szCs w:val="17"/>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29" w:lineRule="exact"/>
        <w:rPr>
          <w:rFonts w:ascii="Arial" w:cs="Arial" w:eastAsia="Arial" w:hAnsi="Arial"/>
          <w:sz w:val="17"/>
          <w:szCs w:val="17"/>
          <w:color w:val="auto"/>
        </w:rPr>
      </w:pPr>
    </w:p>
    <w:p>
      <w:pPr>
        <w:ind w:left="660" w:hanging="328"/>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Big Data Correlation and Analytics Engine</w:t>
      </w:r>
      <w:r>
        <w:rPr>
          <w:rFonts w:ascii="Arial" w:cs="Arial" w:eastAsia="Arial" w:hAnsi="Arial"/>
          <w:sz w:val="18"/>
          <w:szCs w:val="18"/>
          <w:color w:val="auto"/>
        </w:rPr>
        <w:t>. Provides capabilities for indexing, searching and correlating large amounts of security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data with other security incidents and third-party security intelligence data. Embedded workflows enable customers to quickly assess risk and access information for remediation, incident analysis and forensic investigations.</w:t>
      </w:r>
    </w:p>
    <w:p>
      <w:pPr>
        <w:spacing w:after="0" w:line="41"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open trouble tickets and system updates.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QualysGuard Cloud Infrastructure</w:t>
      </w:r>
    </w:p>
    <w:p>
      <w:pPr>
        <w:spacing w:after="0" w:line="11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Our infrastructure layer, which we refer to as our Infrastructure, includes the data, data processing capabilities, software and hardware infrastructure and infrastructure management capabilities that provide the foundation for our cloud platform and allow us to automatically scale our Infrastructure and Core Services to scan millions of IPs. Each Infrastructure service is described below:</w:t>
      </w:r>
    </w:p>
    <w:p>
      <w:pPr>
        <w:spacing w:after="0" w:line="49" w:lineRule="exact"/>
        <w:rPr>
          <w:sz w:val="20"/>
          <w:szCs w:val="20"/>
          <w:color w:val="auto"/>
        </w:rPr>
      </w:pPr>
    </w:p>
    <w:p>
      <w:pPr>
        <w:ind w:left="660" w:right="2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Scalable Capacity</w:t>
      </w:r>
      <w:r>
        <w:rPr>
          <w:rFonts w:ascii="Arial" w:cs="Arial" w:eastAsia="Arial" w:hAnsi="Arial"/>
          <w:sz w:val="18"/>
          <w:szCs w:val="18"/>
          <w:color w:val="auto"/>
        </w:rPr>
        <w:t>. We have designed a modular and scalable infrastructure that leverages virtualization and cloud technologies.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allows our operations team to dynamically allocate additional capacity on-demand across our entire QualysGuard Cloud Platform to address the growth and scalability of our solutions.</w:t>
      </w:r>
    </w:p>
    <w:p>
      <w:pPr>
        <w:spacing w:after="0" w:line="41" w:lineRule="exact"/>
        <w:rPr>
          <w:rFonts w:ascii="Arial" w:cs="Arial" w:eastAsia="Arial" w:hAnsi="Arial"/>
          <w:sz w:val="18"/>
          <w:szCs w:val="18"/>
          <w:color w:val="auto"/>
        </w:rPr>
      </w:pPr>
    </w:p>
    <w:p>
      <w:pPr>
        <w:jc w:val="both"/>
        <w:ind w:left="660" w:right="280" w:hanging="328"/>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Big Data Indexing and Storage. </w:t>
      </w:r>
      <w:r>
        <w:rPr>
          <w:rFonts w:ascii="Arial" w:cs="Arial" w:eastAsia="Arial" w:hAnsi="Arial"/>
          <w:sz w:val="18"/>
          <w:szCs w:val="18"/>
          <w:color w:val="auto"/>
        </w:rPr>
        <w:t>Built on top of our secure data storage model, this engine indexes petabytes of data and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in real-time to execute tags or rules to dynamically update IT assets’ properties, which are used in various workflows for scanning, reporting and remediation.</w:t>
      </w:r>
    </w:p>
    <w:p>
      <w:pPr>
        <w:spacing w:after="0" w:line="4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QualysGuard KnowledgeBase. </w:t>
      </w:r>
      <w:r>
        <w:rPr>
          <w:rFonts w:ascii="Arial" w:cs="Arial" w:eastAsia="Arial" w:hAnsi="Arial"/>
          <w:sz w:val="18"/>
          <w:szCs w:val="18"/>
          <w:color w:val="auto"/>
        </w:rPr>
        <w:t>QualysGuard relies on our comprehensive repository, which we refer to as our KnowledgeBase, of</w:t>
      </w:r>
      <w:r>
        <w:rPr>
          <w:rFonts w:ascii="Arial" w:cs="Arial" w:eastAsia="Arial" w:hAnsi="Arial"/>
          <w:sz w:val="18"/>
          <w:szCs w:val="18"/>
          <w:i w:val="1"/>
          <w:iCs w:val="1"/>
          <w:color w:val="auto"/>
        </w:rPr>
        <w:t xml:space="preserve"> </w:t>
      </w:r>
      <w:r>
        <w:rPr>
          <w:rFonts w:ascii="Arial" w:cs="Arial" w:eastAsia="Arial" w:hAnsi="Arial"/>
          <w:sz w:val="18"/>
          <w:szCs w:val="18"/>
          <w:color w:val="auto"/>
        </w:rPr>
        <w:t>known vulnerabilities and compliance controls for a wide range of devices, technologies and applications that powers our security and compliance scanning technology. We update our KnowledgeBase daily with signatures for new vulnerabilities, control checks, validated fixes and improvements.</w:t>
      </w:r>
    </w:p>
    <w:p>
      <w:pPr>
        <w:spacing w:after="0" w:line="44" w:lineRule="exact"/>
        <w:rPr>
          <w:rFonts w:ascii="Arial" w:cs="Arial" w:eastAsia="Arial" w:hAnsi="Arial"/>
          <w:sz w:val="18"/>
          <w:szCs w:val="18"/>
          <w:color w:val="auto"/>
        </w:rPr>
      </w:pPr>
    </w:p>
    <w:p>
      <w:pPr>
        <w:ind w:left="660" w:right="24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Managed Scanner Appliances. </w:t>
      </w:r>
      <w:r>
        <w:rPr>
          <w:rFonts w:ascii="Arial" w:cs="Arial" w:eastAsia="Arial" w:hAnsi="Arial"/>
          <w:sz w:val="18"/>
          <w:szCs w:val="18"/>
          <w:color w:val="auto"/>
        </w:rPr>
        <w:t>As part of our cloud platform, we host and operate a large number of globally distributed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appliances that our customers use to scan their externally facing systems and web applications. To scan internal IT assets, customers can also deploy our scanners, which are available on a subscription basis as physical appliances or downloadable virtual images, within their internal networks. Our scanner appliances self-update daily in a transparent manner using our automated and proprietary scan management technology. These scanner appliances allow us to scale our cloud platform to scan networked devices and web applications across organizations’ networks around the world.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2014</w:t>
      </w:r>
      <w:r>
        <w:rPr>
          <w:rFonts w:ascii="Arial" w:cs="Arial" w:eastAsia="Arial" w:hAnsi="Arial"/>
          <w:sz w:val="18"/>
          <w:szCs w:val="18"/>
          <w:color w:val="231F20"/>
        </w:rPr>
        <w:t xml:space="preserve">, we had over </w:t>
      </w:r>
      <w:r>
        <w:rPr>
          <w:rFonts w:ascii="Arial" w:cs="Arial" w:eastAsia="Arial" w:hAnsi="Arial"/>
          <w:sz w:val="18"/>
          <w:szCs w:val="18"/>
          <w:color w:val="000000"/>
        </w:rPr>
        <w:t>7,700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w:t>
      </w:r>
      <w:r>
        <w:rPr>
          <w:rFonts w:ascii="Arial" w:cs="Arial" w:eastAsia="Arial" w:hAnsi="Arial"/>
          <w:sz w:val="18"/>
          <w:szCs w:val="18"/>
          <w:color w:val="231F20"/>
        </w:rPr>
        <w:t xml:space="preserve"> countries, including a majority of each of the Forbes Global 100 and Fortune 100. </w:t>
      </w:r>
      <w:r>
        <w:rPr>
          <w:rFonts w:ascii="Arial" w:cs="Arial" w:eastAsia="Arial" w:hAnsi="Arial"/>
          <w:sz w:val="18"/>
          <w:szCs w:val="18"/>
          <w:color w:val="000000"/>
        </w:rPr>
        <w:t>In each of 2014, 2013 and 2012, no one customer accounted for more than 10% of our revenues.</w:t>
      </w:r>
      <w:r>
        <w:rPr>
          <w:rFonts w:ascii="Arial" w:cs="Arial" w:eastAsia="Arial" w:hAnsi="Arial"/>
          <w:sz w:val="18"/>
          <w:szCs w:val="18"/>
          <w:color w:val="231F20"/>
        </w:rPr>
        <w:t xml:space="preserve"> In </w:t>
      </w:r>
      <w:r>
        <w:rPr>
          <w:rFonts w:ascii="Arial" w:cs="Arial" w:eastAsia="Arial" w:hAnsi="Arial"/>
          <w:sz w:val="18"/>
          <w:szCs w:val="18"/>
          <w:color w:val="000000"/>
        </w:rPr>
        <w:t>2014, 2013 and 2012</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w:t>
      </w:r>
      <w:r>
        <w:rPr>
          <w:rFonts w:ascii="Arial" w:cs="Arial" w:eastAsia="Arial" w:hAnsi="Arial"/>
          <w:sz w:val="18"/>
          <w:szCs w:val="18"/>
          <w:color w:val="000000"/>
        </w:rPr>
        <w:t>70%</w:t>
      </w:r>
      <w:r>
        <w:rPr>
          <w:rFonts w:ascii="Arial" w:cs="Arial" w:eastAsia="Arial" w:hAnsi="Arial"/>
          <w:sz w:val="18"/>
          <w:szCs w:val="18"/>
          <w:color w:val="231F20"/>
        </w:rPr>
        <w:t xml:space="preserve"> and </w:t>
      </w:r>
      <w:r>
        <w:rPr>
          <w:rFonts w:ascii="Arial" w:cs="Arial" w:eastAsia="Arial" w:hAnsi="Arial"/>
          <w:sz w:val="18"/>
          <w:szCs w:val="18"/>
          <w:color w:val="000000"/>
        </w:rPr>
        <w:t>68%</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112"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4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 businesses, which generally include organizations with less than 5,000 employees. Both our field and inside sales teams are divided into three geographic regions, including the Americas; Europe, Middle East and Africa; and Asia-Pacific. We also further segment each of our sales teams into groups that focus on adding new customers or expanding relationships with existing customers.</w:t>
      </w:r>
    </w:p>
    <w:p>
      <w:pPr>
        <w:spacing w:after="0" w:line="15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Accuvant, FishNet Security, Inc., Dell Inc., Fujitsu, Insight Technologies, Inc., and Verizon Communications Inc.</w:t>
      </w:r>
    </w:p>
    <w:p>
      <w:pPr>
        <w:spacing w:after="0" w:line="15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2014, 2013 and 2012, 37%, 39% and 40%, respectively, of our revenues were generated by channel partners.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112"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2"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12"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deliver 24x7x365 customer support from centers located in Redwood City, California; Raleigh, North Carolina; and Reading, United Kingdom.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any professional services. Accordingly, we do not sell any professional services. However, we do offer various training programs as part of our subscriptions to all of our customers. We believe that our customer support helps ensure customer satisfaction and is critical to retaining and expanding our customer base. In addition, we leverage the insights drawn from our customers to further improve the functionality of our security and compliance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12"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We devote significant resources to maintain, enhance and add new functionality to our QualysGuard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States, China, France, India, and the United Kingdom, which gives us access to some of the best research and engineering talent in the world.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focus remains to attract engineering talent as we continue to add new solutions and improve existing ones.</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expenses were $26.3 million, $21.7 million and $20.2 million for 2014, 2013 and 2012, respectively.</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2"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or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and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data center agreements have varying terms through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4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compete with large public companies, such as Barracuda Networks, Inc., Hewlett-Packard Company, Imperva, Inc., International Business Machines Corporation, McAfee, Inc. (a subsidiary of Intel Corporation) and Symantec Corporation, as well as privately held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w:t>
      </w:r>
    </w:p>
    <w:p>
      <w:pPr>
        <w:spacing w:after="0" w:line="15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cloud security and compliance solutions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We have four issued patents, several pending U.S. patent applications and an exclusive license to four U.S. patents, which was obtained in connection with our acquisition of Nemean. The inbound license remains in effect until the licensed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QualysGuard Cloud Platform, which we believe differentiates us from our competitors.</w:t>
      </w:r>
    </w:p>
    <w:p>
      <w:pPr>
        <w:spacing w:after="0" w:line="152"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copy or obtain and use our technology to develop products with the same functionality as our solution. Policing unauthorized use of our technology and intellectual property rights is difficult.</w:t>
      </w:r>
    </w:p>
    <w:p>
      <w:pPr>
        <w:spacing w:after="0" w:line="148"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2"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As of December 31, 2014, we had 431 full-time employees, including 169 in research and development, 149 in sales and marketing, 67 in operations and customer support and 46 in general and administrative. As of December 31, 2014, we had 265 employees in the United States and 166 employees internationally. None of our U.S. employees are covered by collective bargaining agreements. Employees in certain European countries have collective bargaining arrangements at the national level. We believe our employee relations are good and we have not experienced any work stoppages.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1600 Bridge Parkway, Redwood City, California 94065.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6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 Public Reference Room at 100 F Street, N.E., Washington, D.C. 20549 or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For information about the SEC's Public Reference Room, contact 1-800-SEC-0330.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1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For a description of our revenue and property and equipment by geographic location, see Note 11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 attackers;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We and our service providers could be a target of cyber 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 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41"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382"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While we have experienced significant revenue growth in recent years and although we have had net income for each of the three years ended December 31, 2014, 2013, and 2012, we have not been consistently profitable. Our net income for the year ended December 31, 2013 was lower than the previous year. Further, we have had net losses in at least one quarter in each of the last several years. 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In addition, we will continue to incur increased personnel and professional services expenses in connection with compliance with Section 404 of the Sarbanes-Oxley Act. As a result of these increased expenditures, we will have to generate and sustain increased revenues to achieve future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18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75"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 xml:space="preserve">We derived </w:t>
      </w:r>
      <w:r>
        <w:rPr>
          <w:rFonts w:ascii="Arial" w:cs="Arial" w:eastAsia="Arial" w:hAnsi="Arial"/>
          <w:sz w:val="18"/>
          <w:szCs w:val="18"/>
          <w:color w:val="000000"/>
        </w:rPr>
        <w:t>82%, 84%</w:t>
      </w:r>
      <w:r>
        <w:rPr>
          <w:rFonts w:ascii="Arial" w:cs="Arial" w:eastAsia="Arial" w:hAnsi="Arial"/>
          <w:sz w:val="18"/>
          <w:szCs w:val="18"/>
          <w:color w:val="231F20"/>
        </w:rPr>
        <w:t xml:space="preserve">, </w:t>
      </w:r>
      <w:r>
        <w:rPr>
          <w:rFonts w:ascii="Arial" w:cs="Arial" w:eastAsia="Arial" w:hAnsi="Arial"/>
          <w:sz w:val="18"/>
          <w:szCs w:val="18"/>
          <w:color w:val="000000"/>
        </w:rPr>
        <w:t>and 87%</w:t>
      </w:r>
      <w:r>
        <w:rPr>
          <w:rFonts w:ascii="Arial" w:cs="Arial" w:eastAsia="Arial" w:hAnsi="Arial"/>
          <w:sz w:val="18"/>
          <w:szCs w:val="18"/>
          <w:color w:val="231F20"/>
        </w:rPr>
        <w:t xml:space="preserve"> of our revenues from subscriptions to our QualysGuard Vulnerability Management solution for the years ended </w:t>
      </w:r>
      <w:r>
        <w:rPr>
          <w:rFonts w:ascii="Arial" w:cs="Arial" w:eastAsia="Arial" w:hAnsi="Arial"/>
          <w:sz w:val="18"/>
          <w:szCs w:val="18"/>
          <w:color w:val="000000"/>
        </w:rPr>
        <w:t>December 31, 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3" w:lineRule="auto"/>
        <w:rPr>
          <w:sz w:val="20"/>
          <w:szCs w:val="20"/>
          <w:color w:val="auto"/>
        </w:rPr>
      </w:pPr>
      <w:r>
        <w:rPr>
          <w:rFonts w:ascii="Arial" w:cs="Arial" w:eastAsia="Arial" w:hAnsi="Arial"/>
          <w:sz w:val="18"/>
          <w:szCs w:val="18"/>
          <w:color w:val="231F20"/>
        </w:rPr>
        <w:t>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 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four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four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have added data center facilities to provide additional capacity for our cloud platform and to enable disaster recovery. We continue to build out these facilities and expect to add additional data centers throughout 2015. However, these additional facilities may not be operational in the anticipated time-frame and we may incur unplanned expenses.</w:t>
      </w:r>
    </w:p>
    <w:p>
      <w:pPr>
        <w:spacing w:after="0" w:line="20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right="4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approximately 39% of our employees are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40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1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compete with large public companies, such as Barracuda Networks, Inc., Hewlett-Packard Company, Imperva, Inc., International Business Machines Corporation, McAfee, Inc. (a subsidiary of Intel Corporation), and Symantec Corporation, as well as privately held security providers including BeyondTrust Software,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40"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41"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 xml:space="preserve">We have experienced rapid growth over the last several years. From </w:t>
      </w:r>
      <w:r>
        <w:rPr>
          <w:rFonts w:ascii="Arial" w:cs="Arial" w:eastAsia="Arial" w:hAnsi="Arial"/>
          <w:sz w:val="18"/>
          <w:szCs w:val="18"/>
          <w:color w:val="000000"/>
        </w:rPr>
        <w:t>2012</w:t>
      </w:r>
      <w:r>
        <w:rPr>
          <w:rFonts w:ascii="Arial" w:cs="Arial" w:eastAsia="Arial" w:hAnsi="Arial"/>
          <w:sz w:val="18"/>
          <w:szCs w:val="18"/>
          <w:color w:val="231F20"/>
        </w:rPr>
        <w:t xml:space="preserve"> to </w:t>
      </w:r>
      <w:r>
        <w:rPr>
          <w:rFonts w:ascii="Arial" w:cs="Arial" w:eastAsia="Arial" w:hAnsi="Arial"/>
          <w:sz w:val="18"/>
          <w:szCs w:val="18"/>
          <w:color w:val="000000"/>
        </w:rPr>
        <w:t>2014</w:t>
      </w:r>
      <w:r>
        <w:rPr>
          <w:rFonts w:ascii="Arial" w:cs="Arial" w:eastAsia="Arial" w:hAnsi="Arial"/>
          <w:sz w:val="18"/>
          <w:szCs w:val="18"/>
          <w:color w:val="231F20"/>
        </w:rPr>
        <w:t xml:space="preserve">, our revenues have grown from </w:t>
      </w:r>
      <w:r>
        <w:rPr>
          <w:rFonts w:ascii="Arial" w:cs="Arial" w:eastAsia="Arial" w:hAnsi="Arial"/>
          <w:sz w:val="18"/>
          <w:szCs w:val="18"/>
          <w:color w:val="000000"/>
        </w:rPr>
        <w:t>$91.4 million</w:t>
      </w:r>
      <w:r>
        <w:rPr>
          <w:rFonts w:ascii="Arial" w:cs="Arial" w:eastAsia="Arial" w:hAnsi="Arial"/>
          <w:sz w:val="18"/>
          <w:szCs w:val="18"/>
          <w:color w:val="231F20"/>
        </w:rPr>
        <w:t xml:space="preserve"> to </w:t>
      </w:r>
      <w:r>
        <w:rPr>
          <w:rFonts w:ascii="Arial" w:cs="Arial" w:eastAsia="Arial" w:hAnsi="Arial"/>
          <w:sz w:val="18"/>
          <w:szCs w:val="18"/>
          <w:color w:val="000000"/>
        </w:rPr>
        <w:t>$133.6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and our headcount increased from 359 employees at the beginning of 2012 to</w:t>
      </w:r>
      <w:r>
        <w:rPr>
          <w:rFonts w:ascii="Arial" w:cs="Arial" w:eastAsia="Arial" w:hAnsi="Arial"/>
          <w:sz w:val="18"/>
          <w:szCs w:val="18"/>
          <w:color w:val="000000"/>
        </w:rPr>
        <w:t xml:space="preserve"> 431 </w:t>
      </w:r>
      <w:r>
        <w:rPr>
          <w:rFonts w:ascii="Arial" w:cs="Arial" w:eastAsia="Arial" w:hAnsi="Arial"/>
          <w:sz w:val="18"/>
          <w:szCs w:val="18"/>
          <w:color w:val="231F20"/>
        </w:rPr>
        <w:t>employees at</w:t>
      </w:r>
      <w:r>
        <w:rPr>
          <w:rFonts w:ascii="Arial" w:cs="Arial" w:eastAsia="Arial" w:hAnsi="Arial"/>
          <w:sz w:val="18"/>
          <w:szCs w:val="18"/>
          <w:color w:val="000000"/>
        </w:rPr>
        <w:t xml:space="preserve"> December 31, 2014</w:t>
      </w:r>
      <w:r>
        <w:rPr>
          <w:rFonts w:ascii="Arial" w:cs="Arial" w:eastAsia="Arial" w:hAnsi="Arial"/>
          <w:sz w:val="18"/>
          <w:szCs w:val="18"/>
          <w:color w:val="231F20"/>
        </w:rPr>
        <w:t>. We rely on</w:t>
      </w:r>
      <w:r>
        <w:rPr>
          <w:rFonts w:ascii="Arial" w:cs="Arial" w:eastAsia="Arial" w:hAnsi="Arial"/>
          <w:sz w:val="18"/>
          <w:szCs w:val="18"/>
          <w:color w:val="000000"/>
        </w:rPr>
        <w:t xml:space="preserve"> </w:t>
      </w:r>
      <w:r>
        <w:rPr>
          <w:rFonts w:ascii="Arial" w:cs="Arial" w:eastAsia="Arial" w:hAnsi="Arial"/>
          <w:sz w:val="18"/>
          <w:szCs w:val="18"/>
          <w:color w:val="231F20"/>
        </w:rPr>
        <w:t>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31F20"/>
        </w:rPr>
        <w:t>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In </w:t>
      </w:r>
      <w:r>
        <w:rPr>
          <w:rFonts w:ascii="Arial" w:cs="Arial" w:eastAsia="Arial" w:hAnsi="Arial"/>
          <w:sz w:val="18"/>
          <w:szCs w:val="18"/>
          <w:color w:val="000000"/>
        </w:rPr>
        <w:t>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37%</w:t>
      </w:r>
      <w:r>
        <w:rPr>
          <w:rFonts w:ascii="Arial" w:cs="Arial" w:eastAsia="Arial" w:hAnsi="Arial"/>
          <w:sz w:val="18"/>
          <w:szCs w:val="18"/>
          <w:color w:val="231F20"/>
        </w:rPr>
        <w:t xml:space="preserve">, </w:t>
      </w:r>
      <w:r>
        <w:rPr>
          <w:rFonts w:ascii="Arial" w:cs="Arial" w:eastAsia="Arial" w:hAnsi="Arial"/>
          <w:sz w:val="18"/>
          <w:szCs w:val="18"/>
          <w:color w:val="000000"/>
        </w:rPr>
        <w:t>39%</w:t>
      </w:r>
      <w:r>
        <w:rPr>
          <w:rFonts w:ascii="Arial" w:cs="Arial" w:eastAsia="Arial" w:hAnsi="Arial"/>
          <w:sz w:val="18"/>
          <w:szCs w:val="18"/>
          <w:color w:val="231F20"/>
        </w:rPr>
        <w:t xml:space="preserve"> and </w:t>
      </w:r>
      <w:r>
        <w:rPr>
          <w:rFonts w:ascii="Arial" w:cs="Arial" w:eastAsia="Arial" w:hAnsi="Arial"/>
          <w:sz w:val="18"/>
          <w:szCs w:val="18"/>
          <w:color w:val="000000"/>
        </w:rPr>
        <w:t>40%</w:t>
      </w:r>
      <w:r>
        <w:rPr>
          <w:rFonts w:ascii="Arial" w:cs="Arial" w:eastAsia="Arial" w:hAnsi="Arial"/>
          <w:sz w:val="18"/>
          <w:szCs w:val="18"/>
          <w:color w:val="231F20"/>
        </w:rPr>
        <w:t xml:space="preserve">, respectively, of our revenues from sales of subscriptions for our solutions through channel partners, and the percentage of revenues derived from channel partners may increase in future periods. Additionally, one of our channel partners, Dell, Inc. accounted for </w:t>
      </w:r>
      <w:r>
        <w:rPr>
          <w:rFonts w:ascii="Arial" w:cs="Arial" w:eastAsia="Arial" w:hAnsi="Arial"/>
          <w:sz w:val="18"/>
          <w:szCs w:val="18"/>
          <w:color w:val="000000"/>
        </w:rPr>
        <w:t>5%</w:t>
      </w:r>
      <w:r>
        <w:rPr>
          <w:rFonts w:ascii="Arial" w:cs="Arial" w:eastAsia="Arial" w:hAnsi="Arial"/>
          <w:sz w:val="18"/>
          <w:szCs w:val="18"/>
          <w:color w:val="231F20"/>
        </w:rPr>
        <w:t xml:space="preserve"> of our revenues for each of the years ended </w:t>
      </w:r>
      <w:r>
        <w:rPr>
          <w:rFonts w:ascii="Arial" w:cs="Arial" w:eastAsia="Arial" w:hAnsi="Arial"/>
          <w:sz w:val="18"/>
          <w:szCs w:val="18"/>
          <w:color w:val="000000"/>
        </w:rPr>
        <w:t>December 31, 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8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40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in </w:t>
      </w:r>
      <w:r>
        <w:rPr>
          <w:rFonts w:ascii="Arial" w:cs="Arial" w:eastAsia="Arial" w:hAnsi="Arial"/>
          <w:sz w:val="18"/>
          <w:szCs w:val="18"/>
          <w:color w:val="000000"/>
        </w:rPr>
        <w:t>2014</w:t>
      </w:r>
      <w:r>
        <w:rPr>
          <w:rFonts w:ascii="Arial" w:cs="Arial" w:eastAsia="Arial" w:hAnsi="Arial"/>
          <w:sz w:val="18"/>
          <w:szCs w:val="18"/>
          <w:color w:val="231F20"/>
        </w:rPr>
        <w:t xml:space="preserve">, we incurred approximately </w:t>
      </w:r>
      <w:r>
        <w:rPr>
          <w:rFonts w:ascii="Arial" w:cs="Arial" w:eastAsia="Arial" w:hAnsi="Arial"/>
          <w:sz w:val="18"/>
          <w:szCs w:val="18"/>
          <w:color w:val="000000"/>
        </w:rPr>
        <w:t>22%</w:t>
      </w:r>
      <w:r>
        <w:rPr>
          <w:rFonts w:ascii="Arial" w:cs="Arial" w:eastAsia="Arial" w:hAnsi="Arial"/>
          <w:sz w:val="18"/>
          <w:szCs w:val="18"/>
          <w:color w:val="231F20"/>
        </w:rPr>
        <w:t xml:space="preserve"> of our expenses outside of the United States in foreign currencies, primarily Euros, principally with respect to salaries and related personnel expenses associated with our European operations. Additionally, in </w:t>
      </w:r>
      <w:r>
        <w:rPr>
          <w:rFonts w:ascii="Arial" w:cs="Arial" w:eastAsia="Arial" w:hAnsi="Arial"/>
          <w:sz w:val="18"/>
          <w:szCs w:val="18"/>
          <w:color w:val="000000"/>
        </w:rPr>
        <w:t>2014</w:t>
      </w:r>
      <w:r>
        <w:rPr>
          <w:rFonts w:ascii="Arial" w:cs="Arial" w:eastAsia="Arial" w:hAnsi="Arial"/>
          <w:sz w:val="18"/>
          <w:szCs w:val="18"/>
          <w:color w:val="231F20"/>
        </w:rPr>
        <w:t xml:space="preserve">, approximately </w:t>
      </w:r>
      <w:r>
        <w:rPr>
          <w:rFonts w:ascii="Arial" w:cs="Arial" w:eastAsia="Arial" w:hAnsi="Arial"/>
          <w:sz w:val="18"/>
          <w:szCs w:val="18"/>
          <w:color w:val="000000"/>
        </w:rPr>
        <w:t>18%</w:t>
      </w:r>
      <w:r>
        <w:rPr>
          <w:rFonts w:ascii="Arial" w:cs="Arial" w:eastAsia="Arial" w:hAnsi="Arial"/>
          <w:sz w:val="18"/>
          <w:szCs w:val="18"/>
          <w:color w:val="231F20"/>
        </w:rPr>
        <w:t xml:space="preserve"> of our revenues were generated in foreign currencies. Accordingly, changes in exchange rates may have a material adverse effect on our business, operating results and financial condition. The exchange rate between the U.S. dollar and foreign currencies has fluctuated substantially in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04"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We have four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4" w:lineRule="exact"/>
        <w:rPr>
          <w:sz w:val="20"/>
          <w:szCs w:val="20"/>
          <w:color w:val="auto"/>
        </w:rPr>
      </w:pPr>
    </w:p>
    <w:p>
      <w:pPr>
        <w:ind w:right="8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40" w:firstLine="405"/>
        <w:spacing w:after="0" w:line="250"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231F20"/>
        </w:rPr>
        <w:t>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4"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$0.5 million</w:t>
      </w:r>
      <w:r>
        <w:rPr>
          <w:rFonts w:ascii="Arial" w:cs="Arial" w:eastAsia="Arial" w:hAnsi="Arial"/>
          <w:sz w:val="18"/>
          <w:szCs w:val="18"/>
          <w:color w:val="231F20"/>
        </w:rPr>
        <w:t xml:space="preserve"> on our consolidated balance sheet as of </w:t>
      </w:r>
      <w:r>
        <w:rPr>
          <w:rFonts w:ascii="Arial" w:cs="Arial" w:eastAsia="Arial" w:hAnsi="Arial"/>
          <w:sz w:val="18"/>
          <w:szCs w:val="18"/>
          <w:color w:val="000000"/>
        </w:rPr>
        <w:t>December 31, 2014</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41" w:right="2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31F20"/>
        </w:rPr>
        <w:t>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such acquisitions may still be viewed negatively by customers, financial markets or investors. </w:t>
      </w:r>
      <w:r>
        <w:rPr>
          <w:rFonts w:ascii="Arial" w:cs="Arial" w:eastAsia="Arial" w:hAnsi="Arial"/>
          <w:sz w:val="18"/>
          <w:szCs w:val="18"/>
          <w:color w:val="231F20"/>
        </w:rPr>
        <w:t>The acquisition and integration</w:t>
      </w:r>
      <w:r>
        <w:rPr>
          <w:rFonts w:ascii="Arial" w:cs="Arial" w:eastAsia="Arial" w:hAnsi="Arial"/>
          <w:sz w:val="18"/>
          <w:szCs w:val="18"/>
          <w:color w:val="000000"/>
        </w:rPr>
        <w:t xml:space="preserve"> </w:t>
      </w:r>
      <w:r>
        <w:rPr>
          <w:rFonts w:ascii="Arial" w:cs="Arial" w:eastAsia="Arial" w:hAnsi="Arial"/>
          <w:sz w:val="18"/>
          <w:szCs w:val="18"/>
          <w:color w:val="231F20"/>
        </w:rPr>
        <w:t xml:space="preserve">process is complex, 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w:t>
      </w:r>
      <w:r>
        <w:rPr>
          <w:rFonts w:ascii="Arial" w:cs="Arial" w:eastAsia="Arial" w:hAnsi="Arial"/>
          <w:sz w:val="18"/>
          <w:szCs w:val="18"/>
          <w:color w:val="231F20"/>
        </w:rPr>
        <w:t xml:space="preserve"> </w:t>
      </w:r>
      <w:r>
        <w:rPr>
          <w:rFonts w:ascii="Arial" w:cs="Arial" w:eastAsia="Arial" w:hAnsi="Arial"/>
          <w:sz w:val="18"/>
          <w:szCs w:val="18"/>
          <w:color w:val="000000"/>
        </w:rPr>
        <w:t xml:space="preserve">may issue 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w:t>
      </w:r>
      <w:r>
        <w:rPr>
          <w:rFonts w:ascii="Arial" w:cs="Arial" w:eastAsia="Arial" w:hAnsi="Arial"/>
          <w:sz w:val="18"/>
          <w:szCs w:val="18"/>
          <w:color w:val="000000"/>
        </w:rPr>
        <w:t xml:space="preserve"> </w:t>
      </w:r>
      <w:r>
        <w:rPr>
          <w:rFonts w:ascii="Arial" w:cs="Arial" w:eastAsia="Arial" w:hAnsi="Arial"/>
          <w:sz w:val="18"/>
          <w:szCs w:val="18"/>
          <w:color w:val="231F20"/>
        </w:rPr>
        <w:t>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common stock valuations and fair value measurement.</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and may occur in the future. Changes to existing rules or the questioning of current practices may harm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our operating results, </w:t>
      </w:r>
      <w:r>
        <w:rPr>
          <w:rFonts w:ascii="Arial" w:cs="Arial" w:eastAsia="Arial" w:hAnsi="Arial"/>
          <w:sz w:val="18"/>
          <w:szCs w:val="18"/>
          <w:color w:val="000000"/>
        </w:rPr>
        <w:t>require that we make significant changes to our systems, processes and controls</w:t>
      </w:r>
      <w:r>
        <w:rPr>
          <w:rFonts w:ascii="Arial" w:cs="Arial" w:eastAsia="Arial" w:hAnsi="Arial"/>
          <w:sz w:val="18"/>
          <w:szCs w:val="18"/>
          <w:color w:val="231F20"/>
        </w:rPr>
        <w:t xml:space="preserve"> or the way we conduct our business.</w:t>
      </w:r>
    </w:p>
    <w:p>
      <w:pPr>
        <w:spacing w:after="0" w:line="203"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5"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7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$56.7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2014</w:t>
      </w:r>
      <w:r>
        <w:rPr>
          <w:rFonts w:ascii="Arial" w:cs="Arial" w:eastAsia="Arial" w:hAnsi="Arial"/>
          <w:sz w:val="18"/>
          <w:szCs w:val="18"/>
          <w:color w:val="231F20"/>
        </w:rPr>
        <w:t>. Increases in our effective tax rate could harm our operating results.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4"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In the event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19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As a public company, we are required to comply with certain of these rules, which require management to certify financial and other information in this Annual Report on Form 10-K and other quarterly and annual reports and provide an annual management report on the effectiveness of our internal control over financial reporting. Our independent registered public accounting firm is not required to formally attest to the effectiveness of our internal control over financial reporting until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190"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9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After we are no longer an “emerging growth company,” we expect to incur increasing expenses and devote substantial management effort toward ensuring compliance with the requirements of Section 404(b) of the Sarbanes-Oxley Act, when applicable to us.</w:t>
      </w:r>
    </w:p>
    <w:p>
      <w:pPr>
        <w:spacing w:after="0" w:line="19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231F20"/>
        </w:rPr>
        <w:t>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18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right="7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231F20"/>
        </w:rPr>
        <w:t>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the actual operating results being different from our guidance, and the differences may be adverse and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247" w:lineRule="exact"/>
        <w:rPr>
          <w:sz w:val="20"/>
          <w:szCs w:val="20"/>
          <w:color w:val="auto"/>
        </w:rPr>
      </w:pPr>
    </w:p>
    <w:p>
      <w:pPr>
        <w:ind w:right="140" w:firstLine="405"/>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2014</w:t>
      </w:r>
      <w:r>
        <w:rPr>
          <w:rFonts w:ascii="Arial" w:cs="Arial" w:eastAsia="Arial" w:hAnsi="Arial"/>
          <w:sz w:val="18"/>
          <w:szCs w:val="18"/>
          <w:color w:val="231F20"/>
        </w:rPr>
        <w:t>, our executive officers, directors and holders of 10% or more of our outstanding common stock beneficially own, in the aggregate, approximately 38%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2014, we had approximately 33.6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In addition, as of December 31, 2014, we had outstanding options to purchase approximately 7.6 million shares of common stock options that, if exercised, will result in these additional shares becoming available for sale. As of December 31, 2014, we had an aggregate of 0.8 million shares of our common stock reserved for future issuance under our 2012 Equity Incentive Plan, which can be freely sold in the public market upon issuance. If a</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31F20"/>
        </w:rPr>
        <w:t>large number of these shares are sold in the public market, the sales could reduce the trading price of our common stock.</w:t>
      </w:r>
    </w:p>
    <w:p>
      <w:pPr>
        <w:spacing w:after="0" w:line="20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7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right="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6" w:lineRule="exact"/>
        <w:rPr>
          <w:sz w:val="20"/>
          <w:szCs w:val="20"/>
          <w:color w:val="auto"/>
        </w:rPr>
      </w:pPr>
    </w:p>
    <w:p>
      <w:pPr>
        <w:ind w:right="380" w:firstLine="405"/>
        <w:spacing w:after="0" w:line="253" w:lineRule="auto"/>
        <w:rPr>
          <w:sz w:val="20"/>
          <w:szCs w:val="20"/>
          <w:color w:val="auto"/>
        </w:rPr>
      </w:pPr>
      <w:r>
        <w:rPr>
          <w:rFonts w:ascii="Arial" w:cs="Arial" w:eastAsia="Arial" w:hAnsi="Arial"/>
          <w:sz w:val="18"/>
          <w:szCs w:val="18"/>
          <w:color w:val="auto"/>
        </w:rPr>
        <w:t>Our principal executive offices are located in Redwood City, California, where we occupy a 50,000 square-foot facility under a lease expiring on November 30, 2017. We have additional U.S. offices in Bellevue, Washington; Denver, Colorado; Raleigh, North Carolina; and Madison, Wisconsin. We also lease offices in Beijing, China; Courbevoie, France; Manila, Philippines; Moscow, Russia; Munich, Germany; Frankfurt, Germany; Pune, India; Dubai, United Arab Emirates; Reading, United Kingdom; and Tokyo, Japan. We believe our facilities are adequate for our current needs and for the foreseeable future.</w:t>
      </w:r>
    </w:p>
    <w:p>
      <w:pPr>
        <w:spacing w:after="0" w:line="152"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auto"/>
        </w:rPr>
        <w:t>We operate four principal data centers at third-party facilities in Santa Clara, California; Bellevue, Washington, Ashburn, Virginia; and Geneva, Switzerland.</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41" w:right="2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common stock is listed on the NASDAQ Stock Market under the trading symbol “QLYS”. The following table sets forth the high and low per share sales prices for our common stock as reported on the NASDAQ Stock Market for the two most recent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0"/>
        </w:trPr>
        <w:tc>
          <w:tcPr>
            <w:tcW w:w="8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3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40.74</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26.88</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29.94</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Fiscal 2013:</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r>
      <w:tr>
        <w:trPr>
          <w:trHeight w:val="263"/>
        </w:trPr>
        <w:tc>
          <w:tcPr>
            <w:tcW w:w="878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23.21</w:t>
            </w:r>
          </w:p>
        </w:tc>
      </w:tr>
      <w:tr>
        <w:trPr>
          <w:trHeight w:val="277"/>
        </w:trPr>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57"/>
        </w:trPr>
        <w:tc>
          <w:tcPr>
            <w:tcW w:w="878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16.38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February 27, 2015, there were approximately 160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8"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2014. All outstanding awards relate to our common stock.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 Number of Securities to</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rPr>
              <w:t>(c) Number of Securities</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rPr>
              <w:t>be</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Issued Upon</w:t>
            </w:r>
          </w:p>
        </w:tc>
        <w:tc>
          <w:tcPr>
            <w:tcW w:w="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Exercise of</w:t>
            </w:r>
          </w:p>
        </w:tc>
        <w:tc>
          <w:tcPr>
            <w:tcW w:w="22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(b) Weighted-Average</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Equity Compensation</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Outstanding</w:t>
            </w:r>
          </w:p>
        </w:tc>
        <w:tc>
          <w:tcPr>
            <w:tcW w:w="140" w:type="dxa"/>
            <w:vAlign w:val="bottom"/>
          </w:tcPr>
          <w:p>
            <w:pPr>
              <w:spacing w:after="0"/>
              <w:rPr>
                <w:sz w:val="17"/>
                <w:szCs w:val="17"/>
                <w:color w:val="auto"/>
              </w:rPr>
            </w:pPr>
          </w:p>
        </w:tc>
        <w:tc>
          <w:tcPr>
            <w:tcW w:w="214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Exercise Price of</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8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Options, Warrants</w:t>
            </w:r>
          </w:p>
        </w:tc>
        <w:tc>
          <w:tcPr>
            <w:tcW w:w="2280" w:type="dxa"/>
            <w:vAlign w:val="bottom"/>
            <w:gridSpan w:val="3"/>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3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Securities Reflected in</w:t>
            </w:r>
          </w:p>
        </w:tc>
        <w:tc>
          <w:tcPr>
            <w:tcW w:w="0" w:type="dxa"/>
            <w:vAlign w:val="bottom"/>
          </w:tcPr>
          <w:p>
            <w:pPr>
              <w:spacing w:after="0"/>
              <w:rPr>
                <w:sz w:val="1"/>
                <w:szCs w:val="1"/>
                <w:color w:val="auto"/>
              </w:rPr>
            </w:pPr>
          </w:p>
        </w:tc>
      </w:tr>
      <w:tr>
        <w:trPr>
          <w:trHeight w:val="246"/>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Plan Category</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and Rights</w:t>
            </w:r>
          </w:p>
        </w:tc>
        <w:tc>
          <w:tcPr>
            <w:tcW w:w="140" w:type="dxa"/>
            <w:vAlign w:val="bottom"/>
          </w:tcPr>
          <w:p>
            <w:pPr>
              <w:spacing w:after="0"/>
              <w:rPr>
                <w:sz w:val="21"/>
                <w:szCs w:val="21"/>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Warrants and Rights</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9"/>
              </w:rPr>
              <w:t>Column (a))</w:t>
            </w:r>
          </w:p>
        </w:tc>
        <w:tc>
          <w:tcPr>
            <w:tcW w:w="0" w:type="dxa"/>
            <w:vAlign w:val="bottom"/>
          </w:tcPr>
          <w:p>
            <w:pPr>
              <w:spacing w:after="0"/>
              <w:rPr>
                <w:sz w:val="1"/>
                <w:szCs w:val="1"/>
                <w:color w:val="auto"/>
              </w:rPr>
            </w:pPr>
          </w:p>
        </w:tc>
      </w:tr>
      <w:tr>
        <w:trPr>
          <w:trHeight w:val="294"/>
        </w:trPr>
        <w:tc>
          <w:tcPr>
            <w:tcW w:w="3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w:t>
            </w:r>
          </w:p>
        </w:tc>
        <w:tc>
          <w:tcPr>
            <w:tcW w:w="26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9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21"/>
                <w:szCs w:val="21"/>
                <w:color w:val="auto"/>
                <w:vertAlign w:val="superscript"/>
              </w:rPr>
              <w:t>1</w:t>
            </w:r>
          </w:p>
        </w:tc>
        <w:tc>
          <w:tcPr>
            <w:tcW w:w="26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7,605,407</w:t>
            </w:r>
          </w:p>
        </w:tc>
        <w:tc>
          <w:tcPr>
            <w:tcW w:w="22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spacing w:after="0"/>
              <w:rPr>
                <w:sz w:val="21"/>
                <w:szCs w:val="21"/>
                <w:color w:val="auto"/>
              </w:rPr>
            </w:pPr>
          </w:p>
        </w:tc>
        <w:tc>
          <w:tcPr>
            <w:tcW w:w="3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803,630</w:t>
            </w:r>
          </w:p>
        </w:tc>
        <w:tc>
          <w:tcPr>
            <w:tcW w:w="0" w:type="dxa"/>
            <w:vAlign w:val="bottom"/>
          </w:tcPr>
          <w:p>
            <w:pPr>
              <w:spacing w:after="0"/>
              <w:rPr>
                <w:sz w:val="1"/>
                <w:szCs w:val="1"/>
                <w:color w:val="auto"/>
              </w:rPr>
            </w:pPr>
          </w:p>
        </w:tc>
      </w:tr>
      <w:tr>
        <w:trPr>
          <w:trHeight w:val="68"/>
        </w:trPr>
        <w:tc>
          <w:tcPr>
            <w:tcW w:w="3240" w:type="dxa"/>
            <w:vAlign w:val="bottom"/>
            <w:shd w:val="clear" w:color="auto" w:fill="CCEEFF"/>
          </w:tcPr>
          <w:p>
            <w:pPr>
              <w:spacing w:after="0"/>
              <w:rPr>
                <w:sz w:val="5"/>
                <w:szCs w:val="5"/>
                <w:color w:val="auto"/>
              </w:rPr>
            </w:pPr>
          </w:p>
        </w:tc>
        <w:tc>
          <w:tcPr>
            <w:tcW w:w="26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92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0" w:right="200" w:hanging="9"/>
        <w:spacing w:after="0" w:line="233" w:lineRule="auto"/>
        <w:tabs>
          <w:tab w:leader="none" w:pos="37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1"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following graph shows a comparison from September 28, 2012 (the date our common stock commenced trading on the NASDAQ Stock Market) through December 31, 2014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Among Qualys, Inc, NASDAQ-Global Select Market Composite Index, and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-1270</wp:posOffset>
            </wp:positionV>
            <wp:extent cx="5848985" cy="3413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9/28/12 in stock or index, including reinvestment of dividends. Fiscal year ending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28,</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Sep 30,</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Mar 31,</w:t>
            </w:r>
          </w:p>
        </w:tc>
        <w:tc>
          <w:tcPr>
            <w:tcW w:w="24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30,</w:t>
            </w:r>
          </w:p>
        </w:tc>
        <w:tc>
          <w:tcPr>
            <w:tcW w:w="2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b w:val="1"/>
                <w:bCs w:val="1"/>
                <w:color w:val="auto"/>
              </w:rPr>
              <w:t>Dec 31,</w:t>
            </w:r>
          </w:p>
        </w:tc>
      </w:tr>
      <w:tr>
        <w:trPr>
          <w:trHeight w:val="196"/>
        </w:trPr>
        <w:tc>
          <w:tcPr>
            <w:tcW w:w="8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 31, 2012</w:t>
            </w:r>
          </w:p>
        </w:tc>
        <w:tc>
          <w:tcPr>
            <w:tcW w:w="10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Mar 28, 2013</w:t>
            </w:r>
          </w:p>
        </w:tc>
        <w:tc>
          <w:tcPr>
            <w:tcW w:w="10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Jun 28, 2013</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Dec 31, 2013</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r>
      <w:tr>
        <w:trPr>
          <w:trHeight w:val="270"/>
        </w:trPr>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Qualys Inc.</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104.45</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87.15</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113.84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151.06</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163.21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179.59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187.85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266.60</w:t>
            </w:r>
          </w:p>
        </w:tc>
      </w:tr>
      <w:tr>
        <w:trPr>
          <w:trHeight w:val="194"/>
        </w:trPr>
        <w:tc>
          <w:tcPr>
            <w:tcW w:w="880" w:type="dxa"/>
            <w:vAlign w:val="bottom"/>
          </w:tcPr>
          <w:p>
            <w:pPr>
              <w:ind w:left="40"/>
              <w:spacing w:after="0"/>
              <w:rPr>
                <w:sz w:val="20"/>
                <w:szCs w:val="20"/>
                <w:color w:val="auto"/>
              </w:rPr>
            </w:pPr>
            <w:r>
              <w:rPr>
                <w:rFonts w:ascii="Arial" w:cs="Arial" w:eastAsia="Arial" w:hAnsi="Arial"/>
                <w:sz w:val="14"/>
                <w:szCs w:val="14"/>
                <w:color w:val="auto"/>
              </w:rPr>
              <w:t>NASDAQ</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2"/>
        </w:trPr>
        <w:tc>
          <w:tcPr>
            <w:tcW w:w="880" w:type="dxa"/>
            <w:vAlign w:val="bottom"/>
          </w:tcPr>
          <w:p>
            <w:pPr>
              <w:ind w:left="40"/>
              <w:spacing w:after="0"/>
              <w:rPr>
                <w:sz w:val="20"/>
                <w:szCs w:val="20"/>
                <w:color w:val="auto"/>
              </w:rPr>
            </w:pPr>
            <w:r>
              <w:rPr>
                <w:rFonts w:ascii="Arial" w:cs="Arial" w:eastAsia="Arial" w:hAnsi="Arial"/>
                <w:sz w:val="14"/>
                <w:szCs w:val="14"/>
                <w:color w:val="auto"/>
              </w:rPr>
              <w:t>Global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880" w:type="dxa"/>
            <w:vAlign w:val="bottom"/>
          </w:tcPr>
          <w:p>
            <w:pPr>
              <w:ind w:left="40"/>
              <w:spacing w:after="0"/>
              <w:rPr>
                <w:sz w:val="20"/>
                <w:szCs w:val="20"/>
                <w:color w:val="auto"/>
              </w:rPr>
            </w:pPr>
            <w:r>
              <w:rPr>
                <w:rFonts w:ascii="Arial" w:cs="Arial" w:eastAsia="Arial" w:hAnsi="Arial"/>
                <w:sz w:val="14"/>
                <w:szCs w:val="14"/>
                <w:color w:val="auto"/>
              </w:rPr>
              <w:t>Select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880" w:type="dxa"/>
            <w:vAlign w:val="bottom"/>
          </w:tcPr>
          <w:p>
            <w:pPr>
              <w:ind w:left="40"/>
              <w:spacing w:after="0"/>
              <w:rPr>
                <w:sz w:val="20"/>
                <w:szCs w:val="20"/>
                <w:color w:val="auto"/>
              </w:rPr>
            </w:pPr>
            <w:r>
              <w:rPr>
                <w:rFonts w:ascii="Arial" w:cs="Arial" w:eastAsia="Arial" w:hAnsi="Arial"/>
                <w:sz w:val="14"/>
                <w:szCs w:val="14"/>
                <w:color w:val="auto"/>
              </w:rPr>
              <w:t>Market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100.00</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96.97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104.81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109.04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120.70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133.81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134.37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141.29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144.41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00"/>
              <w:spacing w:after="0"/>
              <w:rPr>
                <w:sz w:val="20"/>
                <w:szCs w:val="20"/>
                <w:color w:val="auto"/>
              </w:rPr>
            </w:pPr>
            <w:r>
              <w:rPr>
                <w:rFonts w:ascii="Arial" w:cs="Arial" w:eastAsia="Arial" w:hAnsi="Arial"/>
                <w:sz w:val="14"/>
                <w:szCs w:val="14"/>
                <w:color w:val="auto"/>
              </w:rPr>
              <w:t>152.15</w:t>
            </w:r>
          </w:p>
        </w:tc>
      </w:tr>
      <w:tr>
        <w:trPr>
          <w:trHeight w:val="200"/>
        </w:trPr>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NASDAQ</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Computer</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100.00</w:t>
            </w:r>
          </w:p>
        </w:tc>
        <w:tc>
          <w:tcPr>
            <w:tcW w:w="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92.56</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94.63</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96.42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107.05</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122.12</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134.09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140.74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146.40</w:t>
            </w:r>
          </w:p>
        </w:tc>
      </w:tr>
    </w:tbl>
    <w:p>
      <w:pPr>
        <w:spacing w:after="0" w:line="3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Form S-1 Registration Statement (Registration No. 333-182027) relating to our IPO was declared effective by the SEC on September 27, 2012 and the offering commenced on September 28, 2012. On October 3, 2012, we closed our IPO and received net proceeds of approximately $87.5 million after deducting underwriting discounts and commissions, and before deducting total expenses in connection with our IPO of approximately $2.9 million.</w:t>
      </w:r>
    </w:p>
    <w:p>
      <w:pPr>
        <w:spacing w:after="0" w:line="20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We believe our existing cash, cash equivalents, short-term and long-term investments, and cash from operations will be sufficient to fund our operations for at least the next twelve months. We intend to use the net proceeds from the offering for capital expenditures, working capital and other general corporate purposes, which may include hiring additional personnel and investing in sales and marketing and research and development. In addition, we expect to spend approximately $17 million through December 31, 2015 for capital expenditures, primarily related to infrastructure to support the anticipated growth in our business.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 We have not entered into any agreements or commitments with respect to any acquisitions or investments at this time.</w:t>
      </w:r>
    </w:p>
    <w:p>
      <w:pPr>
        <w:spacing w:after="0" w:line="21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Pending these uses, we invested the net proceeds in </w:t>
      </w:r>
      <w:r>
        <w:rPr>
          <w:rFonts w:ascii="Arial" w:cs="Arial" w:eastAsia="Arial" w:hAnsi="Arial"/>
          <w:sz w:val="18"/>
          <w:szCs w:val="18"/>
          <w:color w:val="231F20"/>
        </w:rPr>
        <w:t>highly liquid money market funds, commercial paper, corporate bonds, municipal</w:t>
      </w:r>
      <w:r>
        <w:rPr>
          <w:rFonts w:ascii="Arial" w:cs="Arial" w:eastAsia="Arial" w:hAnsi="Arial"/>
          <w:sz w:val="18"/>
          <w:szCs w:val="18"/>
          <w:color w:val="auto"/>
        </w:rPr>
        <w:t xml:space="preserve"> </w:t>
      </w:r>
      <w:r>
        <w:rPr>
          <w:rFonts w:ascii="Arial" w:cs="Arial" w:eastAsia="Arial" w:hAnsi="Arial"/>
          <w:sz w:val="18"/>
          <w:szCs w:val="18"/>
          <w:color w:val="231F20"/>
        </w:rPr>
        <w:t xml:space="preserve">bonds, </w:t>
      </w:r>
      <w:r>
        <w:rPr>
          <w:rFonts w:ascii="Arial" w:cs="Arial" w:eastAsia="Arial" w:hAnsi="Arial"/>
          <w:sz w:val="18"/>
          <w:szCs w:val="18"/>
          <w:color w:val="000000"/>
        </w:rPr>
        <w:t>fixed-income U.S. government agency securities and asset-backed securities.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shares of our common stock were repurchased during the fourth quarter of 2014.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0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2014 are not necessarily indicative of operating results to be expected for any other period.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center"/>
              <w:ind w:left="448"/>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4"/>
        </w:trPr>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133,579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76,212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65,432</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28,963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24,660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18,404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13,247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11,204</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104,616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54,228</w:t>
            </w:r>
          </w:p>
        </w:tc>
        <w:tc>
          <w:tcPr>
            <w:tcW w:w="0" w:type="dxa"/>
            <w:vAlign w:val="bottom"/>
          </w:tcPr>
          <w:p>
            <w:pPr>
              <w:spacing w:after="0"/>
              <w:rPr>
                <w:sz w:val="1"/>
                <w:szCs w:val="1"/>
                <w:color w:val="auto"/>
              </w:rPr>
            </w:pP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15,780</w:t>
            </w:r>
          </w:p>
        </w:tc>
        <w:tc>
          <w:tcPr>
            <w:tcW w:w="0" w:type="dxa"/>
            <w:vAlign w:val="bottom"/>
          </w:tcPr>
          <w:p>
            <w:pPr>
              <w:spacing w:after="0"/>
              <w:rPr>
                <w:sz w:val="1"/>
                <w:szCs w:val="1"/>
                <w:color w:val="auto"/>
              </w:rPr>
            </w:pPr>
          </w:p>
        </w:tc>
      </w:tr>
      <w:tr>
        <w:trPr>
          <w:trHeight w:val="270"/>
        </w:trPr>
        <w:tc>
          <w:tcPr>
            <w:tcW w:w="4780" w:type="dxa"/>
            <w:vAlign w:val="bottom"/>
          </w:tcPr>
          <w:p>
            <w:pPr>
              <w:ind w:left="38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48,049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42,523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37,738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31,526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29,056</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8,183</w:t>
            </w:r>
          </w:p>
        </w:tc>
        <w:tc>
          <w:tcPr>
            <w:tcW w:w="0" w:type="dxa"/>
            <w:vAlign w:val="bottom"/>
          </w:tcPr>
          <w:p>
            <w:pPr>
              <w:spacing w:after="0"/>
              <w:rPr>
                <w:sz w:val="1"/>
                <w:szCs w:val="1"/>
                <w:color w:val="auto"/>
              </w:rPr>
            </w:pPr>
          </w:p>
        </w:tc>
      </w:tr>
      <w:tr>
        <w:trPr>
          <w:trHeight w:val="244"/>
        </w:trPr>
        <w:tc>
          <w:tcPr>
            <w:tcW w:w="4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95,369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80,993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70,012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60,059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53,019</w:t>
            </w:r>
          </w:p>
        </w:tc>
        <w:tc>
          <w:tcPr>
            <w:tcW w:w="0" w:type="dxa"/>
            <w:vAlign w:val="bottom"/>
          </w:tcPr>
          <w:p>
            <w:pPr>
              <w:spacing w:after="0"/>
              <w:rPr>
                <w:sz w:val="1"/>
                <w:szCs w:val="1"/>
                <w:color w:val="auto"/>
              </w:rPr>
            </w:pPr>
          </w:p>
        </w:tc>
      </w:tr>
      <w:tr>
        <w:trPr>
          <w:trHeight w:val="256"/>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64"/>
        </w:trPr>
        <w:tc>
          <w:tcPr>
            <w:tcW w:w="478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64"/>
        </w:trPr>
        <w:tc>
          <w:tcPr>
            <w:tcW w:w="4780" w:type="dxa"/>
            <w:vAlign w:val="bottom"/>
          </w:tcPr>
          <w:p>
            <w:pPr>
              <w:ind w:left="38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4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Other income (expense), net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 xml:space="preserve">Total other income (expense), net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Income before income taxes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(Benefit from) provision for income taxes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(21,631)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40"/>
              <w:spacing w:after="0" w:line="237"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21"/>
                <w:szCs w:val="21"/>
                <w:color w:val="auto"/>
                <w:vertAlign w:val="superscript"/>
              </w:rPr>
              <w:t>(4)</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tcPr>
          <w:p>
            <w:pPr>
              <w:ind w:left="40"/>
              <w:spacing w:after="0" w:line="210" w:lineRule="exact"/>
              <w:rPr>
                <w:sz w:val="20"/>
                <w:szCs w:val="20"/>
                <w:color w:val="auto"/>
              </w:rPr>
            </w:pPr>
            <w:r>
              <w:rPr>
                <w:rFonts w:ascii="Arial" w:cs="Arial" w:eastAsia="Arial" w:hAnsi="Arial"/>
                <w:sz w:val="14"/>
                <w:szCs w:val="14"/>
                <w:color w:val="auto"/>
              </w:rPr>
              <w:t xml:space="preserve">Net income attributable to common stockholders </w:t>
            </w:r>
            <w:r>
              <w:rPr>
                <w:rFonts w:ascii="Arial" w:cs="Arial" w:eastAsia="Arial" w:hAnsi="Arial"/>
                <w:sz w:val="21"/>
                <w:szCs w:val="21"/>
                <w:color w:val="auto"/>
                <w:vertAlign w:val="superscript"/>
              </w:rPr>
              <w:t>(4)</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51"/>
        </w:trPr>
        <w:tc>
          <w:tcPr>
            <w:tcW w:w="4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income per share attributable to common stockholders: </w:t>
            </w:r>
            <w:r>
              <w:rPr>
                <w:rFonts w:ascii="Arial" w:cs="Arial" w:eastAsia="Arial" w:hAnsi="Arial"/>
                <w:sz w:val="21"/>
                <w:szCs w:val="21"/>
                <w:color w:val="auto"/>
                <w:vertAlign w:val="superscript"/>
              </w:rPr>
              <w:t>(2) (4)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7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Arial" w:cs="Arial" w:eastAsia="Arial" w:hAnsi="Arial"/>
                <w:sz w:val="14"/>
                <w:szCs w:val="14"/>
                <w:color w:val="auto"/>
              </w:rPr>
              <w:t>Weighted-average shares used in computing net income per share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80" w:type="dxa"/>
            <w:vAlign w:val="bottom"/>
          </w:tcPr>
          <w:p>
            <w:pPr>
              <w:ind w:left="40"/>
              <w:spacing w:after="0" w:line="193" w:lineRule="exact"/>
              <w:rPr>
                <w:sz w:val="20"/>
                <w:szCs w:val="20"/>
                <w:color w:val="auto"/>
              </w:rPr>
            </w:pPr>
            <w:r>
              <w:rPr>
                <w:rFonts w:ascii="Arial" w:cs="Arial" w:eastAsia="Arial" w:hAnsi="Arial"/>
                <w:sz w:val="14"/>
                <w:szCs w:val="14"/>
                <w:color w:val="auto"/>
              </w:rPr>
              <w:t xml:space="preserve">attributable to common stockholders: </w:t>
            </w:r>
            <w:r>
              <w:rPr>
                <w:rFonts w:ascii="Arial" w:cs="Arial" w:eastAsia="Arial" w:hAnsi="Arial"/>
                <w:sz w:val="21"/>
                <w:szCs w:val="21"/>
                <w:color w:val="auto"/>
                <w:vertAlign w:val="superscript"/>
              </w:rPr>
              <w:t>(2)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4,706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37,170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35,973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24,194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23,562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2010</w:t>
            </w:r>
          </w:p>
        </w:tc>
      </w:tr>
      <w:tr>
        <w:trPr>
          <w:trHeight w:val="244"/>
        </w:trPr>
        <w:tc>
          <w:tcPr>
            <w:tcW w:w="5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28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short-term investments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127,218</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97,196</w:t>
            </w:r>
          </w:p>
        </w:tc>
        <w:tc>
          <w:tcPr>
            <w:tcW w:w="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118,432</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24,548</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15,010</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39,448</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35,608</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260,024</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192,603</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170,318</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68,789</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44,360</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Deferred revenues, current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81,147</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67,505</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56,497</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46,717</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37,811</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10,064</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8,889</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8,616</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4,713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1,734</w:t>
            </w: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63,873</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63,745</w:t>
            </w: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151,827</w:t>
            </w:r>
          </w:p>
        </w:tc>
        <w:tc>
          <w:tcPr>
            <w:tcW w:w="3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103,117</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91,555</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(64,424)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(69,401)</w:t>
            </w:r>
          </w:p>
        </w:tc>
      </w:tr>
    </w:tbl>
    <w:p>
      <w:pPr>
        <w:spacing w:after="0" w:line="16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3"/>
                <w:szCs w:val="13"/>
                <w:b w:val="1"/>
                <w:bCs w:val="1"/>
                <w:color w:val="auto"/>
                <w:w w:val="95"/>
              </w:rPr>
              <w:t>Year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64"/>
        </w:trPr>
        <w:tc>
          <w:tcPr>
            <w:tcW w:w="4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2010</w:t>
            </w:r>
          </w:p>
        </w:tc>
      </w:tr>
      <w:tr>
        <w:trPr>
          <w:trHeight w:val="249"/>
        </w:trPr>
        <w:tc>
          <w:tcPr>
            <w:tcW w:w="4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r>
      <w:tr>
        <w:trPr>
          <w:trHeight w:val="262"/>
        </w:trPr>
        <w:tc>
          <w:tcPr>
            <w:tcW w:w="432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28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2,470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359</w:t>
            </w:r>
          </w:p>
        </w:tc>
      </w:tr>
      <w:tr>
        <w:trPr>
          <w:trHeight w:val="27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467</w:t>
            </w:r>
          </w:p>
        </w:tc>
      </w:tr>
      <w:tr>
        <w:trPr>
          <w:trHeight w:val="264"/>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964</w:t>
            </w:r>
          </w:p>
        </w:tc>
      </w:tr>
      <w:tr>
        <w:trPr>
          <w:trHeight w:val="242"/>
        </w:trPr>
        <w:tc>
          <w:tcPr>
            <w:tcW w:w="43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stock-based compensation</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5,506</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right="80" w:hanging="332"/>
        <w:spacing w:after="0" w:line="210"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See Notes 1 and 12 to our consolidated financial statements included elsewhere in this Annual Report on Form 10-K for an explanation of the calculations of our basic and diluted income per share attributable to common stockholders.</w:t>
      </w:r>
    </w:p>
    <w:p>
      <w:pPr>
        <w:spacing w:after="0" w:line="184" w:lineRule="exact"/>
        <w:rPr>
          <w:rFonts w:ascii="Arial" w:cs="Arial" w:eastAsia="Arial" w:hAnsi="Arial"/>
          <w:sz w:val="22"/>
          <w:szCs w:val="22"/>
          <w:color w:val="auto"/>
          <w:vertAlign w:val="superscript"/>
        </w:rPr>
      </w:pPr>
    </w:p>
    <w:p>
      <w:pPr>
        <w:ind w:left="340" w:right="520" w:hanging="332"/>
        <w:spacing w:after="0" w:line="210"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Provision for income taxes prior to 2014 consists primarily of taxes on income in foreign jurisdictions and state income taxes in the U.S. In the fourth quarter of 2014, we recorded a tax benefit of $23.7 million to recognize our U.S. federal and certain state deferred tax assets.</w:t>
      </w:r>
    </w:p>
    <w:p>
      <w:pPr>
        <w:spacing w:after="0" w:line="157" w:lineRule="exact"/>
        <w:rPr>
          <w:rFonts w:ascii="Arial" w:cs="Arial" w:eastAsia="Arial" w:hAnsi="Arial"/>
          <w:sz w:val="22"/>
          <w:szCs w:val="22"/>
          <w:color w:val="auto"/>
          <w:vertAlign w:val="superscript"/>
        </w:rPr>
      </w:pPr>
    </w:p>
    <w:p>
      <w:pPr>
        <w:ind w:left="340" w:hanging="332"/>
        <w:spacing w:after="0" w:line="253" w:lineRule="auto"/>
        <w:tabs>
          <w:tab w:leader="none" w:pos="340" w:val="left"/>
        </w:tabs>
        <w:numPr>
          <w:ilvl w:val="0"/>
          <w:numId w:val="21"/>
        </w:numPr>
        <w:rPr>
          <w:rFonts w:ascii="Arial" w:cs="Arial" w:eastAsia="Arial" w:hAnsi="Arial"/>
          <w:sz w:val="13"/>
          <w:szCs w:val="13"/>
          <w:color w:val="auto"/>
        </w:rPr>
      </w:pPr>
      <w:r>
        <w:rPr>
          <w:rFonts w:ascii="Arial" w:cs="Arial" w:eastAsia="Arial" w:hAnsi="Arial"/>
          <w:sz w:val="16"/>
          <w:szCs w:val="16"/>
          <w:color w:val="auto"/>
        </w:rPr>
        <w:t>Other income (expense), income before income taxes, net income, net income attributable to common stockholders, and net income per share for fiscal years 2013 and prior have been adjusted for an immaterial error as further described in Note 1 to our consolidated financial statements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21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representing 82%, 84% and 87% of total revenues in </w:t>
      </w:r>
      <w:r>
        <w:rPr>
          <w:rFonts w:ascii="Arial" w:cs="Arial" w:eastAsia="Arial" w:hAnsi="Arial"/>
          <w:sz w:val="18"/>
          <w:szCs w:val="18"/>
          <w:color w:val="000000"/>
        </w:rPr>
        <w:t>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and continued our expansion in 2010, launching Malware Detection Service and Qualys SECURE Seal for automated protection of websites. In 2012, we introduced our virtualized private cloud platform as an additional deployment option of our solutions for customers and partners. In 2014, we released Continuous Monitoring, an additional QualysGuard VM offering, for internet-facing systems, which allows customers to continuously monitor their mission-critical assets and to be alerted to security vulnerabilities or misconfigurations that may make them more susceptible to a cyber attack.</w:t>
      </w:r>
    </w:p>
    <w:p>
      <w:pPr>
        <w:spacing w:after="0" w:line="212"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 Revenues from customers existing at or prior to </w:t>
      </w:r>
      <w:r>
        <w:rPr>
          <w:rFonts w:ascii="Arial" w:cs="Arial" w:eastAsia="Arial" w:hAnsi="Arial"/>
          <w:sz w:val="18"/>
          <w:szCs w:val="18"/>
          <w:color w:val="000000"/>
        </w:rPr>
        <w:t>December 31, 2013</w:t>
      </w:r>
      <w:r>
        <w:rPr>
          <w:rFonts w:ascii="Arial" w:cs="Arial" w:eastAsia="Arial" w:hAnsi="Arial"/>
          <w:sz w:val="18"/>
          <w:szCs w:val="18"/>
          <w:color w:val="231F20"/>
        </w:rPr>
        <w:t xml:space="preserve"> grew by $15.7 million to $123.7 million during </w:t>
      </w:r>
      <w:r>
        <w:rPr>
          <w:rFonts w:ascii="Arial" w:cs="Arial" w:eastAsia="Arial" w:hAnsi="Arial"/>
          <w:sz w:val="18"/>
          <w:szCs w:val="18"/>
          <w:color w:val="000000"/>
        </w:rPr>
        <w:t>2014</w:t>
      </w:r>
      <w:r>
        <w:rPr>
          <w:rFonts w:ascii="Arial" w:cs="Arial" w:eastAsia="Arial" w:hAnsi="Arial"/>
          <w:sz w:val="18"/>
          <w:szCs w:val="18"/>
          <w:color w:val="231F20"/>
        </w:rPr>
        <w:t>, representing 115% of total revenues in 2013. We expect this trend to continue.</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medium-sized businesses across a broad range of industries, including education, financial services, government, healthcare, insurance, manufacturing, media, retail, technology and utilities. As of </w:t>
      </w:r>
      <w:r>
        <w:rPr>
          <w:rFonts w:ascii="Arial" w:cs="Arial" w:eastAsia="Arial" w:hAnsi="Arial"/>
          <w:sz w:val="18"/>
          <w:szCs w:val="18"/>
          <w:color w:val="000000"/>
        </w:rPr>
        <w:t>December 31, 2014</w:t>
      </w:r>
      <w:r>
        <w:rPr>
          <w:rFonts w:ascii="Arial" w:cs="Arial" w:eastAsia="Arial" w:hAnsi="Arial"/>
          <w:sz w:val="18"/>
          <w:szCs w:val="18"/>
          <w:color w:val="231F20"/>
        </w:rPr>
        <w:t xml:space="preserve">, we had over </w:t>
      </w:r>
      <w:r>
        <w:rPr>
          <w:rFonts w:ascii="Arial" w:cs="Arial" w:eastAsia="Arial" w:hAnsi="Arial"/>
          <w:sz w:val="18"/>
          <w:szCs w:val="18"/>
          <w:color w:val="000000"/>
        </w:rPr>
        <w:t>7,700</w:t>
      </w:r>
      <w:r>
        <w:rPr>
          <w:rFonts w:ascii="Arial" w:cs="Arial" w:eastAsia="Arial" w:hAnsi="Arial"/>
          <w:sz w:val="18"/>
          <w:szCs w:val="18"/>
          <w:color w:val="231F20"/>
        </w:rPr>
        <w:t xml:space="preserve"> customers in more than </w:t>
      </w:r>
      <w:r>
        <w:rPr>
          <w:rFonts w:ascii="Arial" w:cs="Arial" w:eastAsia="Arial" w:hAnsi="Arial"/>
          <w:sz w:val="18"/>
          <w:szCs w:val="18"/>
          <w:color w:val="000000"/>
        </w:rPr>
        <w:t>100</w:t>
      </w:r>
      <w:r>
        <w:rPr>
          <w:rFonts w:ascii="Arial" w:cs="Arial" w:eastAsia="Arial" w:hAnsi="Arial"/>
          <w:sz w:val="18"/>
          <w:szCs w:val="18"/>
          <w:color w:val="231F20"/>
        </w:rPr>
        <w:t xml:space="preserve"> countries, including a majority of each of the Forbes Global 100 and Fortune 100. In </w:t>
      </w:r>
      <w:r>
        <w:rPr>
          <w:rFonts w:ascii="Arial" w:cs="Arial" w:eastAsia="Arial" w:hAnsi="Arial"/>
          <w:sz w:val="18"/>
          <w:szCs w:val="18"/>
          <w:color w:val="000000"/>
        </w:rPr>
        <w:t>2014, 2013 and 2012</w:t>
      </w:r>
      <w:r>
        <w:rPr>
          <w:rFonts w:ascii="Arial" w:cs="Arial" w:eastAsia="Arial" w:hAnsi="Arial"/>
          <w:sz w:val="18"/>
          <w:szCs w:val="18"/>
          <w:color w:val="231F20"/>
        </w:rPr>
        <w:t xml:space="preserve">, approximately </w:t>
      </w:r>
      <w:r>
        <w:rPr>
          <w:rFonts w:ascii="Arial" w:cs="Arial" w:eastAsia="Arial" w:hAnsi="Arial"/>
          <w:sz w:val="18"/>
          <w:szCs w:val="18"/>
          <w:color w:val="000000"/>
        </w:rPr>
        <w:t>70%</w:t>
      </w:r>
      <w:r>
        <w:rPr>
          <w:rFonts w:ascii="Arial" w:cs="Arial" w:eastAsia="Arial" w:hAnsi="Arial"/>
          <w:sz w:val="18"/>
          <w:szCs w:val="18"/>
          <w:color w:val="231F20"/>
        </w:rPr>
        <w:t xml:space="preserve">, </w:t>
      </w:r>
      <w:r>
        <w:rPr>
          <w:rFonts w:ascii="Arial" w:cs="Arial" w:eastAsia="Arial" w:hAnsi="Arial"/>
          <w:sz w:val="18"/>
          <w:szCs w:val="18"/>
          <w:color w:val="000000"/>
        </w:rPr>
        <w:t>70%</w:t>
      </w:r>
      <w:r>
        <w:rPr>
          <w:rFonts w:ascii="Arial" w:cs="Arial" w:eastAsia="Arial" w:hAnsi="Arial"/>
          <w:sz w:val="18"/>
          <w:szCs w:val="18"/>
          <w:color w:val="231F20"/>
        </w:rPr>
        <w:t xml:space="preserve"> and </w:t>
      </w:r>
      <w:r>
        <w:rPr>
          <w:rFonts w:ascii="Arial" w:cs="Arial" w:eastAsia="Arial" w:hAnsi="Arial"/>
          <w:sz w:val="18"/>
          <w:szCs w:val="18"/>
          <w:color w:val="000000"/>
        </w:rPr>
        <w:t>68%</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We have had continued revenue growth over the past three years. </w:t>
      </w:r>
      <w:r>
        <w:rPr>
          <w:rFonts w:ascii="Arial" w:cs="Arial" w:eastAsia="Arial" w:hAnsi="Arial"/>
          <w:sz w:val="18"/>
          <w:szCs w:val="18"/>
          <w:color w:val="000000"/>
        </w:rPr>
        <w:t>Our revenues increased from $91.4 million in 2012 to $108.0 million in</w:t>
      </w:r>
      <w:r>
        <w:rPr>
          <w:rFonts w:ascii="Arial" w:cs="Arial" w:eastAsia="Arial" w:hAnsi="Arial"/>
          <w:sz w:val="18"/>
          <w:szCs w:val="18"/>
          <w:color w:val="231F20"/>
        </w:rPr>
        <w:t xml:space="preserve"> </w:t>
      </w:r>
      <w:r>
        <w:rPr>
          <w:rFonts w:ascii="Arial" w:cs="Arial" w:eastAsia="Arial" w:hAnsi="Arial"/>
          <w:sz w:val="18"/>
          <w:szCs w:val="18"/>
          <w:color w:val="000000"/>
        </w:rPr>
        <w:t>2013, and reached $133.6 million in 2014</w:t>
      </w:r>
      <w:r>
        <w:rPr>
          <w:rFonts w:ascii="Arial" w:cs="Arial" w:eastAsia="Arial" w:hAnsi="Arial"/>
          <w:sz w:val="18"/>
          <w:szCs w:val="18"/>
          <w:color w:val="231F20"/>
        </w:rPr>
        <w:t>, representing period-over-period increases of</w:t>
      </w:r>
      <w:r>
        <w:rPr>
          <w:rFonts w:ascii="Arial" w:cs="Arial" w:eastAsia="Arial" w:hAnsi="Arial"/>
          <w:sz w:val="18"/>
          <w:szCs w:val="18"/>
          <w:color w:val="000000"/>
        </w:rPr>
        <w:t xml:space="preserve"> $16.5 million</w:t>
      </w:r>
      <w:r>
        <w:rPr>
          <w:rFonts w:ascii="Arial" w:cs="Arial" w:eastAsia="Arial" w:hAnsi="Arial"/>
          <w:sz w:val="18"/>
          <w:szCs w:val="18"/>
          <w:color w:val="231F20"/>
        </w:rPr>
        <w:t>, and</w:t>
      </w:r>
      <w:r>
        <w:rPr>
          <w:rFonts w:ascii="Arial" w:cs="Arial" w:eastAsia="Arial" w:hAnsi="Arial"/>
          <w:sz w:val="18"/>
          <w:szCs w:val="18"/>
          <w:color w:val="000000"/>
        </w:rPr>
        <w:t xml:space="preserve"> $25.6 million</w:t>
      </w:r>
      <w:r>
        <w:rPr>
          <w:rFonts w:ascii="Arial" w:cs="Arial" w:eastAsia="Arial" w:hAnsi="Arial"/>
          <w:sz w:val="18"/>
          <w:szCs w:val="18"/>
          <w:color w:val="231F20"/>
        </w:rPr>
        <w:t>, or</w:t>
      </w:r>
      <w:r>
        <w:rPr>
          <w:rFonts w:ascii="Arial" w:cs="Arial" w:eastAsia="Arial" w:hAnsi="Arial"/>
          <w:sz w:val="18"/>
          <w:szCs w:val="18"/>
          <w:color w:val="000000"/>
        </w:rPr>
        <w:t xml:space="preserve"> 18% </w:t>
      </w:r>
      <w:r>
        <w:rPr>
          <w:rFonts w:ascii="Arial" w:cs="Arial" w:eastAsia="Arial" w:hAnsi="Arial"/>
          <w:sz w:val="18"/>
          <w:szCs w:val="18"/>
          <w:color w:val="231F20"/>
        </w:rPr>
        <w:t>and</w:t>
      </w:r>
      <w:r>
        <w:rPr>
          <w:rFonts w:ascii="Arial" w:cs="Arial" w:eastAsia="Arial" w:hAnsi="Arial"/>
          <w:sz w:val="18"/>
          <w:szCs w:val="18"/>
          <w:color w:val="000000"/>
        </w:rPr>
        <w:t xml:space="preserve"> 24%</w:t>
      </w:r>
      <w:r>
        <w:rPr>
          <w:rFonts w:ascii="Arial" w:cs="Arial" w:eastAsia="Arial" w:hAnsi="Arial"/>
          <w:sz w:val="18"/>
          <w:szCs w:val="18"/>
          <w:color w:val="231F20"/>
        </w:rPr>
        <w:t>,</w:t>
      </w:r>
      <w:r>
        <w:rPr>
          <w:rFonts w:ascii="Arial" w:cs="Arial" w:eastAsia="Arial" w:hAnsi="Arial"/>
          <w:sz w:val="18"/>
          <w:szCs w:val="18"/>
          <w:color w:val="000000"/>
        </w:rPr>
        <w:t xml:space="preserve"> </w:t>
      </w:r>
      <w:r>
        <w:rPr>
          <w:rFonts w:ascii="Arial" w:cs="Arial" w:eastAsia="Arial" w:hAnsi="Arial"/>
          <w:sz w:val="18"/>
          <w:szCs w:val="18"/>
          <w:color w:val="231F20"/>
        </w:rPr>
        <w:t xml:space="preserve">respectively. </w:t>
      </w:r>
      <w:r>
        <w:rPr>
          <w:rFonts w:ascii="Arial" w:cs="Arial" w:eastAsia="Arial" w:hAnsi="Arial"/>
          <w:sz w:val="18"/>
          <w:szCs w:val="18"/>
          <w:color w:val="000000"/>
        </w:rPr>
        <w:t>We generated net income of $2.2 million in 2012, $1.5 million in 2013, and $30.2 million in 2014. Net income in 2014 includes a</w:t>
      </w:r>
      <w:r>
        <w:rPr>
          <w:rFonts w:ascii="Arial" w:cs="Arial" w:eastAsia="Arial" w:hAnsi="Arial"/>
          <w:sz w:val="18"/>
          <w:szCs w:val="18"/>
          <w:color w:val="231F20"/>
        </w:rPr>
        <w:t xml:space="preserve"> </w:t>
      </w:r>
      <w:r>
        <w:rPr>
          <w:rFonts w:ascii="Arial" w:cs="Arial" w:eastAsia="Arial" w:hAnsi="Arial"/>
          <w:sz w:val="18"/>
          <w:szCs w:val="18"/>
          <w:color w:val="000000"/>
        </w:rPr>
        <w:t>tax benefit of $23.7 million for recognition of our U.S. federal and certain state deferred tax assets.</w:t>
      </w:r>
    </w:p>
    <w:p>
      <w:pPr>
        <w:spacing w:after="0" w:line="19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231F20"/>
        </w:rPr>
        <w:t xml:space="preserve">On September 28, 2012, our common stock commenced trading on the NASDAQ Stock Market under the trading symbol “QLYS,” and on October 3, 2012 we closed our initial public offering. In our initial public offering, we sold and issued </w:t>
      </w:r>
      <w:r>
        <w:rPr>
          <w:rFonts w:ascii="Arial" w:cs="Arial" w:eastAsia="Arial" w:hAnsi="Arial"/>
          <w:sz w:val="18"/>
          <w:szCs w:val="18"/>
          <w:color w:val="000000"/>
        </w:rPr>
        <w:t>7,836,250</w:t>
      </w:r>
      <w:r>
        <w:rPr>
          <w:rFonts w:ascii="Arial" w:cs="Arial" w:eastAsia="Arial" w:hAnsi="Arial"/>
          <w:sz w:val="18"/>
          <w:szCs w:val="18"/>
          <w:color w:val="231F20"/>
        </w:rPr>
        <w:t xml:space="preserve"> shares and certain selling stockholders sold an additional </w:t>
      </w:r>
      <w:r>
        <w:rPr>
          <w:rFonts w:ascii="Arial" w:cs="Arial" w:eastAsia="Arial" w:hAnsi="Arial"/>
          <w:sz w:val="18"/>
          <w:szCs w:val="18"/>
          <w:color w:val="000000"/>
        </w:rPr>
        <w:t>875,000</w:t>
      </w:r>
      <w:r>
        <w:rPr>
          <w:rFonts w:ascii="Arial" w:cs="Arial" w:eastAsia="Arial" w:hAnsi="Arial"/>
          <w:sz w:val="18"/>
          <w:szCs w:val="18"/>
          <w:color w:val="231F20"/>
        </w:rPr>
        <w:t xml:space="preserve"> shares. The net proceeds to us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this offering of </w:t>
      </w:r>
      <w:r>
        <w:rPr>
          <w:rFonts w:ascii="Arial" w:cs="Arial" w:eastAsia="Arial" w:hAnsi="Arial"/>
          <w:sz w:val="18"/>
          <w:szCs w:val="18"/>
          <w:color w:val="000000"/>
        </w:rPr>
        <w:t>$2.9 million</w:t>
      </w:r>
      <w:r>
        <w:rPr>
          <w:rFonts w:ascii="Arial" w:cs="Arial" w:eastAsia="Arial" w:hAnsi="Arial"/>
          <w:sz w:val="18"/>
          <w:szCs w:val="18"/>
          <w:color w:val="231F20"/>
        </w:rPr>
        <w: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r>
      <w:tr>
        <w:trPr>
          <w:trHeight w:val="264"/>
        </w:trPr>
        <w:tc>
          <w:tcPr>
            <w:tcW w:w="7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31,693</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17,427</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13,797</w:t>
            </w:r>
          </w:p>
        </w:tc>
      </w:tr>
      <w:tr>
        <w:trPr>
          <w:trHeight w:val="258"/>
        </w:trPr>
        <w:tc>
          <w:tcPr>
            <w:tcW w:w="7440" w:type="dxa"/>
            <w:vAlign w:val="bottom"/>
          </w:tcPr>
          <w:p>
            <w:pPr>
              <w:ind w:left="20"/>
              <w:spacing w:after="0"/>
              <w:rPr>
                <w:sz w:val="20"/>
                <w:szCs w:val="20"/>
                <w:color w:val="auto"/>
              </w:rPr>
            </w:pPr>
            <w:r>
              <w:rPr>
                <w:rFonts w:ascii="Arial" w:cs="Arial" w:eastAsia="Arial" w:hAnsi="Arial"/>
                <w:sz w:val="14"/>
                <w:szCs w:val="14"/>
                <w:color w:val="auto"/>
              </w:rPr>
              <w:t>Free cash flows</w:t>
            </w:r>
          </w:p>
        </w:tc>
        <w:tc>
          <w:tcPr>
            <w:tcW w:w="2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27,411</w:t>
            </w:r>
          </w:p>
        </w:tc>
        <w:tc>
          <w:tcPr>
            <w:tcW w:w="34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11,431</w:t>
            </w:r>
          </w:p>
        </w:tc>
        <w:tc>
          <w:tcPr>
            <w:tcW w:w="3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10,724</w:t>
            </w:r>
          </w:p>
        </w:tc>
      </w:tr>
    </w:tbl>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and (5) stock-based compensation.</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41" w:right="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each of the periods presented.</w:t>
      </w:r>
    </w:p>
    <w:p>
      <w:pPr>
        <w:spacing w:after="0" w:line="200" w:lineRule="exact"/>
        <w:rPr>
          <w:sz w:val="20"/>
          <w:szCs w:val="20"/>
          <w:color w:val="auto"/>
        </w:rPr>
      </w:pPr>
    </w:p>
    <w:p>
      <w:pPr>
        <w:spacing w:after="0" w:line="229"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r>
      <w:tr>
        <w:trPr>
          <w:trHeight w:val="250"/>
        </w:trPr>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17"/>
                <w:szCs w:val="17"/>
                <w:color w:val="auto"/>
                <w:vertAlign w:val="superscript"/>
              </w:rPr>
              <w:t>(1)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30,244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2,221</w:t>
            </w:r>
          </w:p>
        </w:tc>
      </w:tr>
      <w:tr>
        <w:trPr>
          <w:trHeight w:val="270"/>
        </w:trPr>
        <w:tc>
          <w:tcPr>
            <w:tcW w:w="7300" w:type="dxa"/>
            <w:vAlign w:val="bottom"/>
          </w:tcPr>
          <w:p>
            <w:pPr>
              <w:ind w:left="20"/>
              <w:spacing w:after="0"/>
              <w:rPr>
                <w:sz w:val="20"/>
                <w:szCs w:val="20"/>
                <w:color w:val="auto"/>
              </w:rPr>
            </w:pPr>
            <w:r>
              <w:rPr>
                <w:rFonts w:ascii="Arial" w:cs="Arial" w:eastAsia="Arial" w:hAnsi="Arial"/>
                <w:sz w:val="14"/>
                <w:szCs w:val="14"/>
                <w:color w:val="auto"/>
              </w:rPr>
              <w:t xml:space="preserve">Other (income) expense, net </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425</w:t>
            </w:r>
          </w:p>
        </w:tc>
      </w:tr>
      <w:tr>
        <w:trPr>
          <w:trHeight w:val="27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358</w:t>
            </w:r>
          </w:p>
        </w:tc>
      </w:tr>
      <w:tr>
        <w:trPr>
          <w:trHeight w:val="264"/>
        </w:trPr>
        <w:tc>
          <w:tcPr>
            <w:tcW w:w="7300" w:type="dxa"/>
            <w:vAlign w:val="bottom"/>
          </w:tcPr>
          <w:p>
            <w:pPr>
              <w:ind w:left="20"/>
              <w:spacing w:after="0"/>
              <w:rPr>
                <w:sz w:val="20"/>
                <w:szCs w:val="20"/>
                <w:color w:val="auto"/>
              </w:rPr>
            </w:pPr>
            <w:r>
              <w:rPr>
                <w:rFonts w:ascii="Arial" w:cs="Arial" w:eastAsia="Arial" w:hAnsi="Arial"/>
                <w:sz w:val="14"/>
                <w:szCs w:val="14"/>
                <w:color w:val="auto"/>
              </w:rPr>
              <w:t>Depreciation and amortization of property and equipment</w:t>
            </w:r>
          </w:p>
        </w:tc>
        <w:tc>
          <w:tcPr>
            <w:tcW w:w="24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11,504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9,195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6,895</w:t>
            </w:r>
          </w:p>
        </w:tc>
      </w:tr>
      <w:tr>
        <w:trPr>
          <w:trHeight w:val="276"/>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446</w:t>
            </w:r>
          </w:p>
        </w:tc>
      </w:tr>
      <w:tr>
        <w:trPr>
          <w:trHeight w:val="264"/>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10,549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3,452</w:t>
            </w:r>
          </w:p>
        </w:tc>
      </w:tr>
      <w:tr>
        <w:trPr>
          <w:trHeight w:val="24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31,693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13,797</w:t>
            </w:r>
          </w:p>
        </w:tc>
      </w:tr>
      <w:tr>
        <w:trPr>
          <w:trHeight w:val="20"/>
        </w:trPr>
        <w:tc>
          <w:tcPr>
            <w:tcW w:w="7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7300" w:type="dxa"/>
            <w:vAlign w:val="bottom"/>
          </w:tcPr>
          <w:p>
            <w:pPr>
              <w:ind w:left="20"/>
              <w:spacing w:after="0"/>
              <w:rPr>
                <w:sz w:val="20"/>
                <w:szCs w:val="20"/>
                <w:color w:val="auto"/>
              </w:rPr>
            </w:pPr>
            <w:r>
              <w:rPr>
                <w:rFonts w:ascii="Arial" w:cs="Arial" w:eastAsia="Arial" w:hAnsi="Arial"/>
                <w:sz w:val="14"/>
                <w:szCs w:val="14"/>
                <w:color w:val="auto"/>
              </w:rPr>
              <w:t>Percentage of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30" w:lineRule="exact"/>
        <w:rPr>
          <w:sz w:val="20"/>
          <w:szCs w:val="20"/>
          <w:color w:val="auto"/>
        </w:rPr>
      </w:pPr>
    </w:p>
    <w:p>
      <w:pPr>
        <w:ind w:left="340" w:right="200" w:hanging="332"/>
        <w:spacing w:after="0" w:line="260"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6"/>
          <w:szCs w:val="16"/>
          <w:color w:val="auto"/>
        </w:rPr>
        <w:t>Net income and other (income) expense for fiscal years 2013 and prior have been adjusted for an immaterial error as further described in Note 1 to our consolidated financial statements included elsewhere in this Annual Report on Form 10-K.</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200" w:lineRule="exact"/>
        <w:rPr>
          <w:sz w:val="20"/>
          <w:szCs w:val="20"/>
          <w:color w:val="auto"/>
        </w:rPr>
      </w:pP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center"/>
              <w:ind w:left="488"/>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264"/>
        </w:trPr>
        <w:tc>
          <w:tcPr>
            <w:tcW w:w="7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2012</w:t>
            </w:r>
          </w:p>
        </w:tc>
      </w:tr>
      <w:tr>
        <w:trPr>
          <w:trHeight w:val="250"/>
        </w:trPr>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6"/>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21,924</w:t>
            </w:r>
          </w:p>
        </w:tc>
      </w:tr>
      <w:tr>
        <w:trPr>
          <w:trHeight w:val="264"/>
        </w:trPr>
        <w:tc>
          <w:tcPr>
            <w:tcW w:w="7420" w:type="dxa"/>
            <w:vAlign w:val="bottom"/>
          </w:tcPr>
          <w:p>
            <w:pPr>
              <w:ind w:left="2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6"/>
        </w:trPr>
        <w:tc>
          <w:tcPr>
            <w:tcW w:w="7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w:t>
            </w:r>
          </w:p>
        </w:tc>
      </w:tr>
      <w:tr>
        <w:trPr>
          <w:trHeight w:val="264"/>
        </w:trPr>
        <w:tc>
          <w:tcPr>
            <w:tcW w:w="7420" w:type="dxa"/>
            <w:vAlign w:val="bottom"/>
          </w:tcPr>
          <w:p>
            <w:pPr>
              <w:ind w:left="160"/>
              <w:spacing w:after="0"/>
              <w:rPr>
                <w:sz w:val="20"/>
                <w:szCs w:val="20"/>
                <w:color w:val="auto"/>
              </w:rPr>
            </w:pPr>
            <w:r>
              <w:rPr>
                <w:rFonts w:ascii="Arial" w:cs="Arial" w:eastAsia="Arial" w:hAnsi="Arial"/>
                <w:sz w:val="14"/>
                <w:szCs w:val="14"/>
                <w:color w:val="auto"/>
              </w:rPr>
              <w:t>Capitalized software development costs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10,724</w:t>
            </w: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41"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3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w:t>
      </w:r>
      <w:r>
        <w:rPr>
          <w:rFonts w:ascii="Arial" w:cs="Arial" w:eastAsia="Arial" w:hAnsi="Arial"/>
          <w:sz w:val="18"/>
          <w:szCs w:val="18"/>
          <w:color w:val="000000"/>
        </w:rPr>
        <w:t>In some limited cases, we</w:t>
      </w:r>
      <w:r>
        <w:rPr>
          <w:rFonts w:ascii="Arial" w:cs="Arial" w:eastAsia="Arial" w:hAnsi="Arial"/>
          <w:sz w:val="18"/>
          <w:szCs w:val="18"/>
          <w:color w:val="231F20"/>
        </w:rPr>
        <w:t xml:space="preserve"> </w:t>
      </w:r>
      <w:r>
        <w:rPr>
          <w:rFonts w:ascii="Arial" w:cs="Arial" w:eastAsia="Arial" w:hAnsi="Arial"/>
          <w:sz w:val="18"/>
          <w:szCs w:val="18"/>
          <w:color w:val="000000"/>
        </w:rPr>
        <w:t xml:space="preserve">also provide certain computer equipment used to extend our QualysGuard Cloud Platform into our customers’ private cloud environment. </w:t>
      </w:r>
      <w:r>
        <w:rPr>
          <w:rFonts w:ascii="Arial" w:cs="Arial" w:eastAsia="Arial" w:hAnsi="Arial"/>
          <w:sz w:val="18"/>
          <w:szCs w:val="18"/>
          <w:color w:val="231F20"/>
        </w:rPr>
        <w:t>Customers are required to return physical scanner appliances and computer equipment if they do not renew their subscriptions.</w:t>
      </w:r>
    </w:p>
    <w:p>
      <w:pPr>
        <w:spacing w:after="0" w:line="21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to continue to invest in additional sales personnel and more marketing programs as we introduce new solutions on our platform, which will increase sales and marketing expenses in absolute dollars.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insurance, fees, certain other corporate governance-related expenses,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Japanese yen; losses on disposal of property and equipment; and interest expense associated with our capital leases.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non-deductible stock-based compensation expense and other adjustments.</w:t>
      </w:r>
    </w:p>
    <w:p>
      <w:pPr>
        <w:spacing w:after="0" w:line="206"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9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Our benefit from income taxes in 2014 included a tax benefit for the recognition of our U.S. federal and certain state deferred tax assets. The tax benefit was partially offset by our income tax provision for federal and certain state income taxes in the United Sates, as well as income taxes for profits generated in foreign jurisdictions by wholly-owned subsidiaries. Our provision for income taxes in 2013 and 2012 consists primarily of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76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91,420</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34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28,963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24,660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18,404</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104,616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83,302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73,016</w:t>
            </w:r>
          </w:p>
        </w:tc>
        <w:tc>
          <w:tcPr>
            <w:tcW w:w="0" w:type="dxa"/>
            <w:vAlign w:val="bottom"/>
          </w:tcPr>
          <w:p>
            <w:pPr>
              <w:spacing w:after="0"/>
              <w:rPr>
                <w:sz w:val="1"/>
                <w:szCs w:val="1"/>
                <w:color w:val="auto"/>
              </w:rPr>
            </w:pP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20,195</w:t>
            </w:r>
          </w:p>
        </w:tc>
        <w:tc>
          <w:tcPr>
            <w:tcW w:w="0" w:type="dxa"/>
            <w:vAlign w:val="bottom"/>
          </w:tcPr>
          <w:p>
            <w:pPr>
              <w:spacing w:after="0"/>
              <w:rPr>
                <w:sz w:val="1"/>
                <w:szCs w:val="1"/>
                <w:color w:val="auto"/>
              </w:rPr>
            </w:pPr>
          </w:p>
        </w:tc>
      </w:tr>
      <w:tr>
        <w:trPr>
          <w:trHeight w:val="260"/>
        </w:trPr>
        <w:tc>
          <w:tcPr>
            <w:tcW w:w="6760" w:type="dxa"/>
            <w:vAlign w:val="bottom"/>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48,049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42,523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37,738</w:t>
            </w:r>
          </w:p>
        </w:tc>
        <w:tc>
          <w:tcPr>
            <w:tcW w:w="0" w:type="dxa"/>
            <w:vAlign w:val="bottom"/>
          </w:tcPr>
          <w:p>
            <w:pPr>
              <w:spacing w:after="0"/>
              <w:rPr>
                <w:sz w:val="1"/>
                <w:szCs w:val="1"/>
                <w:color w:val="auto"/>
              </w:rPr>
            </w:pPr>
          </w:p>
        </w:tc>
      </w:tr>
      <w:tr>
        <w:trPr>
          <w:trHeight w:val="273"/>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340" w:type="dxa"/>
            <w:vAlign w:val="bottom"/>
            <w:tcBorders>
              <w:bottom w:val="single" w:sz="8" w:color="231F20"/>
            </w:tcBorders>
            <w:shd w:val="clear" w:color="auto" w:fill="CCEEFF"/>
          </w:tcPr>
          <w:p>
            <w:pPr>
              <w:spacing w:after="0"/>
              <w:rPr>
                <w:sz w:val="23"/>
                <w:szCs w:val="23"/>
                <w:color w:val="auto"/>
              </w:rPr>
            </w:pPr>
          </w:p>
        </w:tc>
        <w:tc>
          <w:tcPr>
            <w:tcW w:w="116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16,792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12,079</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80,993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70,012</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14"/>
                <w:szCs w:val="14"/>
                <w:color w:val="auto"/>
                <w:vertAlign w:val="superscript"/>
              </w:rPr>
              <w:t>(2)</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Income before income taxes </w:t>
            </w:r>
            <w:r>
              <w:rPr>
                <w:rFonts w:ascii="Arial" w:cs="Arial" w:eastAsia="Arial" w:hAnsi="Arial"/>
                <w:sz w:val="14"/>
                <w:szCs w:val="14"/>
                <w:color w:val="auto"/>
                <w:vertAlign w:val="superscript"/>
              </w:rPr>
              <w:t>(2)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2,579</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tcBorders>
              <w:bottom w:val="single" w:sz="8" w:color="231F20"/>
            </w:tcBorders>
          </w:tcPr>
          <w:p>
            <w:pPr>
              <w:spacing w:after="0"/>
              <w:rPr>
                <w:sz w:val="22"/>
                <w:szCs w:val="22"/>
                <w:color w:val="auto"/>
              </w:rPr>
            </w:pPr>
          </w:p>
        </w:tc>
        <w:tc>
          <w:tcPr>
            <w:tcW w:w="11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(21,631)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14"/>
                <w:szCs w:val="14"/>
                <w:color w:val="auto"/>
                <w:vertAlign w:val="superscript"/>
              </w:rPr>
              <w:t>(2)</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30,244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67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214"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7"/>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64"/>
        </w:trPr>
        <w:tc>
          <w:tcPr>
            <w:tcW w:w="5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2012</w:t>
            </w:r>
          </w:p>
        </w:tc>
      </w:tr>
      <w:tr>
        <w:trPr>
          <w:trHeight w:val="17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297"/>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74"/>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Cost of revenues</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276</w:t>
            </w:r>
          </w:p>
        </w:tc>
      </w:tr>
      <w:tr>
        <w:trPr>
          <w:trHeight w:val="262"/>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7"/>
              <w:spacing w:after="0"/>
              <w:rPr>
                <w:sz w:val="20"/>
                <w:szCs w:val="20"/>
                <w:color w:val="auto"/>
              </w:rPr>
            </w:pPr>
            <w:r>
              <w:rPr>
                <w:rFonts w:ascii="Arial" w:cs="Arial" w:eastAsia="Arial" w:hAnsi="Arial"/>
                <w:sz w:val="13"/>
                <w:szCs w:val="13"/>
                <w:color w:val="auto"/>
              </w:rPr>
              <w:t>1,047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672</w:t>
            </w:r>
          </w:p>
        </w:tc>
      </w:tr>
      <w:tr>
        <w:trPr>
          <w:trHeight w:val="27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1,074</w:t>
            </w:r>
          </w:p>
        </w:tc>
      </w:tr>
      <w:tr>
        <w:trPr>
          <w:trHeight w:val="264"/>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1,430</w:t>
            </w:r>
          </w:p>
        </w:tc>
      </w:tr>
      <w:tr>
        <w:trPr>
          <w:trHeight w:val="24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stock-based compensation</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3,452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40" w:right="20" w:hanging="332"/>
        <w:spacing w:after="0" w:line="210" w:lineRule="auto"/>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Other income (expense), income before income taxes, and net income for fiscal years 2013 and prior have been adjusted for an immaterial error as further described in Note 1 to our consolidated financial statements included elsewhere in this Annual Report on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operations data for each of the periods presented as a percentage of revenues.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ind w:left="4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64"/>
        </w:trPr>
        <w:tc>
          <w:tcPr>
            <w:tcW w:w="6660" w:type="dxa"/>
            <w:vAlign w:val="bottom"/>
            <w:tcBorders>
              <w:bottom w:val="single" w:sz="8" w:color="CCEEFF"/>
            </w:tcBorders>
            <w:gridSpan w:val="2"/>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r>
      <w:tr>
        <w:trPr>
          <w:trHeight w:val="257"/>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6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revenues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57"/>
        </w:trPr>
        <w:tc>
          <w:tcPr>
            <w:tcW w:w="76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0"/>
        </w:trPr>
        <w:tc>
          <w:tcPr>
            <w:tcW w:w="76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76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60"/>
        </w:trPr>
        <w:tc>
          <w:tcPr>
            <w:tcW w:w="7600" w:type="dxa"/>
            <w:vAlign w:val="bottom"/>
            <w:gridSpan w:val="3"/>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3"/>
        </w:trPr>
        <w:tc>
          <w:tcPr>
            <w:tcW w:w="6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0"/>
        </w:trPr>
        <w:tc>
          <w:tcPr>
            <w:tcW w:w="666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75 %</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57"/>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6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57"/>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6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0 %</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40"/>
        </w:trPr>
        <w:tc>
          <w:tcPr>
            <w:tcW w:w="7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2014 and 2013</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6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133,579</w:t>
            </w:r>
          </w:p>
        </w:tc>
        <w:tc>
          <w:tcPr>
            <w:tcW w:w="6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25,617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bl>
    <w:p>
      <w:pPr>
        <w:spacing w:after="0" w:line="215"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$25.6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xml:space="preserve">. Revenues from customers existing at or prior to </w:t>
      </w:r>
      <w:r>
        <w:rPr>
          <w:rFonts w:ascii="Arial" w:cs="Arial" w:eastAsia="Arial" w:hAnsi="Arial"/>
          <w:sz w:val="18"/>
          <w:szCs w:val="18"/>
          <w:color w:val="000000"/>
        </w:rPr>
        <w:t>December 31, 2013</w:t>
      </w:r>
      <w:r>
        <w:rPr>
          <w:rFonts w:ascii="Arial" w:cs="Arial" w:eastAsia="Arial" w:hAnsi="Arial"/>
          <w:sz w:val="18"/>
          <w:szCs w:val="18"/>
          <w:color w:val="231F20"/>
        </w:rPr>
        <w:t xml:space="preserve"> grew by $15.7 million to $123.7 million in </w:t>
      </w:r>
      <w:r>
        <w:rPr>
          <w:rFonts w:ascii="Arial" w:cs="Arial" w:eastAsia="Arial" w:hAnsi="Arial"/>
          <w:sz w:val="18"/>
          <w:szCs w:val="18"/>
          <w:color w:val="000000"/>
        </w:rPr>
        <w:t>2014</w:t>
      </w:r>
      <w:r>
        <w:rPr>
          <w:rFonts w:ascii="Arial" w:cs="Arial" w:eastAsia="Arial" w:hAnsi="Arial"/>
          <w:sz w:val="18"/>
          <w:szCs w:val="18"/>
          <w:color w:val="231F20"/>
        </w:rPr>
        <w:t xml:space="preserve">, representing 115% of total revenues in 2013, primarily due to increased subscriptions and purchases of additional solutions. Subscriptions from new customers added in </w:t>
      </w:r>
      <w:r>
        <w:rPr>
          <w:rFonts w:ascii="Arial" w:cs="Arial" w:eastAsia="Arial" w:hAnsi="Arial"/>
          <w:sz w:val="18"/>
          <w:szCs w:val="18"/>
          <w:color w:val="000000"/>
        </w:rPr>
        <w:t>2014</w:t>
      </w:r>
      <w:r>
        <w:rPr>
          <w:rFonts w:ascii="Arial" w:cs="Arial" w:eastAsia="Arial" w:hAnsi="Arial"/>
          <w:sz w:val="18"/>
          <w:szCs w:val="18"/>
          <w:color w:val="231F20"/>
        </w:rPr>
        <w:t xml:space="preserve"> contributed $9.9 million to the increase in revenues. Of the total increase of </w:t>
      </w:r>
      <w:r>
        <w:rPr>
          <w:rFonts w:ascii="Arial" w:cs="Arial" w:eastAsia="Arial" w:hAnsi="Arial"/>
          <w:sz w:val="18"/>
          <w:szCs w:val="18"/>
          <w:color w:val="000000"/>
        </w:rPr>
        <w:t>$25.6 million</w:t>
      </w:r>
      <w:r>
        <w:rPr>
          <w:rFonts w:ascii="Arial" w:cs="Arial" w:eastAsia="Arial" w:hAnsi="Arial"/>
          <w:sz w:val="18"/>
          <w:szCs w:val="18"/>
          <w:color w:val="231F20"/>
        </w:rPr>
        <w:t xml:space="preserve">, </w:t>
      </w:r>
      <w:r>
        <w:rPr>
          <w:rFonts w:ascii="Arial" w:cs="Arial" w:eastAsia="Arial" w:hAnsi="Arial"/>
          <w:sz w:val="18"/>
          <w:szCs w:val="18"/>
          <w:color w:val="000000"/>
        </w:rPr>
        <w:t>$17.9 million</w:t>
      </w:r>
      <w:r>
        <w:rPr>
          <w:rFonts w:ascii="Arial" w:cs="Arial" w:eastAsia="Arial" w:hAnsi="Arial"/>
          <w:sz w:val="18"/>
          <w:szCs w:val="18"/>
          <w:color w:val="231F20"/>
        </w:rPr>
        <w:t xml:space="preserve"> was from customers in the United States and the remaining $7.7 million was from customers in foreign countries. The growth in revenues reflects increased demand for our solutions.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28,963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24,660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4,303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$4.3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primarily due to a $1.9 million increase in depreciation expenses primarily related to additional computer hardware and software for our new and existing data centers; increased personnel expenses of $0.7 million, principally driven by the addition of employees in our operations staff and higher stock-based compensation; increased third-party software license maintenance expense of $0.7 million; increased consulting expense of $0.7 million; and increased data center costs of $0.3 million, driven by new data centers, expanded storage and other data center-related costs.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26,320</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21,678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4,642</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$4.6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primarily due to an increase in personnel expenses of $3.6 million, including higher stock-based compensation, principally driven by the addition of employees as we continue to invest in enhancing our platform and developing new solutions and capabilities; higher corporate overhead costs of $0.5 million, principally due to the expansion of our research and development team in India; and an increase of consulting and professional service expenses of $0.3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w w:val="99"/>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48,049</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42,523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5,526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$5.5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primarily due to an increase in personnel expenses of $4.6 million, including higher commission expense and stock-based compensation, principally driven by the addition of employees as we continue to expand our domestic and international sales and marketing efforts. We also incurred increased marketing expenses of $1.2 million, primarily related to increased trade shows, public relations and marketing program activities.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6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21,000</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4,208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3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$ 4.2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primarily driven by increased personnel expenses of $3.0 million, including higher employee stock-based compensation, principally due to the addition of employees to support the growth of our business; increased professional services of $0.7 million; and increased bad debt expense, corporate and business taxes, and other fees of $0.4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9"/>
              </w:rPr>
              <w:t>Year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w w:val="99"/>
              </w:rPr>
              <w:t>December 31,</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8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6"/>
              </w:rPr>
              <w:t>(634)</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(268)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(366)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51"/>
        </w:trPr>
        <w:tc>
          <w:tcPr>
            <w:tcW w:w="53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0 %</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560" w:firstLine="405"/>
        <w:spacing w:after="0" w:line="256" w:lineRule="auto"/>
        <w:rPr>
          <w:sz w:val="20"/>
          <w:szCs w:val="20"/>
          <w:color w:val="auto"/>
        </w:rPr>
      </w:pPr>
      <w:r>
        <w:rPr>
          <w:rFonts w:ascii="Arial" w:cs="Arial" w:eastAsia="Arial" w:hAnsi="Arial"/>
          <w:sz w:val="18"/>
          <w:szCs w:val="18"/>
          <w:color w:val="231F20"/>
        </w:rPr>
        <w:t xml:space="preserve">Other income (expense), net decreased </w:t>
      </w:r>
      <w:r>
        <w:rPr>
          <w:rFonts w:ascii="Arial" w:cs="Arial" w:eastAsia="Arial" w:hAnsi="Arial"/>
          <w:sz w:val="18"/>
          <w:szCs w:val="18"/>
          <w:color w:val="000000"/>
        </w:rPr>
        <w:t>$0.4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primarily due to a loss on disposal of property and equipment of $0.3 million; partially offset by higher investment income of $0.1 million. Additionally, in 2013, we received proceeds of $0.2 million from a negotiated settlement that was included in other income (expense) that did not recur in 2014.</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(Benefit from) 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rPr>
              <w:t>Year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4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(21,631)</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(22,131)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5" w:lineRule="exact"/>
        <w:rPr>
          <w:sz w:val="20"/>
          <w:szCs w:val="20"/>
          <w:color w:val="auto"/>
        </w:rPr>
      </w:pPr>
    </w:p>
    <w:p>
      <w:pPr>
        <w:ind w:right="400" w:firstLine="405"/>
        <w:spacing w:after="0" w:line="253" w:lineRule="auto"/>
        <w:rPr>
          <w:sz w:val="20"/>
          <w:szCs w:val="20"/>
          <w:color w:val="auto"/>
        </w:rPr>
      </w:pPr>
      <w:r>
        <w:rPr>
          <w:rFonts w:ascii="Arial" w:cs="Arial" w:eastAsia="Arial" w:hAnsi="Arial"/>
          <w:sz w:val="18"/>
          <w:szCs w:val="18"/>
          <w:color w:val="231F20"/>
        </w:rPr>
        <w:t xml:space="preserve">The (benefit from) provision for income taxes decreased </w:t>
      </w:r>
      <w:r>
        <w:rPr>
          <w:rFonts w:ascii="Arial" w:cs="Arial" w:eastAsia="Arial" w:hAnsi="Arial"/>
          <w:sz w:val="18"/>
          <w:szCs w:val="18"/>
          <w:color w:val="000000"/>
        </w:rPr>
        <w:t>$22.1 million</w:t>
      </w:r>
      <w:r>
        <w:rPr>
          <w:rFonts w:ascii="Arial" w:cs="Arial" w:eastAsia="Arial" w:hAnsi="Arial"/>
          <w:sz w:val="18"/>
          <w:szCs w:val="18"/>
          <w:color w:val="231F20"/>
        </w:rPr>
        <w:t xml:space="preserve"> in </w:t>
      </w:r>
      <w:r>
        <w:rPr>
          <w:rFonts w:ascii="Arial" w:cs="Arial" w:eastAsia="Arial" w:hAnsi="Arial"/>
          <w:sz w:val="18"/>
          <w:szCs w:val="18"/>
          <w:color w:val="000000"/>
        </w:rPr>
        <w:t>2014</w:t>
      </w:r>
      <w:r>
        <w:rPr>
          <w:rFonts w:ascii="Arial" w:cs="Arial" w:eastAsia="Arial" w:hAnsi="Arial"/>
          <w:sz w:val="18"/>
          <w:szCs w:val="18"/>
          <w:color w:val="231F20"/>
        </w:rPr>
        <w:t xml:space="preserve"> compared to </w:t>
      </w:r>
      <w:r>
        <w:rPr>
          <w:rFonts w:ascii="Arial" w:cs="Arial" w:eastAsia="Arial" w:hAnsi="Arial"/>
          <w:sz w:val="18"/>
          <w:szCs w:val="18"/>
          <w:color w:val="000000"/>
        </w:rPr>
        <w:t>2013</w:t>
      </w:r>
      <w:r>
        <w:rPr>
          <w:rFonts w:ascii="Arial" w:cs="Arial" w:eastAsia="Arial" w:hAnsi="Arial"/>
          <w:sz w:val="18"/>
          <w:szCs w:val="18"/>
          <w:color w:val="231F20"/>
        </w:rPr>
        <w:t xml:space="preserve">. The tax benefit in 2014 includes approximately $23.7 million </w:t>
      </w:r>
      <w:r>
        <w:rPr>
          <w:rFonts w:ascii="Arial" w:cs="Arial" w:eastAsia="Arial" w:hAnsi="Arial"/>
          <w:sz w:val="18"/>
          <w:szCs w:val="18"/>
          <w:color w:val="000000"/>
        </w:rPr>
        <w:t>for the recognition of our U.S. federal and certain state deferred tax assets. In the fourth quarter of 2014,</w:t>
      </w:r>
      <w:r>
        <w:rPr>
          <w:rFonts w:ascii="Arial" w:cs="Arial" w:eastAsia="Arial" w:hAnsi="Arial"/>
          <w:sz w:val="18"/>
          <w:szCs w:val="18"/>
          <w:color w:val="231F20"/>
        </w:rPr>
        <w:t xml:space="preserve"> </w:t>
      </w:r>
      <w:r>
        <w:rPr>
          <w:rFonts w:ascii="Arial" w:cs="Arial" w:eastAsia="Arial" w:hAnsi="Arial"/>
          <w:sz w:val="18"/>
          <w:szCs w:val="18"/>
          <w:color w:val="000000"/>
        </w:rPr>
        <w:t>management determined it was more likely than not that certain deferred tax assets were realizable, primarily due to the increased and expected sustainable profitability in our U.S. operations. The tax benefit was partially offset by taxes on income for U.S. federal and certain state jurisdictions as well as taxes on income in foreign jurisdictions for our wholly-owned subsidiaries.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2013 and 2012</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10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10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107,962</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16,542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bl>
    <w:p>
      <w:pPr>
        <w:spacing w:after="0" w:line="161"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 xml:space="preserve">Revenues increased $16.5 million in 2013 compared to 2012. Revenues from customers existing at or prior to December 31, 2012 grew by $8.7 million to $100.1 million in 2013 </w:t>
      </w:r>
      <w:r>
        <w:rPr>
          <w:rFonts w:ascii="Arial" w:cs="Arial" w:eastAsia="Arial" w:hAnsi="Arial"/>
          <w:sz w:val="18"/>
          <w:szCs w:val="18"/>
          <w:color w:val="231F20"/>
        </w:rPr>
        <w:t>representing 110% of total revenues in 2012, primarily due to increased subscriptions and purchases</w:t>
      </w:r>
      <w:r>
        <w:rPr>
          <w:rFonts w:ascii="Arial" w:cs="Arial" w:eastAsia="Arial" w:hAnsi="Arial"/>
          <w:sz w:val="18"/>
          <w:szCs w:val="18"/>
          <w:color w:val="auto"/>
        </w:rPr>
        <w:t xml:space="preserve"> </w:t>
      </w:r>
      <w:r>
        <w:rPr>
          <w:rFonts w:ascii="Arial" w:cs="Arial" w:eastAsia="Arial" w:hAnsi="Arial"/>
          <w:sz w:val="18"/>
          <w:szCs w:val="18"/>
          <w:color w:val="231F20"/>
        </w:rPr>
        <w:t xml:space="preserve">of additional solutions. </w:t>
      </w:r>
      <w:r>
        <w:rPr>
          <w:rFonts w:ascii="Arial" w:cs="Arial" w:eastAsia="Arial" w:hAnsi="Arial"/>
          <w:sz w:val="18"/>
          <w:szCs w:val="18"/>
          <w:color w:val="000000"/>
        </w:rPr>
        <w:t>Subscriptions from new customers added in 2013 contributed $7.8 million to the increase in revenues. Of the total</w:t>
      </w:r>
      <w:r>
        <w:rPr>
          <w:rFonts w:ascii="Arial" w:cs="Arial" w:eastAsia="Arial" w:hAnsi="Arial"/>
          <w:sz w:val="18"/>
          <w:szCs w:val="18"/>
          <w:color w:val="231F20"/>
        </w:rPr>
        <w:t xml:space="preserve"> </w:t>
      </w:r>
      <w:r>
        <w:rPr>
          <w:rFonts w:ascii="Arial" w:cs="Arial" w:eastAsia="Arial" w:hAnsi="Arial"/>
          <w:sz w:val="18"/>
          <w:szCs w:val="18"/>
          <w:color w:val="000000"/>
        </w:rPr>
        <w:t>increase of $16.5 million, $12.9 million was from customers in the United States and the remaining $3.6 million was from customers in foreign countries. The growth in revenues reflects increased demand for our solutions.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24,660</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18,404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6,256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auto"/>
        </w:rPr>
        <w:t>Cost of revenues increased $6.3 million in 2013 compared to 2012, primarily due to a $2.3 million increase in depreciation expenses primarily related to additional computer hardware and software for our new and existing data centers; increased personnel expenses of $1.9 million, principally driven by the addition of employees in our operations staff; increased data center costs of $0.9 million, driven by new data centers, expanded storage and other data center-related costs; and increased third-party software maintenance expense of $0.7 million. The decrease in gross profit percentage reflects the impact of continued increased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investments to expand our data center infrastructure, to further enable disaster recovery of our solutions, and to add capacity to deploy new solutions on our cloud platform.</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21,678</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20,195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1,483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Research and development expenses increased $1.5 million in 2013 compared to 2012, primarily due to an increase in personnel expenses of $1.5 million, including higher stock-based compensation, principally driven by the addition of employees as we continue to invest in enhancing our platform and developing new solutions.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42,523</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37,738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4,785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Sales and marketing expenses increased $4.8 million in 2013 compared to 2012, primarily due to an increase in personnel expenses of $3.3 million, principally driven by the addition of employees as we continue to expand our domestic and international sales and marketing efforts, and higher sales commissions as a result of higher bookings. We also incurred increased travel-related costs of $0.4 million and increased recruiting expenses of $0.4 million.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6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16,792</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12,079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4,713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81"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General and administrative expenses increased $ 4.7 million in 2013 compared to 2012, primarily due to an increase in personnel expenses of $2.2 million, including higher stock-based compensation, principally due to the addition of employees to support the growth of our business and building out our infrastructure to support public company requirements. We also incurred increased insurance, director fees and other fees of $0.8 million; as well as increased stock-based compensation of $0.5 million related to non-employees, primarily due to higher stock prices; and increased professional services of $0.5 million.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9"/>
              </w:rPr>
              <w:t>December 31,</w:t>
            </w:r>
          </w:p>
        </w:tc>
        <w:tc>
          <w:tcPr>
            <w:tcW w:w="34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w:t>
            </w:r>
          </w:p>
        </w:tc>
      </w:tr>
      <w:tr>
        <w:trPr>
          <w:trHeight w:val="247"/>
        </w:trPr>
        <w:tc>
          <w:tcPr>
            <w:tcW w:w="5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320" w:type="dxa"/>
            <w:vAlign w:val="bottom"/>
            <w:gridSpan w:val="5"/>
          </w:tcPr>
          <w:p>
            <w:pPr>
              <w:jc w:val="right"/>
              <w:ind w:right="37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(268)</w:t>
            </w:r>
          </w:p>
        </w:tc>
        <w:tc>
          <w:tcPr>
            <w:tcW w:w="5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157</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51"/>
        </w:trPr>
        <w:tc>
          <w:tcPr>
            <w:tcW w:w="57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1"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Other income (expense), net increased $ 0.2 million in 2013 compared to 2012, primarily due to increased investment income of $0.3 million; proceeds of $0.2 million received from a negotiated settlement in 2013; and decreased interest expense of $0.1 million; partially offset by an increase in foreign currency exchange losses of $0.4 million.</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2"/>
          </w:tcPr>
          <w:p>
            <w:pPr>
              <w:jc w:val="center"/>
              <w:ind w:right="279"/>
              <w:spacing w:after="0"/>
              <w:rPr>
                <w:sz w:val="20"/>
                <w:szCs w:val="20"/>
                <w:color w:val="auto"/>
              </w:rPr>
            </w:pPr>
            <w:r>
              <w:rPr>
                <w:rFonts w:ascii="Arial" w:cs="Arial" w:eastAsia="Arial" w:hAnsi="Arial"/>
                <w:sz w:val="16"/>
                <w:szCs w:val="16"/>
                <w:b w:val="1"/>
                <w:bCs w:val="1"/>
                <w:color w:val="auto"/>
                <w:w w:val="99"/>
              </w:rPr>
              <w:t>Year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8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b w:val="1"/>
                <w:bCs w:val="1"/>
                <w:color w:val="auto"/>
                <w:w w:val="99"/>
              </w:rPr>
              <w:t>December 31,</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8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500</w:t>
            </w:r>
          </w:p>
        </w:tc>
        <w:tc>
          <w:tcPr>
            <w:tcW w:w="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7"/>
              </w:rPr>
              <w:t>358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142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58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81"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Provision for income taxes increased $0.1 million in 2013 compared to 2012, primarily due to increases in foreign and state taxes and also due to a reduction of the liability for uncertain tax positions for closure of tax years in foreign jurisdictions on 2012.</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140" w:firstLine="405"/>
        <w:spacing w:after="0" w:line="269" w:lineRule="auto"/>
        <w:rPr>
          <w:sz w:val="20"/>
          <w:szCs w:val="20"/>
          <w:color w:val="auto"/>
        </w:rPr>
      </w:pPr>
      <w:r>
        <w:rPr>
          <w:rFonts w:ascii="Arial" w:cs="Arial" w:eastAsia="Arial" w:hAnsi="Arial"/>
          <w:sz w:val="17"/>
          <w:szCs w:val="17"/>
          <w:color w:val="231F20"/>
        </w:rPr>
        <w:t xml:space="preserve">Since our inception, we had financed our operations primarily through proceeds from the issuance of our preferred stock, including $ 23.2 million invested by Philippe F. Courtot, our Chairman, President and Chief Executive Officer, and cash flows from operations. On October 3, 2012, we closed our IPO and received net proceeds of approximately </w:t>
      </w:r>
      <w:r>
        <w:rPr>
          <w:rFonts w:ascii="Arial" w:cs="Arial" w:eastAsia="Arial" w:hAnsi="Arial"/>
          <w:sz w:val="17"/>
          <w:szCs w:val="17"/>
          <w:color w:val="000000"/>
        </w:rPr>
        <w:t>$ 87.5 million</w:t>
      </w:r>
      <w:r>
        <w:rPr>
          <w:rFonts w:ascii="Arial" w:cs="Arial" w:eastAsia="Arial" w:hAnsi="Arial"/>
          <w:sz w:val="17"/>
          <w:szCs w:val="17"/>
          <w:color w:val="231F20"/>
        </w:rPr>
        <w:t xml:space="preserve"> after deducting underwriting discounts and commissions, and before deducting total expenses in connection with our IPO of </w:t>
      </w:r>
      <w:r>
        <w:rPr>
          <w:rFonts w:ascii="Arial" w:cs="Arial" w:eastAsia="Arial" w:hAnsi="Arial"/>
          <w:sz w:val="17"/>
          <w:szCs w:val="17"/>
          <w:color w:val="000000"/>
        </w:rPr>
        <w:t>$2.9 million</w:t>
      </w:r>
      <w:r>
        <w:rPr>
          <w:rFonts w:ascii="Arial" w:cs="Arial" w:eastAsia="Arial" w:hAnsi="Arial"/>
          <w:sz w:val="17"/>
          <w:szCs w:val="17"/>
          <w:color w:val="231F20"/>
        </w:rPr>
        <w:t xml:space="preserve">. At </w:t>
      </w:r>
      <w:r>
        <w:rPr>
          <w:rFonts w:ascii="Arial" w:cs="Arial" w:eastAsia="Arial" w:hAnsi="Arial"/>
          <w:sz w:val="17"/>
          <w:szCs w:val="17"/>
          <w:color w:val="000000"/>
        </w:rPr>
        <w:t>December 31, 2014</w:t>
      </w:r>
      <w:r>
        <w:rPr>
          <w:rFonts w:ascii="Arial" w:cs="Arial" w:eastAsia="Arial" w:hAnsi="Arial"/>
          <w:sz w:val="17"/>
          <w:szCs w:val="17"/>
          <w:color w:val="231F20"/>
        </w:rPr>
        <w:t xml:space="preserve">, our principal source of liquidity was cash, cash equivalents and short-term and long-term investments of </w:t>
      </w:r>
      <w:r>
        <w:rPr>
          <w:rFonts w:ascii="Arial" w:cs="Arial" w:eastAsia="Arial" w:hAnsi="Arial"/>
          <w:sz w:val="17"/>
          <w:szCs w:val="17"/>
          <w:color w:val="000000"/>
        </w:rPr>
        <w:t>$166.7 million</w:t>
      </w:r>
      <w:r>
        <w:rPr>
          <w:rFonts w:ascii="Arial" w:cs="Arial" w:eastAsia="Arial" w:hAnsi="Arial"/>
          <w:sz w:val="17"/>
          <w:szCs w:val="17"/>
          <w:color w:val="231F20"/>
        </w:rPr>
        <w:t xml:space="preserve">, including </w:t>
      </w:r>
      <w:r>
        <w:rPr>
          <w:rFonts w:ascii="Arial" w:cs="Arial" w:eastAsia="Arial" w:hAnsi="Arial"/>
          <w:sz w:val="17"/>
          <w:szCs w:val="17"/>
          <w:color w:val="000000"/>
        </w:rPr>
        <w:t>$2.4 million</w:t>
      </w:r>
      <w:r>
        <w:rPr>
          <w:rFonts w:ascii="Arial" w:cs="Arial" w:eastAsia="Arial" w:hAnsi="Arial"/>
          <w:sz w:val="17"/>
          <w:szCs w:val="17"/>
          <w:color w:val="231F20"/>
        </w:rPr>
        <w:t xml:space="preserve"> held outside of the United States by our foreign subsidiaries. We do not anticipate that we will need funds generated from foreign operations to fund our domestic operations. However, if we repatriate these funds, we could be subject to U.S. income taxes on such amounts, less previously paid foreign income taxes.</w:t>
      </w:r>
    </w:p>
    <w:p>
      <w:pPr>
        <w:spacing w:after="0" w:line="195"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2014, 2013 and 2012</w:t>
      </w:r>
      <w:r>
        <w:rPr>
          <w:rFonts w:ascii="Arial" w:cs="Arial" w:eastAsia="Arial" w:hAnsi="Arial"/>
          <w:sz w:val="18"/>
          <w:szCs w:val="18"/>
          <w:color w:val="231F20"/>
        </w:rPr>
        <w:t xml:space="preserve">. We believe our existing cash, cash equivalents, short-term and long-term investments, and cash from operations will be sufficient to fund our operations for at least the next twelve months. We expect to spend approximately $17 million through December 31, </w:t>
      </w:r>
      <w:r>
        <w:rPr>
          <w:rFonts w:ascii="Arial" w:cs="Arial" w:eastAsia="Arial" w:hAnsi="Arial"/>
          <w:sz w:val="18"/>
          <w:szCs w:val="18"/>
          <w:color w:val="000000"/>
        </w:rPr>
        <w:t>2015</w:t>
      </w:r>
      <w:r>
        <w:rPr>
          <w:rFonts w:ascii="Arial" w:cs="Arial" w:eastAsia="Arial" w:hAnsi="Arial"/>
          <w:sz w:val="18"/>
          <w:szCs w:val="18"/>
          <w:color w:val="231F20"/>
        </w:rPr>
        <w:t xml:space="preserve"> for capital expenditures, primarily related to infrastructure to support the anticipated growth in our business.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231F20"/>
        </w:rPr>
        <w:t>To the extent that existing cash, cash equivalents, short-term and long-term investments, and cash from operations are insufficient to fund our future activities, we may need to raise additional funding through debt and equity financing. Additional funds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39"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247"/>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21,924</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(94,796)</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83,202</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2014</w:t>
      </w:r>
      <w:r>
        <w:rPr>
          <w:rFonts w:ascii="Arial" w:cs="Arial" w:eastAsia="Arial" w:hAnsi="Arial"/>
          <w:sz w:val="18"/>
          <w:szCs w:val="18"/>
          <w:color w:val="231F20"/>
        </w:rPr>
        <w:t xml:space="preserve">, cash flows from operating activities of </w:t>
      </w:r>
      <w:r>
        <w:rPr>
          <w:rFonts w:ascii="Arial" w:cs="Arial" w:eastAsia="Arial" w:hAnsi="Arial"/>
          <w:sz w:val="18"/>
          <w:szCs w:val="18"/>
          <w:color w:val="000000"/>
        </w:rPr>
        <w:t>$41.4 million resulted primarily from our net income of approximately $30.2 million, as</w:t>
      </w:r>
      <w:r>
        <w:rPr>
          <w:rFonts w:ascii="Arial" w:cs="Arial" w:eastAsia="Arial" w:hAnsi="Arial"/>
          <w:sz w:val="18"/>
          <w:szCs w:val="18"/>
          <w:color w:val="231F20"/>
        </w:rPr>
        <w:t xml:space="preserve"> </w:t>
      </w:r>
      <w:r>
        <w:rPr>
          <w:rFonts w:ascii="Arial" w:cs="Arial" w:eastAsia="Arial" w:hAnsi="Arial"/>
          <w:sz w:val="18"/>
          <w:szCs w:val="18"/>
          <w:color w:val="000000"/>
        </w:rPr>
        <w:t>adjusted by an increase in deferred revenues of $14.8 million</w:t>
      </w:r>
      <w:r>
        <w:rPr>
          <w:rFonts w:ascii="Arial" w:cs="Arial" w:eastAsia="Arial" w:hAnsi="Arial"/>
          <w:sz w:val="18"/>
          <w:szCs w:val="18"/>
          <w:color w:val="231F20"/>
        </w:rPr>
        <w:t>, attributable to our continued growth and by non-cash items including</w:t>
      </w:r>
      <w:r>
        <w:rPr>
          <w:rFonts w:ascii="Arial" w:cs="Arial" w:eastAsia="Arial" w:hAnsi="Arial"/>
          <w:sz w:val="18"/>
          <w:szCs w:val="18"/>
          <w:color w:val="000000"/>
        </w:rPr>
        <w:t xml:space="preserve"> </w:t>
      </w:r>
      <w:r>
        <w:rPr>
          <w:rFonts w:ascii="Arial" w:cs="Arial" w:eastAsia="Arial" w:hAnsi="Arial"/>
          <w:sz w:val="18"/>
          <w:szCs w:val="18"/>
          <w:color w:val="231F20"/>
        </w:rPr>
        <w:t xml:space="preserve">depreciation and amortization expense of </w:t>
      </w:r>
      <w:r>
        <w:rPr>
          <w:rFonts w:ascii="Arial" w:cs="Arial" w:eastAsia="Arial" w:hAnsi="Arial"/>
          <w:sz w:val="18"/>
          <w:szCs w:val="18"/>
          <w:color w:val="000000"/>
        </w:rPr>
        <w:t>$11.9 million,</w:t>
      </w:r>
      <w:r>
        <w:rPr>
          <w:rFonts w:ascii="Arial" w:cs="Arial" w:eastAsia="Arial" w:hAnsi="Arial"/>
          <w:sz w:val="18"/>
          <w:szCs w:val="18"/>
          <w:color w:val="231F20"/>
        </w:rPr>
        <w:t xml:space="preserve"> </w:t>
      </w:r>
      <w:r>
        <w:rPr>
          <w:rFonts w:ascii="Arial" w:cs="Arial" w:eastAsia="Arial" w:hAnsi="Arial"/>
          <w:sz w:val="18"/>
          <w:szCs w:val="18"/>
          <w:color w:val="000000"/>
        </w:rPr>
        <w:t>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$10.5 million</w:t>
      </w:r>
      <w:r>
        <w:rPr>
          <w:rFonts w:ascii="Arial" w:cs="Arial" w:eastAsia="Arial" w:hAnsi="Arial"/>
          <w:sz w:val="18"/>
          <w:szCs w:val="18"/>
          <w:color w:val="231F20"/>
        </w:rPr>
        <w:t xml:space="preserve">. These increases are partially offset by an increase in accounts receivable of </w:t>
      </w:r>
      <w:r>
        <w:rPr>
          <w:rFonts w:ascii="Arial" w:cs="Arial" w:eastAsia="Arial" w:hAnsi="Arial"/>
          <w:sz w:val="18"/>
          <w:szCs w:val="18"/>
          <w:color w:val="000000"/>
        </w:rPr>
        <w:t>$4.9 million</w:t>
      </w:r>
      <w:r>
        <w:rPr>
          <w:rFonts w:ascii="Arial" w:cs="Arial" w:eastAsia="Arial" w:hAnsi="Arial"/>
          <w:sz w:val="18"/>
          <w:szCs w:val="18"/>
          <w:color w:val="231F20"/>
        </w:rPr>
        <w:t xml:space="preserve">, due to the overall growth of our business and by the non-cash change in </w:t>
      </w:r>
      <w:r>
        <w:rPr>
          <w:rFonts w:ascii="Arial" w:cs="Arial" w:eastAsia="Arial" w:hAnsi="Arial"/>
          <w:sz w:val="18"/>
          <w:szCs w:val="18"/>
          <w:color w:val="000000"/>
        </w:rPr>
        <w:t>deferred</w:t>
      </w:r>
      <w:r>
        <w:rPr>
          <w:rFonts w:ascii="Arial" w:cs="Arial" w:eastAsia="Arial" w:hAnsi="Arial"/>
          <w:sz w:val="18"/>
          <w:szCs w:val="18"/>
          <w:color w:val="231F20"/>
        </w:rPr>
        <w:t xml:space="preserve"> </w:t>
      </w:r>
      <w:r>
        <w:rPr>
          <w:rFonts w:ascii="Arial" w:cs="Arial" w:eastAsia="Arial" w:hAnsi="Arial"/>
          <w:sz w:val="18"/>
          <w:szCs w:val="18"/>
          <w:color w:val="000000"/>
        </w:rPr>
        <w:t>tax assets of $22.6 million.</w:t>
      </w:r>
    </w:p>
    <w:p>
      <w:pPr>
        <w:spacing w:after="0" w:line="152"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In 2013, cash flows from operating activities of $25.1 million resulted from our net income of approximately $1.5 million, as adjusted by an increase in deferred revenues of $11.3 million, attributable to our continued growth. These working capital increases are further increased by non-cash items including depreciation and amortization expense of $9.6 million and stock-based compensation expense of $5.5 million. These working capital increases are partially offset by an increase in accounts receivable of $4.3 million, due to the overall growth of our business.</w:t>
      </w:r>
    </w:p>
    <w:p>
      <w:pPr>
        <w:spacing w:after="0" w:line="8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2012, operating activities provided $21.9 million in cash related to an increase of $13.7 million in deferred revenues, attributable to our continued growth and an increase in subscriptions exceeding on year; and net income of $2.2 million; adjusted by non-cash items including depreciation and amortization of $7.3 million and stock-based compensation of $3.5 million. These sources of cash were partially offset by an increase of $4.0 million in accounts receivable due to the overall growth of our business and a decrease of $1.2 million in accounts payable and accrued liabilities due to the timing of payments.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auto"/>
        </w:rPr>
        <w:t>In 2014, cash used in investing activities of $ 14.3 million was primarily attributable to $13.9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purchases of investments of $157.7 million, partially offset by the sales and maturities of investments of $157.3 million.</w:t>
      </w:r>
    </w:p>
    <w:p>
      <w:pPr>
        <w:spacing w:after="0" w:line="150" w:lineRule="exact"/>
        <w:rPr>
          <w:sz w:val="20"/>
          <w:szCs w:val="20"/>
          <w:color w:val="auto"/>
        </w:rPr>
      </w:pPr>
    </w:p>
    <w:p>
      <w:pPr>
        <w:ind w:right="440" w:firstLine="405"/>
        <w:spacing w:after="0" w:line="254" w:lineRule="auto"/>
        <w:rPr>
          <w:sz w:val="20"/>
          <w:szCs w:val="20"/>
          <w:color w:val="auto"/>
        </w:rPr>
      </w:pPr>
      <w:r>
        <w:rPr>
          <w:rFonts w:ascii="Arial" w:cs="Arial" w:eastAsia="Arial" w:hAnsi="Arial"/>
          <w:sz w:val="18"/>
          <w:szCs w:val="18"/>
          <w:color w:val="auto"/>
        </w:rPr>
        <w:t>In 2013, cash used in investing activities of $ 20.7 million was primarily attributable to $13.7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purchases of investments of $145.3 million, partially offset by the sales and maturities of investments of $138.1 million.</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2012, we invested $83.5 million of our IPO proceeds in short-term investments. In addition, we used $11.2 million of cash for capital expenditures, including computer hardware and software for our data centers to support our growth and development, and to purchase physical scanner appliances provided to certain customers as part of their subscriptions.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39"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2014</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$7.1 million</w:t>
      </w:r>
      <w:r>
        <w:rPr>
          <w:rFonts w:ascii="Arial" w:cs="Arial" w:eastAsia="Arial" w:hAnsi="Arial"/>
          <w:sz w:val="18"/>
          <w:szCs w:val="18"/>
          <w:color w:val="231F20"/>
        </w:rPr>
        <w:t xml:space="preserve"> was primarily attributable to $7.6 million of proceeds from the exercise of stock options, partially offset by repayments on our capital lease obligations of $0.8 million.</w:t>
      </w:r>
    </w:p>
    <w:p>
      <w:pPr>
        <w:spacing w:after="0" w:line="142" w:lineRule="exact"/>
        <w:rPr>
          <w:sz w:val="20"/>
          <w:szCs w:val="20"/>
          <w:color w:val="auto"/>
        </w:rPr>
      </w:pPr>
    </w:p>
    <w:p>
      <w:pPr>
        <w:ind w:right="420" w:firstLine="405"/>
        <w:spacing w:after="0" w:line="262" w:lineRule="auto"/>
        <w:rPr>
          <w:sz w:val="20"/>
          <w:szCs w:val="20"/>
          <w:color w:val="auto"/>
        </w:rPr>
      </w:pPr>
      <w:r>
        <w:rPr>
          <w:rFonts w:ascii="Arial" w:cs="Arial" w:eastAsia="Arial" w:hAnsi="Arial"/>
          <w:sz w:val="18"/>
          <w:szCs w:val="18"/>
          <w:color w:val="auto"/>
        </w:rPr>
        <w:t>In 2013, cash provided by financing activities of $3.1 million was primarily attributable to $4.1 million of proceeds from the exercise of stock options, partially offset by repayments on our capital lease obligations of $1.2 million.</w:t>
      </w:r>
    </w:p>
    <w:p>
      <w:pPr>
        <w:spacing w:after="0" w:line="14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2012, cash provided by financing activities of $83.2 million was primarily attributable to proceeds of $84.5 million from our initial public offering, net of offering costs, and $2.1 million of proceeds from the exercise of stock options. These cash inflows were partially offset by prepayments on our capital lease obligations of $2.4 million and payment of non-contingent consideration related to our Nemean acquisition of $1.0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Our principal commitments consist of obligations under our outstanding leases for office space, third-party data centers and office equipment. The following table summarizes our contractual cash obligation at December 31, 2014 and the effect such obligations are expected to have on our liquidity and cash flows in future periods:</w:t>
      </w:r>
    </w:p>
    <w:p>
      <w:pPr>
        <w:spacing w:after="0" w:line="190" w:lineRule="exact"/>
        <w:rPr>
          <w:sz w:val="20"/>
          <w:szCs w:val="20"/>
          <w:color w:val="auto"/>
        </w:rPr>
      </w:pPr>
    </w:p>
    <w:tbl>
      <w:tblPr>
        <w:tblLayout w:type="fixed"/>
        <w:tblInd w:w="72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jc w:val="center"/>
              <w:ind w:right="119"/>
              <w:spacing w:after="0"/>
              <w:rPr>
                <w:sz w:val="20"/>
                <w:szCs w:val="20"/>
                <w:color w:val="auto"/>
              </w:rPr>
            </w:pPr>
            <w:r>
              <w:rPr>
                <w:rFonts w:ascii="Arial" w:cs="Arial" w:eastAsia="Arial" w:hAnsi="Arial"/>
                <w:sz w:val="14"/>
                <w:szCs w:val="14"/>
                <w:b w:val="1"/>
                <w:bCs w:val="1"/>
                <w:color w:val="auto"/>
              </w:rPr>
              <w:t>Payment Due by Period</w:t>
            </w:r>
          </w:p>
        </w:tc>
        <w:tc>
          <w:tcPr>
            <w:tcW w:w="1020" w:type="dxa"/>
            <w:vAlign w:val="bottom"/>
            <w:tcBorders>
              <w:bottom w:val="single" w:sz="8" w:color="auto"/>
            </w:tcBorders>
          </w:tcPr>
          <w:p>
            <w:pPr>
              <w:spacing w:after="0"/>
              <w:rPr>
                <w:sz w:val="17"/>
                <w:szCs w:val="17"/>
                <w:color w:val="auto"/>
              </w:rPr>
            </w:pPr>
          </w:p>
        </w:tc>
      </w:tr>
      <w:tr>
        <w:trPr>
          <w:trHeight w:val="197"/>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rPr>
              <w:t>Less Than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3-5</w:t>
            </w:r>
          </w:p>
        </w:tc>
      </w:tr>
      <w:tr>
        <w:trPr>
          <w:trHeight w:val="228"/>
        </w:trPr>
        <w:tc>
          <w:tcPr>
            <w:tcW w:w="442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1 Year</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6"/>
              </w:rPr>
              <w:t>Years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Years</w:t>
            </w:r>
          </w:p>
        </w:tc>
      </w:tr>
      <w:tr>
        <w:trPr>
          <w:trHeight w:val="247"/>
        </w:trPr>
        <w:tc>
          <w:tcPr>
            <w:tcW w:w="4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6"/>
          </w:tcPr>
          <w:p>
            <w:pPr>
              <w:ind w:left="6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9,950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4,409</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r>
      <w:tr>
        <w:trPr>
          <w:trHeight w:val="230"/>
        </w:trPr>
        <w:tc>
          <w:tcPr>
            <w:tcW w:w="4420" w:type="dxa"/>
            <w:vAlign w:val="bottom"/>
          </w:tcPr>
          <w:p>
            <w:pPr>
              <w:ind w:left="3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ind w:left="620"/>
              <w:spacing w:after="0"/>
              <w:rPr>
                <w:sz w:val="20"/>
                <w:szCs w:val="20"/>
                <w:color w:val="auto"/>
              </w:rPr>
            </w:pPr>
            <w:r>
              <w:rPr>
                <w:rFonts w:ascii="Arial" w:cs="Arial" w:eastAsia="Arial" w:hAnsi="Arial"/>
                <w:sz w:val="16"/>
                <w:szCs w:val="16"/>
                <w:color w:val="auto"/>
              </w:rPr>
              <w:t>4,409</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4,876</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0"/>
        </w:trPr>
        <w:tc>
          <w:tcPr>
            <w:tcW w:w="4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47"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66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1"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derive revenues from subscriptions that require customers to pay a fee in order to access our cloud solutions. Customers generally enter into one year renewable annual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 In some limited cases, we also provide certain computer equipment used to extend our QualysGuard Cloud Platform into our customers’ private cloud environment. We assess the ability to separate multiple deliverables in accordance with the relevant accounting literature.</w:t>
      </w:r>
    </w:p>
    <w:p>
      <w:pPr>
        <w:spacing w:after="0" w:line="7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recognize revenues when all of the following conditions are met: (a) there is persuasive evidence of an arrangement; (b) the service has been provided to the customer; (c) the collection of the fees is reasonably assured; and (d) the amount of fees to be paid by the customer is fixed or determinable.</w:t>
      </w:r>
    </w:p>
    <w:p>
      <w:pPr>
        <w:spacing w:after="0" w:line="6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Subscriptions for unlimited scans and certain limited scan arrangements with firm expiration dates are recognized ratably over the period in which the services are performed, generally one year. We recognize revenues for certain other limited scan arrangements, where expiration dates can be extended, on an as-used basis. We recognize the subscription of physical scanner appliances and other computer equipment as revenues ratably over the period of the subscription, which is commensurate with the term of the related subscription. Because the customer’s access to our cloud solutions are delivered at the same time or within close proximity to the delivery of physical scanner appliances and the terms are commensurate for these services and equipment, we consider these elements as a single unit of accounting recognized ratably over the subscription term. Costs of shipping and handling charges associated with physical scanner appliances and other computer equipment are included in cost of revenues.</w:t>
      </w:r>
    </w:p>
    <w:p>
      <w:pPr>
        <w:spacing w:after="0" w:line="71"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Deferred revenues consist of revenues billed or received that will be recognized in the future under subscriptions existing at the balance sheet 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subject to taxes in the United States as well as other tax jurisdictions in which we conduct business. Earnings from our non-U.S.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activities are subject to local income tax and may be subject to U.S. income tax.</w:t>
      </w:r>
    </w:p>
    <w:p>
      <w:pPr>
        <w:spacing w:after="0" w:line="171"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and laws expected to apply to taxable income in the years in which those temporary differences are expected to reverse. The effect on deferred tax assets and liabilities of a change in tax rates is recognized in income in the period in which the statutory rate change is enacted in law.</w:t>
      </w:r>
    </w:p>
    <w:p>
      <w:pPr>
        <w:spacing w:after="0" w:line="15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 assessing the recoverability of deferred tax assets, management considers whether it is more likely than not that some portion or all of the deferred tax assets will be realized. The realization of deferred tax assets is dependent upon generation of future taxable income during the periods in which temporary differences such as loss carry-forwards and tax credits become deductible. Management considers projected future taxable income and tax planning strategies in making this assessment and ensuring that the deferred tax asset valuation allowance is adjusted as appropriate.</w:t>
      </w:r>
    </w:p>
    <w:p>
      <w:pPr>
        <w:spacing w:after="0" w:line="152"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auto"/>
        </w:rPr>
        <w:t>Through the first three quarters of 2014, based on the accumulation of negative evidence, such as inconsistent quarterly earnings, relatively low profitability in our U.S. operations, continued significant investment in sales personnel and marketing programs, research and development activities and in our infrastructure, and uncertainty of sustaining or growing future profits, management determined it was not more likely than not that the benefits of our deferred tax assets would be realized.</w:t>
      </w:r>
    </w:p>
    <w:p>
      <w:pPr>
        <w:spacing w:after="0" w:line="150"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auto"/>
        </w:rPr>
        <w:t>In the fourth quarter of 2014, we considered our increasing realized profitability in the fourth quarter, forecasted future profitability, our ability to better absorb uncertainties in future profits, and the cumulative effect of changes in the current macro-economic environment surrounding the IT security industry, which ultimately resulted in increased demand for our solutions. We determined that the objective and verifiable positive evidence outweighed the negative evidence and recorded a $23.7 million tax benefit for the recognition of our U.S. federal and certain state deferred tax assets.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We believe it is more likely than not that our California deferred tax assets will not be realized because the income attributed to California is not expected to be sufficient to recognize these deferred tax assets. Accordingly, we continue to record a valuation allowance as of December 31, 2014 for our California deferred tax assets. If we determine in the future that we will be able to realize all or a portion of our California deferred tax assets, an adjustment to our deferred tax assets would increase net income in the period in which we make such a determination.</w:t>
      </w:r>
    </w:p>
    <w:p>
      <w:pPr>
        <w:spacing w:after="0" w:line="15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have assessed our income tax positions and recognized tax benefits for all years subject to examination, based upon evaluation of the facts, circumstances and information available at the end of each period. We recognize tax benefits from uncertain tax positions when it is more likely than not that the position will be sustained upon examination, including resolutions of any related appeals or litigation processes, based on the technical merits of the position. We record interest and penalties related to unrecognized tax benefits in our provision for income taxes.</w:t>
      </w:r>
    </w:p>
    <w:p>
      <w:pPr>
        <w:spacing w:after="0" w:line="150"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Significant judgment is required in evaluating tax positions and determining the provision for income taxes. The objectives of accounting for income taxes are to recognize the amount of taxes payable or refundable for the current year and the deferred tax liabilities and assets for the future tax consequences of events that have been recognized in an entity’s financial statements or tax returns. Variations in the actual outcome of these future tax consequences could materially impact our financial position, results of operations or cash flows.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We recognize compensation expense for our employee stock options over the requisite service period for awards of equity instruments based on the grant-date fair value of those awards ultimately expected to vest. Forfeitures are estimated on the date of grant and revised if actual or expected forfeiture activity differs materially from original estimates.</w:t>
      </w:r>
    </w:p>
    <w:p>
      <w:pPr>
        <w:spacing w:after="0" w:line="148"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stock-based payment awards requires the use of highly subjective assumptions, including the expected life of the stock-based payment awards and stock price volatility. The assumptions used in calculating the fair value of stock-based payment awards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2"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performance period.</w:t>
      </w:r>
    </w:p>
    <w:p>
      <w:pPr>
        <w:spacing w:after="0" w:line="148"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Until the completion of our IPO on October 3, 2012, we were a private company and lacked company-specific historical and implied volatility information. Accordingly, we have estimated our expected volatility based on the historical volatility of our self-designated peer group consisting of publicly-held companies selected because of the similarity of their industry, business model and financial risk profile. The expected volatility of options granted has been determined using an average of the historical volatility measures of this peer group of companies for a period equal to the expected term of the option. We intend to continue to consistently apply this process using the same or similar entities until such time that sufficient information regarding the volatility of our share price becomes available or we determine that other companies should be added or are no longer suitable.</w:t>
      </w:r>
    </w:p>
    <w:p>
      <w:pPr>
        <w:spacing w:after="0" w:line="153"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expected term of options was estimated by analyzing the historical period from grant to settlement of the stock option. This analysis includes exercises and forfeitures, and also gives consideration to the expected holding period for those options that were still outstanding. The risk-free interest rate is based on a daily treasury yield curve rate that has a term consistent with the expected life of the stock option. We have not paid and do not anticipate paying cash dividends on our common stock, and therefore our expected dividend yield is assumed to be zero. We also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If our actual forfeiture rate is materially different from our estimate, the stock-based compensation expense could be significantly different from what we have recorded in the current period.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Pre-IPO Common Stock Valuations</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have historically granted stock options at exercise prices equal to the fair value as determined by our board of directors on the date of grant, with inputs from management. Because our common stock was not publicly traded prior to our IPO, our board of directors exercised significant judgment in determining the fair value of our common stock on the date of grant based on a number of objective and subjective factors. Factors considered by our board of directors included:</w:t>
      </w:r>
    </w:p>
    <w:p>
      <w:pPr>
        <w:spacing w:after="0" w:line="2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contemporaneous independent valuations performed at periodic intervals by outside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future financial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peer group trading multiples;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company since the last time the board of directors approved option grants and made a determination of fair value;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illiquidity of shares of our common stock;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prospects and opportunity for liquidity events such as an initial public offering and possible strategic merger or sale.</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Factors, Assumptions and Methodologies Used in Determining the Fair Value of Common Stock</w:t>
      </w:r>
    </w:p>
    <w:p>
      <w:pPr>
        <w:spacing w:after="0" w:line="24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 xml:space="preserve">Prior to our IPO in September 2012, our valuation analysis was conducted under a probability-weighted expected return method, or PWERM, as prescribed by the AICPA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PWERM approach employs various market approach and income approach calculations depending upon the likelihood of various liquidation scenarios. For each of the various scenarios, an equity value is estimated and the rights and preferences for each shareholder class are considered to allocate the equity value to common shares. The common share value is then multiplied by a discount factor reflecting the calculated discount rate and the timing of the event. Lastly, the common share value is multiplied by an estimated probability for each scenario. The probability and timing of each scenario are based upon discussions between our board of directors and our management team. Under the PWERM, the value of our common stock is based on upon three possible future events for our company:</w:t>
      </w:r>
    </w:p>
    <w:p>
      <w:pPr>
        <w:spacing w:after="0" w:line="206"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Completion of an initial public offering;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merger or sale;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Continuation as a private company.</w:t>
      </w:r>
    </w:p>
    <w:p>
      <w:pPr>
        <w:spacing w:after="0" w:line="117"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The market approach uses similar companies or transactions in the marketplace. We utilized the guideline publicly traded company method of the market approach for the initial public offering scenario and the guideline merged and acquired company method of the market approach for the strategic merger or sale scenario. We identified companies similar to our business and used this peer group of companies to develop relevant market multiples and ratios. We then applied these market multiples and ratios to our financial forecasts to create an indication of total equity value. The income approach, which we utilized to assess fair value of the common stock under the assumption we remained a private company, is an estimate of the present value of the future monetary benefits generated by an investment in that asset. Specifically, debt-free cash flows and the estimated terminal value are discounted at appropriate risk-adjusted discount rates to estimate the total invested capital value of the equity.</w:t>
      </w:r>
    </w:p>
    <w:p>
      <w:pPr>
        <w:spacing w:after="0" w:line="20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When considering which companies to include in our comparable peer companies, we focused on U.S. publicly traded companies in the IT security industry in which we operate and software-as-a-service companies with business models similar to ours. We considered a number of factors which required us to make judgments as to the comparability of these companies to ours, including business description, business size, revenue model, development stage and historical operating results. We then analyzed the business and financial profiles of the selected companies for similarities to us and, based on this assessment, we selected our comparable peer companies.</w:t>
      </w:r>
    </w:p>
    <w:p>
      <w:pPr>
        <w:spacing w:after="0" w:line="206"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The selection of our comparable peer companies changed over time as we continued evaluating whether the selected companies remained comparable to us and considering recent initial public offerings and sale transactions. Based on these considerations, we believed the comparable peer companies were a representative group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purposes of performing contemporaneous valuations. However, there could be inherent differences that may impact comparability. Several of the comparable companies are larger than us in terms of total revenues and assets, and several have experienced net operating losses and have not yet generated net income.</w:t>
      </w:r>
    </w:p>
    <w:p>
      <w:pPr>
        <w:spacing w:after="0" w:line="20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Companies in the comparable peer group used for the initial public offering scenario were generally consistent with the peer group utilized to determine estimated volatility, subject to the following differences. The peer group of companies used to determine volatility was made up of a larger number of companies than that considered in our peer group for contemporaneous valuation purposes, primarily due to fewer common comparabilities to us. All but one company in our peer group used for contemporaneous valuation purposes were included in our peer group used to determine estimated volatility.</w:t>
      </w:r>
    </w:p>
    <w:p>
      <w:pPr>
        <w:spacing w:after="0" w:line="206" w:lineRule="exact"/>
        <w:rPr>
          <w:sz w:val="20"/>
          <w:szCs w:val="20"/>
          <w:color w:val="auto"/>
        </w:rPr>
      </w:pPr>
    </w:p>
    <w:p>
      <w:pPr>
        <w:ind w:right="340" w:firstLine="405"/>
        <w:spacing w:after="0" w:line="253" w:lineRule="auto"/>
        <w:rPr>
          <w:sz w:val="20"/>
          <w:szCs w:val="20"/>
          <w:color w:val="auto"/>
        </w:rPr>
      </w:pPr>
      <w:r>
        <w:rPr>
          <w:rFonts w:ascii="Arial" w:cs="Arial" w:eastAsia="Arial" w:hAnsi="Arial"/>
          <w:sz w:val="18"/>
          <w:szCs w:val="18"/>
          <w:color w:val="auto"/>
        </w:rPr>
        <w:t>For all valuation periods presented, for the initial public offering scenario, we reviewed the forecasted twelve-month revenue and last twelve-month revenue multiples of comparable peer companies and selected an appropriate multiple based on our assessment of our comparability to these companies. We then applied the selected multiple to our forecasted twelve-month revenues and last twelve-month revenues and used an average of the two resulting values, which was weighted more heavily for the forecasted revenues, to determine our enterprise value under the initial public offering scenario.</w:t>
      </w:r>
    </w:p>
    <w:p>
      <w:pPr>
        <w:spacing w:after="0" w:line="206"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For all valuation periods presented, for the merger or sale scenario, we reviewed the last twelve-month revenue and last twelve-month EBITDA multiples of comparable peer companies who were recently acquired and selected an appropriate multiple based on our assessment of our comparability to these companies. We then applied the selected multiple to our last twelve-month revenues and last twelve-month EBITDA and used an average of the two resulting values to determine our enterprise value under the merger or sale scenario.</w:t>
      </w:r>
    </w:p>
    <w:p>
      <w:pPr>
        <w:spacing w:after="0" w:line="204"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We did not use comparable peer companies for any other estimates used in determining valuations. All other assumptions, such as the risk-adjusted discount rate, discount for lack of marketability, expected term and interest rate, were determined based on the analysis performed by us without reference to comparable peer companies.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Post-IPO Common Stock Valuations</w:t>
      </w:r>
    </w:p>
    <w:p>
      <w:pPr>
        <w:spacing w:after="0" w:line="139"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Following our IPO, we established a policy of using the closing sales price per share as quoted on the NASDAQ Stock Market on the date of grant for purposes of determining the exercise price per share for our common stock options.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We measure and report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231F20"/>
        </w:rPr>
        <w:t>Our financial instruments consist of assets measured using Level 1 and 2 inputs. Level 1 assets include a highly liquid money market fund, which is valued using unadjusted quoted prices that are available in an active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41" w:right="2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231F20"/>
        </w:rPr>
        <w:t xml:space="preserve">market for an identical asset. Level 2 assets include </w:t>
      </w:r>
      <w:r>
        <w:rPr>
          <w:rFonts w:ascii="Arial" w:cs="Arial" w:eastAsia="Arial" w:hAnsi="Arial"/>
          <w:sz w:val="18"/>
          <w:szCs w:val="18"/>
          <w:color w:val="000000"/>
        </w:rPr>
        <w:t>fixed-income U.S. government agency securities, commercial paper, corporate bonds,</w:t>
      </w:r>
      <w:r>
        <w:rPr>
          <w:rFonts w:ascii="Arial" w:cs="Arial" w:eastAsia="Arial" w:hAnsi="Arial"/>
          <w:sz w:val="18"/>
          <w:szCs w:val="18"/>
          <w:color w:val="231F20"/>
        </w:rPr>
        <w:t xml:space="preserve"> </w:t>
      </w:r>
      <w:r>
        <w:rPr>
          <w:rFonts w:ascii="Arial" w:cs="Arial" w:eastAsia="Arial" w:hAnsi="Arial"/>
          <w:sz w:val="18"/>
          <w:szCs w:val="18"/>
          <w:color w:val="000000"/>
        </w:rPr>
        <w:t xml:space="preserve">municipal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 inputs.</w:t>
      </w: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right="180" w:firstLine="405"/>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9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We have $166.7 million in cash, cash equivalents and short-term and long-term investments at December 31, 2014. Cash and cash equivalents </w:t>
      </w:r>
      <w:r>
        <w:rPr>
          <w:rFonts w:ascii="Arial" w:cs="Arial" w:eastAsia="Arial" w:hAnsi="Arial"/>
          <w:sz w:val="18"/>
          <w:szCs w:val="18"/>
          <w:color w:val="231F20"/>
        </w:rPr>
        <w:t>include cash held in banks, highly liquid money market funds, fixed-income U.S. government agency securities, and commercial</w:t>
      </w:r>
      <w:r>
        <w:rPr>
          <w:rFonts w:ascii="Arial" w:cs="Arial" w:eastAsia="Arial" w:hAnsi="Arial"/>
          <w:sz w:val="18"/>
          <w:szCs w:val="18"/>
          <w:color w:val="auto"/>
        </w:rPr>
        <w:t xml:space="preserve"> </w:t>
      </w:r>
      <w:r>
        <w:rPr>
          <w:rFonts w:ascii="Arial" w:cs="Arial" w:eastAsia="Arial" w:hAnsi="Arial"/>
          <w:sz w:val="18"/>
          <w:szCs w:val="18"/>
          <w:color w:val="231F20"/>
        </w:rPr>
        <w:t>paper</w:t>
      </w:r>
      <w:r>
        <w:rPr>
          <w:rFonts w:ascii="Arial" w:cs="Arial" w:eastAsia="Arial" w:hAnsi="Arial"/>
          <w:sz w:val="18"/>
          <w:szCs w:val="18"/>
          <w:color w:val="000000"/>
        </w:rPr>
        <w:t>. Investments consist of fixed-income U.S. government agency securities, corporate bonds, municipal bonds, asset-backed securities and</w:t>
      </w:r>
      <w:r>
        <w:rPr>
          <w:rFonts w:ascii="Arial" w:cs="Arial" w:eastAsia="Arial" w:hAnsi="Arial"/>
          <w:sz w:val="18"/>
          <w:szCs w:val="18"/>
          <w:color w:val="231F20"/>
        </w:rPr>
        <w:t xml:space="preserve"> </w:t>
      </w:r>
      <w:r>
        <w:rPr>
          <w:rFonts w:ascii="Arial" w:cs="Arial" w:eastAsia="Arial" w:hAnsi="Arial"/>
          <w:sz w:val="18"/>
          <w:szCs w:val="18"/>
          <w:color w:val="000000"/>
        </w:rPr>
        <w:t>commercial paper. All of these investments, excluding long-term investments, have maturities of less than one year from date of purchase. Long-term investments have maturities that extend more than one year from date of purchase.</w:t>
      </w:r>
    </w:p>
    <w:p>
      <w:pPr>
        <w:spacing w:after="0" w:line="206" w:lineRule="exact"/>
        <w:rPr>
          <w:sz w:val="20"/>
          <w:szCs w:val="20"/>
          <w:color w:val="auto"/>
        </w:rPr>
      </w:pPr>
    </w:p>
    <w:p>
      <w:pPr>
        <w:jc w:val="both"/>
        <w:ind w:right="160"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Due to the nature of these investments held as available-for-sale securities,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 and Supplementary Data</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23"/>
        </w:trPr>
        <w:tc>
          <w:tcPr>
            <w:tcW w:w="900" w:type="dxa"/>
            <w:vAlign w:val="bottom"/>
          </w:tcPr>
          <w:p>
            <w:pPr>
              <w:spacing w:after="0"/>
              <w:rPr>
                <w:sz w:val="24"/>
                <w:szCs w:val="24"/>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231F20"/>
              </w:rPr>
              <w:t>Qualys, Inc.</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9"/>
        </w:trPr>
        <w:tc>
          <w:tcPr>
            <w:tcW w:w="900" w:type="dxa"/>
            <w:vAlign w:val="bottom"/>
          </w:tcPr>
          <w:p>
            <w:pPr>
              <w:spacing w:after="0"/>
              <w:rPr>
                <w:sz w:val="20"/>
                <w:szCs w:val="20"/>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231F20"/>
                <w:w w:val="98"/>
              </w:rPr>
              <w:t>INDEX TO CONSOLIDATED FINANCIAL STATEMENTS</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88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88"/>
        </w:trPr>
        <w:tc>
          <w:tcPr>
            <w:tcW w:w="90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9780" w:type="dxa"/>
            <w:vAlign w:val="bottom"/>
            <w:gridSpan w:val="2"/>
          </w:tcPr>
          <w:p>
            <w:pPr>
              <w:spacing w:after="0"/>
              <w:rPr>
                <w:sz w:val="20"/>
                <w:szCs w:val="20"/>
                <w:color w:val="auto"/>
              </w:rPr>
            </w:pPr>
            <w:r>
              <w:rPr>
                <w:rFonts w:ascii="Arial" w:cs="Arial" w:eastAsia="Arial" w:hAnsi="Arial"/>
                <w:sz w:val="16"/>
                <w:szCs w:val="16"/>
                <w:color w:val="auto"/>
              </w:rPr>
              <w:t>Report of Independent Registered Public Accounting Firm</w:t>
            </w:r>
          </w:p>
        </w:tc>
        <w:tc>
          <w:tcPr>
            <w:tcW w:w="900" w:type="dxa"/>
            <w:vAlign w:val="bottom"/>
            <w:gridSpan w:val="2"/>
          </w:tcPr>
          <w:p>
            <w:pPr>
              <w:jc w:val="center"/>
              <w:ind w:left="639"/>
              <w:spacing w:after="0"/>
              <w:rPr>
                <w:rFonts w:ascii="Arial" w:cs="Arial" w:eastAsia="Arial" w:hAnsi="Arial"/>
                <w:sz w:val="16"/>
                <w:szCs w:val="16"/>
                <w:color w:val="0000EE"/>
              </w:rPr>
            </w:pPr>
            <w:hyperlink w:anchor="page58">
              <w:r>
                <w:rPr>
                  <w:rFonts w:ascii="Arial" w:cs="Arial" w:eastAsia="Arial" w:hAnsi="Arial"/>
                  <w:sz w:val="16"/>
                  <w:szCs w:val="16"/>
                  <w:color w:val="0000EE"/>
                </w:rPr>
                <w:t>58</w:t>
              </w:r>
            </w:hyperlink>
          </w:p>
        </w:tc>
        <w:tc>
          <w:tcPr>
            <w:tcW w:w="700" w:type="dxa"/>
            <w:vAlign w:val="bottom"/>
          </w:tcPr>
          <w:p>
            <w:pPr>
              <w:spacing w:after="0"/>
              <w:rPr>
                <w:sz w:val="16"/>
                <w:szCs w:val="16"/>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Balance Sheets</w:t>
            </w:r>
          </w:p>
        </w:tc>
        <w:tc>
          <w:tcPr>
            <w:tcW w:w="900" w:type="dxa"/>
            <w:vAlign w:val="bottom"/>
            <w:gridSpan w:val="2"/>
          </w:tcPr>
          <w:p>
            <w:pPr>
              <w:jc w:val="center"/>
              <w:ind w:left="639"/>
              <w:spacing w:after="0"/>
              <w:rPr>
                <w:rFonts w:ascii="Arial" w:cs="Arial" w:eastAsia="Arial" w:hAnsi="Arial"/>
                <w:sz w:val="16"/>
                <w:szCs w:val="16"/>
                <w:color w:val="0000EE"/>
              </w:rPr>
            </w:pPr>
            <w:hyperlink w:anchor="page59">
              <w:r>
                <w:rPr>
                  <w:rFonts w:ascii="Arial" w:cs="Arial" w:eastAsia="Arial" w:hAnsi="Arial"/>
                  <w:sz w:val="16"/>
                  <w:szCs w:val="16"/>
                  <w:color w:val="0000EE"/>
                </w:rPr>
                <w:t>59</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Operations</w:t>
            </w:r>
          </w:p>
        </w:tc>
        <w:tc>
          <w:tcPr>
            <w:tcW w:w="900" w:type="dxa"/>
            <w:vAlign w:val="bottom"/>
            <w:gridSpan w:val="2"/>
          </w:tcPr>
          <w:p>
            <w:pPr>
              <w:jc w:val="center"/>
              <w:ind w:left="639"/>
              <w:spacing w:after="0"/>
              <w:rPr>
                <w:rFonts w:ascii="Arial" w:cs="Arial" w:eastAsia="Arial" w:hAnsi="Arial"/>
                <w:sz w:val="16"/>
                <w:szCs w:val="16"/>
                <w:color w:val="0000EE"/>
              </w:rPr>
            </w:pPr>
            <w:hyperlink w:anchor="page60">
              <w:r>
                <w:rPr>
                  <w:rFonts w:ascii="Arial" w:cs="Arial" w:eastAsia="Arial" w:hAnsi="Arial"/>
                  <w:sz w:val="16"/>
                  <w:szCs w:val="16"/>
                  <w:color w:val="0000EE"/>
                </w:rPr>
                <w:t>60</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Comprehensive Income</w:t>
            </w:r>
          </w:p>
        </w:tc>
        <w:tc>
          <w:tcPr>
            <w:tcW w:w="900" w:type="dxa"/>
            <w:vAlign w:val="bottom"/>
            <w:gridSpan w:val="2"/>
          </w:tcPr>
          <w:p>
            <w:pPr>
              <w:jc w:val="center"/>
              <w:ind w:left="639"/>
              <w:spacing w:after="0"/>
              <w:rPr>
                <w:rFonts w:ascii="Arial" w:cs="Arial" w:eastAsia="Arial" w:hAnsi="Arial"/>
                <w:sz w:val="16"/>
                <w:szCs w:val="16"/>
                <w:color w:val="0000EE"/>
              </w:rPr>
            </w:pPr>
            <w:hyperlink w:anchor="page61">
              <w:r>
                <w:rPr>
                  <w:rFonts w:ascii="Arial" w:cs="Arial" w:eastAsia="Arial" w:hAnsi="Arial"/>
                  <w:sz w:val="16"/>
                  <w:szCs w:val="16"/>
                  <w:color w:val="0000EE"/>
                </w:rPr>
                <w:t>61</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Cash Flows</w:t>
            </w:r>
          </w:p>
        </w:tc>
        <w:tc>
          <w:tcPr>
            <w:tcW w:w="900" w:type="dxa"/>
            <w:vAlign w:val="bottom"/>
            <w:gridSpan w:val="2"/>
          </w:tcPr>
          <w:p>
            <w:pPr>
              <w:jc w:val="center"/>
              <w:ind w:left="639"/>
              <w:spacing w:after="0"/>
              <w:rPr>
                <w:rFonts w:ascii="Arial" w:cs="Arial" w:eastAsia="Arial" w:hAnsi="Arial"/>
                <w:sz w:val="16"/>
                <w:szCs w:val="16"/>
                <w:color w:val="0000EE"/>
              </w:rPr>
            </w:pPr>
            <w:hyperlink w:anchor="page62">
              <w:r>
                <w:rPr>
                  <w:rFonts w:ascii="Arial" w:cs="Arial" w:eastAsia="Arial" w:hAnsi="Arial"/>
                  <w:sz w:val="16"/>
                  <w:szCs w:val="16"/>
                  <w:color w:val="0000EE"/>
                </w:rPr>
                <w:t>62</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Consolidated Statements of Convertible Preferred Stock and Stockholders' Equity (Deficit)</w:t>
            </w:r>
          </w:p>
        </w:tc>
        <w:tc>
          <w:tcPr>
            <w:tcW w:w="900" w:type="dxa"/>
            <w:vAlign w:val="bottom"/>
            <w:gridSpan w:val="2"/>
          </w:tcPr>
          <w:p>
            <w:pPr>
              <w:jc w:val="center"/>
              <w:ind w:left="639"/>
              <w:spacing w:after="0"/>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700" w:type="dxa"/>
            <w:vAlign w:val="bottom"/>
          </w:tcPr>
          <w:p>
            <w:pPr>
              <w:spacing w:after="0"/>
              <w:rPr>
                <w:sz w:val="19"/>
                <w:szCs w:val="19"/>
                <w:color w:val="auto"/>
              </w:rPr>
            </w:pPr>
          </w:p>
        </w:tc>
      </w:tr>
      <w:tr>
        <w:trPr>
          <w:trHeight w:val="20"/>
        </w:trPr>
        <w:tc>
          <w:tcPr>
            <w:tcW w:w="9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6"/>
                <w:szCs w:val="16"/>
                <w:color w:val="auto"/>
              </w:rPr>
              <w:t>Notes to Consolidated Financial Statements</w:t>
            </w:r>
          </w:p>
        </w:tc>
        <w:tc>
          <w:tcPr>
            <w:tcW w:w="900" w:type="dxa"/>
            <w:vAlign w:val="bottom"/>
            <w:gridSpan w:val="2"/>
          </w:tcPr>
          <w:p>
            <w:pPr>
              <w:jc w:val="center"/>
              <w:ind w:left="639"/>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7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2014 and 2013 and the related consolidated statements of operations, comprehensive income, cash flows and convertible preferred stock and stockholders’ equity (deficit) for each of the three years in the period ended December 31, 2014. Our audits of the basic consolidated financial statements included the financial statement schedule listed in the index appearing under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Qualys, Inc.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2015</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41" w:right="27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6"/>
                <w:szCs w:val="16"/>
                <w:color w:val="auto"/>
              </w:rPr>
            </w:pPr>
          </w:p>
        </w:tc>
      </w:tr>
      <w:tr>
        <w:trPr>
          <w:trHeight w:val="276"/>
        </w:trPr>
        <w:tc>
          <w:tcPr>
            <w:tcW w:w="83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76,504</w:t>
            </w:r>
          </w:p>
        </w:tc>
        <w:tc>
          <w:tcPr>
            <w:tcW w:w="10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42,369</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50,714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54,827</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$590 and $389 at December 31, 2014 and 2013, respectively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32,993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28,581</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assets, current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4,565</w:t>
            </w:r>
          </w:p>
        </w:tc>
      </w:tr>
      <w:tr>
        <w:trPr>
          <w:trHeight w:val="256"/>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175,259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130,456</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39,448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35,608</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23,075</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14,119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2,394</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r>
      <w:tr>
        <w:trPr>
          <w:trHeight w:val="283"/>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260,024</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192,603</w:t>
            </w:r>
          </w:p>
        </w:tc>
      </w:tr>
      <w:tr>
        <w:trPr>
          <w:trHeight w:val="25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1,930</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10,353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9,037</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81,147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67,505</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Capital lease obligations, current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805</w:t>
            </w:r>
          </w:p>
        </w:tc>
      </w:tr>
      <w:tr>
        <w:trPr>
          <w:trHeight w:val="256"/>
        </w:trPr>
        <w:tc>
          <w:tcPr>
            <w:tcW w:w="83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97,161</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79,277</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10,064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8,889</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1,320</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108,197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89,486</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2014</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and 2013</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836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33,594,285 and 32,375,299 shares issued and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60" w:type="dxa"/>
            <w:vAlign w:val="bottom"/>
          </w:tcPr>
          <w:p>
            <w:pPr>
              <w:ind w:left="520"/>
              <w:spacing w:after="0"/>
              <w:rPr>
                <w:sz w:val="20"/>
                <w:szCs w:val="20"/>
                <w:color w:val="auto"/>
              </w:rPr>
            </w:pPr>
            <w:r>
              <w:rPr>
                <w:rFonts w:ascii="Arial" w:cs="Arial" w:eastAsia="Arial" w:hAnsi="Arial"/>
                <w:sz w:val="14"/>
                <w:szCs w:val="14"/>
                <w:color w:val="auto"/>
              </w:rPr>
              <w:t>outstanding at December 31, 2014 and 2013, respectively</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195,133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176,641</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(43,350)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(73,594)</w:t>
            </w:r>
          </w:p>
        </w:tc>
      </w:tr>
      <w:tr>
        <w:trPr>
          <w:trHeight w:val="250"/>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151,827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103,117</w:t>
            </w:r>
          </w:p>
        </w:tc>
      </w:tr>
      <w:tr>
        <w:trPr>
          <w:trHeight w:val="24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260,024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192,603</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133,579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91,420</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28,963</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24,660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18,404</w:t>
            </w:r>
          </w:p>
        </w:tc>
      </w:tr>
      <w:tr>
        <w:trPr>
          <w:trHeight w:val="25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104,616</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73,016</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26,320</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20,195</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48,049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42,523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37,738</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21,000</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16,792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12,079</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95,369</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80,993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70,012</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9,247</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3,004</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0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50"/>
        </w:trPr>
        <w:tc>
          <w:tcPr>
            <w:tcW w:w="71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(634)</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8,613</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2,579</w:t>
            </w:r>
          </w:p>
        </w:tc>
      </w:tr>
      <w:tr>
        <w:trPr>
          <w:trHeight w:val="264"/>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(21,631)</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30,244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30,244</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1,049</w:t>
            </w:r>
          </w:p>
        </w:tc>
      </w:tr>
      <w:tr>
        <w:trPr>
          <w:trHeight w:val="251"/>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97"/>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0.92</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r>
      <w:tr>
        <w:trPr>
          <w:trHeight w:val="21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0.81</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shares used in computing net income per share attributable to common stockholders: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32,979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31,914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11,891</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100" w:type="dxa"/>
            <w:vAlign w:val="bottom"/>
          </w:tcPr>
          <w:p>
            <w:pPr>
              <w:ind w:left="280"/>
              <w:spacing w:after="0"/>
              <w:rPr>
                <w:sz w:val="20"/>
                <w:szCs w:val="20"/>
                <w:color w:val="auto"/>
              </w:rPr>
            </w:pPr>
            <w:r>
              <w:rPr>
                <w:rFonts w:ascii="Arial" w:cs="Arial" w:eastAsia="Arial" w:hAnsi="Arial"/>
                <w:sz w:val="14"/>
                <w:szCs w:val="14"/>
                <w:color w:val="auto"/>
              </w:rPr>
              <w:t>Diluted</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37,170</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35,973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28,352</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56"/>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30,244</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r>
      <w:tr>
        <w:trPr>
          <w:trHeight w:val="264"/>
        </w:trPr>
        <w:tc>
          <w:tcPr>
            <w:tcW w:w="7100" w:type="dxa"/>
            <w:vAlign w:val="bottom"/>
          </w:tcPr>
          <w:p>
            <w:pPr>
              <w:ind w:left="120"/>
              <w:spacing w:after="0"/>
              <w:rPr>
                <w:sz w:val="20"/>
                <w:szCs w:val="20"/>
                <w:color w:val="auto"/>
              </w:rPr>
            </w:pPr>
            <w:r>
              <w:rPr>
                <w:rFonts w:ascii="Arial" w:cs="Arial" w:eastAsia="Arial" w:hAnsi="Arial"/>
                <w:sz w:val="14"/>
                <w:szCs w:val="14"/>
                <w:color w:val="231F20"/>
              </w:rPr>
              <w:t>Available-for-sale investments: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Change in net unrealized gain on investments, net of zero tax</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71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231F20"/>
              </w:rPr>
              <w:t>Less: reclassification adjustment for net realized gain included in net income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10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Net change, net of zero tax</w:t>
            </w:r>
          </w:p>
        </w:tc>
        <w:tc>
          <w:tcPr>
            <w:tcW w:w="320" w:type="dxa"/>
            <w:vAlign w:val="bottom"/>
            <w:tcBorders>
              <w:bottom w:val="single" w:sz="8" w:color="231F20"/>
            </w:tcBorders>
            <w:shd w:val="clear" w:color="auto" w:fill="CCEEFF"/>
          </w:tcPr>
          <w:p>
            <w:pPr>
              <w:spacing w:after="0"/>
              <w:rPr>
                <w:sz w:val="21"/>
                <w:szCs w:val="21"/>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50"/>
        </w:trPr>
        <w:tc>
          <w:tcPr>
            <w:tcW w:w="71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comprehensive income (loss),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0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8</w:t>
            </w: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30,216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r>
      <w:tr>
        <w:trPr>
          <w:trHeight w:val="276"/>
        </w:trPr>
        <w:tc>
          <w:tcPr>
            <w:tcW w:w="7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30,244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11,897</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7,341</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10,549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3,452</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Non-cash interest expense</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(22,599)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6"/>
        </w:trPr>
        <w:tc>
          <w:tcPr>
            <w:tcW w:w="71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(4,882)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(4,014)</w:t>
            </w: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2,332</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76"/>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1,622</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r>
      <w:tr>
        <w:trPr>
          <w:trHeight w:val="264"/>
        </w:trPr>
        <w:tc>
          <w:tcPr>
            <w:tcW w:w="710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14,817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11,281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13,683</w:t>
            </w:r>
          </w:p>
        </w:tc>
      </w:tr>
      <w:tr>
        <w:trPr>
          <w:trHeight w:val="270"/>
        </w:trPr>
        <w:tc>
          <w:tcPr>
            <w:tcW w:w="71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71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41,423</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25,081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21,924</w:t>
            </w: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(157,660)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(145,263)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(83,547)</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157,339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(13,914)</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(11,200)</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Release of restricted cash</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intangible assets</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250"/>
        </w:trPr>
        <w:tc>
          <w:tcPr>
            <w:tcW w:w="71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(14,333)</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(20,675)</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(94,796)</w:t>
            </w: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Proceeds from initial public offering, net of offering costs</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84,534</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1,685</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Proceeds from early exercise of stock options</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(2,401)</w:t>
            </w: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Non-contingent payment related to acquisition</w:t>
            </w:r>
          </w:p>
        </w:tc>
        <w:tc>
          <w:tcPr>
            <w:tcW w:w="3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50"/>
        </w:trPr>
        <w:tc>
          <w:tcPr>
            <w:tcW w:w="71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7,093</w:t>
            </w:r>
          </w:p>
        </w:tc>
        <w:tc>
          <w:tcPr>
            <w:tcW w:w="1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3,077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83,202</w:t>
            </w:r>
          </w:p>
        </w:tc>
      </w:tr>
      <w:tr>
        <w:trPr>
          <w:trHeight w:val="25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710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34,135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10,337</w:t>
            </w:r>
          </w:p>
        </w:tc>
      </w:tr>
      <w:tr>
        <w:trPr>
          <w:trHeight w:val="270"/>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42,369</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34,885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24,548</w:t>
            </w:r>
          </w:p>
        </w:tc>
      </w:tr>
      <w:tr>
        <w:trPr>
          <w:trHeight w:val="283"/>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76,504</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42,369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34,885</w:t>
            </w:r>
          </w:p>
        </w:tc>
      </w:tr>
      <w:tr>
        <w:trPr>
          <w:trHeight w:val="251"/>
        </w:trPr>
        <w:tc>
          <w:tcPr>
            <w:tcW w:w="7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Cash paid for interest expense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r>
      <w:tr>
        <w:trPr>
          <w:trHeight w:val="264"/>
        </w:trPr>
        <w:tc>
          <w:tcPr>
            <w:tcW w:w="710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10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155</w:t>
            </w:r>
          </w:p>
        </w:tc>
      </w:tr>
      <w:tr>
        <w:trPr>
          <w:trHeight w:val="276"/>
        </w:trPr>
        <w:tc>
          <w:tcPr>
            <w:tcW w:w="7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Conversion of convertible preferred stock to common stock</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63,873</w:t>
            </w:r>
          </w:p>
        </w:tc>
      </w:tr>
      <w:tr>
        <w:trPr>
          <w:trHeight w:val="258"/>
        </w:trPr>
        <w:tc>
          <w:tcPr>
            <w:tcW w:w="7100" w:type="dxa"/>
            <w:vAlign w:val="bottom"/>
          </w:tcPr>
          <w:p>
            <w:pPr>
              <w:ind w:left="280"/>
              <w:spacing w:after="0"/>
              <w:rPr>
                <w:sz w:val="20"/>
                <w:szCs w:val="20"/>
                <w:color w:val="auto"/>
              </w:rPr>
            </w:pPr>
            <w:r>
              <w:rPr>
                <w:rFonts w:ascii="Arial" w:cs="Arial" w:eastAsia="Arial" w:hAnsi="Arial"/>
                <w:sz w:val="14"/>
                <w:szCs w:val="14"/>
                <w:color w:val="auto"/>
              </w:rPr>
              <w:t>Issuance of common stock for acquisition of license</w:t>
            </w: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189"/>
        </w:trPr>
        <w:tc>
          <w:tcPr>
            <w:tcW w:w="8620" w:type="dxa"/>
            <w:vAlign w:val="bottom"/>
            <w:gridSpan w:val="4"/>
          </w:tcPr>
          <w:p>
            <w:pPr>
              <w:ind w:left="3680"/>
              <w:spacing w:after="0"/>
              <w:rPr>
                <w:sz w:val="20"/>
                <w:szCs w:val="20"/>
                <w:color w:val="auto"/>
              </w:rPr>
            </w:pPr>
            <w:r>
              <w:rPr>
                <w:rFonts w:ascii="Arial" w:cs="Arial" w:eastAsia="Arial" w:hAnsi="Arial"/>
                <w:sz w:val="14"/>
                <w:szCs w:val="14"/>
                <w:color w:val="231F20"/>
              </w:rPr>
              <w:t>See accompanying Notes to Consolidated Financial Statements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663"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41" w:right="239" w:bottom="663"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CONVERTIBLE PREFERRED STOCK</w:t>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360"/>
          </w:cols>
          <w:pgMar w:left="240" w:top="14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2011</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Change in unrealized gain (loss) on short-term investments</w:t>
      </w:r>
    </w:p>
    <w:p>
      <w:pPr>
        <w:spacing w:after="0" w:line="132" w:lineRule="exact"/>
        <w:rPr>
          <w:sz w:val="20"/>
          <w:szCs w:val="20"/>
          <w:color w:val="auto"/>
        </w:rPr>
      </w:pPr>
    </w:p>
    <w:p>
      <w:pPr>
        <w:ind w:left="280"/>
        <w:spacing w:after="0" w:line="230" w:lineRule="auto"/>
        <w:rPr>
          <w:sz w:val="20"/>
          <w:szCs w:val="20"/>
          <w:color w:val="auto"/>
        </w:rPr>
      </w:pPr>
      <w:r>
        <w:rPr>
          <w:rFonts w:ascii="Arial" w:cs="Arial" w:eastAsia="Arial" w:hAnsi="Arial"/>
          <w:sz w:val="13"/>
          <w:szCs w:val="13"/>
          <w:color w:val="auto"/>
        </w:rPr>
        <w:t>Issuance of common stock upon initial public offering, net of offering costs</w:t>
      </w:r>
    </w:p>
    <w:p>
      <w:pPr>
        <w:spacing w:after="0" w:line="38" w:lineRule="exact"/>
        <w:rPr>
          <w:sz w:val="20"/>
          <w:szCs w:val="20"/>
          <w:color w:val="auto"/>
        </w:rPr>
      </w:pPr>
    </w:p>
    <w:p>
      <w:pPr>
        <w:ind w:left="280" w:right="40"/>
        <w:spacing w:after="0" w:line="230" w:lineRule="auto"/>
        <w:rPr>
          <w:sz w:val="20"/>
          <w:szCs w:val="20"/>
          <w:color w:val="auto"/>
        </w:rPr>
      </w:pPr>
      <w:r>
        <w:rPr>
          <w:rFonts w:ascii="Arial" w:cs="Arial" w:eastAsia="Arial" w:hAnsi="Arial"/>
          <w:sz w:val="13"/>
          <w:szCs w:val="13"/>
          <w:color w:val="auto"/>
        </w:rPr>
        <w:t>Conversion of preferred stock to common stock upon initial public offering</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for acquisition of license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2012</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gain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2013</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Change in unrealized gain (loss) on investments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Issuance of common stock upon exercise of stock options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Vesting of early exercised common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Excess tax benefits from stock-based compensation</w:t>
      </w:r>
    </w:p>
    <w:p>
      <w:pPr>
        <w:spacing w:after="0" w:line="31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Repurchase of unvested early exercised stock options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Issuance of common stock in exchange for services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December 31, 2014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Borders>
              <w:right w:val="single" w:sz="8" w:color="auto"/>
            </w:tcBorders>
            <w:gridSpan w:val="4"/>
          </w:tcPr>
          <w:p>
            <w:pPr>
              <w:jc w:val="right"/>
              <w:ind w:right="457"/>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0"/>
        </w:trPr>
        <w:tc>
          <w:tcPr>
            <w:tcW w:w="1760" w:type="dxa"/>
            <w:vAlign w:val="bottom"/>
            <w:tcBorders>
              <w:right w:val="single" w:sz="8" w:color="auto"/>
            </w:tcBorders>
            <w:gridSpan w:val="4"/>
          </w:tcPr>
          <w:p>
            <w:pPr>
              <w:jc w:val="right"/>
              <w:ind w:right="337"/>
              <w:spacing w:after="0" w:line="140" w:lineRule="exact"/>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2"/>
                <w:szCs w:val="12"/>
                <w:color w:val="auto"/>
              </w:rPr>
            </w:pPr>
          </w:p>
        </w:tc>
        <w:tc>
          <w:tcPr>
            <w:tcW w:w="1720" w:type="dxa"/>
            <w:vAlign w:val="bottom"/>
            <w:gridSpan w:val="5"/>
          </w:tcPr>
          <w:p>
            <w:pPr>
              <w:ind w:left="360"/>
              <w:spacing w:after="0" w:line="140" w:lineRule="exact"/>
              <w:rPr>
                <w:sz w:val="20"/>
                <w:szCs w:val="20"/>
                <w:color w:val="auto"/>
              </w:rPr>
            </w:pPr>
            <w:r>
              <w:rPr>
                <w:rFonts w:ascii="Arial" w:cs="Arial" w:eastAsia="Arial" w:hAnsi="Arial"/>
                <w:sz w:val="13"/>
                <w:szCs w:val="13"/>
                <w:b w:val="1"/>
                <w:bCs w:val="1"/>
                <w:color w:val="auto"/>
              </w:rPr>
              <w:t>Common Stock</w:t>
            </w:r>
          </w:p>
        </w:tc>
        <w:tc>
          <w:tcPr>
            <w:tcW w:w="880" w:type="dxa"/>
            <w:vAlign w:val="bottom"/>
            <w:gridSpan w:val="3"/>
          </w:tcPr>
          <w:p>
            <w:pPr>
              <w:jc w:val="center"/>
              <w:ind w:right="100"/>
              <w:spacing w:after="0" w:line="140"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35"/>
        </w:trPr>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Paid-In</w:t>
            </w:r>
          </w:p>
        </w:tc>
        <w:tc>
          <w:tcPr>
            <w:tcW w:w="112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3"/>
                <w:szCs w:val="3"/>
                <w:color w:val="auto"/>
              </w:rPr>
            </w:pPr>
          </w:p>
        </w:tc>
        <w:tc>
          <w:tcPr>
            <w:tcW w:w="820" w:type="dxa"/>
            <w:vAlign w:val="bottom"/>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8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41"/>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63,873</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5,300,288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12,927</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(77,356)</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(64,424)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2,221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2,221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7,836,250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84,526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84,534</w:t>
            </w:r>
          </w:p>
        </w:tc>
        <w:tc>
          <w:tcPr>
            <w:tcW w:w="0" w:type="dxa"/>
            <w:vAlign w:val="bottom"/>
          </w:tcPr>
          <w:p>
            <w:pPr>
              <w:spacing w:after="0"/>
              <w:rPr>
                <w:sz w:val="1"/>
                <w:szCs w:val="1"/>
                <w:color w:val="auto"/>
              </w:rPr>
            </w:pPr>
          </w:p>
        </w:tc>
      </w:tr>
      <w:tr>
        <w:trPr>
          <w:trHeight w:val="324"/>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(63,873)</w:t>
            </w: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17,597,258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63,856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63,873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724,316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(60,126)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15,945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6,097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8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3,407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3,407</w:t>
            </w:r>
          </w:p>
        </w:tc>
        <w:tc>
          <w:tcPr>
            <w:tcW w:w="0" w:type="dxa"/>
            <w:vAlign w:val="bottom"/>
          </w:tcPr>
          <w:p>
            <w:pPr>
              <w:spacing w:after="0"/>
              <w:rPr>
                <w:sz w:val="1"/>
                <w:szCs w:val="1"/>
                <w:color w:val="auto"/>
              </w:rPr>
            </w:pPr>
          </w:p>
        </w:tc>
      </w:tr>
      <w:tr>
        <w:trPr>
          <w:trHeight w:val="25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31,420,028</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166,651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(75,135)</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91,555</w:t>
            </w:r>
          </w:p>
        </w:tc>
        <w:tc>
          <w:tcPr>
            <w:tcW w:w="0" w:type="dxa"/>
            <w:vAlign w:val="bottom"/>
          </w:tcPr>
          <w:p>
            <w:pPr>
              <w:spacing w:after="0"/>
              <w:rPr>
                <w:sz w:val="1"/>
                <w:szCs w:val="1"/>
                <w:color w:val="auto"/>
              </w:rPr>
            </w:pPr>
          </w:p>
        </w:tc>
      </w:tr>
      <w:tr>
        <w:trPr>
          <w:trHeight w:val="241"/>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1,541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1,541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952,871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4,072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4,073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2,900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8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5,465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5,465</w:t>
            </w:r>
          </w:p>
        </w:tc>
        <w:tc>
          <w:tcPr>
            <w:tcW w:w="0" w:type="dxa"/>
            <w:vAlign w:val="bottom"/>
          </w:tcPr>
          <w:p>
            <w:pPr>
              <w:spacing w:after="0"/>
              <w:rPr>
                <w:sz w:val="1"/>
                <w:szCs w:val="1"/>
                <w:color w:val="auto"/>
              </w:rPr>
            </w:pPr>
          </w:p>
        </w:tc>
      </w:tr>
      <w:tr>
        <w:trPr>
          <w:trHeight w:val="25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32,375,299</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176,641</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(73,594)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103,117</w:t>
            </w:r>
          </w:p>
        </w:tc>
        <w:tc>
          <w:tcPr>
            <w:tcW w:w="0" w:type="dxa"/>
            <w:vAlign w:val="bottom"/>
          </w:tcPr>
          <w:p>
            <w:pPr>
              <w:spacing w:after="0"/>
              <w:rPr>
                <w:sz w:val="1"/>
                <w:szCs w:val="1"/>
                <w:color w:val="auto"/>
              </w:rPr>
            </w:pPr>
          </w:p>
        </w:tc>
      </w:tr>
      <w:tr>
        <w:trPr>
          <w:trHeight w:val="241"/>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30,244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1,216,710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7,637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7,639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459"/>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2,401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280"/>
        </w:trPr>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10,499</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10,499</w:t>
            </w:r>
          </w:p>
        </w:tc>
        <w:tc>
          <w:tcPr>
            <w:tcW w:w="0" w:type="dxa"/>
            <w:vAlign w:val="bottom"/>
          </w:tcPr>
          <w:p>
            <w:pPr>
              <w:spacing w:after="0"/>
              <w:rPr>
                <w:sz w:val="1"/>
                <w:szCs w:val="1"/>
                <w:color w:val="auto"/>
              </w:rPr>
            </w:pPr>
          </w:p>
        </w:tc>
      </w:tr>
      <w:tr>
        <w:trPr>
          <w:trHeight w:val="237"/>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33,594,285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195,133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(43,350)</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151,827</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-5179060</wp:posOffset>
            </wp:positionV>
            <wp:extent cx="720344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-4836160</wp:posOffset>
            </wp:positionV>
            <wp:extent cx="72034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0574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-4424680</wp:posOffset>
            </wp:positionV>
            <wp:extent cx="720344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-4081145</wp:posOffset>
            </wp:positionV>
            <wp:extent cx="72034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-3738245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-3395345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-3052445</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-2709545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-2366010</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-2023110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-1680210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-1337310</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-994410</wp:posOffset>
            </wp:positionV>
            <wp:extent cx="720344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291465"/>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-530860</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-2381885</wp:posOffset>
            </wp:positionH>
            <wp:positionV relativeFrom="paragraph">
              <wp:posOffset>-187960</wp:posOffset>
            </wp:positionV>
            <wp:extent cx="72034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3600" w:space="160"/>
            <w:col w:w="7600"/>
          </w:cols>
          <w:pgMar w:left="240" w:top="141" w:right="29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41" w:right="299" w:bottom="1440" w:gutter="0" w:footer="0" w:header="0"/>
          <w:type w:val="continuous"/>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Initial Public Offering</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On </w:t>
      </w:r>
      <w:r>
        <w:rPr>
          <w:rFonts w:ascii="Arial" w:cs="Arial" w:eastAsia="Arial" w:hAnsi="Arial"/>
          <w:sz w:val="18"/>
          <w:szCs w:val="18"/>
          <w:color w:val="000000"/>
        </w:rPr>
        <w:t>October 3, 2012</w:t>
      </w:r>
      <w:r>
        <w:rPr>
          <w:rFonts w:ascii="Arial" w:cs="Arial" w:eastAsia="Arial" w:hAnsi="Arial"/>
          <w:sz w:val="18"/>
          <w:szCs w:val="18"/>
          <w:color w:val="231F20"/>
        </w:rPr>
        <w:t xml:space="preserve">, the Company closed its initial public offering ("IPO") of </w:t>
      </w:r>
      <w:r>
        <w:rPr>
          <w:rFonts w:ascii="Arial" w:cs="Arial" w:eastAsia="Arial" w:hAnsi="Arial"/>
          <w:sz w:val="18"/>
          <w:szCs w:val="18"/>
          <w:color w:val="000000"/>
        </w:rPr>
        <w:t>8,711,250</w:t>
      </w:r>
      <w:r>
        <w:rPr>
          <w:rFonts w:ascii="Arial" w:cs="Arial" w:eastAsia="Arial" w:hAnsi="Arial"/>
          <w:sz w:val="18"/>
          <w:szCs w:val="18"/>
          <w:color w:val="231F20"/>
        </w:rPr>
        <w:t xml:space="preserve"> shares of common stock at an offering price of </w:t>
      </w:r>
      <w:r>
        <w:rPr>
          <w:rFonts w:ascii="Arial" w:cs="Arial" w:eastAsia="Arial" w:hAnsi="Arial"/>
          <w:sz w:val="18"/>
          <w:szCs w:val="18"/>
          <w:color w:val="000000"/>
        </w:rPr>
        <w:t xml:space="preserve">$12.00 </w:t>
      </w:r>
      <w:r>
        <w:rPr>
          <w:rFonts w:ascii="Arial" w:cs="Arial" w:eastAsia="Arial" w:hAnsi="Arial"/>
          <w:sz w:val="18"/>
          <w:szCs w:val="18"/>
          <w:color w:val="231F20"/>
        </w:rPr>
        <w:t>per share. The offering included</w:t>
      </w:r>
      <w:r>
        <w:rPr>
          <w:rFonts w:ascii="Arial" w:cs="Arial" w:eastAsia="Arial" w:hAnsi="Arial"/>
          <w:sz w:val="18"/>
          <w:szCs w:val="18"/>
          <w:color w:val="000000"/>
        </w:rPr>
        <w:t xml:space="preserve"> 7,836,250 </w:t>
      </w:r>
      <w:r>
        <w:rPr>
          <w:rFonts w:ascii="Arial" w:cs="Arial" w:eastAsia="Arial" w:hAnsi="Arial"/>
          <w:sz w:val="18"/>
          <w:szCs w:val="18"/>
          <w:color w:val="231F20"/>
        </w:rPr>
        <w:t>shares sold and issued by the Company and</w:t>
      </w:r>
      <w:r>
        <w:rPr>
          <w:rFonts w:ascii="Arial" w:cs="Arial" w:eastAsia="Arial" w:hAnsi="Arial"/>
          <w:sz w:val="18"/>
          <w:szCs w:val="18"/>
          <w:color w:val="000000"/>
        </w:rPr>
        <w:t xml:space="preserve"> 875,000 </w:t>
      </w:r>
      <w:r>
        <w:rPr>
          <w:rFonts w:ascii="Arial" w:cs="Arial" w:eastAsia="Arial" w:hAnsi="Arial"/>
          <w:sz w:val="18"/>
          <w:szCs w:val="18"/>
          <w:color w:val="231F20"/>
        </w:rPr>
        <w:t>shares sold by selling stockholders.</w:t>
      </w:r>
      <w:r>
        <w:rPr>
          <w:rFonts w:ascii="Arial" w:cs="Arial" w:eastAsia="Arial" w:hAnsi="Arial"/>
          <w:sz w:val="18"/>
          <w:szCs w:val="18"/>
          <w:color w:val="000000"/>
        </w:rPr>
        <w:t xml:space="preserve"> </w:t>
      </w:r>
      <w:r>
        <w:rPr>
          <w:rFonts w:ascii="Arial" w:cs="Arial" w:eastAsia="Arial" w:hAnsi="Arial"/>
          <w:sz w:val="18"/>
          <w:szCs w:val="18"/>
          <w:color w:val="231F20"/>
        </w:rPr>
        <w:t xml:space="preserve">The shares sold in the offering included </w:t>
      </w:r>
      <w:r>
        <w:rPr>
          <w:rFonts w:ascii="Arial" w:cs="Arial" w:eastAsia="Arial" w:hAnsi="Arial"/>
          <w:sz w:val="18"/>
          <w:szCs w:val="18"/>
          <w:color w:val="000000"/>
        </w:rPr>
        <w:t>1,136,250</w:t>
      </w:r>
      <w:r>
        <w:rPr>
          <w:rFonts w:ascii="Arial" w:cs="Arial" w:eastAsia="Arial" w:hAnsi="Arial"/>
          <w:sz w:val="18"/>
          <w:szCs w:val="18"/>
          <w:color w:val="231F20"/>
        </w:rPr>
        <w:t xml:space="preserve"> shares sold by the Company pursuant to the underwriters’ full exercise of their over-allotment option. The net proceeds to the Company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expenses in connection with this offering of </w:t>
      </w:r>
      <w:r>
        <w:rPr>
          <w:rFonts w:ascii="Arial" w:cs="Arial" w:eastAsia="Arial" w:hAnsi="Arial"/>
          <w:sz w:val="18"/>
          <w:szCs w:val="18"/>
          <w:color w:val="000000"/>
        </w:rPr>
        <w:t>$2.9 million</w:t>
      </w:r>
      <w:r>
        <w:rPr>
          <w:rFonts w:ascii="Arial" w:cs="Arial" w:eastAsia="Arial" w:hAnsi="Arial"/>
          <w:sz w:val="18"/>
          <w:szCs w:val="18"/>
          <w:color w:val="231F20"/>
        </w:rPr>
        <w:t xml:space="preserve">. Immediately prior to the closing, all of the Company’s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 The related carrying value of the convertible preferred stock of </w:t>
      </w:r>
      <w:r>
        <w:rPr>
          <w:rFonts w:ascii="Arial" w:cs="Arial" w:eastAsia="Arial" w:hAnsi="Arial"/>
          <w:sz w:val="18"/>
          <w:szCs w:val="18"/>
          <w:color w:val="000000"/>
        </w:rPr>
        <w:t>$63.9 million</w:t>
      </w:r>
      <w:r>
        <w:rPr>
          <w:rFonts w:ascii="Arial" w:cs="Arial" w:eastAsia="Arial" w:hAnsi="Arial"/>
          <w:sz w:val="18"/>
          <w:szCs w:val="18"/>
          <w:color w:val="231F20"/>
        </w:rPr>
        <w:t xml:space="preserve"> was reclassified to common stock and additional paid-in capital at the time of the conversion.</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accompanying consolidated financial statements and footnotes have been prepared by the Company in accordance with accounting principles generally accepted in the United States (“U.S. GAAP”) as well as the instructions to Form 10-K and the rules and regulations of the U.S. Securities and Exchange Commission ("SEC"). In the opinion of management, the accompanying consolidated financial statements include all adjustments necessary for the fair presentation of the Company’s consolidated financial position, results of operations and cash flows for the periods presented. The accompanying consolidated financial statements include the accounts of the Company and its majority-owned subsidiaries. All significant intercompany transactions and balances have been eliminated upon consolidation.</w:t>
      </w:r>
    </w:p>
    <w:p>
      <w:pPr>
        <w:spacing w:after="0" w:line="317" w:lineRule="exact"/>
        <w:rPr>
          <w:sz w:val="20"/>
          <w:szCs w:val="20"/>
          <w:color w:val="auto"/>
        </w:rPr>
      </w:pPr>
    </w:p>
    <w:p>
      <w:pPr>
        <w:ind w:right="340" w:firstLine="405"/>
        <w:spacing w:after="0" w:line="256" w:lineRule="auto"/>
        <w:rPr>
          <w:sz w:val="20"/>
          <w:szCs w:val="20"/>
          <w:color w:val="auto"/>
        </w:rPr>
      </w:pPr>
      <w:r>
        <w:rPr>
          <w:rFonts w:ascii="Arial" w:cs="Arial" w:eastAsia="Arial" w:hAnsi="Arial"/>
          <w:sz w:val="18"/>
          <w:szCs w:val="18"/>
          <w:color w:val="231F20"/>
        </w:rPr>
        <w:t>Certain prior year amounts related to income taxes have been reclassified to conform to the current year presentation. These reclassifications did not change previously reported total assets, liabilities, convertible preferred stock, stockholders' equity (deficit), income from operations or net income.</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Correction of Immaterial Error</w:t>
      </w:r>
    </w:p>
    <w:p>
      <w:pPr>
        <w:spacing w:after="0" w:line="139"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During the fourth quarter of 2014, the Company identified an immaterial error in the financial statements of its foreign subsidiaries reporting in the applicable local foreign currencies as their functional currencies, resulting in translation adjustments included as a component of accumulated other comprehensive income (loss) in stockholders' equity. It was determined that the functional currency for the Company's local subsidiaries should be the U.S. dollar. Accordingly, remeasurement gains and losses on monetary assets and liabilities denominated in foreign currencies should be recorded to foreign exchange gains and losses in other income (expense) in the consolidated statements of operations in accordance with GAAP.</w:t>
      </w:r>
    </w:p>
    <w:p>
      <w:pPr>
        <w:spacing w:after="0" w:line="101"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The Company reviewed the accounting error utilizing SEC Staff Accounting Bulletin No. 99, “Materiality” and SEC Staff Accounting Bulletin No. 108, “Effects of Prior Year Misstatements on Current Year Financial Statements.” Management evaluated the materiality of this error from a qualitative and quantitative perspective and determined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333" w:right="279" w:bottom="1440" w:gutter="0" w:footer="0" w:header="0"/>
        </w:sectPr>
      </w:pPr>
    </w:p>
    <w:bookmarkStart w:id="65" w:name="page66"/>
    <w:bookmarkEnd w:id="65"/>
    <w:p>
      <w:pPr>
        <w:jc w:val="center"/>
        <w:ind w:right="-17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impact of the errors did not have a material impact on any individual prior period presentation or affect the trend of financial results. However, because the adjustment to correct the cumulative error on the consolidated balance sheets and statements of stockholders' equity would have had a material effect to the Company's consolidated statements of operations for the year ended December 31, 2014, the Company has revised its previously reported financial statements for the 2012 and 2013 annual periods to reflect the impact of the immaterial errors that have been corrected.</w:t>
      </w:r>
    </w:p>
    <w:p>
      <w:pPr>
        <w:spacing w:after="0" w:line="97" w:lineRule="exact"/>
        <w:rPr>
          <w:sz w:val="20"/>
          <w:szCs w:val="20"/>
          <w:color w:val="auto"/>
        </w:rPr>
      </w:pPr>
    </w:p>
    <w:p>
      <w:pPr>
        <w:ind w:right="320" w:firstLine="405"/>
        <w:spacing w:after="0" w:line="262" w:lineRule="auto"/>
        <w:rPr>
          <w:sz w:val="20"/>
          <w:szCs w:val="20"/>
          <w:color w:val="auto"/>
        </w:rPr>
      </w:pPr>
      <w:r>
        <w:rPr>
          <w:rFonts w:ascii="Arial" w:cs="Arial" w:eastAsia="Arial" w:hAnsi="Arial"/>
          <w:sz w:val="18"/>
          <w:szCs w:val="18"/>
          <w:color w:val="auto"/>
        </w:rPr>
        <w:t>The following table summarizes the correction of previously reported amounts presented in the accompanying consolidated financial statements (in thousands, expect per share data):</w:t>
      </w:r>
    </w:p>
    <w:p>
      <w:pPr>
        <w:spacing w:after="0" w:line="292"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64"/>
        </w:trPr>
        <w:tc>
          <w:tcPr>
            <w:tcW w:w="5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tcPr>
          <w:p>
            <w:pPr>
              <w:spacing w:after="0"/>
              <w:rPr>
                <w:sz w:val="22"/>
                <w:szCs w:val="22"/>
                <w:color w:val="auto"/>
              </w:rPr>
            </w:pPr>
          </w:p>
        </w:tc>
      </w:tr>
      <w:tr>
        <w:trPr>
          <w:trHeight w:val="263"/>
        </w:trPr>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as adjusted</w:t>
            </w: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22"/>
                <w:szCs w:val="22"/>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as adjusted</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Total other income (expense), net</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(425)</w:t>
            </w: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2,221</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r>
      <w:tr>
        <w:trPr>
          <w:trHeight w:val="264"/>
        </w:trPr>
        <w:tc>
          <w:tcPr>
            <w:tcW w:w="5360" w:type="dxa"/>
            <w:vAlign w:val="bottom"/>
          </w:tcPr>
          <w:p>
            <w:pPr>
              <w:ind w:left="16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330"/>
        </w:trPr>
        <w:tc>
          <w:tcPr>
            <w:tcW w:w="5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foreign currency translation gain (loss), net of zero tax</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2,229</w:t>
            </w:r>
          </w:p>
        </w:tc>
      </w:tr>
      <w:tr>
        <w:trPr>
          <w:trHeight w:val="330"/>
        </w:trPr>
        <w:tc>
          <w:tcPr>
            <w:tcW w:w="5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Cash Flows: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21,924</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(20,688)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(94,784)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(94,796)</w:t>
            </w: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7,484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7,484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10,337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10,337</w:t>
            </w:r>
          </w:p>
        </w:tc>
      </w:tr>
      <w:tr>
        <w:trPr>
          <w:trHeight w:val="600"/>
        </w:trPr>
        <w:tc>
          <w:tcPr>
            <w:tcW w:w="5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tcPr>
          <w:p>
            <w:pPr>
              <w:spacing w:after="0"/>
              <w:rPr>
                <w:sz w:val="22"/>
                <w:szCs w:val="22"/>
                <w:color w:val="auto"/>
              </w:rPr>
            </w:pPr>
          </w:p>
        </w:tc>
      </w:tr>
      <w:tr>
        <w:trPr>
          <w:trHeight w:val="264"/>
        </w:trPr>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as adjusted</w:t>
            </w: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22"/>
                <w:szCs w:val="22"/>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as adjusted</w:t>
            </w:r>
          </w:p>
        </w:tc>
      </w:tr>
      <w:tr>
        <w:trPr>
          <w:trHeight w:val="270"/>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2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(75,135)</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Total stockholders' equity</w:t>
            </w:r>
          </w:p>
        </w:tc>
        <w:tc>
          <w:tcPr>
            <w:tcW w:w="20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103,117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103,117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91,555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91,555</w:t>
            </w:r>
          </w:p>
        </w:tc>
      </w:tr>
    </w:tbl>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333" w:right="4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3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tcPr>
          <w:p>
            <w:pPr>
              <w:spacing w:after="0"/>
              <w:rPr>
                <w:sz w:val="22"/>
                <w:szCs w:val="22"/>
                <w:color w:val="auto"/>
              </w:rPr>
            </w:pPr>
          </w:p>
        </w:tc>
      </w:tr>
      <w:tr>
        <w:trPr>
          <w:trHeight w:val="263"/>
        </w:trPr>
        <w:tc>
          <w:tcPr>
            <w:tcW w:w="3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4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as adjusted</w:t>
            </w:r>
          </w:p>
        </w:tc>
        <w:tc>
          <w:tcPr>
            <w:tcW w:w="140" w:type="dxa"/>
            <w:vAlign w:val="bottom"/>
          </w:tcPr>
          <w:p>
            <w:pPr>
              <w:spacing w:after="0"/>
              <w:rPr>
                <w:sz w:val="22"/>
                <w:szCs w:val="22"/>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as reported</w:t>
            </w:r>
          </w:p>
        </w:tc>
        <w:tc>
          <w:tcPr>
            <w:tcW w:w="16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 adjusted</w:t>
            </w:r>
          </w:p>
        </w:tc>
        <w:tc>
          <w:tcPr>
            <w:tcW w:w="140" w:type="dxa"/>
            <w:vAlign w:val="bottom"/>
          </w:tcPr>
          <w:p>
            <w:pPr>
              <w:spacing w:after="0"/>
              <w:rPr>
                <w:sz w:val="22"/>
                <w:szCs w:val="22"/>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as reported</w:t>
            </w:r>
          </w:p>
        </w:tc>
        <w:tc>
          <w:tcPr>
            <w:tcW w:w="2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as adjusted</w:t>
            </w:r>
          </w:p>
        </w:tc>
      </w:tr>
      <w:tr>
        <w:trPr>
          <w:trHeight w:val="162"/>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Convertible Preferred</w:t>
            </w: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r>
      <w:tr>
        <w:trPr>
          <w:trHeight w:val="196"/>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Stock and Stockholders' Equity (Deficit):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6"/>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820" w:type="dxa"/>
            <w:vAlign w:val="bottom"/>
          </w:tcPr>
          <w:p>
            <w:pPr>
              <w:ind w:left="4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(72,468)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(73,594)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(74,092)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(75,135)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(76,372)</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(77,356)</w:t>
            </w:r>
          </w:p>
        </w:tc>
      </w:tr>
      <w:tr>
        <w:trPr>
          <w:trHeight w:val="276"/>
        </w:trPr>
        <w:tc>
          <w:tcPr>
            <w:tcW w:w="3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stockholders' equity (deficit)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103,117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(64,424)</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(64,424)</w:t>
            </w:r>
          </w:p>
        </w:tc>
      </w:tr>
    </w:tbl>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contingent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94"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2013,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accounts receivable balance.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Cash and cash equivalents include cash held in banks and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municipal bonds, asset-backed securities and commercial paper. Management determines the appropriate classification of the Company's investments at the time of purchase and reevaluates such designation at each balance sheet date. The Company classifies its investments as either short-term or long-term based on each instrument's underlying contractual maturity date.</w:t>
      </w:r>
    </w:p>
    <w:p>
      <w:pPr>
        <w:spacing w:after="0" w:line="101"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333"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amortization of premiums and the accretion of discounts are recorded in other income (expense). Interest and dividends are recorded in interest income as earned.</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w:t>
      </w:r>
    </w:p>
    <w:p>
      <w:pPr>
        <w:spacing w:after="0" w:line="204"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 Property under capital lease is amortized over the term of the respective lease or the estimated useful life of the asset, whichever is shorter.</w:t>
      </w:r>
    </w:p>
    <w:p>
      <w:pPr>
        <w:spacing w:after="0" w:line="96"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2"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 xml:space="preserve">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As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the Company has not written down any of its long-lived assets as a result of impairment.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2014</w:t>
      </w:r>
      <w:r>
        <w:rPr>
          <w:rFonts w:ascii="Arial" w:cs="Arial" w:eastAsia="Arial" w:hAnsi="Arial"/>
          <w:sz w:val="18"/>
          <w:szCs w:val="18"/>
          <w:color w:val="231F20"/>
        </w:rPr>
        <w:t xml:space="preserve"> and concluded there was no impairment of goodwill.</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333"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performed the annual qualitative assessment as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concluded there was no impairment of the indefinite-lived intangible assets.</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If the qualitative assessment indicates there is more than a 50% likelihood that the fair value is less than the carrying amount,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w:t>
      </w:r>
    </w:p>
    <w:p>
      <w:pPr>
        <w:spacing w:after="0" w:line="206"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39"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231F20"/>
        </w:rPr>
        <w:t xml:space="preserve">The Company capitalizes qualifying software costs developed or obtained for internal use. These costs generally include internal costs, such as payroll and benefits of those employees directly associated with the development of the software, and other consulting expenses. During the year ended December 31, 2014, the Company capitalized software development costs of $0.1 million. No costs were capitalized during the year ended December 31, 2013. Total capitalized development costs are $0.4 million and </w:t>
      </w:r>
      <w:r>
        <w:rPr>
          <w:rFonts w:ascii="Arial" w:cs="Arial" w:eastAsia="Arial" w:hAnsi="Arial"/>
          <w:sz w:val="18"/>
          <w:szCs w:val="18"/>
          <w:color w:val="000000"/>
        </w:rPr>
        <w:t>$0.3 million at December 31, 2014</w:t>
      </w:r>
      <w:r>
        <w:rPr>
          <w:rFonts w:ascii="Arial" w:cs="Arial" w:eastAsia="Arial" w:hAnsi="Arial"/>
          <w:sz w:val="18"/>
          <w:szCs w:val="18"/>
          <w:color w:val="231F20"/>
        </w:rPr>
        <w:t xml:space="preserve"> and 2013</w:t>
      </w:r>
      <w:r>
        <w:rPr>
          <w:rFonts w:ascii="Arial" w:cs="Arial" w:eastAsia="Arial" w:hAnsi="Arial"/>
          <w:sz w:val="18"/>
          <w:szCs w:val="18"/>
          <w:color w:val="000000"/>
        </w:rPr>
        <w:t>, respectively, and the related accumulated amortization is $0.3 million at both December 31, 2014 and 2013.</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consolidated balance sheets. Gains and losses resulting from currency exchange rate movements on these forward contracts are recognized in other income (expense) in the accompanying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2014</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6.0 million Euros and 2.1 million British Pounds, which expired on on January 31, 2015. At </w:t>
      </w:r>
      <w:r>
        <w:rPr>
          <w:rFonts w:ascii="Arial" w:cs="Arial" w:eastAsia="Arial" w:hAnsi="Arial"/>
          <w:sz w:val="18"/>
          <w:szCs w:val="18"/>
          <w:color w:val="000000"/>
        </w:rPr>
        <w:t>December 31, 2013</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6.3 million Euros and 2.0 million British Pounds, which expired on January 31, 2014. These forward contracts were entered into as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 xml:space="preserve">, respectively, and thus the fair value of the contracts was </w:t>
      </w:r>
      <w:r>
        <w:rPr>
          <w:rFonts w:ascii="Arial" w:cs="Arial" w:eastAsia="Arial" w:hAnsi="Arial"/>
          <w:sz w:val="18"/>
          <w:szCs w:val="18"/>
          <w:color w:val="000000"/>
        </w:rPr>
        <w:t>$ 0</w:t>
      </w:r>
      <w:r>
        <w:rPr>
          <w:rFonts w:ascii="Arial" w:cs="Arial" w:eastAsia="Arial" w:hAnsi="Arial"/>
          <w:sz w:val="18"/>
          <w:szCs w:val="18"/>
          <w:color w:val="231F20"/>
        </w:rPr>
        <w:t xml:space="preserve"> at both December 31, 2014 and 2013. In 2014, the Company recorded a net gain of </w:t>
      </w:r>
      <w:r>
        <w:rPr>
          <w:rFonts w:ascii="Arial" w:cs="Arial" w:eastAsia="Arial" w:hAnsi="Arial"/>
          <w:sz w:val="18"/>
          <w:szCs w:val="18"/>
          <w:color w:val="000000"/>
        </w:rPr>
        <w:t>$0.7 million</w:t>
      </w:r>
      <w:r>
        <w:rPr>
          <w:rFonts w:ascii="Arial" w:cs="Arial" w:eastAsia="Arial" w:hAnsi="Arial"/>
          <w:sz w:val="18"/>
          <w:szCs w:val="18"/>
          <w:color w:val="231F20"/>
        </w:rPr>
        <w:t xml:space="preserve"> from forward contracts, which was offset by foreign currency transaction losses of </w:t>
      </w:r>
      <w:r>
        <w:rPr>
          <w:rFonts w:ascii="Arial" w:cs="Arial" w:eastAsia="Arial" w:hAnsi="Arial"/>
          <w:sz w:val="18"/>
          <w:szCs w:val="18"/>
          <w:color w:val="000000"/>
        </w:rPr>
        <w:t>$1.4</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for the year. In 2013, the Company recorded a net loss of</w:t>
      </w:r>
      <w:r>
        <w:rPr>
          <w:rFonts w:ascii="Arial" w:cs="Arial" w:eastAsia="Arial" w:hAnsi="Arial"/>
          <w:sz w:val="18"/>
          <w:szCs w:val="18"/>
          <w:color w:val="000000"/>
        </w:rPr>
        <w:t xml:space="preserve"> $0.8 million </w:t>
      </w:r>
      <w:r>
        <w:rPr>
          <w:rFonts w:ascii="Arial" w:cs="Arial" w:eastAsia="Arial" w:hAnsi="Arial"/>
          <w:sz w:val="18"/>
          <w:szCs w:val="18"/>
          <w:color w:val="231F20"/>
        </w:rPr>
        <w:t>from forward contracts, which was partially offset by foreign</w:t>
      </w:r>
      <w:r>
        <w:rPr>
          <w:rFonts w:ascii="Arial" w:cs="Arial" w:eastAsia="Arial" w:hAnsi="Arial"/>
          <w:sz w:val="18"/>
          <w:szCs w:val="18"/>
          <w:color w:val="000000"/>
        </w:rPr>
        <w:t xml:space="preserve"> </w:t>
      </w:r>
      <w:r>
        <w:rPr>
          <w:rFonts w:ascii="Arial" w:cs="Arial" w:eastAsia="Arial" w:hAnsi="Arial"/>
          <w:sz w:val="18"/>
          <w:szCs w:val="18"/>
          <w:color w:val="231F20"/>
        </w:rPr>
        <w:t xml:space="preserve">currency transaction gains of </w:t>
      </w:r>
      <w:r>
        <w:rPr>
          <w:rFonts w:ascii="Arial" w:cs="Arial" w:eastAsia="Arial" w:hAnsi="Arial"/>
          <w:sz w:val="18"/>
          <w:szCs w:val="18"/>
          <w:color w:val="000000"/>
        </w:rPr>
        <w:t>$0.2 million</w:t>
      </w:r>
      <w:r>
        <w:rPr>
          <w:rFonts w:ascii="Arial" w:cs="Arial" w:eastAsia="Arial" w:hAnsi="Arial"/>
          <w:sz w:val="18"/>
          <w:szCs w:val="18"/>
          <w:color w:val="231F20"/>
        </w:rPr>
        <w:t xml:space="preserve"> for the year. These derivatives did not meet the criteria to be designated as hedges.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231F20"/>
        </w:rPr>
        <w:t>The Company recognizes stock-based compensation expense for its employee stock options over the requisite service period for awards of equity instruments based on the grant-date fair value of those awards expected to vest.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231F20"/>
        </w:rPr>
        <w:t>Forfeitures are estimated on the date of grant and revised if actual or expected forfeiture activity differs materially from original estimates.</w:t>
      </w:r>
    </w:p>
    <w:p>
      <w:pPr>
        <w:spacing w:after="0" w:line="225"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 option-pricing model and the expense is recognized over the vesting periods of the options. The value of options granted to non-employees is remeasured as they vest over a performance period.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The Company derives revenues from subscriptions that require customers to pay a fee in order to access the Company’s cloud solutions.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w:t>
      </w:r>
      <w:r>
        <w:rPr>
          <w:rFonts w:ascii="Arial" w:cs="Arial" w:eastAsia="Arial" w:hAnsi="Arial"/>
          <w:sz w:val="18"/>
          <w:szCs w:val="18"/>
          <w:color w:val="000000"/>
        </w:rPr>
        <w:t>In some limited cases, the Company also provides certain computer equipment used to extend</w:t>
      </w:r>
      <w:r>
        <w:rPr>
          <w:rFonts w:ascii="Arial" w:cs="Arial" w:eastAsia="Arial" w:hAnsi="Arial"/>
          <w:sz w:val="18"/>
          <w:szCs w:val="18"/>
          <w:color w:val="231F20"/>
        </w:rPr>
        <w:t xml:space="preserve"> </w:t>
      </w:r>
      <w:r>
        <w:rPr>
          <w:rFonts w:ascii="Arial" w:cs="Arial" w:eastAsia="Arial" w:hAnsi="Arial"/>
          <w:sz w:val="18"/>
          <w:szCs w:val="18"/>
          <w:color w:val="000000"/>
        </w:rPr>
        <w:t xml:space="preserve">its QualysGuard Cloud Platform into its customers’ private cloud environment. </w:t>
      </w:r>
      <w:r>
        <w:rPr>
          <w:rFonts w:ascii="Arial" w:cs="Arial" w:eastAsia="Arial" w:hAnsi="Arial"/>
          <w:sz w:val="18"/>
          <w:szCs w:val="18"/>
          <w:color w:val="231F20"/>
        </w:rPr>
        <w:t>Customers are required to return physical scanner appliances</w:t>
      </w:r>
      <w:r>
        <w:rPr>
          <w:rFonts w:ascii="Arial" w:cs="Arial" w:eastAsia="Arial" w:hAnsi="Arial"/>
          <w:sz w:val="18"/>
          <w:szCs w:val="18"/>
          <w:color w:val="000000"/>
        </w:rPr>
        <w:t xml:space="preserve"> </w:t>
      </w:r>
      <w:r>
        <w:rPr>
          <w:rFonts w:ascii="Arial" w:cs="Arial" w:eastAsia="Arial" w:hAnsi="Arial"/>
          <w:sz w:val="18"/>
          <w:szCs w:val="18"/>
          <w:color w:val="231F20"/>
        </w:rPr>
        <w:t>and computer equipment if they do not renew their subscriptions.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225"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service has been provided to the customer.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collection of the fees is reasonably assured.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17"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Subscriptions are recognized ratably over the subscription period. The Company recognizes revenues from subscriptions that include physical scanner appliances and other computer equipment ratably over the period of the subscription. Because the customer’s access to the Company’s cloud solutions are delivered at the same time as or within close proximity to the delivery of physical scanner appliances and the terms are commensurate for these services and equipment, the Company considers these elements as a single unit of accounting recognized ratably over the subscription period.</w:t>
      </w:r>
    </w:p>
    <w:p>
      <w:pPr>
        <w:spacing w:after="0" w:line="206"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ind w:right="600"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w:t>
      </w:r>
      <w:r>
        <w:rPr>
          <w:rFonts w:ascii="Arial" w:cs="Arial" w:eastAsia="Arial" w:hAnsi="Arial"/>
          <w:sz w:val="18"/>
          <w:szCs w:val="18"/>
          <w:color w:val="000000"/>
        </w:rPr>
        <w:t>promotional</w:t>
      </w:r>
      <w:r>
        <w:rPr>
          <w:rFonts w:ascii="Arial" w:cs="Arial" w:eastAsia="Arial" w:hAnsi="Arial"/>
          <w:sz w:val="18"/>
          <w:szCs w:val="18"/>
          <w:color w:val="231F20"/>
        </w:rPr>
        <w:t xml:space="preserve"> materials. The Company incurred advertising costs of </w:t>
      </w:r>
      <w:r>
        <w:rPr>
          <w:rFonts w:ascii="Arial" w:cs="Arial" w:eastAsia="Arial" w:hAnsi="Arial"/>
          <w:sz w:val="18"/>
          <w:szCs w:val="18"/>
          <w:color w:val="000000"/>
        </w:rPr>
        <w:t>$5.3 million,</w:t>
      </w:r>
      <w:r>
        <w:rPr>
          <w:rFonts w:ascii="Arial" w:cs="Arial" w:eastAsia="Arial" w:hAnsi="Arial"/>
          <w:sz w:val="18"/>
          <w:szCs w:val="18"/>
          <w:color w:val="231F20"/>
        </w:rPr>
        <w:t xml:space="preserve"> </w:t>
      </w:r>
      <w:r>
        <w:rPr>
          <w:rFonts w:ascii="Arial" w:cs="Arial" w:eastAsia="Arial" w:hAnsi="Arial"/>
          <w:sz w:val="18"/>
          <w:szCs w:val="18"/>
          <w:color w:val="000000"/>
        </w:rPr>
        <w:t>$4.2 million</w:t>
      </w:r>
      <w:r>
        <w:rPr>
          <w:rFonts w:ascii="Arial" w:cs="Arial" w:eastAsia="Arial" w:hAnsi="Arial"/>
          <w:sz w:val="18"/>
          <w:szCs w:val="18"/>
          <w:color w:val="231F20"/>
        </w:rPr>
        <w:t xml:space="preserve">, and </w:t>
      </w:r>
      <w:r>
        <w:rPr>
          <w:rFonts w:ascii="Arial" w:cs="Arial" w:eastAsia="Arial" w:hAnsi="Arial"/>
          <w:sz w:val="18"/>
          <w:szCs w:val="18"/>
          <w:color w:val="000000"/>
        </w:rPr>
        <w:t>$4.3 million</w:t>
      </w:r>
      <w:r>
        <w:rPr>
          <w:rFonts w:ascii="Arial" w:cs="Arial" w:eastAsia="Arial" w:hAnsi="Arial"/>
          <w:sz w:val="18"/>
          <w:szCs w:val="18"/>
          <w:color w:val="231F20"/>
        </w:rPr>
        <w:t xml:space="preserve"> for </w:t>
      </w:r>
      <w:r>
        <w:rPr>
          <w:rFonts w:ascii="Arial" w:cs="Arial" w:eastAsia="Arial" w:hAnsi="Arial"/>
          <w:sz w:val="18"/>
          <w:szCs w:val="18"/>
          <w:color w:val="000000"/>
        </w:rPr>
        <w:t>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139" w:lineRule="exact"/>
        <w:rPr>
          <w:sz w:val="20"/>
          <w:szCs w:val="20"/>
          <w:color w:val="auto"/>
        </w:rPr>
      </w:pPr>
    </w:p>
    <w:p>
      <w:pPr>
        <w:jc w:val="both"/>
        <w:ind w:right="240" w:firstLine="405"/>
        <w:spacing w:after="0" w:line="256" w:lineRule="auto"/>
        <w:rPr>
          <w:sz w:val="20"/>
          <w:szCs w:val="20"/>
          <w:color w:val="auto"/>
        </w:rPr>
      </w:pPr>
      <w:r>
        <w:rPr>
          <w:rFonts w:ascii="Arial" w:cs="Arial" w:eastAsia="Arial" w:hAnsi="Arial"/>
          <w:sz w:val="18"/>
          <w:szCs w:val="18"/>
          <w:color w:val="231F20"/>
        </w:rPr>
        <w:t>The Company uses the asset and liability method to account for income taxes. Under this method, deferred tax assets and liabilities are determined based on differences between the financial reporting and tax basis of assets and liabilities. Deferred tax assets and liabilities are measured using statutory tax rates and laws that will be in effect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3"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231F20"/>
        </w:rPr>
        <w:t>when the differences are expected to reverse. A valuation allowance is established, when necessary, to reduce deferred tax assets to the amount expected to be realized.</w:t>
      </w:r>
    </w:p>
    <w:p>
      <w:pPr>
        <w:spacing w:after="0" w:line="19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Company operates in various tax jurisdictions and is subject to audit by various tax authorities. Tax positions are based upon their technical merits, relevant tax law and the specific facts and circumstances as of each reporting period. Changes in facts and circumstances could result in material changes to the amounts recorded for such tax positions. A tax position is only recognized in the financial statements if it is “more likely than not” to be sustained based solely on its technical merits as of the reporting date. The Company considers many factors when evaluating and estimating its tax positions and tax benefits, which may require periodic adjustments that could result in recognition of additional tax benefits or additional charges to the tax provision and may not accurately reflect the actual outcomes. The Company’s policy is to recognize interest and penalties relating to unrecognized tax benefits as a component of the provision for income taxes.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Comprehensive Income (Loss)</w:t>
      </w:r>
    </w:p>
    <w:p>
      <w:pPr>
        <w:spacing w:after="0" w:line="247" w:lineRule="exact"/>
        <w:rPr>
          <w:sz w:val="20"/>
          <w:szCs w:val="20"/>
          <w:color w:val="auto"/>
        </w:rPr>
      </w:pPr>
    </w:p>
    <w:p>
      <w:pPr>
        <w:jc w:val="both"/>
        <w:ind w:right="520" w:firstLine="405"/>
        <w:spacing w:after="0" w:line="256" w:lineRule="auto"/>
        <w:rPr>
          <w:sz w:val="20"/>
          <w:szCs w:val="20"/>
          <w:color w:val="auto"/>
        </w:rPr>
      </w:pPr>
      <w:r>
        <w:rPr>
          <w:rFonts w:ascii="Arial" w:cs="Arial" w:eastAsia="Arial" w:hAnsi="Arial"/>
          <w:sz w:val="18"/>
          <w:szCs w:val="18"/>
          <w:color w:val="231F20"/>
        </w:rPr>
        <w:t>Other comprehensive income (loss) consists of unrealized gains (losses) on available-for-sale investments, net of tax, which are not included in the Company’s net income. Total comprehensive income includes net income and other comprehensive income (loss) and is included in the consolidated statements of comprehensive income.</w:t>
      </w:r>
    </w:p>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Transactions</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 The Company recorded total foreign currency transaction losses of </w:t>
      </w:r>
      <w:r>
        <w:rPr>
          <w:rFonts w:ascii="Arial" w:cs="Arial" w:eastAsia="Arial" w:hAnsi="Arial"/>
          <w:sz w:val="18"/>
          <w:szCs w:val="18"/>
          <w:color w:val="000000"/>
        </w:rPr>
        <w:t>$(0.7) million, $(0.7)</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and</w:t>
      </w:r>
      <w:r>
        <w:rPr>
          <w:rFonts w:ascii="Arial" w:cs="Arial" w:eastAsia="Arial" w:hAnsi="Arial"/>
          <w:sz w:val="18"/>
          <w:szCs w:val="18"/>
          <w:color w:val="000000"/>
        </w:rPr>
        <w:t xml:space="preserve"> $(0.2) million </w:t>
      </w:r>
      <w:r>
        <w:rPr>
          <w:rFonts w:ascii="Arial" w:cs="Arial" w:eastAsia="Arial" w:hAnsi="Arial"/>
          <w:sz w:val="18"/>
          <w:szCs w:val="18"/>
          <w:color w:val="231F20"/>
        </w:rPr>
        <w:t>during</w:t>
      </w:r>
      <w:r>
        <w:rPr>
          <w:rFonts w:ascii="Arial" w:cs="Arial" w:eastAsia="Arial" w:hAnsi="Arial"/>
          <w:sz w:val="18"/>
          <w:szCs w:val="18"/>
          <w:color w:val="000000"/>
        </w:rPr>
        <w:t xml:space="preserve"> 2014, 2013 </w:t>
      </w:r>
      <w:r>
        <w:rPr>
          <w:rFonts w:ascii="Arial" w:cs="Arial" w:eastAsia="Arial" w:hAnsi="Arial"/>
          <w:sz w:val="18"/>
          <w:szCs w:val="18"/>
          <w:color w:val="231F20"/>
        </w:rPr>
        <w:t>and</w:t>
      </w:r>
      <w:r>
        <w:rPr>
          <w:rFonts w:ascii="Arial" w:cs="Arial" w:eastAsia="Arial" w:hAnsi="Arial"/>
          <w:sz w:val="18"/>
          <w:szCs w:val="18"/>
          <w:color w:val="000000"/>
        </w:rPr>
        <w:t xml:space="preserve"> 2012</w:t>
      </w:r>
      <w:r>
        <w:rPr>
          <w:rFonts w:ascii="Arial" w:cs="Arial" w:eastAsia="Arial" w:hAnsi="Arial"/>
          <w:sz w:val="18"/>
          <w:szCs w:val="18"/>
          <w:color w:val="231F20"/>
        </w:rPr>
        <w:t>, respectively.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Measurements</w:t>
      </w:r>
    </w:p>
    <w:p>
      <w:pPr>
        <w:spacing w:after="0" w:line="13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right="8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6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8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municipal bonds and asset-backed securities and derivative financial</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333"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w:t>
      </w:r>
      <w:r>
        <w:rPr>
          <w:rFonts w:ascii="Arial" w:cs="Arial" w:eastAsia="Arial" w:hAnsi="Arial"/>
          <w:sz w:val="18"/>
          <w:szCs w:val="18"/>
          <w:color w:val="auto"/>
        </w:rPr>
        <w:t xml:space="preserve"> </w:t>
      </w:r>
      <w:r>
        <w:rPr>
          <w:rFonts w:ascii="Arial" w:cs="Arial" w:eastAsia="Arial" w:hAnsi="Arial"/>
          <w:sz w:val="18"/>
          <w:szCs w:val="18"/>
          <w:color w:val="231F20"/>
        </w:rPr>
        <w:t>using observable inputs</w:t>
      </w:r>
      <w:r>
        <w:rPr>
          <w:rFonts w:ascii="Arial" w:cs="Arial" w:eastAsia="Arial" w:hAnsi="Arial"/>
          <w:sz w:val="18"/>
          <w:szCs w:val="18"/>
          <w:color w:val="000000"/>
        </w:rPr>
        <w:t>, such as quotations on forward foreign exchange points and foreign interest rates</w:t>
      </w:r>
      <w:r>
        <w:rPr>
          <w:rFonts w:ascii="Arial" w:cs="Arial" w:eastAsia="Arial" w:hAnsi="Arial"/>
          <w:sz w:val="18"/>
          <w:szCs w:val="18"/>
          <w:color w:val="231F20"/>
        </w:rPr>
        <w:t>. See Note 2 for more information regarding the fair value measurement of the Company's financial instruments.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Net Income Per Share Attributable to Common Stockholders</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231F20"/>
        </w:rPr>
        <w:t>The Company computes net income attributable to common stockholders using the two-class method required for participating securities. Convertible preferred stock and common stock subject to repurchase resulting from the early exercise of stock options are considered to be participating securities since they contain non-forfeitable rights to dividends or dividend equivalents in the event the Company declares a dividend for common stock. In accordance with the two-class method, earnings allocated to these participating securities are subtracted from net income after deducting preferred stock dividends, if any, to determine total undistributed earnings to be allocated to common stockholders. The holders of convertible preferred stock did not have a contractual obligation to share in net losses and such shares were excluded from the computation of basic earnings per share in periods of net loss.</w:t>
      </w:r>
    </w:p>
    <w:p>
      <w:pPr>
        <w:spacing w:after="0" w:line="20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Basic net income per share attributable to common stockholders is computed by dividing net income attributable to common stockholders by the weighted-average number of common shares outstanding during the period. All participating securities are excluded from basic weighted average common shares outstanding. In computing diluted net income attributable to common stockholders, undistributed earnings are reallocated to reflect the potential impact of dilutive securities. Diluted net income per share is computed by dividing net income attributable to common stockholders by the weighted-average number of shares of common stock outstanding during the period, adjusted for the effects of potentially dilutive common shares, which comprise outstanding stock options, warrants, convertible preferred stock and contingently issuable shares related to an acquisition. The dilutive potential common shares are computed using the treasury stock method or the as-if converted method, as applicable. The effects of outstanding stock options, warrants, convertible preferred stock and contingently issuable shares related to an acquisition are excluded from the computation of diluted net income per common share in periods in which the effect would be antidilutive.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247"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204"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In July 2013, </w:t>
      </w:r>
      <w:r>
        <w:rPr>
          <w:rFonts w:ascii="Arial" w:cs="Arial" w:eastAsia="Arial" w:hAnsi="Arial"/>
          <w:sz w:val="18"/>
          <w:szCs w:val="18"/>
          <w:color w:val="000000"/>
        </w:rPr>
        <w:t>the Financial Accounting Standards Board (“FASB”) issued an Accounting Standard Update (“ASU”) that provides guidance</w:t>
      </w:r>
      <w:r>
        <w:rPr>
          <w:rFonts w:ascii="Arial" w:cs="Arial" w:eastAsia="Arial" w:hAnsi="Arial"/>
          <w:sz w:val="18"/>
          <w:szCs w:val="18"/>
          <w:color w:val="231F20"/>
        </w:rPr>
        <w:t xml:space="preserve"> </w:t>
      </w:r>
      <w:r>
        <w:rPr>
          <w:rFonts w:ascii="Arial" w:cs="Arial" w:eastAsia="Arial" w:hAnsi="Arial"/>
          <w:sz w:val="18"/>
          <w:szCs w:val="18"/>
          <w:color w:val="000000"/>
        </w:rPr>
        <w:t>on the financial statement presentation of unrecognized tax benefits when a net operating loss carryforward, a similar tax loss, or a tax credit carryforward exists. An unrecognized tax benefit should be presented as a reduction to a deferred tax asset for a net operating loss carryforward, a similar tax loss, or a tax credit carryforward when settlement in this manner is available under the tax law. The Company adopted this standard in 2014 and the adoption of this standard did not have a material impact on the consolidated financial statements.</w:t>
      </w:r>
    </w:p>
    <w:p>
      <w:pPr>
        <w:spacing w:after="0" w:line="206"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In May 2014, the FASB issued an ASU amending revenue recognition guidance and requiring more detailed disclosures to enable users of financial statements to understand the nature, amount, timing, and uncertainty of revenue and cash flows arising from contracts with customers. The guidance is effective for annual and interim reporting periods beginning after December 15, 2016, with early adoption prohibited. The Company is currently evaluating the impact this ASU will have on its consolidated financial statements.</w:t>
      </w:r>
    </w:p>
    <w:p>
      <w:pPr>
        <w:spacing w:after="0" w:line="204"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In January 2015, the FASB issued an ASU eliminating from U.S. GAAP the concept of extraordinary items, which required that an entity separately classify, present, and disclose extraordinary events and transactions. The guidance is effective for fiscal years, and interim periods within those fiscal years, beginning after December 15,</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3"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2015. A reporting entity may apply the amendments prospectively or retrospectively to all prior periods presented in the financial statements. Early adoption is permitted provided that the guidance is applied from the beginning of the fiscal year of adoption. The Company is currently evaluating the impact this ASU will have on its consolidated financial statements.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Reverse Stock Split</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In September 2012, the Company’s board of directors and stockholders approved an amendment to the Company’s amended and restated certificate of incorporation effecting a </w:t>
      </w:r>
      <w:r>
        <w:rPr>
          <w:rFonts w:ascii="Arial" w:cs="Arial" w:eastAsia="Arial" w:hAnsi="Arial"/>
          <w:sz w:val="18"/>
          <w:szCs w:val="18"/>
          <w:color w:val="000000"/>
        </w:rPr>
        <w:t>one-for-ten reverse stock split</w:t>
      </w:r>
      <w:r>
        <w:rPr>
          <w:rFonts w:ascii="Arial" w:cs="Arial" w:eastAsia="Arial" w:hAnsi="Arial"/>
          <w:sz w:val="18"/>
          <w:szCs w:val="18"/>
          <w:color w:val="231F20"/>
        </w:rPr>
        <w:t xml:space="preserve"> of the Company’s issued and outstanding shares of common and convertible preferred stock. The par value of the common and convertible preferred stock was not adjusted as a result of the reverse stock split. All issued and outstanding common stock, convertible preferred stock, warrants for convertible preferred stock, options for common stock, contingently issuable shares of common stock and per share amounts contained in the Company’s consolidated financial statements have been retroactively adjusted to reflect this reverse stock split for all periods presented.</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3" w:right="239" w:bottom="1440" w:gutter="0" w:footer="0" w:header="0"/>
        </w:sectPr>
      </w:pPr>
    </w:p>
    <w:bookmarkStart w:id="73" w:name="page74"/>
    <w:bookmarkEnd w:id="73"/>
    <w:p>
      <w:pPr>
        <w:jc w:val="center"/>
        <w:ind w:right="-2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97"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2014</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4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Gains</w:t>
            </w: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Unrealized Losses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36,024</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36,024</w:t>
            </w: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39,180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39,180</w:t>
            </w: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U.S. government agencies</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273"/>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50"/>
        </w:trPr>
        <w:tc>
          <w:tcPr>
            <w:tcW w:w="4540" w:type="dxa"/>
            <w:vAlign w:val="bottom"/>
          </w:tcPr>
          <w:p>
            <w:pPr>
              <w:ind w:left="600"/>
              <w:spacing w:after="0"/>
              <w:rPr>
                <w:sz w:val="20"/>
                <w:szCs w:val="20"/>
                <w:color w:val="auto"/>
              </w:rPr>
            </w:pPr>
            <w:r>
              <w:rPr>
                <w:rFonts w:ascii="Arial" w:cs="Arial" w:eastAsia="Arial" w:hAnsi="Arial"/>
                <w:sz w:val="16"/>
                <w:szCs w:val="16"/>
                <w:color w:val="auto"/>
              </w:rPr>
              <w:t>Total</w:t>
            </w:r>
          </w:p>
        </w:tc>
        <w:tc>
          <w:tcPr>
            <w:tcW w:w="18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76,504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76,504</w:t>
            </w:r>
          </w:p>
        </w:tc>
      </w:tr>
      <w:tr>
        <w:trPr>
          <w:trHeight w:val="270"/>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4,999</w:t>
            </w: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r>
      <w:tr>
        <w:trPr>
          <w:trHeight w:val="264"/>
        </w:trPr>
        <w:tc>
          <w:tcPr>
            <w:tcW w:w="45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U.S. government agencies</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33,280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33,277</w:t>
            </w:r>
          </w:p>
        </w:tc>
      </w:tr>
      <w:tr>
        <w:trPr>
          <w:trHeight w:val="257"/>
        </w:trPr>
        <w:tc>
          <w:tcPr>
            <w:tcW w:w="4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50,716</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50,714</w:t>
            </w:r>
          </w:p>
        </w:tc>
      </w:tr>
      <w:tr>
        <w:trPr>
          <w:trHeight w:val="254"/>
        </w:trPr>
        <w:tc>
          <w:tcPr>
            <w:tcW w:w="4540" w:type="dxa"/>
            <w:vAlign w:val="bottom"/>
          </w:tcPr>
          <w:p>
            <w:pPr>
              <w:ind w:left="20"/>
              <w:spacing w:after="0"/>
              <w:rPr>
                <w:sz w:val="20"/>
                <w:szCs w:val="20"/>
                <w:color w:val="auto"/>
              </w:rPr>
            </w:pPr>
            <w:r>
              <w:rPr>
                <w:rFonts w:ascii="Arial" w:cs="Arial" w:eastAsia="Arial" w:hAnsi="Arial"/>
                <w:sz w:val="16"/>
                <w:szCs w:val="16"/>
                <w:color w:val="auto"/>
              </w:rPr>
              <w:t>Long-term investments:</w:t>
            </w: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16,094</w:t>
            </w:r>
          </w:p>
        </w:tc>
      </w:tr>
      <w:tr>
        <w:trPr>
          <w:trHeight w:val="260"/>
        </w:trPr>
        <w:tc>
          <w:tcPr>
            <w:tcW w:w="4540" w:type="dxa"/>
            <w:vAlign w:val="bottom"/>
          </w:tcPr>
          <w:p>
            <w:pPr>
              <w:ind w:left="260"/>
              <w:spacing w:after="0"/>
              <w:rPr>
                <w:sz w:val="20"/>
                <w:szCs w:val="20"/>
                <w:color w:val="auto"/>
              </w:rPr>
            </w:pPr>
            <w:r>
              <w:rPr>
                <w:rFonts w:ascii="Arial" w:cs="Arial" w:eastAsia="Arial" w:hAnsi="Arial"/>
                <w:sz w:val="16"/>
                <w:szCs w:val="16"/>
                <w:color w:val="auto"/>
              </w:rPr>
              <w:t>U.S. government agencies</w:t>
            </w:r>
          </w:p>
        </w:tc>
        <w:tc>
          <w:tcPr>
            <w:tcW w:w="1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20,243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20,255</w:t>
            </w:r>
          </w:p>
        </w:tc>
      </w:tr>
      <w:tr>
        <w:trPr>
          <w:trHeight w:val="273"/>
        </w:trPr>
        <w:tc>
          <w:tcPr>
            <w:tcW w:w="45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3,101</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50"/>
        </w:trPr>
        <w:tc>
          <w:tcPr>
            <w:tcW w:w="45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39,436</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39,448</w:t>
            </w:r>
          </w:p>
        </w:tc>
      </w:tr>
      <w:tr>
        <w:trPr>
          <w:trHeight w:val="24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166,656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166,666</w:t>
            </w:r>
          </w:p>
        </w:tc>
      </w:tr>
      <w:tr>
        <w:trPr>
          <w:trHeight w:val="20"/>
        </w:trPr>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280" w:top="333" w:right="5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December 31, 2013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Unrealized Gains</w:t>
            </w: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Unrealized Losses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27,488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27,488</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14,698</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42,369</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32,790</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16,905</w:t>
            </w: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w:t>
            </w:r>
          </w:p>
        </w:tc>
      </w:tr>
      <w:tr>
        <w:trPr>
          <w:trHeight w:val="257"/>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54,827</w:t>
            </w: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14,835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14,833</w:t>
            </w:r>
          </w:p>
        </w:tc>
      </w:tr>
      <w:tr>
        <w:trPr>
          <w:trHeight w:val="273"/>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15,256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15,274</w:t>
            </w:r>
          </w:p>
        </w:tc>
      </w:tr>
      <w:tr>
        <w:trPr>
          <w:trHeight w:val="250"/>
        </w:trPr>
        <w:tc>
          <w:tcPr>
            <w:tcW w:w="47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35,588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35,608</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132,766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132,804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December 31, 2014</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680" w:type="dxa"/>
            <w:vAlign w:val="bottom"/>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r>
      <w:tr>
        <w:trPr>
          <w:trHeight w:val="260"/>
        </w:trPr>
        <w:tc>
          <w:tcPr>
            <w:tcW w:w="46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53,832</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53,832</w:t>
            </w:r>
          </w:p>
        </w:tc>
      </w:tr>
      <w:tr>
        <w:trPr>
          <w:trHeight w:val="28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15,537</w:t>
            </w:r>
          </w:p>
        </w:tc>
      </w:tr>
      <w:tr>
        <w:trPr>
          <w:trHeight w:val="264"/>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16,094</w:t>
            </w:r>
          </w:p>
        </w:tc>
      </w:tr>
      <w:tr>
        <w:trPr>
          <w:trHeight w:val="240"/>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91,462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875"/>
        </w:trPr>
        <w:tc>
          <w:tcPr>
            <w:tcW w:w="468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December 31, 2013</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700" w:type="dxa"/>
            <w:vAlign w:val="bottom"/>
          </w:tcPr>
          <w:p>
            <w:pPr>
              <w:spacing w:after="0"/>
              <w:rPr>
                <w:sz w:val="22"/>
                <w:szCs w:val="22"/>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18,837</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18,837</w:t>
            </w: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Municipal bonds</w:t>
            </w:r>
          </w:p>
        </w:tc>
        <w:tc>
          <w:tcPr>
            <w:tcW w:w="120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20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32,179</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32,179</w:t>
            </w:r>
          </w:p>
        </w:tc>
      </w:tr>
      <w:tr>
        <w:trPr>
          <w:trHeight w:val="27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5,501</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40"/>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1200" w:type="dxa"/>
            <w:vAlign w:val="bottom"/>
          </w:tcPr>
          <w:p>
            <w:pPr>
              <w:jc w:val="right"/>
              <w:ind w:right="996"/>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105,133</w:t>
            </w:r>
          </w:p>
        </w:tc>
        <w:tc>
          <w:tcPr>
            <w:tcW w:w="100" w:type="dxa"/>
            <w:vAlign w:val="bottom"/>
          </w:tcPr>
          <w:p>
            <w:pPr>
              <w:spacing w:after="0"/>
              <w:rPr>
                <w:sz w:val="20"/>
                <w:szCs w:val="20"/>
                <w:color w:val="auto"/>
              </w:rPr>
            </w:pP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4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3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2014</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198"/>
        </w:trPr>
        <w:tc>
          <w:tcPr>
            <w:tcW w:w="3980" w:type="dxa"/>
            <w:vAlign w:val="bottom"/>
          </w:tcPr>
          <w:p>
            <w:pPr>
              <w:spacing w:after="0"/>
              <w:rPr>
                <w:sz w:val="17"/>
                <w:szCs w:val="17"/>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Mature within One</w:t>
            </w:r>
          </w:p>
        </w:tc>
        <w:tc>
          <w:tcPr>
            <w:tcW w:w="18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After One Year</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8"/>
        </w:trPr>
        <w:tc>
          <w:tcPr>
            <w:tcW w:w="39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7"/>
              </w:rPr>
              <w:t>Year</w:t>
            </w:r>
          </w:p>
        </w:tc>
        <w:tc>
          <w:tcPr>
            <w:tcW w:w="17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9"/>
              </w:rPr>
              <w:t>through Two Years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3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8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5,999</w:t>
            </w:r>
          </w:p>
        </w:tc>
      </w:tr>
      <w:tr>
        <w:trPr>
          <w:trHeight w:val="260"/>
        </w:trPr>
        <w:tc>
          <w:tcPr>
            <w:tcW w:w="39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3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33,577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53,832</w:t>
            </w:r>
          </w:p>
        </w:tc>
      </w:tr>
      <w:tr>
        <w:trPr>
          <w:trHeight w:val="28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15,537</w:t>
            </w:r>
          </w:p>
        </w:tc>
      </w:tr>
      <w:tr>
        <w:trPr>
          <w:trHeight w:val="264"/>
        </w:trPr>
        <w:tc>
          <w:tcPr>
            <w:tcW w:w="39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3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7,327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8,767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16,094</w:t>
            </w:r>
          </w:p>
        </w:tc>
      </w:tr>
      <w:tr>
        <w:trPr>
          <w:trHeight w:val="240"/>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91,462</w:t>
            </w:r>
          </w:p>
        </w:tc>
      </w:tr>
      <w:tr>
        <w:trPr>
          <w:trHeight w:val="20"/>
        </w:trPr>
        <w:tc>
          <w:tcPr>
            <w:tcW w:w="3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December 31, 2013</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198"/>
        </w:trPr>
        <w:tc>
          <w:tcPr>
            <w:tcW w:w="4000" w:type="dxa"/>
            <w:vAlign w:val="bottom"/>
          </w:tcPr>
          <w:p>
            <w:pPr>
              <w:spacing w:after="0"/>
              <w:rPr>
                <w:sz w:val="17"/>
                <w:szCs w:val="17"/>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8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After One Year</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8"/>
        </w:trPr>
        <w:tc>
          <w:tcPr>
            <w:tcW w:w="4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7"/>
              </w:rPr>
              <w:t>Year</w:t>
            </w: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Over Two Years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8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47,488</w:t>
            </w:r>
          </w:p>
        </w:tc>
      </w:tr>
      <w:tr>
        <w:trPr>
          <w:trHeight w:val="260"/>
        </w:trPr>
        <w:tc>
          <w:tcPr>
            <w:tcW w:w="400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40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14,833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18,837</w:t>
            </w:r>
          </w:p>
        </w:tc>
      </w:tr>
      <w:tr>
        <w:trPr>
          <w:trHeight w:val="28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4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w:t>
            </w:r>
          </w:p>
        </w:tc>
      </w:tr>
      <w:tr>
        <w:trPr>
          <w:trHeight w:val="260"/>
        </w:trPr>
        <w:tc>
          <w:tcPr>
            <w:tcW w:w="400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40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16,905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15,274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32,179</w:t>
            </w:r>
          </w:p>
        </w:tc>
      </w:tr>
      <w:tr>
        <w:trPr>
          <w:trHeight w:val="27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4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5,501</w:t>
            </w:r>
          </w:p>
        </w:tc>
      </w:tr>
      <w:tr>
        <w:trPr>
          <w:trHeight w:val="240"/>
        </w:trPr>
        <w:tc>
          <w:tcPr>
            <w:tcW w:w="4000" w:type="dxa"/>
            <w:vAlign w:val="bottom"/>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69,525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30,107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5,501</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105,133</w:t>
            </w: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2014</w:t>
      </w:r>
      <w:r>
        <w:rPr>
          <w:rFonts w:ascii="Arial" w:cs="Arial" w:eastAsia="Arial" w:hAnsi="Arial"/>
          <w:sz w:val="18"/>
          <w:szCs w:val="18"/>
          <w:color w:val="231F20"/>
        </w:rPr>
        <w:t xml:space="preserve"> and 2013, derivative financial instruments, consisting of foreign currency forward contracts, were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contracts were entered into on the last day of the respective reporting periods. These instruments were valued using Level 2 inputs.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3"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696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6"/>
        </w:trPr>
        <w:tc>
          <w:tcPr>
            <w:tcW w:w="798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2013</w:t>
            </w:r>
          </w:p>
        </w:tc>
      </w:tr>
      <w:tr>
        <w:trPr>
          <w:trHeight w:val="247"/>
        </w:trPr>
        <w:tc>
          <w:tcPr>
            <w:tcW w:w="10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21"/>
                <w:szCs w:val="21"/>
                <w:color w:val="auto"/>
              </w:rPr>
            </w:pP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35,576</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27,464</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10,899</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9,277</w:t>
            </w:r>
          </w:p>
        </w:tc>
      </w:tr>
      <w:tr>
        <w:trPr>
          <w:trHeight w:val="280"/>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2,931</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2,031</w:t>
            </w:r>
          </w:p>
        </w:tc>
      </w:tr>
      <w:tr>
        <w:trPr>
          <w:trHeight w:val="260"/>
        </w:trPr>
        <w:tc>
          <w:tcPr>
            <w:tcW w:w="7980" w:type="dxa"/>
            <w:vAlign w:val="bottom"/>
            <w:gridSpan w:val="2"/>
          </w:tcPr>
          <w:p>
            <w:pPr>
              <w:ind w:left="40"/>
              <w:spacing w:after="0"/>
              <w:rPr>
                <w:sz w:val="20"/>
                <w:szCs w:val="20"/>
                <w:color w:val="auto"/>
              </w:rPr>
            </w:pPr>
            <w:r>
              <w:rPr>
                <w:rFonts w:ascii="Arial" w:cs="Arial" w:eastAsia="Arial" w:hAnsi="Arial"/>
                <w:sz w:val="16"/>
                <w:szCs w:val="16"/>
                <w:color w:val="auto"/>
              </w:rPr>
              <w:t>Scanner appliances</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19,861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17,055</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2,622</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2,100</w:t>
            </w:r>
          </w:p>
        </w:tc>
      </w:tr>
      <w:tr>
        <w:trPr>
          <w:trHeight w:val="247"/>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Total property and equipment</w:t>
            </w: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71,889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57,927</w:t>
            </w:r>
          </w:p>
        </w:tc>
      </w:tr>
      <w:tr>
        <w:trPr>
          <w:trHeight w:val="273"/>
        </w:trPr>
        <w:tc>
          <w:tcPr>
            <w:tcW w:w="7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(45,271)</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(34,852)</w:t>
            </w:r>
          </w:p>
        </w:tc>
      </w:tr>
      <w:tr>
        <w:trPr>
          <w:trHeight w:val="240"/>
        </w:trPr>
        <w:tc>
          <w:tcPr>
            <w:tcW w:w="7980" w:type="dxa"/>
            <w:vAlign w:val="bottom"/>
            <w:gridSpan w:val="2"/>
          </w:tcPr>
          <w:p>
            <w:pPr>
              <w:ind w:left="280"/>
              <w:spacing w:after="0"/>
              <w:rPr>
                <w:sz w:val="20"/>
                <w:szCs w:val="20"/>
                <w:color w:val="auto"/>
              </w:rPr>
            </w:pPr>
            <w:r>
              <w:rPr>
                <w:rFonts w:ascii="Arial" w:cs="Arial" w:eastAsia="Arial" w:hAnsi="Arial"/>
                <w:sz w:val="16"/>
                <w:szCs w:val="16"/>
                <w:color w:val="auto"/>
              </w:rPr>
              <w:t>Property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26,618</w:t>
            </w:r>
          </w:p>
        </w:tc>
        <w:tc>
          <w:tcPr>
            <w:tcW w:w="120" w:type="dxa"/>
            <w:vAlign w:val="bottom"/>
          </w:tcPr>
          <w:p>
            <w:pPr>
              <w:spacing w:after="0"/>
              <w:rPr>
                <w:sz w:val="20"/>
                <w:szCs w:val="20"/>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23,075</w:t>
            </w:r>
          </w:p>
        </w:tc>
      </w:tr>
      <w:tr>
        <w:trPr>
          <w:trHeight w:val="20"/>
        </w:trPr>
        <w:tc>
          <w:tcPr>
            <w:tcW w:w="10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40" w:firstLine="405"/>
        <w:spacing w:after="0" w:line="262" w:lineRule="auto"/>
        <w:rPr>
          <w:sz w:val="20"/>
          <w:szCs w:val="20"/>
          <w:color w:val="auto"/>
        </w:rPr>
      </w:pPr>
      <w:r>
        <w:rPr>
          <w:rFonts w:ascii="Arial" w:cs="Arial" w:eastAsia="Arial" w:hAnsi="Arial"/>
          <w:sz w:val="18"/>
          <w:szCs w:val="18"/>
          <w:color w:val="231F20"/>
        </w:rPr>
        <w:t xml:space="preserve">There were no assets under capital lease at December 31, 2014. Assets held under capital lease at December 31, 2013 included in computer software totaled approximately </w:t>
      </w:r>
      <w:r>
        <w:rPr>
          <w:rFonts w:ascii="Arial" w:cs="Arial" w:eastAsia="Arial" w:hAnsi="Arial"/>
          <w:sz w:val="18"/>
          <w:szCs w:val="18"/>
          <w:color w:val="000000"/>
        </w:rPr>
        <w:t>$3.1 million</w:t>
      </w:r>
      <w:r>
        <w:rPr>
          <w:rFonts w:ascii="Arial" w:cs="Arial" w:eastAsia="Arial" w:hAnsi="Arial"/>
          <w:sz w:val="18"/>
          <w:szCs w:val="18"/>
          <w:color w:val="231F20"/>
        </w:rPr>
        <w:t>, and the related accumulated depreciation totaled $1.2 million.</w:t>
      </w:r>
    </w:p>
    <w:p>
      <w:pPr>
        <w:spacing w:after="0" w:line="196"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231F20"/>
        </w:rPr>
        <w:t xml:space="preserve">Physical scanner appliances and other computer equipment that are or will be subject to subscriptions by customers have a net carrying value of </w:t>
      </w:r>
      <w:r>
        <w:rPr>
          <w:rFonts w:ascii="Arial" w:cs="Arial" w:eastAsia="Arial" w:hAnsi="Arial"/>
          <w:sz w:val="17"/>
          <w:szCs w:val="17"/>
          <w:color w:val="000000"/>
        </w:rPr>
        <w:t>$6.0 million</w:t>
      </w:r>
      <w:r>
        <w:rPr>
          <w:rFonts w:ascii="Arial" w:cs="Arial" w:eastAsia="Arial" w:hAnsi="Arial"/>
          <w:sz w:val="17"/>
          <w:szCs w:val="17"/>
          <w:color w:val="231F20"/>
        </w:rPr>
        <w:t xml:space="preserve"> and </w:t>
      </w:r>
      <w:r>
        <w:rPr>
          <w:rFonts w:ascii="Arial" w:cs="Arial" w:eastAsia="Arial" w:hAnsi="Arial"/>
          <w:sz w:val="17"/>
          <w:szCs w:val="17"/>
          <w:color w:val="000000"/>
        </w:rPr>
        <w:t>$4.7 million</w:t>
      </w:r>
      <w:r>
        <w:rPr>
          <w:rFonts w:ascii="Arial" w:cs="Arial" w:eastAsia="Arial" w:hAnsi="Arial"/>
          <w:sz w:val="17"/>
          <w:szCs w:val="17"/>
          <w:color w:val="231F20"/>
        </w:rPr>
        <w:t xml:space="preserve"> at </w:t>
      </w:r>
      <w:r>
        <w:rPr>
          <w:rFonts w:ascii="Arial" w:cs="Arial" w:eastAsia="Arial" w:hAnsi="Arial"/>
          <w:sz w:val="17"/>
          <w:szCs w:val="17"/>
          <w:color w:val="000000"/>
        </w:rPr>
        <w:t>December 31, 2014</w:t>
      </w:r>
      <w:r>
        <w:rPr>
          <w:rFonts w:ascii="Arial" w:cs="Arial" w:eastAsia="Arial" w:hAnsi="Arial"/>
          <w:sz w:val="17"/>
          <w:szCs w:val="17"/>
          <w:color w:val="231F20"/>
        </w:rPr>
        <w:t xml:space="preserve"> and 2013, respectively, including assets that have not been placed in service of </w:t>
      </w:r>
      <w:r>
        <w:rPr>
          <w:rFonts w:ascii="Arial" w:cs="Arial" w:eastAsia="Arial" w:hAnsi="Arial"/>
          <w:sz w:val="17"/>
          <w:szCs w:val="17"/>
          <w:color w:val="000000"/>
        </w:rPr>
        <w:t xml:space="preserve">$1.4 million </w:t>
      </w:r>
      <w:r>
        <w:rPr>
          <w:rFonts w:ascii="Arial" w:cs="Arial" w:eastAsia="Arial" w:hAnsi="Arial"/>
          <w:sz w:val="17"/>
          <w:szCs w:val="17"/>
          <w:color w:val="231F20"/>
        </w:rPr>
        <w:t>and</w:t>
      </w:r>
      <w:r>
        <w:rPr>
          <w:rFonts w:ascii="Arial" w:cs="Arial" w:eastAsia="Arial" w:hAnsi="Arial"/>
          <w:sz w:val="17"/>
          <w:szCs w:val="17"/>
          <w:color w:val="000000"/>
        </w:rPr>
        <w:t xml:space="preserve"> $0.6 million</w:t>
      </w:r>
      <w:r>
        <w:rPr>
          <w:rFonts w:ascii="Arial" w:cs="Arial" w:eastAsia="Arial" w:hAnsi="Arial"/>
          <w:sz w:val="17"/>
          <w:szCs w:val="17"/>
          <w:color w:val="231F20"/>
        </w:rPr>
        <w:t>, respectively. Other fixed assets not placed in service at</w:t>
      </w:r>
      <w:r>
        <w:rPr>
          <w:rFonts w:ascii="Arial" w:cs="Arial" w:eastAsia="Arial" w:hAnsi="Arial"/>
          <w:sz w:val="17"/>
          <w:szCs w:val="17"/>
          <w:color w:val="000000"/>
        </w:rPr>
        <w:t xml:space="preserve"> December 31, 2014 </w:t>
      </w:r>
      <w:r>
        <w:rPr>
          <w:rFonts w:ascii="Arial" w:cs="Arial" w:eastAsia="Arial" w:hAnsi="Arial"/>
          <w:sz w:val="17"/>
          <w:szCs w:val="17"/>
          <w:color w:val="231F20"/>
        </w:rPr>
        <w:t>and 2013, included in computer</w:t>
      </w:r>
      <w:r>
        <w:rPr>
          <w:rFonts w:ascii="Arial" w:cs="Arial" w:eastAsia="Arial" w:hAnsi="Arial"/>
          <w:sz w:val="17"/>
          <w:szCs w:val="17"/>
          <w:color w:val="000000"/>
        </w:rPr>
        <w:t xml:space="preserve"> </w:t>
      </w:r>
      <w:r>
        <w:rPr>
          <w:rFonts w:ascii="Arial" w:cs="Arial" w:eastAsia="Arial" w:hAnsi="Arial"/>
          <w:sz w:val="17"/>
          <w:szCs w:val="17"/>
          <w:color w:val="231F20"/>
        </w:rPr>
        <w:t xml:space="preserve">equipment and leasehold improvements, were $2.8 million and </w:t>
      </w:r>
      <w:r>
        <w:rPr>
          <w:rFonts w:ascii="Arial" w:cs="Arial" w:eastAsia="Arial" w:hAnsi="Arial"/>
          <w:sz w:val="17"/>
          <w:szCs w:val="17"/>
          <w:color w:val="000000"/>
        </w:rPr>
        <w:t>$ 1.6 million,</w:t>
      </w:r>
      <w:r>
        <w:rPr>
          <w:rFonts w:ascii="Arial" w:cs="Arial" w:eastAsia="Arial" w:hAnsi="Arial"/>
          <w:sz w:val="17"/>
          <w:szCs w:val="17"/>
          <w:color w:val="231F20"/>
        </w:rPr>
        <w:t xml:space="preserve"> respectively. </w:t>
      </w:r>
      <w:r>
        <w:rPr>
          <w:rFonts w:ascii="Arial" w:cs="Arial" w:eastAsia="Arial" w:hAnsi="Arial"/>
          <w:sz w:val="17"/>
          <w:szCs w:val="17"/>
          <w:color w:val="000000"/>
        </w:rPr>
        <w:t>Depreciation</w:t>
      </w:r>
      <w:r>
        <w:rPr>
          <w:rFonts w:ascii="Arial" w:cs="Arial" w:eastAsia="Arial" w:hAnsi="Arial"/>
          <w:sz w:val="17"/>
          <w:szCs w:val="17"/>
          <w:color w:val="231F20"/>
        </w:rPr>
        <w:t xml:space="preserve"> and amortization expense relating to property and equipment, including capitalized leases, was </w:t>
      </w:r>
      <w:r>
        <w:rPr>
          <w:rFonts w:ascii="Arial" w:cs="Arial" w:eastAsia="Arial" w:hAnsi="Arial"/>
          <w:sz w:val="17"/>
          <w:szCs w:val="17"/>
          <w:color w:val="000000"/>
        </w:rPr>
        <w:t>$11.5 million, $9.2 million</w:t>
      </w:r>
      <w:r>
        <w:rPr>
          <w:rFonts w:ascii="Arial" w:cs="Arial" w:eastAsia="Arial" w:hAnsi="Arial"/>
          <w:sz w:val="17"/>
          <w:szCs w:val="17"/>
          <w:color w:val="231F20"/>
        </w:rPr>
        <w:t xml:space="preserve"> and </w:t>
      </w:r>
      <w:r>
        <w:rPr>
          <w:rFonts w:ascii="Arial" w:cs="Arial" w:eastAsia="Arial" w:hAnsi="Arial"/>
          <w:sz w:val="17"/>
          <w:szCs w:val="17"/>
          <w:color w:val="000000"/>
        </w:rPr>
        <w:t>$6.9 million</w:t>
      </w:r>
      <w:r>
        <w:rPr>
          <w:rFonts w:ascii="Arial" w:cs="Arial" w:eastAsia="Arial" w:hAnsi="Arial"/>
          <w:sz w:val="17"/>
          <w:szCs w:val="17"/>
          <w:color w:val="231F20"/>
        </w:rPr>
        <w:t xml:space="preserve"> for </w:t>
      </w:r>
      <w:r>
        <w:rPr>
          <w:rFonts w:ascii="Arial" w:cs="Arial" w:eastAsia="Arial" w:hAnsi="Arial"/>
          <w:sz w:val="17"/>
          <w:szCs w:val="17"/>
          <w:color w:val="000000"/>
        </w:rPr>
        <w:t>2014,</w:t>
      </w:r>
      <w:r>
        <w:rPr>
          <w:rFonts w:ascii="Arial" w:cs="Arial" w:eastAsia="Arial" w:hAnsi="Arial"/>
          <w:sz w:val="17"/>
          <w:szCs w:val="17"/>
          <w:color w:val="231F20"/>
        </w:rPr>
        <w:t xml:space="preserve"> </w:t>
      </w:r>
      <w:r>
        <w:rPr>
          <w:rFonts w:ascii="Arial" w:cs="Arial" w:eastAsia="Arial" w:hAnsi="Arial"/>
          <w:sz w:val="17"/>
          <w:szCs w:val="17"/>
          <w:color w:val="000000"/>
        </w:rPr>
        <w:t>2013</w:t>
      </w:r>
      <w:r>
        <w:rPr>
          <w:rFonts w:ascii="Arial" w:cs="Arial" w:eastAsia="Arial" w:hAnsi="Arial"/>
          <w:sz w:val="17"/>
          <w:szCs w:val="17"/>
          <w:color w:val="231F20"/>
        </w:rPr>
        <w:t xml:space="preserve"> and </w:t>
      </w:r>
      <w:r>
        <w:rPr>
          <w:rFonts w:ascii="Arial" w:cs="Arial" w:eastAsia="Arial" w:hAnsi="Arial"/>
          <w:sz w:val="17"/>
          <w:szCs w:val="17"/>
          <w:color w:val="000000"/>
        </w:rPr>
        <w:t>2012</w:t>
      </w:r>
      <w:r>
        <w:rPr>
          <w:rFonts w:ascii="Arial" w:cs="Arial" w:eastAsia="Arial" w:hAnsi="Arial"/>
          <w:sz w:val="17"/>
          <w:szCs w:val="17"/>
          <w:color w:val="231F20"/>
        </w:rPr>
        <w:t>, respectively.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333"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Combination</w:t>
      </w:r>
    </w:p>
    <w:p>
      <w:pPr>
        <w:spacing w:after="0" w:line="261"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 xml:space="preserve">On August 31, 2010, the Company acquired Nemean Networks, LLC (“Nemean”), a company developing network security solutions for detection and awareness of external intrusions to computer networks. The Company acquired Nemean to provide additional solutions on its cloud platform. The consideration for this acquisition consisted of </w:t>
      </w:r>
      <w:r>
        <w:rPr>
          <w:rFonts w:ascii="Arial" w:cs="Arial" w:eastAsia="Arial" w:hAnsi="Arial"/>
          <w:sz w:val="18"/>
          <w:szCs w:val="18"/>
          <w:color w:val="000000"/>
        </w:rPr>
        <w:t>$3.7 million</w:t>
      </w:r>
      <w:r>
        <w:rPr>
          <w:rFonts w:ascii="Arial" w:cs="Arial" w:eastAsia="Arial" w:hAnsi="Arial"/>
          <w:sz w:val="18"/>
          <w:szCs w:val="18"/>
          <w:color w:val="231F20"/>
        </w:rPr>
        <w:t xml:space="preserve"> in cash and common stock, including a non-contingent payment of </w:t>
      </w:r>
      <w:r>
        <w:rPr>
          <w:rFonts w:ascii="Arial" w:cs="Arial" w:eastAsia="Arial" w:hAnsi="Arial"/>
          <w:sz w:val="18"/>
          <w:szCs w:val="18"/>
          <w:color w:val="000000"/>
        </w:rPr>
        <w:t>$1.0 million</w:t>
      </w:r>
      <w:r>
        <w:rPr>
          <w:rFonts w:ascii="Arial" w:cs="Arial" w:eastAsia="Arial" w:hAnsi="Arial"/>
          <w:sz w:val="18"/>
          <w:szCs w:val="18"/>
          <w:color w:val="231F20"/>
        </w:rPr>
        <w:t xml:space="preserve"> in cash and </w:t>
      </w:r>
      <w:r>
        <w:rPr>
          <w:rFonts w:ascii="Arial" w:cs="Arial" w:eastAsia="Arial" w:hAnsi="Arial"/>
          <w:sz w:val="18"/>
          <w:szCs w:val="18"/>
          <w:color w:val="000000"/>
        </w:rPr>
        <w:t>6,250</w:t>
      </w:r>
      <w:r>
        <w:rPr>
          <w:rFonts w:ascii="Arial" w:cs="Arial" w:eastAsia="Arial" w:hAnsi="Arial"/>
          <w:sz w:val="18"/>
          <w:szCs w:val="18"/>
          <w:color w:val="231F20"/>
        </w:rPr>
        <w:t xml:space="preserve"> shares of common stock, both of which occurred in September 2012. The Company accounted for this transaction as a business combination.</w:t>
      </w:r>
    </w:p>
    <w:p>
      <w:pPr>
        <w:spacing w:after="0" w:line="34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Goodwill and Intangible Assets, Net</w:t>
      </w:r>
    </w:p>
    <w:p>
      <w:pPr>
        <w:spacing w:after="0" w:line="261" w:lineRule="exact"/>
        <w:rPr>
          <w:sz w:val="20"/>
          <w:szCs w:val="20"/>
          <w:color w:val="auto"/>
        </w:rPr>
      </w:pPr>
    </w:p>
    <w:p>
      <w:pPr>
        <w:ind w:right="940" w:firstLine="405"/>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75"/>
        </w:trPr>
        <w:tc>
          <w:tcPr>
            <w:tcW w:w="334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820" w:type="dxa"/>
            <w:vAlign w:val="bottom"/>
          </w:tcPr>
          <w:p>
            <w:pPr>
              <w:jc w:val="right"/>
              <w:ind w:right="82"/>
              <w:spacing w:after="0"/>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Net Book</w:t>
            </w:r>
          </w:p>
        </w:tc>
      </w:tr>
      <w:tr>
        <w:trPr>
          <w:trHeight w:val="196"/>
        </w:trPr>
        <w:tc>
          <w:tcPr>
            <w:tcW w:w="33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Lives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Value</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 years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1,001</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Patent license</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 years</w:t>
            </w:r>
          </w:p>
        </w:tc>
        <w:tc>
          <w:tcPr>
            <w:tcW w:w="22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1,388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1,065</w:t>
            </w:r>
          </w:p>
        </w:tc>
      </w:tr>
      <w:tr>
        <w:trPr>
          <w:trHeight w:val="27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Non-competition agreements and other</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 years</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80"/>
        </w:trPr>
        <w:tc>
          <w:tcPr>
            <w:tcW w:w="3340" w:type="dxa"/>
            <w:vAlign w:val="bottom"/>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1,706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2,099</w:t>
            </w:r>
          </w:p>
        </w:tc>
      </w:tr>
      <w:tr>
        <w:trPr>
          <w:trHeight w:val="22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spacing w:after="0"/>
              <w:rPr>
                <w:sz w:val="19"/>
                <w:szCs w:val="19"/>
                <w:color w:val="auto"/>
              </w:rPr>
            </w:pPr>
          </w:p>
        </w:tc>
        <w:tc>
          <w:tcPr>
            <w:tcW w:w="82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auto"/>
            </w:tcBorders>
            <w:shd w:val="clear" w:color="auto" w:fill="CCEEFF"/>
          </w:tcPr>
          <w:p>
            <w:pPr>
              <w:spacing w:after="0"/>
              <w:rPr>
                <w:sz w:val="19"/>
                <w:szCs w:val="19"/>
                <w:color w:val="auto"/>
              </w:rPr>
            </w:pPr>
          </w:p>
        </w:tc>
        <w:tc>
          <w:tcPr>
            <w:tcW w:w="680" w:type="dxa"/>
            <w:vAlign w:val="bottom"/>
            <w:tcBorders>
              <w:top w:val="single" w:sz="8" w:color="CCEEFF"/>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295</w:t>
            </w:r>
          </w:p>
        </w:tc>
      </w:tr>
      <w:tr>
        <w:trPr>
          <w:trHeight w:val="240"/>
        </w:trPr>
        <w:tc>
          <w:tcPr>
            <w:tcW w:w="3340" w:type="dxa"/>
            <w:vAlign w:val="bottom"/>
          </w:tcPr>
          <w:p>
            <w:pPr>
              <w:ind w:left="280"/>
              <w:spacing w:after="0"/>
              <w:rPr>
                <w:sz w:val="20"/>
                <w:szCs w:val="20"/>
                <w:color w:val="auto"/>
              </w:rPr>
            </w:pPr>
            <w:r>
              <w:rPr>
                <w:rFonts w:ascii="Arial" w:cs="Arial" w:eastAsia="Arial" w:hAnsi="Arial"/>
                <w:sz w:val="16"/>
                <w:szCs w:val="16"/>
                <w:color w:val="auto"/>
              </w:rPr>
              <w:t>Total intangible assets,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2,394</w:t>
            </w: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rPr>
              <w:t xml:space="preserve">Intangibles amortization expense for each of </w:t>
            </w:r>
            <w:r>
              <w:rPr>
                <w:rFonts w:ascii="Arial" w:cs="Arial" w:eastAsia="Arial" w:hAnsi="Arial"/>
                <w:sz w:val="18"/>
                <w:szCs w:val="18"/>
                <w:color w:val="000000"/>
              </w:rPr>
              <w:t>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was </w:t>
            </w:r>
            <w:r>
              <w:rPr>
                <w:rFonts w:ascii="Arial" w:cs="Arial" w:eastAsia="Arial" w:hAnsi="Arial"/>
                <w:sz w:val="18"/>
                <w:szCs w:val="18"/>
                <w:color w:val="000000"/>
              </w:rPr>
              <w:t>$0.4 million.</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w w:val="99"/>
              </w:rPr>
              <w:t xml:space="preserve">As of </w:t>
            </w:r>
            <w:r>
              <w:rPr>
                <w:rFonts w:ascii="Arial" w:cs="Arial" w:eastAsia="Arial" w:hAnsi="Arial"/>
                <w:sz w:val="18"/>
                <w:szCs w:val="18"/>
                <w:color w:val="000000"/>
                <w:w w:val="99"/>
              </w:rPr>
              <w:t>December 31, 2014</w:t>
            </w:r>
            <w:r>
              <w:rPr>
                <w:rFonts w:ascii="Arial" w:cs="Arial" w:eastAsia="Arial" w:hAnsi="Arial"/>
                <w:sz w:val="18"/>
                <w:szCs w:val="18"/>
                <w:color w:val="231F20"/>
                <w:w w:val="99"/>
              </w:rPr>
              <w:t>, the Company expects amortization expense in future periods to be as follows (in thousands):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9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4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2016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373</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r>
      <w:tr>
        <w:trPr>
          <w:trHeight w:val="233"/>
        </w:trPr>
        <w:tc>
          <w:tcPr>
            <w:tcW w:w="9920" w:type="dxa"/>
            <w:vAlign w:val="bottom"/>
          </w:tcPr>
          <w:p>
            <w:pPr>
              <w:ind w:left="40"/>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253"/>
        </w:trPr>
        <w:tc>
          <w:tcPr>
            <w:tcW w:w="9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7"/>
        </w:trPr>
        <w:tc>
          <w:tcPr>
            <w:tcW w:w="9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2020 and thereafter</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465</w:t>
            </w:r>
          </w:p>
        </w:tc>
      </w:tr>
      <w:tr>
        <w:trPr>
          <w:trHeight w:val="240"/>
        </w:trPr>
        <w:tc>
          <w:tcPr>
            <w:tcW w:w="9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w:t>
      </w:r>
      <w:r>
        <w:rPr>
          <w:rFonts w:ascii="Arial" w:cs="Arial" w:eastAsia="Arial" w:hAnsi="Arial"/>
          <w:sz w:val="18"/>
          <w:szCs w:val="18"/>
          <w:color w:val="000000"/>
        </w:rPr>
        <w:t>2013</w:t>
      </w:r>
      <w:r>
        <w:rPr>
          <w:rFonts w:ascii="Arial" w:cs="Arial" w:eastAsia="Arial" w:hAnsi="Arial"/>
          <w:sz w:val="18"/>
          <w:szCs w:val="18"/>
          <w:color w:val="231F20"/>
        </w:rPr>
        <w: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33" w:right="2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2019.</w:t>
      </w:r>
    </w:p>
    <w:p>
      <w:pPr>
        <w:spacing w:after="0" w:line="196"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 million</w:t>
      </w:r>
      <w:r>
        <w:rPr>
          <w:rFonts w:ascii="Arial" w:cs="Arial" w:eastAsia="Arial" w:hAnsi="Arial"/>
          <w:sz w:val="18"/>
          <w:szCs w:val="18"/>
          <w:color w:val="231F20"/>
        </w:rPr>
        <w:t xml:space="preserve"> financing arrangement for computer software, accounted for as a capital lease, with minimum quarterly payments scheduled through 2014. The capital lease obligation had an interest rate of 1.8% and was secured by the related computer equipment software. In connection with this transaction, the Company also had minimum obligations for related maintenance and support. Minimum obligations were </w:t>
      </w:r>
      <w:r>
        <w:rPr>
          <w:rFonts w:ascii="Arial" w:cs="Arial" w:eastAsia="Arial" w:hAnsi="Arial"/>
          <w:sz w:val="18"/>
          <w:szCs w:val="18"/>
          <w:color w:val="000000"/>
        </w:rPr>
        <w:t>$0.3 million at</w:t>
      </w:r>
      <w:r>
        <w:rPr>
          <w:rFonts w:ascii="Arial" w:cs="Arial" w:eastAsia="Arial" w:hAnsi="Arial"/>
          <w:sz w:val="18"/>
          <w:szCs w:val="18"/>
          <w:color w:val="231F20"/>
        </w:rPr>
        <w:t xml:space="preserve"> December 31, 2013 and were recorded in current liabilities in the accompanying consolidated balance sheet. There were no remaining capital lease obligations as of December 31, 2014.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40" w:type="dxa"/>
            <w:vAlign w:val="bottom"/>
          </w:tcPr>
          <w:p>
            <w:pPr>
              <w:jc w:val="right"/>
              <w:ind w:right="278"/>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December 31, 2014</w:t>
            </w:r>
            <w:r>
              <w:rPr>
                <w:rFonts w:ascii="Arial" w:cs="Arial" w:eastAsia="Arial" w:hAnsi="Arial"/>
                <w:sz w:val="18"/>
                <w:szCs w:val="18"/>
                <w:color w:val="231F20"/>
              </w:rPr>
              <w: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99"/>
        </w:trPr>
        <w:tc>
          <w:tcPr>
            <w:tcW w:w="9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Operating Leases</w:t>
            </w:r>
          </w:p>
        </w:tc>
      </w:tr>
      <w:tr>
        <w:trPr>
          <w:trHeight w:val="247"/>
        </w:trPr>
        <w:tc>
          <w:tcPr>
            <w:tcW w:w="9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9240" w:type="dxa"/>
            <w:vAlign w:val="bottom"/>
            <w:shd w:val="clear" w:color="auto" w:fill="CCEEFF"/>
          </w:tcPr>
          <w:p>
            <w:pPr>
              <w:jc w:val="right"/>
              <w:ind w:right="8758"/>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4,409</w:t>
            </w:r>
          </w:p>
        </w:tc>
      </w:tr>
      <w:tr>
        <w:trPr>
          <w:trHeight w:val="260"/>
        </w:trPr>
        <w:tc>
          <w:tcPr>
            <w:tcW w:w="9240" w:type="dxa"/>
            <w:vAlign w:val="bottom"/>
          </w:tcPr>
          <w:p>
            <w:pPr>
              <w:jc w:val="right"/>
              <w:ind w:right="8758"/>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3,046</w:t>
            </w:r>
          </w:p>
        </w:tc>
      </w:tr>
      <w:tr>
        <w:trPr>
          <w:trHeight w:val="280"/>
        </w:trPr>
        <w:tc>
          <w:tcPr>
            <w:tcW w:w="9240" w:type="dxa"/>
            <w:vAlign w:val="bottom"/>
            <w:shd w:val="clear" w:color="auto" w:fill="CCEEFF"/>
          </w:tcPr>
          <w:p>
            <w:pPr>
              <w:jc w:val="right"/>
              <w:ind w:right="8758"/>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r>
      <w:tr>
        <w:trPr>
          <w:trHeight w:val="260"/>
        </w:trPr>
        <w:tc>
          <w:tcPr>
            <w:tcW w:w="9240" w:type="dxa"/>
            <w:vAlign w:val="bottom"/>
          </w:tcPr>
          <w:p>
            <w:pPr>
              <w:jc w:val="right"/>
              <w:ind w:right="8758"/>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439</w:t>
            </w:r>
          </w:p>
        </w:tc>
      </w:tr>
      <w:tr>
        <w:trPr>
          <w:trHeight w:val="273"/>
        </w:trPr>
        <w:tc>
          <w:tcPr>
            <w:tcW w:w="9240" w:type="dxa"/>
            <w:vAlign w:val="bottom"/>
            <w:shd w:val="clear" w:color="auto" w:fill="CCEEFF"/>
          </w:tcPr>
          <w:p>
            <w:pPr>
              <w:jc w:val="right"/>
              <w:ind w:right="8758"/>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40"/>
        </w:trPr>
        <w:tc>
          <w:tcPr>
            <w:tcW w:w="9240" w:type="dxa"/>
            <w:vAlign w:val="bottom"/>
          </w:tcPr>
          <w:p>
            <w:pPr>
              <w:jc w:val="right"/>
              <w:ind w:right="6738"/>
              <w:spacing w:after="0"/>
              <w:rPr>
                <w:sz w:val="20"/>
                <w:szCs w:val="20"/>
                <w:color w:val="auto"/>
              </w:rPr>
            </w:pPr>
            <w:r>
              <w:rPr>
                <w:rFonts w:ascii="Arial" w:cs="Arial" w:eastAsia="Arial" w:hAnsi="Arial"/>
                <w:sz w:val="16"/>
                <w:szCs w:val="16"/>
                <w:color w:val="auto"/>
              </w:rPr>
              <w:t>Total minimum lease payments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9,950</w:t>
            </w: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$6.2 million,</w:t>
      </w:r>
      <w:r>
        <w:rPr>
          <w:rFonts w:ascii="Arial" w:cs="Arial" w:eastAsia="Arial" w:hAnsi="Arial"/>
          <w:sz w:val="18"/>
          <w:szCs w:val="18"/>
          <w:color w:val="231F20"/>
        </w:rPr>
        <w:t xml:space="preserve"> </w:t>
      </w:r>
      <w:r>
        <w:rPr>
          <w:rFonts w:ascii="Arial" w:cs="Arial" w:eastAsia="Arial" w:hAnsi="Arial"/>
          <w:sz w:val="18"/>
          <w:szCs w:val="18"/>
          <w:color w:val="000000"/>
        </w:rPr>
        <w:t>$5.4 million and $ 4.3 million for 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xml:space="preserve">, respectively. Although certain of the operating lease agreements provide for escalating rent payments over the terms of the leases, rent expense under these agreements is recognized on a straight-line basis. As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2013, the Company has accrued </w:t>
      </w:r>
      <w:r>
        <w:rPr>
          <w:rFonts w:ascii="Arial" w:cs="Arial" w:eastAsia="Arial" w:hAnsi="Arial"/>
          <w:sz w:val="18"/>
          <w:szCs w:val="18"/>
          <w:color w:val="000000"/>
        </w:rPr>
        <w:t>$0.5 million</w:t>
      </w:r>
      <w:r>
        <w:rPr>
          <w:rFonts w:ascii="Arial" w:cs="Arial" w:eastAsia="Arial" w:hAnsi="Arial"/>
          <w:sz w:val="18"/>
          <w:szCs w:val="18"/>
          <w:color w:val="231F20"/>
        </w:rPr>
        <w:t xml:space="preserve"> and </w:t>
      </w:r>
      <w:r>
        <w:rPr>
          <w:rFonts w:ascii="Arial" w:cs="Arial" w:eastAsia="Arial" w:hAnsi="Arial"/>
          <w:sz w:val="18"/>
          <w:szCs w:val="18"/>
          <w:color w:val="000000"/>
        </w:rPr>
        <w:t>$ 0.6 million</w:t>
      </w:r>
      <w:r>
        <w:rPr>
          <w:rFonts w:ascii="Arial" w:cs="Arial" w:eastAsia="Arial" w:hAnsi="Arial"/>
          <w:sz w:val="18"/>
          <w:szCs w:val="18"/>
          <w:color w:val="231F20"/>
        </w:rPr>
        <w:t>, respectively, of deferred rent related to these agreements, which is reflected in accrued liabilities and other noncurrent liabilities in the accompanying consolidated balance sheets.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39"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to the respective government authorities. For those jurisdictions where the Company has not yet billed sales tax to its customers and believes it is probable it may have exposure and can reasonably estimate such exposure, it has recorded a liability of </w:t>
      </w:r>
      <w:r>
        <w:rPr>
          <w:rFonts w:ascii="Arial" w:cs="Arial" w:eastAsia="Arial" w:hAnsi="Arial"/>
          <w:sz w:val="18"/>
          <w:szCs w:val="18"/>
          <w:color w:val="000000"/>
        </w:rPr>
        <w:t>$0.5 million</w:t>
      </w:r>
      <w:r>
        <w:rPr>
          <w:rFonts w:ascii="Arial" w:cs="Arial" w:eastAsia="Arial" w:hAnsi="Arial"/>
          <w:sz w:val="18"/>
          <w:szCs w:val="18"/>
          <w:color w:val="231F20"/>
        </w:rPr>
        <w:t xml:space="preserve"> at each of </w:t>
      </w:r>
      <w:r>
        <w:rPr>
          <w:rFonts w:ascii="Arial" w:cs="Arial" w:eastAsia="Arial" w:hAnsi="Arial"/>
          <w:sz w:val="18"/>
          <w:szCs w:val="18"/>
          <w:color w:val="000000"/>
        </w:rPr>
        <w:t>December 31, 2014</w:t>
      </w:r>
      <w:r>
        <w:rPr>
          <w:rFonts w:ascii="Arial" w:cs="Arial" w:eastAsia="Arial" w:hAnsi="Arial"/>
          <w:sz w:val="18"/>
          <w:szCs w:val="18"/>
          <w:color w:val="231F20"/>
        </w:rPr>
        <w:t xml:space="preserve"> and 2013, which is recorded within accrued liabilities in the consolidated balance sheets. However, taxing jurisdictions have differing rules and regulations, which are subject to varying interpretations that may change over time. Other than the liability that the Company has accrued in its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 xml:space="preserve">December 31, 2014 </w:t>
      </w:r>
      <w:r>
        <w:rPr>
          <w:rFonts w:ascii="Arial" w:cs="Arial" w:eastAsia="Arial" w:hAnsi="Arial"/>
          <w:sz w:val="18"/>
          <w:szCs w:val="18"/>
          <w:color w:val="231F20"/>
        </w:rPr>
        <w:t>of which the outcome is expected to result in sales and other taxes due in excess of accrued liabilities. Management does</w:t>
      </w:r>
      <w:r>
        <w:rPr>
          <w:rFonts w:ascii="Arial" w:cs="Arial" w:eastAsia="Arial" w:hAnsi="Arial"/>
          <w:sz w:val="18"/>
          <w:szCs w:val="18"/>
          <w:color w:val="000000"/>
        </w:rPr>
        <w:t xml:space="preserve"> </w:t>
      </w:r>
      <w:r>
        <w:rPr>
          <w:rFonts w:ascii="Arial" w:cs="Arial" w:eastAsia="Arial" w:hAnsi="Arial"/>
          <w:sz w:val="18"/>
          <w:szCs w:val="18"/>
          <w:color w:val="231F20"/>
        </w:rPr>
        <w:t>not anticipate that its sales tax exposure, if any, would have a material adverse effect on the financial position, results of operations or cash flows of the Company.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3" w:right="239" w:bottom="1440" w:gutter="0" w:footer="0" w:header="0"/>
        </w:sectPr>
      </w:pPr>
    </w:p>
    <w:bookmarkStart w:id="79" w:name="page80"/>
    <w:bookmarkEnd w:id="79"/>
    <w:p>
      <w:pPr>
        <w:jc w:val="center"/>
        <w:ind w:right="-17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2" w:lineRule="auto"/>
        <w:rPr>
          <w:sz w:val="20"/>
          <w:szCs w:val="20"/>
          <w:color w:val="auto"/>
        </w:rPr>
      </w:pPr>
      <w:r>
        <w:rPr>
          <w:rFonts w:ascii="Arial" w:cs="Arial" w:eastAsia="Arial" w:hAnsi="Arial"/>
          <w:sz w:val="18"/>
          <w:szCs w:val="18"/>
          <w:color w:val="231F20"/>
        </w:rPr>
        <w:t>property rights, as well as potential damages caused by limited product defects. To date, the Company has not incurred and has not recorded any liability in connection with such indemnifications.</w:t>
      </w:r>
    </w:p>
    <w:p>
      <w:pPr>
        <w:spacing w:after="0" w:line="196"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39" w:lineRule="exact"/>
        <w:rPr>
          <w:sz w:val="20"/>
          <w:szCs w:val="20"/>
          <w:color w:val="auto"/>
        </w:rPr>
      </w:pPr>
    </w:p>
    <w:p>
      <w:pPr>
        <w:jc w:val="both"/>
        <w:ind w:right="320" w:firstLine="405"/>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December 31, 2014</w:t>
      </w:r>
      <w:r>
        <w:rPr>
          <w:rFonts w:ascii="Arial" w:cs="Arial" w:eastAsia="Arial" w:hAnsi="Arial"/>
          <w:sz w:val="18"/>
          <w:szCs w:val="18"/>
          <w:color w:val="231F20"/>
        </w:rPr>
        <w:t>, the Company has not recorded any material liabilities in accordance with accounting for contingencies.</w:t>
      </w:r>
    </w:p>
    <w:p>
      <w:pPr>
        <w:spacing w:after="0" w:line="200" w:lineRule="exact"/>
        <w:rPr>
          <w:sz w:val="20"/>
          <w:szCs w:val="20"/>
          <w:color w:val="auto"/>
        </w:rPr>
      </w:pP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333" w:right="4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NOTE 7.</w:t>
            </w:r>
          </w:p>
        </w:tc>
        <w:tc>
          <w:tcPr>
            <w:tcW w:w="854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w:t>
            </w:r>
          </w:p>
        </w:tc>
        <w:tc>
          <w:tcPr>
            <w:tcW w:w="1800" w:type="dxa"/>
            <w:vAlign w:val="bottom"/>
          </w:tcPr>
          <w:p>
            <w:pPr>
              <w:spacing w:after="0"/>
              <w:rPr>
                <w:sz w:val="20"/>
                <w:szCs w:val="20"/>
                <w:color w:val="auto"/>
              </w:rPr>
            </w:pPr>
          </w:p>
        </w:tc>
      </w:tr>
      <w:tr>
        <w:trPr>
          <w:trHeight w:val="446"/>
        </w:trPr>
        <w:tc>
          <w:tcPr>
            <w:tcW w:w="9560" w:type="dxa"/>
            <w:vAlign w:val="bottom"/>
            <w:gridSpan w:val="3"/>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800" w:type="dxa"/>
            <w:vAlign w:val="bottom"/>
          </w:tcPr>
          <w:p>
            <w:pPr>
              <w:spacing w:after="0"/>
              <w:rPr>
                <w:sz w:val="24"/>
                <w:szCs w:val="24"/>
                <w:color w:val="auto"/>
              </w:rPr>
            </w:pPr>
          </w:p>
        </w:tc>
      </w:tr>
      <w:tr>
        <w:trPr>
          <w:trHeight w:val="432"/>
        </w:trPr>
        <w:tc>
          <w:tcPr>
            <w:tcW w:w="9560" w:type="dxa"/>
            <w:vAlign w:val="bottom"/>
            <w:gridSpan w:val="3"/>
          </w:tcPr>
          <w:p>
            <w:pPr>
              <w:ind w:left="420"/>
              <w:spacing w:after="0"/>
              <w:rPr>
                <w:sz w:val="20"/>
                <w:szCs w:val="20"/>
                <w:color w:val="auto"/>
              </w:rPr>
            </w:pPr>
            <w:r>
              <w:rPr>
                <w:rFonts w:ascii="Arial" w:cs="Arial" w:eastAsia="Arial" w:hAnsi="Arial"/>
                <w:sz w:val="18"/>
                <w:szCs w:val="18"/>
                <w:color w:val="231F20"/>
              </w:rPr>
              <w:t xml:space="preserve">The Company had reserved shares of common stock for future issuance as of </w:t>
            </w:r>
            <w:r>
              <w:rPr>
                <w:rFonts w:ascii="Arial" w:cs="Arial" w:eastAsia="Arial" w:hAnsi="Arial"/>
                <w:sz w:val="18"/>
                <w:szCs w:val="18"/>
                <w:color w:val="000000"/>
              </w:rPr>
              <w:t>December 31, 2014</w:t>
            </w:r>
            <w:r>
              <w:rPr>
                <w:rFonts w:ascii="Arial" w:cs="Arial" w:eastAsia="Arial" w:hAnsi="Arial"/>
                <w:sz w:val="18"/>
                <w:szCs w:val="18"/>
                <w:color w:val="231F20"/>
              </w:rPr>
              <w:t>:</w:t>
            </w:r>
          </w:p>
        </w:tc>
        <w:tc>
          <w:tcPr>
            <w:tcW w:w="1800" w:type="dxa"/>
            <w:vAlign w:val="bottom"/>
          </w:tcPr>
          <w:p>
            <w:pPr>
              <w:spacing w:after="0"/>
              <w:rPr>
                <w:sz w:val="24"/>
                <w:szCs w:val="24"/>
                <w:color w:val="auto"/>
              </w:rPr>
            </w:pPr>
          </w:p>
        </w:tc>
      </w:tr>
      <w:tr>
        <w:trPr>
          <w:trHeight w:val="611"/>
        </w:trPr>
        <w:tc>
          <w:tcPr>
            <w:tcW w:w="9560" w:type="dxa"/>
            <w:vAlign w:val="bottom"/>
            <w:gridSpan w:val="3"/>
          </w:tcPr>
          <w:p>
            <w:pPr>
              <w:ind w:left="40"/>
              <w:spacing w:after="0"/>
              <w:rPr>
                <w:sz w:val="20"/>
                <w:szCs w:val="20"/>
                <w:color w:val="auto"/>
              </w:rPr>
            </w:pPr>
            <w:r>
              <w:rPr>
                <w:rFonts w:ascii="Arial" w:cs="Arial" w:eastAsia="Arial" w:hAnsi="Arial"/>
                <w:sz w:val="16"/>
                <w:szCs w:val="16"/>
                <w:color w:val="auto"/>
              </w:rPr>
              <w:t>Options outstanding under equity incentive plans</w:t>
            </w:r>
          </w:p>
        </w:tc>
        <w:tc>
          <w:tcPr>
            <w:tcW w:w="1800" w:type="dxa"/>
            <w:vAlign w:val="bottom"/>
          </w:tcPr>
          <w:p>
            <w:pPr>
              <w:spacing w:after="0"/>
              <w:rPr>
                <w:sz w:val="24"/>
                <w:szCs w:val="24"/>
                <w:color w:val="auto"/>
              </w:rPr>
            </w:pP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2000</w:t>
            </w:r>
          </w:p>
        </w:tc>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3,970,662</w:t>
            </w:r>
          </w:p>
        </w:tc>
      </w:tr>
      <w:tr>
        <w:trPr>
          <w:trHeight w:val="270"/>
        </w:trPr>
        <w:tc>
          <w:tcPr>
            <w:tcW w:w="660" w:type="dxa"/>
            <w:vAlign w:val="bottom"/>
          </w:tcPr>
          <w:p>
            <w:pPr>
              <w:ind w:left="280"/>
              <w:spacing w:after="0"/>
              <w:rPr>
                <w:sz w:val="20"/>
                <w:szCs w:val="20"/>
                <w:color w:val="auto"/>
              </w:rPr>
            </w:pPr>
            <w:r>
              <w:rPr>
                <w:rFonts w:ascii="Arial" w:cs="Arial" w:eastAsia="Arial" w:hAnsi="Arial"/>
                <w:sz w:val="16"/>
                <w:szCs w:val="16"/>
                <w:color w:val="auto"/>
              </w:rPr>
              <w:t>2012</w:t>
            </w:r>
          </w:p>
        </w:tc>
        <w:tc>
          <w:tcPr>
            <w:tcW w:w="8900" w:type="dxa"/>
            <w:vAlign w:val="bottom"/>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3,634,745</w:t>
            </w:r>
          </w:p>
        </w:tc>
      </w:tr>
      <w:tr>
        <w:trPr>
          <w:trHeight w:val="270"/>
        </w:trPr>
        <w:tc>
          <w:tcPr>
            <w:tcW w:w="95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an equity incentive plan</w:t>
            </w:r>
          </w:p>
        </w:tc>
        <w:tc>
          <w:tcPr>
            <w:tcW w:w="1800" w:type="dxa"/>
            <w:vAlign w:val="bottom"/>
            <w:shd w:val="clear" w:color="auto" w:fill="CCEEFF"/>
          </w:tcPr>
          <w:p>
            <w:pPr>
              <w:spacing w:after="0"/>
              <w:rPr>
                <w:sz w:val="23"/>
                <w:szCs w:val="23"/>
                <w:color w:val="auto"/>
              </w:rPr>
            </w:pPr>
          </w:p>
        </w:tc>
      </w:tr>
      <w:tr>
        <w:trPr>
          <w:trHeight w:val="270"/>
        </w:trPr>
        <w:tc>
          <w:tcPr>
            <w:tcW w:w="6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2012</w:t>
            </w:r>
          </w:p>
        </w:tc>
        <w:tc>
          <w:tcPr>
            <w:tcW w:w="89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803,630</w:t>
            </w:r>
          </w:p>
        </w:tc>
      </w:tr>
      <w:tr>
        <w:trPr>
          <w:trHeight w:val="234"/>
        </w:trPr>
        <w:tc>
          <w:tcPr>
            <w:tcW w:w="9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8,409,037</w:t>
            </w: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1"/>
          <w:szCs w:val="11"/>
          <w:color w:val="231F20"/>
        </w:rPr>
      </w:pPr>
      <w:r>
        <w:rPr>
          <w:rFonts w:ascii="Arial" w:cs="Arial" w:eastAsia="Arial" w:hAnsi="Arial"/>
          <w:sz w:val="14"/>
          <w:szCs w:val="14"/>
          <w:color w:val="231F20"/>
        </w:rPr>
        <w:t>See Note 8 for a description of these plans.</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ind w:right="420" w:firstLine="405"/>
        <w:spacing w:after="0" w:line="274" w:lineRule="auto"/>
        <w:rPr>
          <w:sz w:val="20"/>
          <w:szCs w:val="20"/>
          <w:color w:val="auto"/>
        </w:rPr>
      </w:pPr>
      <w:r>
        <w:rPr>
          <w:rFonts w:ascii="Arial" w:cs="Arial" w:eastAsia="Arial" w:hAnsi="Arial"/>
          <w:sz w:val="17"/>
          <w:szCs w:val="17"/>
          <w:color w:val="231F20"/>
        </w:rPr>
        <w:t xml:space="preserve">Effective October 3, 2012, the Company is authorized to issue </w:t>
      </w:r>
      <w:r>
        <w:rPr>
          <w:rFonts w:ascii="Arial" w:cs="Arial" w:eastAsia="Arial" w:hAnsi="Arial"/>
          <w:sz w:val="17"/>
          <w:szCs w:val="17"/>
          <w:color w:val="000000"/>
        </w:rPr>
        <w:t>20,000,000</w:t>
      </w:r>
      <w:r>
        <w:rPr>
          <w:rFonts w:ascii="Arial" w:cs="Arial" w:eastAsia="Arial" w:hAnsi="Arial"/>
          <w:sz w:val="17"/>
          <w:szCs w:val="17"/>
          <w:color w:val="231F20"/>
        </w:rPr>
        <w:t xml:space="preserve"> shares of undesignated preferred stock with a par value of </w:t>
      </w:r>
      <w:r>
        <w:rPr>
          <w:rFonts w:ascii="Arial" w:cs="Arial" w:eastAsia="Arial" w:hAnsi="Arial"/>
          <w:sz w:val="17"/>
          <w:szCs w:val="17"/>
          <w:color w:val="000000"/>
        </w:rPr>
        <w:t xml:space="preserve">$0.001 </w:t>
      </w:r>
      <w:r>
        <w:rPr>
          <w:rFonts w:ascii="Arial" w:cs="Arial" w:eastAsia="Arial" w:hAnsi="Arial"/>
          <w:sz w:val="17"/>
          <w:szCs w:val="17"/>
          <w:color w:val="231F20"/>
        </w:rPr>
        <w:t>per share. Each series of preferred stock will have such</w:t>
      </w:r>
      <w:r>
        <w:rPr>
          <w:rFonts w:ascii="Arial" w:cs="Arial" w:eastAsia="Arial" w:hAnsi="Arial"/>
          <w:sz w:val="17"/>
          <w:szCs w:val="17"/>
          <w:color w:val="000000"/>
        </w:rPr>
        <w:t xml:space="preserve"> rights and preferences including dividend rights, dividend rate, conversion rights, voting rights, rights and terms of redemption (including sinking fund provisions), redemption price, and liquidation preferences as determined by the Board. </w:t>
      </w:r>
      <w:r>
        <w:rPr>
          <w:rFonts w:ascii="Arial" w:cs="Arial" w:eastAsia="Arial" w:hAnsi="Arial"/>
          <w:sz w:val="17"/>
          <w:szCs w:val="17"/>
          <w:color w:val="231F20"/>
        </w:rPr>
        <w:t>As of</w:t>
      </w:r>
      <w:r>
        <w:rPr>
          <w:rFonts w:ascii="Arial" w:cs="Arial" w:eastAsia="Arial" w:hAnsi="Arial"/>
          <w:sz w:val="17"/>
          <w:szCs w:val="17"/>
          <w:color w:val="000000"/>
        </w:rPr>
        <w:t xml:space="preserve"> December 31, 2014 </w:t>
      </w:r>
      <w:r>
        <w:rPr>
          <w:rFonts w:ascii="Arial" w:cs="Arial" w:eastAsia="Arial" w:hAnsi="Arial"/>
          <w:sz w:val="17"/>
          <w:szCs w:val="17"/>
          <w:color w:val="231F20"/>
        </w:rPr>
        <w:t>and 2013, there are no issued or outstanding shares of preferred stock.</w:t>
      </w:r>
    </w:p>
    <w:p>
      <w:pPr>
        <w:spacing w:after="0" w:line="32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Employee Stock and Benefit Plans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60" w:firstLine="405"/>
        <w:spacing w:after="0" w:line="250" w:lineRule="auto"/>
        <w:rPr>
          <w:sz w:val="20"/>
          <w:szCs w:val="20"/>
          <w:color w:val="auto"/>
        </w:rPr>
      </w:pPr>
      <w:r>
        <w:rPr>
          <w:rFonts w:ascii="Arial" w:cs="Arial" w:eastAsia="Arial" w:hAnsi="Arial"/>
          <w:sz w:val="18"/>
          <w:szCs w:val="18"/>
          <w:color w:val="231F20"/>
        </w:rPr>
        <w:t>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4,668,764 shares of common stock as of December 31, 2014. The number of shares of common stock available for issuance under the 2012 Plan includes an annual increase on January 1 of each year by an amount equal to the least of</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3,050,000 </w:t>
      </w:r>
      <w:r>
        <w:rPr>
          <w:rFonts w:ascii="Arial" w:cs="Arial" w:eastAsia="Arial" w:hAnsi="Arial"/>
          <w:sz w:val="18"/>
          <w:szCs w:val="18"/>
          <w:color w:val="231F20"/>
        </w:rPr>
        <w:t>shares;</w:t>
      </w:r>
      <w:r>
        <w:rPr>
          <w:rFonts w:ascii="Arial" w:cs="Arial" w:eastAsia="Arial" w:hAnsi="Arial"/>
          <w:sz w:val="18"/>
          <w:szCs w:val="18"/>
          <w:color w:val="auto"/>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auto"/>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w:t>
      </w:r>
      <w:r>
        <w:rPr>
          <w:rFonts w:ascii="Arial" w:cs="Arial" w:eastAsia="Arial" w:hAnsi="Arial"/>
          <w:sz w:val="18"/>
          <w:szCs w:val="18"/>
          <w:color w:val="000000"/>
        </w:rPr>
        <w:t>Options, SARs, RSAs, RSUs, performance</w:t>
      </w:r>
      <w:r>
        <w:rPr>
          <w:rFonts w:ascii="Arial" w:cs="Arial" w:eastAsia="Arial" w:hAnsi="Arial"/>
          <w:sz w:val="18"/>
          <w:szCs w:val="18"/>
          <w:color w:val="231F20"/>
        </w:rPr>
        <w:t xml:space="preserve"> </w:t>
      </w:r>
      <w:r>
        <w:rPr>
          <w:rFonts w:ascii="Arial" w:cs="Arial" w:eastAsia="Arial" w:hAnsi="Arial"/>
          <w:sz w:val="18"/>
          <w:szCs w:val="18"/>
          <w:color w:val="000000"/>
        </w:rPr>
        <w:t xml:space="preserve">units and 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000000"/>
        </w:rPr>
        <w:t xml:space="preserve"> December 31, 2014</w:t>
      </w:r>
      <w:r>
        <w:rPr>
          <w:rFonts w:ascii="Arial" w:cs="Arial" w:eastAsia="Arial" w:hAnsi="Arial"/>
          <w:sz w:val="18"/>
          <w:szCs w:val="18"/>
          <w:color w:val="231F20"/>
        </w:rPr>
        <w:t>, 803,630</w:t>
      </w:r>
      <w:r>
        <w:rPr>
          <w:rFonts w:ascii="Arial" w:cs="Arial" w:eastAsia="Arial" w:hAnsi="Arial"/>
          <w:sz w:val="18"/>
          <w:szCs w:val="18"/>
          <w:color w:val="00000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333"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The amounts paid for shares purchased under an early exercise of stock options and subject to repurchase by the Company are not reported as a component of </w:t>
      </w:r>
      <w:r>
        <w:rPr>
          <w:rFonts w:ascii="Arial" w:cs="Arial" w:eastAsia="Arial" w:hAnsi="Arial"/>
          <w:sz w:val="18"/>
          <w:szCs w:val="18"/>
          <w:color w:val="000000"/>
        </w:rPr>
        <w:t>stockholders</w:t>
      </w:r>
      <w:r>
        <w:rPr>
          <w:rFonts w:ascii="Arial" w:cs="Arial" w:eastAsia="Arial" w:hAnsi="Arial"/>
          <w:sz w:val="18"/>
          <w:szCs w:val="18"/>
          <w:color w:val="231F20"/>
        </w:rPr>
        <w:t>’ equity (deficit) until those shares vest. The amounts received in exchange for these shares are recorded as an accrued liability in the accompanying consolidated balance sheets and will be reclassified to common stock and additional paid-in capital as the shares vest.</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Employee Stock-based Compensation</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employee compensation is included in the consolidated statements of operations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47"/>
        </w:trPr>
        <w:tc>
          <w:tcPr>
            <w:tcW w:w="7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649</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w:t>
            </w: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196" w:lineRule="exact"/>
        <w:rPr>
          <w:sz w:val="20"/>
          <w:szCs w:val="20"/>
          <w:color w:val="auto"/>
        </w:rPr>
      </w:pPr>
    </w:p>
    <w:p>
      <w:pPr>
        <w:ind w:right="580"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2014</w:t>
      </w:r>
      <w:r>
        <w:rPr>
          <w:rFonts w:ascii="Arial" w:cs="Arial" w:eastAsia="Arial" w:hAnsi="Arial"/>
          <w:sz w:val="18"/>
          <w:szCs w:val="18"/>
          <w:color w:val="231F20"/>
        </w:rPr>
        <w:t>, the Company had $27.1 million of total unrecognized employee compensation cost related to nonvested awards that it expects to recognize over a weighted-average period of 2 years.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333"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 option-pricing model based on the following assumptions: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w w:val="99"/>
              </w:rPr>
              <w:t>Year Ended December 31,</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64"/>
        </w:trPr>
        <w:tc>
          <w:tcPr>
            <w:tcW w:w="7080" w:type="dxa"/>
            <w:vAlign w:val="bottom"/>
          </w:tcPr>
          <w:p>
            <w:pPr>
              <w:spacing w:after="0"/>
              <w:rPr>
                <w:sz w:val="22"/>
                <w:szCs w:val="22"/>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to</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to</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6.1</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780" w:type="dxa"/>
            <w:vAlign w:val="bottom"/>
          </w:tcPr>
          <w:p>
            <w:pPr>
              <w:jc w:val="right"/>
              <w:spacing w:after="0"/>
              <w:rPr>
                <w:sz w:val="20"/>
                <w:szCs w:val="20"/>
                <w:color w:val="auto"/>
              </w:rPr>
            </w:pPr>
            <w:r>
              <w:rPr>
                <w:rFonts w:ascii="Arial" w:cs="Arial" w:eastAsia="Arial" w:hAnsi="Arial"/>
                <w:sz w:val="16"/>
                <w:szCs w:val="16"/>
                <w:color w:val="auto"/>
              </w:rPr>
              <w:t>48% to</w:t>
            </w:r>
          </w:p>
        </w:tc>
        <w:tc>
          <w:tcPr>
            <w:tcW w:w="380" w:type="dxa"/>
            <w:vAlign w:val="bottom"/>
          </w:tcPr>
          <w:p>
            <w:pPr>
              <w:ind w:left="20"/>
              <w:spacing w:after="0"/>
              <w:rPr>
                <w:sz w:val="20"/>
                <w:szCs w:val="20"/>
                <w:color w:val="auto"/>
              </w:rPr>
            </w:pPr>
            <w:r>
              <w:rPr>
                <w:rFonts w:ascii="Arial" w:cs="Arial" w:eastAsia="Arial" w:hAnsi="Arial"/>
                <w:sz w:val="16"/>
                <w:szCs w:val="16"/>
                <w:color w:val="auto"/>
              </w:rPr>
              <w:t>52%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 to</w:t>
            </w:r>
          </w:p>
        </w:tc>
        <w:tc>
          <w:tcPr>
            <w:tcW w:w="580" w:type="dxa"/>
            <w:vAlign w:val="bottom"/>
          </w:tcPr>
          <w:p>
            <w:pPr>
              <w:ind w:lef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 to</w:t>
            </w:r>
          </w:p>
        </w:tc>
        <w:tc>
          <w:tcPr>
            <w:tcW w:w="600" w:type="dxa"/>
            <w:vAlign w:val="bottom"/>
          </w:tcPr>
          <w:p>
            <w:pPr>
              <w:ind w:left="20"/>
              <w:spacing w:after="0"/>
              <w:rPr>
                <w:sz w:val="20"/>
                <w:szCs w:val="20"/>
                <w:color w:val="auto"/>
              </w:rPr>
            </w:pPr>
            <w:r>
              <w:rPr>
                <w:rFonts w:ascii="Arial" w:cs="Arial" w:eastAsia="Arial" w:hAnsi="Arial"/>
                <w:sz w:val="16"/>
                <w:szCs w:val="16"/>
                <w:color w:val="auto"/>
              </w:rPr>
              <w:t>53%</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to</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1.7%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to</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0.6% to</w:t>
            </w:r>
          </w:p>
        </w:tc>
        <w:tc>
          <w:tcPr>
            <w:tcW w:w="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0.9%</w:t>
            </w:r>
          </w:p>
        </w:tc>
      </w:tr>
      <w:tr>
        <w:trPr>
          <w:trHeight w:val="251"/>
        </w:trPr>
        <w:tc>
          <w:tcPr>
            <w:tcW w:w="70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center"/>
              <w:ind w:left="499"/>
              <w:spacing w:after="0"/>
              <w:rPr>
                <w:sz w:val="20"/>
                <w:szCs w:val="20"/>
                <w:color w:val="auto"/>
              </w:rPr>
            </w:pPr>
            <w:r>
              <w:rPr>
                <w:rFonts w:ascii="Arial" w:cs="Arial" w:eastAsia="Arial" w:hAnsi="Arial"/>
                <w:sz w:val="16"/>
                <w:szCs w:val="16"/>
                <w:color w:val="auto"/>
                <w:w w:val="99"/>
              </w:rPr>
              <w:t>—</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center"/>
              <w:ind w:left="33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21"/>
                <w:szCs w:val="21"/>
                <w:color w:val="auto"/>
              </w:rPr>
            </w:pPr>
          </w:p>
        </w:tc>
      </w:tr>
    </w:tbl>
    <w:p>
      <w:pPr>
        <w:spacing w:after="0" w:line="2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$0.7 million, $0.9 million</w:t>
      </w:r>
      <w:r>
        <w:rPr>
          <w:rFonts w:ascii="Arial" w:cs="Arial" w:eastAsia="Arial" w:hAnsi="Arial"/>
          <w:sz w:val="18"/>
          <w:szCs w:val="18"/>
          <w:color w:val="231F20"/>
        </w:rPr>
        <w:t xml:space="preserve"> and </w:t>
      </w:r>
      <w:r>
        <w:rPr>
          <w:rFonts w:ascii="Arial" w:cs="Arial" w:eastAsia="Arial" w:hAnsi="Arial"/>
          <w:sz w:val="18"/>
          <w:szCs w:val="18"/>
          <w:color w:val="000000"/>
        </w:rPr>
        <w:t>$0.5 million</w:t>
      </w:r>
      <w:r>
        <w:rPr>
          <w:rFonts w:ascii="Arial" w:cs="Arial" w:eastAsia="Arial" w:hAnsi="Arial"/>
          <w:sz w:val="18"/>
          <w:szCs w:val="18"/>
          <w:color w:val="231F20"/>
        </w:rPr>
        <w:t xml:space="preserve"> for </w:t>
      </w:r>
      <w:r>
        <w:rPr>
          <w:rFonts w:ascii="Arial" w:cs="Arial" w:eastAsia="Arial" w:hAnsi="Arial"/>
          <w:sz w:val="18"/>
          <w:szCs w:val="18"/>
          <w:color w:val="000000"/>
        </w:rPr>
        <w:t>2014</w:t>
      </w:r>
      <w:r>
        <w:rPr>
          <w:rFonts w:ascii="Arial" w:cs="Arial" w:eastAsia="Arial" w:hAnsi="Arial"/>
          <w:sz w:val="18"/>
          <w:szCs w:val="18"/>
          <w:color w:val="231F20"/>
        </w:rPr>
        <w:t xml:space="preserve">, </w:t>
      </w:r>
      <w:r>
        <w:rPr>
          <w:rFonts w:ascii="Arial" w:cs="Arial" w:eastAsia="Arial" w:hAnsi="Arial"/>
          <w:sz w:val="18"/>
          <w:szCs w:val="18"/>
          <w:color w:val="000000"/>
        </w:rPr>
        <w:t>2013</w:t>
      </w:r>
      <w:r>
        <w:rPr>
          <w:rFonts w:ascii="Arial" w:cs="Arial" w:eastAsia="Arial" w:hAnsi="Arial"/>
          <w:sz w:val="18"/>
          <w:szCs w:val="18"/>
          <w:color w:val="231F20"/>
        </w:rPr>
        <w:t xml:space="preserve"> and </w:t>
      </w:r>
      <w:r>
        <w:rPr>
          <w:rFonts w:ascii="Arial" w:cs="Arial" w:eastAsia="Arial" w:hAnsi="Arial"/>
          <w:sz w:val="18"/>
          <w:szCs w:val="18"/>
          <w:color w:val="000000"/>
        </w:rPr>
        <w:t>2012</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 Option Plan Activity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540" w:type="dxa"/>
            <w:vAlign w:val="bottom"/>
          </w:tcPr>
          <w:p>
            <w:pPr>
              <w:spacing w:after="0"/>
              <w:rPr>
                <w:sz w:val="16"/>
                <w:szCs w:val="16"/>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5540" w:type="dxa"/>
            <w:vAlign w:val="bottom"/>
          </w:tcPr>
          <w:p>
            <w:pPr>
              <w:spacing w:after="0"/>
              <w:rPr>
                <w:sz w:val="19"/>
                <w:szCs w:val="19"/>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Life (Years)</w:t>
            </w:r>
          </w:p>
        </w:tc>
        <w:tc>
          <w:tcPr>
            <w:tcW w:w="180" w:type="dxa"/>
            <w:vAlign w:val="bottom"/>
          </w:tcPr>
          <w:p>
            <w:pPr>
              <w:spacing w:after="0"/>
              <w:rPr>
                <w:sz w:val="19"/>
                <w:szCs w:val="19"/>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4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2011</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6,312,041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w:t>
            </w: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1,478,781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6,513,508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67,711</w:t>
            </w: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2,001,400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(952,871)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(522,944)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7,039,093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112,312</w:t>
            </w: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2,744,150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(1,216,710)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4"/>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16.91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r>
      <w:tr>
        <w:trPr>
          <w:trHeight w:val="24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2014</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7,605,407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188,743</w:t>
            </w:r>
          </w:p>
        </w:tc>
      </w:tr>
      <w:tr>
        <w:trPr>
          <w:trHeight w:val="20"/>
        </w:trPr>
        <w:tc>
          <w:tcPr>
            <w:tcW w:w="5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7"/>
        </w:trPr>
        <w:tc>
          <w:tcPr>
            <w:tcW w:w="5540" w:type="dxa"/>
            <w:vAlign w:val="bottom"/>
          </w:tcPr>
          <w:p>
            <w:pPr>
              <w:ind w:left="40"/>
              <w:spacing w:after="0"/>
              <w:rPr>
                <w:sz w:val="20"/>
                <w:szCs w:val="20"/>
                <w:color w:val="auto"/>
              </w:rPr>
            </w:pPr>
            <w:r>
              <w:rPr>
                <w:rFonts w:ascii="Arial" w:cs="Arial" w:eastAsia="Arial" w:hAnsi="Arial"/>
                <w:sz w:val="16"/>
                <w:szCs w:val="16"/>
                <w:color w:val="auto"/>
              </w:rPr>
              <w:t>Vested and expected to vest—December 31, 2014</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6,931,052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179,352</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Exercisable—December 31, 2014</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4,598,180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146,714</w:t>
            </w: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333" w:right="25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Vested</w:t>
            </w:r>
          </w:p>
        </w:tc>
        <w:tc>
          <w:tcPr>
            <w:tcW w:w="1200" w:type="dxa"/>
            <w:vAlign w:val="bottom"/>
            <w:tcBorders>
              <w:bottom w:val="single" w:sz="8" w:color="auto"/>
            </w:tcBorders>
          </w:tcPr>
          <w:p>
            <w:pPr>
              <w:spacing w:after="0"/>
              <w:rPr>
                <w:sz w:val="17"/>
                <w:szCs w:val="17"/>
                <w:color w:val="auto"/>
              </w:rPr>
            </w:pPr>
          </w:p>
        </w:tc>
      </w:tr>
      <w:tr>
        <w:trPr>
          <w:trHeight w:val="197"/>
        </w:trPr>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rPr>
              <w:t>Average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200" w:type="dxa"/>
            <w:vAlign w:val="bottom"/>
          </w:tcPr>
          <w:p>
            <w:pPr>
              <w:jc w:val="center"/>
              <w:ind w:left="199"/>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4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Price Per</w:t>
            </w:r>
          </w:p>
        </w:tc>
        <w:tc>
          <w:tcPr>
            <w:tcW w:w="1200" w:type="dxa"/>
            <w:vAlign w:val="bottom"/>
          </w:tcPr>
          <w:p>
            <w:pPr>
              <w:jc w:val="center"/>
              <w:ind w:left="179"/>
              <w:spacing w:after="0"/>
              <w:rPr>
                <w:sz w:val="20"/>
                <w:szCs w:val="20"/>
                <w:color w:val="auto"/>
              </w:rPr>
            </w:pPr>
            <w:r>
              <w:rPr>
                <w:rFonts w:ascii="Arial" w:cs="Arial" w:eastAsia="Arial" w:hAnsi="Arial"/>
                <w:sz w:val="16"/>
                <w:szCs w:val="16"/>
                <w:b w:val="1"/>
                <w:bCs w:val="1"/>
                <w:color w:val="auto"/>
              </w:rPr>
              <w:t>Contractual</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4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Life (Years)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$1.00 - $1.50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238,559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238,559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r>
      <w:tr>
        <w:trPr>
          <w:trHeight w:val="260"/>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$1.90 - $1.90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941,482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941,482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1.90</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$2.10</w:t>
            </w: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$2.80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461,758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461,758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$3.80</w:t>
            </w:r>
          </w:p>
        </w:tc>
        <w:tc>
          <w:tcPr>
            <w:tcW w:w="2960" w:type="dxa"/>
            <w:vAlign w:val="bottom"/>
          </w:tcPr>
          <w:p>
            <w:pPr>
              <w:ind w:left="20"/>
              <w:spacing w:after="0"/>
              <w:rPr>
                <w:sz w:val="20"/>
                <w:szCs w:val="20"/>
                <w:color w:val="auto"/>
              </w:rPr>
            </w:pPr>
            <w:r>
              <w:rPr>
                <w:rFonts w:ascii="Arial" w:cs="Arial" w:eastAsia="Arial" w:hAnsi="Arial"/>
                <w:sz w:val="16"/>
                <w:szCs w:val="16"/>
                <w:color w:val="auto"/>
              </w:rPr>
              <w:t>- $3.80</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1,148,568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1,126,625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3.80</w:t>
            </w:r>
          </w:p>
        </w:tc>
      </w:tr>
      <w:tr>
        <w:trPr>
          <w:trHeight w:val="280"/>
        </w:trPr>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$4.10</w:t>
            </w:r>
          </w:p>
        </w:tc>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$8.40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924,121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826,292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w:t>
            </w:r>
          </w:p>
        </w:tc>
      </w:tr>
      <w:tr>
        <w:trPr>
          <w:trHeight w:val="260"/>
        </w:trPr>
        <w:tc>
          <w:tcPr>
            <w:tcW w:w="460" w:type="dxa"/>
            <w:vAlign w:val="bottom"/>
          </w:tcPr>
          <w:p>
            <w:pPr>
              <w:ind w:left="40"/>
              <w:spacing w:after="0"/>
              <w:rPr>
                <w:sz w:val="20"/>
                <w:szCs w:val="20"/>
                <w:color w:val="auto"/>
              </w:rPr>
            </w:pPr>
            <w:r>
              <w:rPr>
                <w:rFonts w:ascii="Arial" w:cs="Arial" w:eastAsia="Arial" w:hAnsi="Arial"/>
                <w:sz w:val="16"/>
                <w:szCs w:val="16"/>
                <w:color w:val="auto"/>
                <w:w w:val="99"/>
              </w:rPr>
              <w:t>$8.90</w:t>
            </w:r>
          </w:p>
        </w:tc>
        <w:tc>
          <w:tcPr>
            <w:tcW w:w="2960" w:type="dxa"/>
            <w:vAlign w:val="bottom"/>
          </w:tcPr>
          <w:p>
            <w:pPr>
              <w:ind w:left="20"/>
              <w:spacing w:after="0"/>
              <w:rPr>
                <w:sz w:val="20"/>
                <w:szCs w:val="20"/>
                <w:color w:val="auto"/>
              </w:rPr>
            </w:pPr>
            <w:r>
              <w:rPr>
                <w:rFonts w:ascii="Arial" w:cs="Arial" w:eastAsia="Arial" w:hAnsi="Arial"/>
                <w:sz w:val="16"/>
                <w:szCs w:val="16"/>
                <w:color w:val="auto"/>
              </w:rPr>
              <w:t>- $12.68</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846,930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7.9</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392,645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10.93</w:t>
            </w:r>
          </w:p>
        </w:tc>
      </w:tr>
      <w:tr>
        <w:trPr>
          <w:trHeight w:val="28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$13.50 - $20.80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962,889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250,599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17.03</w:t>
            </w:r>
          </w:p>
        </w:tc>
      </w:tr>
      <w:tr>
        <w:trPr>
          <w:trHeight w:val="260"/>
        </w:trPr>
        <w:tc>
          <w:tcPr>
            <w:tcW w:w="3420" w:type="dxa"/>
            <w:vAlign w:val="bottom"/>
            <w:gridSpan w:val="2"/>
          </w:tcPr>
          <w:p>
            <w:pPr>
              <w:ind w:left="40"/>
              <w:spacing w:after="0"/>
              <w:rPr>
                <w:sz w:val="20"/>
                <w:szCs w:val="20"/>
                <w:color w:val="auto"/>
              </w:rPr>
            </w:pPr>
            <w:r>
              <w:rPr>
                <w:rFonts w:ascii="Arial" w:cs="Arial" w:eastAsia="Arial" w:hAnsi="Arial"/>
                <w:sz w:val="16"/>
                <w:szCs w:val="16"/>
                <w:color w:val="auto"/>
              </w:rPr>
              <w:t>$22.31 - $23.51</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383,050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8"/>
              </w:rPr>
              <w:t>9.6</w:t>
            </w:r>
          </w:p>
        </w:tc>
        <w:tc>
          <w:tcPr>
            <w:tcW w:w="1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45,009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22.55</w:t>
            </w:r>
          </w:p>
        </w:tc>
      </w:tr>
      <w:tr>
        <w:trPr>
          <w:trHeight w:val="28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$26.86 - $26.86</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701,350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9.0</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26.86</w:t>
            </w:r>
          </w:p>
        </w:tc>
      </w:tr>
      <w:tr>
        <w:trPr>
          <w:trHeight w:val="264"/>
        </w:trPr>
        <w:tc>
          <w:tcPr>
            <w:tcW w:w="3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$30.58 - $30.58</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996,700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30.58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8"/>
              </w:rPr>
              <w:t>9.4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66,927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30.58</w:t>
            </w:r>
          </w:p>
        </w:tc>
      </w:tr>
      <w:tr>
        <w:trPr>
          <w:trHeight w:val="240"/>
        </w:trPr>
        <w:tc>
          <w:tcPr>
            <w:tcW w:w="46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7,605,407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4,379,624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r>
      <w:tr>
        <w:trPr>
          <w:trHeight w:val="20"/>
        </w:trPr>
        <w:tc>
          <w:tcPr>
            <w:tcW w:w="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weighted-average grant date fair value of the Company’s stock options granted during 2014</w:t>
      </w:r>
      <w:r>
        <w:rPr>
          <w:rFonts w:ascii="Arial" w:cs="Arial" w:eastAsia="Arial" w:hAnsi="Arial"/>
          <w:sz w:val="18"/>
          <w:szCs w:val="18"/>
          <w:color w:val="231F20"/>
        </w:rPr>
        <w:t>, 2013 and</w:t>
      </w:r>
      <w:r>
        <w:rPr>
          <w:rFonts w:ascii="Arial" w:cs="Arial" w:eastAsia="Arial" w:hAnsi="Arial"/>
          <w:sz w:val="18"/>
          <w:szCs w:val="18"/>
          <w:color w:val="auto"/>
        </w:rPr>
        <w:t xml:space="preserve"> 2012 was $12.07, $7.62 and $4.27, respectively. The aggregate grant date fair value of the Company’s stock options granted during 2014</w:t>
      </w:r>
      <w:r>
        <w:rPr>
          <w:rFonts w:ascii="Arial" w:cs="Arial" w:eastAsia="Arial" w:hAnsi="Arial"/>
          <w:sz w:val="18"/>
          <w:szCs w:val="18"/>
          <w:color w:val="231F20"/>
        </w:rPr>
        <w:t>,</w:t>
      </w:r>
      <w:r>
        <w:rPr>
          <w:rFonts w:ascii="Arial" w:cs="Arial" w:eastAsia="Arial" w:hAnsi="Arial"/>
          <w:sz w:val="18"/>
          <w:szCs w:val="18"/>
          <w:color w:val="auto"/>
        </w:rPr>
        <w:t xml:space="preserve"> 2013 </w:t>
      </w:r>
      <w:r>
        <w:rPr>
          <w:rFonts w:ascii="Arial" w:cs="Arial" w:eastAsia="Arial" w:hAnsi="Arial"/>
          <w:sz w:val="18"/>
          <w:szCs w:val="18"/>
          <w:color w:val="231F20"/>
        </w:rPr>
        <w:t>and</w:t>
      </w:r>
      <w:r>
        <w:rPr>
          <w:rFonts w:ascii="Arial" w:cs="Arial" w:eastAsia="Arial" w:hAnsi="Arial"/>
          <w:sz w:val="18"/>
          <w:szCs w:val="18"/>
          <w:color w:val="auto"/>
        </w:rPr>
        <w:t xml:space="preserve"> 2012 was $33.1 million, $15.2 million and $6.3 million, respectively.</w:t>
      </w:r>
    </w:p>
    <w:p>
      <w:pPr>
        <w:spacing w:after="0" w:line="148" w:lineRule="exact"/>
        <w:rPr>
          <w:sz w:val="20"/>
          <w:szCs w:val="20"/>
          <w:color w:val="auto"/>
        </w:rPr>
      </w:pPr>
    </w:p>
    <w:p>
      <w:pPr>
        <w:ind w:right="340" w:firstLine="405"/>
        <w:spacing w:after="0" w:line="256" w:lineRule="auto"/>
        <w:rPr>
          <w:sz w:val="20"/>
          <w:szCs w:val="20"/>
          <w:color w:val="auto"/>
        </w:rPr>
      </w:pPr>
      <w:r>
        <w:rPr>
          <w:rFonts w:ascii="Arial" w:cs="Arial" w:eastAsia="Arial" w:hAnsi="Arial"/>
          <w:sz w:val="18"/>
          <w:szCs w:val="18"/>
          <w:color w:val="auto"/>
        </w:rPr>
        <w:t>The intrinsic value of options exercised was $25.7 million, $11.1 million and $4.0 million during 2014</w:t>
      </w:r>
      <w:r>
        <w:rPr>
          <w:rFonts w:ascii="Arial" w:cs="Arial" w:eastAsia="Arial" w:hAnsi="Arial"/>
          <w:sz w:val="18"/>
          <w:szCs w:val="18"/>
          <w:color w:val="231F20"/>
        </w:rPr>
        <w:t>, 2013 and</w:t>
      </w:r>
      <w:r>
        <w:rPr>
          <w:rFonts w:ascii="Arial" w:cs="Arial" w:eastAsia="Arial" w:hAnsi="Arial"/>
          <w:sz w:val="18"/>
          <w:szCs w:val="18"/>
          <w:color w:val="auto"/>
        </w:rPr>
        <w:t xml:space="preserve"> 2012, respectively. Intrinsic value of an option is the difference between the fair value of the Company’s common stock at the time of exercise and the exercise price paid.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terms and conditions of RSAs, including vesting criteria and timing are set by the board of directors. The cost of RSAs is determined using the fair value of the Company’s common stock on the date of the grant. Compensation cost is recognized on a straight-line basis over the requisite service period of each grant adjusted for estimated forfeitures. Recipients of RSAs generally have voting and dividend rights without regard to vesting. The Company has the right to repurchase shares that do not vest.</w:t>
      </w:r>
    </w:p>
    <w:p>
      <w:pPr>
        <w:spacing w:after="0" w:line="204" w:lineRule="exact"/>
        <w:rPr>
          <w:sz w:val="20"/>
          <w:szCs w:val="20"/>
          <w:color w:val="auto"/>
        </w:rPr>
      </w:pPr>
    </w:p>
    <w:p>
      <w:pPr>
        <w:jc w:val="both"/>
        <w:ind w:right="680" w:firstLine="405"/>
        <w:spacing w:after="0" w:line="256" w:lineRule="auto"/>
        <w:rPr>
          <w:sz w:val="20"/>
          <w:szCs w:val="20"/>
          <w:color w:val="auto"/>
        </w:rPr>
      </w:pPr>
      <w:r>
        <w:rPr>
          <w:rFonts w:ascii="Arial" w:cs="Arial" w:eastAsia="Arial" w:hAnsi="Arial"/>
          <w:sz w:val="18"/>
          <w:szCs w:val="18"/>
          <w:color w:val="auto"/>
        </w:rPr>
        <w:t>During 2014</w:t>
      </w:r>
      <w:r>
        <w:rPr>
          <w:rFonts w:ascii="Arial" w:cs="Arial" w:eastAsia="Arial" w:hAnsi="Arial"/>
          <w:sz w:val="18"/>
          <w:szCs w:val="18"/>
          <w:color w:val="231F20"/>
        </w:rPr>
        <w:t>,</w:t>
      </w:r>
      <w:r>
        <w:rPr>
          <w:rFonts w:ascii="Arial" w:cs="Arial" w:eastAsia="Arial" w:hAnsi="Arial"/>
          <w:sz w:val="18"/>
          <w:szCs w:val="18"/>
          <w:color w:val="auto"/>
        </w:rPr>
        <w:t xml:space="preserve"> 2013 </w:t>
      </w:r>
      <w:r>
        <w:rPr>
          <w:rFonts w:ascii="Arial" w:cs="Arial" w:eastAsia="Arial" w:hAnsi="Arial"/>
          <w:sz w:val="18"/>
          <w:szCs w:val="18"/>
          <w:color w:val="231F20"/>
        </w:rPr>
        <w:t>and</w:t>
      </w:r>
      <w:r>
        <w:rPr>
          <w:rFonts w:ascii="Arial" w:cs="Arial" w:eastAsia="Arial" w:hAnsi="Arial"/>
          <w:sz w:val="18"/>
          <w:szCs w:val="18"/>
          <w:color w:val="auto"/>
        </w:rPr>
        <w:t xml:space="preserve"> 2012, the Company granted 2,401, 2,900 and 3,750 shares of restricted stock, respectively, which vested immediately and had no further restrictions or service period, and resulted in compensation expense of $51,000, $41,000 and $37,000, respectively.</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To date, the Company has not made any contributions to the 401(k) Plan.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333"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NOTE 9.</w:t>
            </w:r>
          </w:p>
        </w:tc>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Other Income (Expense), Net</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638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 consists of the following:</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47"/>
        </w:trPr>
        <w:tc>
          <w:tcPr>
            <w:tcW w:w="10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income (expense)</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0"/>
        </w:trPr>
        <w:tc>
          <w:tcPr>
            <w:tcW w:w="6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NOTE 10.</w:t>
            </w:r>
          </w:p>
        </w:tc>
        <w:tc>
          <w:tcPr>
            <w:tcW w:w="5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Income Taxes</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1060" w:type="dxa"/>
            <w:vAlign w:val="bottom"/>
            <w:vMerge w:val="continue"/>
          </w:tcPr>
          <w:p>
            <w:pPr>
              <w:spacing w:after="0"/>
              <w:rPr>
                <w:sz w:val="24"/>
                <w:szCs w:val="24"/>
                <w:color w:val="auto"/>
              </w:rPr>
            </w:pPr>
          </w:p>
        </w:tc>
        <w:tc>
          <w:tcPr>
            <w:tcW w:w="53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47"/>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7,384</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1,656</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923</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8,613</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(benefit from) provision for income taxes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6"/>
          </w:tcPr>
          <w:p>
            <w:pPr>
              <w:jc w:val="center"/>
              <w:ind w:left="81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47"/>
        </w:trPr>
        <w:tc>
          <w:tcPr>
            <w:tcW w:w="6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r>
      <w:tr>
        <w:trPr>
          <w:trHeight w:val="264"/>
        </w:trPr>
        <w:tc>
          <w:tcPr>
            <w:tcW w:w="6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r>
      <w:tr>
        <w:trPr>
          <w:trHeight w:val="257"/>
        </w:trPr>
        <w:tc>
          <w:tcPr>
            <w:tcW w:w="6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r>
      <w:tr>
        <w:trPr>
          <w:trHeight w:val="254"/>
        </w:trPr>
        <w:tc>
          <w:tcPr>
            <w:tcW w:w="6400" w:type="dxa"/>
            <w:vAlign w:val="bottom"/>
          </w:tcPr>
          <w:p>
            <w:pPr>
              <w:ind w:left="40"/>
              <w:spacing w:after="0"/>
              <w:rPr>
                <w:sz w:val="20"/>
                <w:szCs w:val="20"/>
                <w:color w:val="auto"/>
              </w:rPr>
            </w:pPr>
            <w:r>
              <w:rPr>
                <w:rFonts w:ascii="Arial" w:cs="Arial" w:eastAsia="Arial" w:hAnsi="Arial"/>
                <w:sz w:val="16"/>
                <w:szCs w:val="16"/>
                <w:color w:val="auto"/>
              </w:rPr>
              <w:t>Deferred</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r>
      <w:tr>
        <w:trPr>
          <w:trHeight w:val="260"/>
        </w:trPr>
        <w:tc>
          <w:tcPr>
            <w:tcW w:w="6400" w:type="dxa"/>
            <w:vAlign w:val="bottom"/>
          </w:tcPr>
          <w:p>
            <w:pPr>
              <w:ind w:left="38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7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deferred provision (benefit)</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(22,599)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r>
      <w:tr>
        <w:trPr>
          <w:trHeight w:val="240"/>
        </w:trPr>
        <w:tc>
          <w:tcPr>
            <w:tcW w:w="6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(benefit from) provision for income taxes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3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333" w:right="25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r>
      <w:tr>
        <w:trPr>
          <w:trHeight w:val="264"/>
        </w:trPr>
        <w:tc>
          <w:tcPr>
            <w:tcW w:w="616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2012</w:t>
            </w:r>
          </w:p>
        </w:tc>
      </w:tr>
      <w:tr>
        <w:trPr>
          <w:trHeight w:val="432"/>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8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60"/>
        </w:trPr>
        <w:tc>
          <w:tcPr>
            <w:tcW w:w="6160" w:type="dxa"/>
            <w:vAlign w:val="bottom"/>
          </w:tcPr>
          <w:p>
            <w:pPr>
              <w:ind w:left="40"/>
              <w:spacing w:after="0"/>
              <w:rPr>
                <w:sz w:val="20"/>
                <w:szCs w:val="20"/>
                <w:color w:val="auto"/>
              </w:rPr>
            </w:pPr>
            <w:r>
              <w:rPr>
                <w:rFonts w:ascii="Arial" w:cs="Arial" w:eastAsia="Arial" w:hAnsi="Arial"/>
                <w:sz w:val="16"/>
                <w:szCs w:val="16"/>
                <w:color w:val="auto"/>
              </w:rPr>
              <w:t>State taxes</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820" w:type="dxa"/>
            <w:vAlign w:val="bottom"/>
            <w:gridSpan w:val="3"/>
          </w:tcPr>
          <w:p>
            <w:pPr>
              <w:jc w:val="right"/>
              <w:ind w:right="15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5.5</w:t>
            </w:r>
          </w:p>
        </w:tc>
      </w:tr>
      <w:tr>
        <w:trPr>
          <w:trHeight w:val="28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8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22.9</w:t>
            </w:r>
          </w:p>
        </w:tc>
      </w:tr>
      <w:tr>
        <w:trPr>
          <w:trHeight w:val="260"/>
        </w:trPr>
        <w:tc>
          <w:tcPr>
            <w:tcW w:w="6160" w:type="dxa"/>
            <w:vAlign w:val="bottom"/>
          </w:tcPr>
          <w:p>
            <w:pPr>
              <w:ind w:left="40"/>
              <w:spacing w:after="0"/>
              <w:rPr>
                <w:sz w:val="20"/>
                <w:szCs w:val="20"/>
                <w:color w:val="auto"/>
              </w:rPr>
            </w:pPr>
            <w:r>
              <w:rPr>
                <w:rFonts w:ascii="Arial" w:cs="Arial" w:eastAsia="Arial" w:hAnsi="Arial"/>
                <w:sz w:val="16"/>
                <w:szCs w:val="16"/>
                <w:color w:val="auto"/>
              </w:rPr>
              <w:t>Foreign source income</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820" w:type="dxa"/>
            <w:vAlign w:val="bottom"/>
            <w:gridSpan w:val="3"/>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(3.5)</w:t>
            </w:r>
          </w:p>
        </w:tc>
      </w:tr>
      <w:tr>
        <w:trPr>
          <w:trHeight w:val="28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(270.5)</w:t>
            </w:r>
          </w:p>
        </w:tc>
        <w:tc>
          <w:tcPr>
            <w:tcW w:w="18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(47.9)</w:t>
            </w:r>
          </w:p>
        </w:tc>
      </w:tr>
      <w:tr>
        <w:trPr>
          <w:trHeight w:val="260"/>
        </w:trPr>
        <w:tc>
          <w:tcPr>
            <w:tcW w:w="6160" w:type="dxa"/>
            <w:vAlign w:val="bottom"/>
          </w:tcPr>
          <w:p>
            <w:pPr>
              <w:ind w:left="40"/>
              <w:spacing w:after="0"/>
              <w:rPr>
                <w:sz w:val="20"/>
                <w:szCs w:val="20"/>
                <w:color w:val="auto"/>
              </w:rPr>
            </w:pPr>
            <w:r>
              <w:rPr>
                <w:rFonts w:ascii="Arial" w:cs="Arial" w:eastAsia="Arial" w:hAnsi="Arial"/>
                <w:sz w:val="16"/>
                <w:szCs w:val="16"/>
                <w:color w:val="auto"/>
              </w:rPr>
              <w:t>Incremental federal rate benefit previously not recognized</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r>
      <w:tr>
        <w:trPr>
          <w:trHeight w:val="28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and state research and development credit</w:t>
            </w: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40" w:type="dxa"/>
            <w:vAlign w:val="bottom"/>
            <w:gridSpan w:val="3"/>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r>
      <w:tr>
        <w:trPr>
          <w:trHeight w:val="264"/>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2.9</w:t>
            </w:r>
          </w:p>
        </w:tc>
      </w:tr>
      <w:tr>
        <w:trPr>
          <w:trHeight w:val="24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24.5 %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8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1"/>
                <w:szCs w:val="21"/>
                <w:color w:val="auto"/>
              </w:rPr>
            </w:pP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12,849</w:t>
            </w:r>
          </w:p>
        </w:tc>
        <w:tc>
          <w:tcPr>
            <w:tcW w:w="10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18,895</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6,392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5,189</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98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581</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3,188</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Deferred rent</w:t>
            </w:r>
          </w:p>
        </w:tc>
        <w:tc>
          <w:tcPr>
            <w:tcW w:w="98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210</w:t>
            </w:r>
          </w:p>
        </w:tc>
      </w:tr>
      <w:tr>
        <w:trPr>
          <w:trHeight w:val="280"/>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w:t>
            </w: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22"/>
                <w:szCs w:val="22"/>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4,149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1,714</w:t>
            </w:r>
          </w:p>
        </w:tc>
      </w:tr>
      <w:tr>
        <w:trPr>
          <w:trHeight w:val="273"/>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r>
      <w:tr>
        <w:trPr>
          <w:trHeight w:val="247"/>
        </w:trPr>
        <w:tc>
          <w:tcPr>
            <w:tcW w:w="8100" w:type="dxa"/>
            <w:vAlign w:val="bottom"/>
          </w:tcPr>
          <w:p>
            <w:pPr>
              <w:ind w:left="720"/>
              <w:spacing w:after="0"/>
              <w:rPr>
                <w:sz w:val="20"/>
                <w:szCs w:val="20"/>
                <w:color w:val="auto"/>
              </w:rPr>
            </w:pPr>
            <w:r>
              <w:rPr>
                <w:rFonts w:ascii="Arial" w:cs="Arial" w:eastAsia="Arial" w:hAnsi="Arial"/>
                <w:sz w:val="16"/>
                <w:szCs w:val="16"/>
                <w:color w:val="auto"/>
              </w:rPr>
              <w:t>Gross deferred tax assets</w:t>
            </w:r>
          </w:p>
        </w:tc>
        <w:tc>
          <w:tcPr>
            <w:tcW w:w="98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28,759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30,738</w:t>
            </w:r>
          </w:p>
        </w:tc>
      </w:tr>
      <w:tr>
        <w:trPr>
          <w:trHeight w:val="273"/>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Valuation allowance</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(3,079)</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(27,181)</w:t>
            </w:r>
          </w:p>
        </w:tc>
      </w:tr>
      <w:tr>
        <w:trPr>
          <w:trHeight w:val="247"/>
        </w:trPr>
        <w:tc>
          <w:tcPr>
            <w:tcW w:w="810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980" w:type="dxa"/>
            <w:vAlign w:val="bottom"/>
          </w:tcPr>
          <w:p>
            <w:pPr>
              <w:spacing w:after="0"/>
              <w:rPr>
                <w:sz w:val="21"/>
                <w:szCs w:val="21"/>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25,680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3,557</w:t>
            </w: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100" w:type="dxa"/>
            <w:vAlign w:val="bottom"/>
          </w:tcPr>
          <w:p>
            <w:pPr>
              <w:ind w:left="380"/>
              <w:spacing w:after="0"/>
              <w:rPr>
                <w:sz w:val="20"/>
                <w:szCs w:val="20"/>
                <w:color w:val="auto"/>
              </w:rPr>
            </w:pPr>
            <w:r>
              <w:rPr>
                <w:rFonts w:ascii="Arial" w:cs="Arial" w:eastAsia="Arial" w:hAnsi="Arial"/>
                <w:sz w:val="16"/>
                <w:szCs w:val="16"/>
                <w:color w:val="auto"/>
              </w:rPr>
              <w:t>Fixed assets</w:t>
            </w:r>
          </w:p>
        </w:tc>
        <w:tc>
          <w:tcPr>
            <w:tcW w:w="9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(3,483)</w:t>
            </w:r>
          </w:p>
        </w:tc>
      </w:tr>
      <w:tr>
        <w:trPr>
          <w:trHeight w:val="273"/>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Intangible assets</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5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deferred tax liabilities</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(3,517)</w:t>
            </w:r>
          </w:p>
        </w:tc>
      </w:tr>
      <w:tr>
        <w:trPr>
          <w:trHeight w:val="24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22,639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and non-current deferred tax assets and liabilities included in the consolidated balance sheets are recorded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47"/>
        </w:trPr>
        <w:tc>
          <w:tcPr>
            <w:tcW w:w="8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21"/>
                <w:szCs w:val="21"/>
                <w:color w:val="auto"/>
              </w:rPr>
            </w:pP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deferred tax assets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8,520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r>
      <w:tr>
        <w:trPr>
          <w:trHeight w:val="260"/>
        </w:trPr>
        <w:tc>
          <w:tcPr>
            <w:tcW w:w="8100" w:type="dxa"/>
            <w:vAlign w:val="bottom"/>
          </w:tcPr>
          <w:p>
            <w:pPr>
              <w:ind w:left="40"/>
              <w:spacing w:after="0"/>
              <w:rPr>
                <w:sz w:val="20"/>
                <w:szCs w:val="20"/>
                <w:color w:val="auto"/>
              </w:rPr>
            </w:pPr>
            <w:r>
              <w:rPr>
                <w:rFonts w:ascii="Arial" w:cs="Arial" w:eastAsia="Arial" w:hAnsi="Arial"/>
                <w:sz w:val="16"/>
                <w:szCs w:val="16"/>
                <w:color w:val="auto"/>
              </w:rPr>
              <w:t>Current deferred tax liabilities</w:t>
            </w:r>
          </w:p>
        </w:tc>
        <w:tc>
          <w:tcPr>
            <w:tcW w:w="9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8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deferred tax assets</w:t>
            </w: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14,119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r>
      <w:tr>
        <w:trPr>
          <w:trHeight w:val="264"/>
        </w:trPr>
        <w:tc>
          <w:tcPr>
            <w:tcW w:w="8100" w:type="dxa"/>
            <w:vAlign w:val="bottom"/>
          </w:tcPr>
          <w:p>
            <w:pPr>
              <w:ind w:left="40"/>
              <w:spacing w:after="0"/>
              <w:rPr>
                <w:sz w:val="20"/>
                <w:szCs w:val="20"/>
                <w:color w:val="auto"/>
              </w:rPr>
            </w:pPr>
            <w:r>
              <w:rPr>
                <w:rFonts w:ascii="Arial" w:cs="Arial" w:eastAsia="Arial" w:hAnsi="Arial"/>
                <w:sz w:val="16"/>
                <w:szCs w:val="16"/>
                <w:color w:val="auto"/>
              </w:rPr>
              <w:t>Noncurrent deferred tax liabilities</w:t>
            </w:r>
          </w:p>
        </w:tc>
        <w:tc>
          <w:tcPr>
            <w:tcW w:w="9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37"/>
        </w:trPr>
        <w:tc>
          <w:tcPr>
            <w:tcW w:w="81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deferred tax assets</w:t>
            </w: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22,639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r>
      <w:tr>
        <w:trPr>
          <w:trHeight w:val="20"/>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33" w:right="2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Realization of deferred tax assets is dependent upon future earnings, if any, and the timing and amount of such assets are uncertain. Prior to the fourth quarter of 2014, the Company had provided a valuation allowance for its U.S. federal and state deferred tax assets that it believed were not more likely than not realizable. Management determined that the objective and verifiable negative evidence, such as relatively low U.S. operating income and uncertainty of sustaining or growing future operating profits, continued to outweigh positive evidence that would be necessary to reduce the valuation allowance.</w:t>
      </w:r>
    </w:p>
    <w:p>
      <w:pPr>
        <w:spacing w:after="0" w:line="152"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In the fourth quarter of 2014, the Company recorded a $23.7 million tax benefit for the recognition of its U.S. federal and certain state deferred tax assets, primarily due to the increased and expected sustainable profitability in its U.S. operations. In reaching this conclusion, management considered the Company's increasing realized profitability in the fourth quarter of 2014, forecasted future profitability, its ability to better absorb uncertainties in future profits, and the cumulative effect of changes in the current macro-economic environment surrounding the IT security industry, which ultimately resulted in increased demand for its solutions.</w:t>
      </w:r>
    </w:p>
    <w:p>
      <w:pPr>
        <w:spacing w:after="0" w:line="152"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Company believes it is more likely than not that its California deferred tax assets will not be realized because the income attributed to California is not expected to be sufficient to recognize these deferred tax assets. Accordingly, the Company continues to record the valuation allowance of $3.1 million as of December 31, 2014 for its California deferred tax assets During the year ended December 31, 2013, the valuation allowance had increased by $0.9 million to $27.2 million.</w:t>
      </w:r>
    </w:p>
    <w:p>
      <w:pPr>
        <w:spacing w:after="0" w:line="150"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At December 31, 2014, the Company had federal and state net operating loss carryforwards of approximately $56.7 million and $10.5 million respectively, available to reduce federal and state taxable income. The excess tax benefits included in net operating loss carryforwards but not reflected in deferred tax assets for federal and state are $21.4 million and $1.7 million, respectively. The Company’s federal net operating losses expire in the years 2021 to 2034, and its state net operating losses expire from 2015 to 2034. Utilization of the Company’s net operating loss carryforwards may be subject to a substantial annual limitation due to the ownership change limitations provided by the Internal Revenue Code and similar state provisions. Such an annual limitation could result in the expiration of the net operating loss carryforwards before utilization. As of December 31, 2014, the Company had federal and state research and development credits of $5.0 million and $5.2 million, respectively. Federal research and development credits expire in the years 2022 to 2034. State research and development credits do not expire.</w:t>
      </w:r>
    </w:p>
    <w:p>
      <w:pPr>
        <w:spacing w:after="0" w:line="15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U.S. income taxes were not provided on undistributed earnings from investments in non-U.S. subsidiaries as the Company intends to continue to reinvest the earnings of these foreign subsidiaries indefinitely. The Company’s share of undistributed earnings of foreign subsidiaries that could be subject to additional U.S. income tax if remitted was approximately $6.8 million and $8.5 million as of December 31, 2014 and 2013, respectively. Determination of the amount of unrecognized deferred tax liability for temporary differences related to investments in these non-U.S. subsidiaries that are essentially permanent in duration is not practicable.</w:t>
      </w:r>
    </w:p>
    <w:p>
      <w:pPr>
        <w:spacing w:after="0" w:line="152" w:lineRule="exact"/>
        <w:rPr>
          <w:sz w:val="20"/>
          <w:szCs w:val="20"/>
          <w:color w:val="auto"/>
        </w:rPr>
      </w:pPr>
    </w:p>
    <w:p>
      <w:pPr>
        <w:jc w:val="both"/>
        <w:ind w:right="100" w:firstLine="405"/>
        <w:spacing w:after="0" w:line="254" w:lineRule="auto"/>
        <w:rPr>
          <w:sz w:val="20"/>
          <w:szCs w:val="20"/>
          <w:color w:val="auto"/>
        </w:rPr>
      </w:pPr>
      <w:r>
        <w:rPr>
          <w:rFonts w:ascii="Arial" w:cs="Arial" w:eastAsia="Arial" w:hAnsi="Arial"/>
          <w:sz w:val="18"/>
          <w:szCs w:val="18"/>
          <w:color w:val="auto"/>
        </w:rPr>
        <w:t>The evaluation of a tax position is a two-step process. The first step requires the Company to determine whether it is more likely than not that a tax position will be sustained upon examination based on the technical merits of the position. The second step requires the Company to recognize in the financial statement each tax position that meets the more likely than not criteria, measured at the amount of benefit that has a greater than fifty percent likelihood of being realized.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6"/>
          </w:tcPr>
          <w:p>
            <w:pPr>
              <w:jc w:val="center"/>
              <w:ind w:left="159"/>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47"/>
        </w:trPr>
        <w:tc>
          <w:tcPr>
            <w:tcW w:w="6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10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102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140</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Settlements</w:t>
            </w:r>
          </w:p>
        </w:tc>
        <w:tc>
          <w:tcPr>
            <w:tcW w:w="10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Lapse of statute of limitations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4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unrecognized tax benefits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2,647</w:t>
            </w:r>
          </w:p>
        </w:tc>
      </w:tr>
      <w:tr>
        <w:trPr>
          <w:trHeight w:val="20"/>
        </w:trPr>
        <w:tc>
          <w:tcPr>
            <w:tcW w:w="6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333" w:right="259" w:bottom="1440" w:gutter="0" w:footer="0" w:header="0"/>
        </w:sectPr>
      </w:pPr>
    </w:p>
    <w:bookmarkStart w:id="87" w:name="page88"/>
    <w:bookmarkEnd w:id="87"/>
    <w:p>
      <w:pPr>
        <w:jc w:val="center"/>
        <w:ind w:right="-29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The unrecognized tax benefits, if recognized, would impact the income tax provision by $2.1 million, $1.0 million and $1.0 million as of December 31, 2014, 2013 and 2012, respectively.</w:t>
      </w:r>
    </w:p>
    <w:p>
      <w:pPr>
        <w:spacing w:after="0" w:line="15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 xml:space="preserve">The Company has elected to include interest and penalties as a component of income tax expense. The amounts were not material for 2014, 2013 </w:t>
      </w:r>
      <w:r>
        <w:rPr>
          <w:rFonts w:ascii="Arial" w:cs="Arial" w:eastAsia="Arial" w:hAnsi="Arial"/>
          <w:sz w:val="18"/>
          <w:szCs w:val="18"/>
          <w:color w:val="231F20"/>
        </w:rPr>
        <w:t>and</w:t>
      </w:r>
      <w:r>
        <w:rPr>
          <w:rFonts w:ascii="Arial" w:cs="Arial" w:eastAsia="Arial" w:hAnsi="Arial"/>
          <w:sz w:val="18"/>
          <w:szCs w:val="18"/>
          <w:color w:val="auto"/>
        </w:rPr>
        <w:t xml:space="preserve"> 2012.</w:t>
      </w:r>
    </w:p>
    <w:p>
      <w:pPr>
        <w:spacing w:after="0" w:line="14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2009 to 2014 remain open to examination by the major taxing jurisdictions in which the Company is subject to tax, with the exception of France which remains open to examination for the 2012 through 2014 tax years only. As of December 31, 2014, the Company was not under examination by the Internal Revenue Service or any state tax jurisdictions.</w:t>
      </w:r>
    </w:p>
    <w:p>
      <w:pPr>
        <w:spacing w:after="0" w:line="15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A one-year retroactive extension of the research credit from January 1, 2014 through December 31, 2014 was signed into law on December 19, 2014 in accordance with the Tax Increase Prevention Act of 2014. On January 2, 2013, the American Taxpayer Relief Act of 2012 (H.R. 8) was signed into law which retroactively extended the federal research and development credit from January 1, 2012 through December 31, 2013.</w:t>
      </w: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240" w:top="333" w:right="5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6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64"/>
        </w:trPr>
        <w:tc>
          <w:tcPr>
            <w:tcW w:w="64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r>
      <w:tr>
        <w:trPr>
          <w:trHeight w:val="247"/>
        </w:trPr>
        <w:tc>
          <w:tcPr>
            <w:tcW w:w="6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93,425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75,485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62,616</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32,477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28,804</w:t>
            </w:r>
          </w:p>
        </w:tc>
      </w:tr>
      <w:tr>
        <w:trPr>
          <w:trHeight w:val="24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133,579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91,420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9"/>
                <w:szCs w:val="19"/>
                <w:color w:val="auto"/>
              </w:rPr>
            </w:pPr>
          </w:p>
        </w:tc>
      </w:tr>
      <w:tr>
        <w:trPr>
          <w:trHeight w:val="264"/>
        </w:trPr>
        <w:tc>
          <w:tcPr>
            <w:tcW w:w="78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r>
      <w:tr>
        <w:trPr>
          <w:trHeight w:val="247"/>
        </w:trPr>
        <w:tc>
          <w:tcPr>
            <w:tcW w:w="7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21"/>
                <w:szCs w:val="21"/>
                <w:color w:val="auto"/>
              </w:rPr>
            </w:pPr>
          </w:p>
        </w:tc>
      </w:tr>
      <w:tr>
        <w:trPr>
          <w:trHeight w:val="28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23,650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19,909</w:t>
            </w:r>
          </w:p>
        </w:tc>
      </w:tr>
      <w:tr>
        <w:trPr>
          <w:trHeight w:val="26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3,166</w:t>
            </w:r>
          </w:p>
        </w:tc>
      </w:tr>
      <w:tr>
        <w:trPr>
          <w:trHeight w:val="24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and equipment, net</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26,618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23,075</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3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NOTE 12.</w:t>
            </w:r>
          </w:p>
        </w:tc>
        <w:tc>
          <w:tcPr>
            <w:tcW w:w="6260" w:type="dxa"/>
            <w:vAlign w:val="bottom"/>
            <w:gridSpan w:val="2"/>
          </w:tcPr>
          <w:p>
            <w:pPr>
              <w:jc w:val="right"/>
              <w:ind w:right="859"/>
              <w:spacing w:after="0"/>
              <w:rPr>
                <w:sz w:val="20"/>
                <w:szCs w:val="20"/>
                <w:color w:val="auto"/>
              </w:rPr>
            </w:pPr>
            <w:r>
              <w:rPr>
                <w:rFonts w:ascii="Arial" w:cs="Arial" w:eastAsia="Arial" w:hAnsi="Arial"/>
                <w:sz w:val="18"/>
                <w:szCs w:val="18"/>
                <w:b w:val="1"/>
                <w:bCs w:val="1"/>
                <w:color w:val="auto"/>
              </w:rPr>
              <w:t>Net Income Per Share Attributable to Common Stockholders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20" w:type="dxa"/>
            <w:vAlign w:val="bottom"/>
            <w:gridSpan w:val="9"/>
          </w:tcPr>
          <w:p>
            <w:pPr>
              <w:ind w:left="420"/>
              <w:spacing w:after="0"/>
              <w:rPr>
                <w:sz w:val="20"/>
                <w:szCs w:val="20"/>
                <w:color w:val="auto"/>
              </w:rPr>
            </w:pPr>
            <w:r>
              <w:rPr>
                <w:rFonts w:ascii="Arial" w:cs="Arial" w:eastAsia="Arial" w:hAnsi="Arial"/>
                <w:sz w:val="18"/>
                <w:szCs w:val="18"/>
                <w:color w:val="231F20"/>
              </w:rPr>
              <w:t>The computations for basic and diluted net income per share attributable to common stockholders are as follows: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37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0" w:type="dxa"/>
            <w:vAlign w:val="bottom"/>
            <w:gridSpan w:val="7"/>
          </w:tcPr>
          <w:p>
            <w:pPr>
              <w:jc w:val="center"/>
              <w:spacing w:after="0"/>
              <w:rPr>
                <w:sz w:val="20"/>
                <w:szCs w:val="20"/>
                <w:color w:val="auto"/>
              </w:rPr>
            </w:pPr>
            <w:r>
              <w:rPr>
                <w:rFonts w:ascii="Arial" w:cs="Arial" w:eastAsia="Arial" w:hAnsi="Arial"/>
                <w:sz w:val="16"/>
                <w:szCs w:val="16"/>
                <w:b w:val="1"/>
                <w:bCs w:val="1"/>
                <w:color w:val="auto"/>
              </w:rPr>
              <w:t>(in thousands, except per share data)</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5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5260" w:type="dxa"/>
            <w:vAlign w:val="bottom"/>
          </w:tcPr>
          <w:p>
            <w:pPr>
              <w:spacing w:after="0"/>
              <w:rPr>
                <w:sz w:val="22"/>
                <w:szCs w:val="22"/>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30,244</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2,221</w:t>
            </w:r>
          </w:p>
        </w:tc>
        <w:tc>
          <w:tcPr>
            <w:tcW w:w="0" w:type="dxa"/>
            <w:vAlign w:val="bottom"/>
          </w:tcPr>
          <w:p>
            <w:pPr>
              <w:spacing w:after="0"/>
              <w:rPr>
                <w:sz w:val="1"/>
                <w:szCs w:val="1"/>
                <w:color w:val="auto"/>
              </w:rPr>
            </w:pP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participating securities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4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Net income attributable to common stockholders - basic</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30,244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Undistributed earnings reallocated to participating securities</w:t>
            </w: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8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Net income attributable to common stockholders - diluted</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30,244</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4"/>
                <w:szCs w:val="24"/>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54"/>
        </w:trPr>
        <w:tc>
          <w:tcPr>
            <w:tcW w:w="1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526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400" w:type="dxa"/>
            <w:vAlign w:val="bottom"/>
            <w:gridSpan w:val="2"/>
          </w:tcPr>
          <w:p>
            <w:pPr>
              <w:ind w:left="360"/>
              <w:spacing w:after="0"/>
              <w:rPr>
                <w:sz w:val="20"/>
                <w:szCs w:val="20"/>
                <w:color w:val="auto"/>
              </w:rPr>
            </w:pPr>
            <w:r>
              <w:rPr>
                <w:rFonts w:ascii="Arial" w:cs="Arial" w:eastAsia="Arial" w:hAnsi="Arial"/>
                <w:sz w:val="16"/>
                <w:szCs w:val="16"/>
                <w:color w:val="auto"/>
              </w:rPr>
              <w:t>Weighted-average shares used in computing net income per share attributable to</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0" w:type="dxa"/>
            <w:vAlign w:val="bottom"/>
            <w:gridSpan w:val="2"/>
          </w:tcPr>
          <w:p>
            <w:pPr>
              <w:ind w:left="360"/>
              <w:spacing w:after="0"/>
              <w:rPr>
                <w:sz w:val="20"/>
                <w:szCs w:val="20"/>
                <w:color w:val="auto"/>
              </w:rPr>
            </w:pPr>
            <w:r>
              <w:rPr>
                <w:rFonts w:ascii="Arial" w:cs="Arial" w:eastAsia="Arial" w:hAnsi="Arial"/>
                <w:sz w:val="16"/>
                <w:szCs w:val="16"/>
                <w:color w:val="auto"/>
              </w:rPr>
              <w:t>common stockholders - basic</w:t>
            </w: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32,979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31,914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11,891</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00" w:type="dxa"/>
            <w:vAlign w:val="bottom"/>
            <w:gridSpan w:val="2"/>
          </w:tcPr>
          <w:p>
            <w:pPr>
              <w:ind w:left="600"/>
              <w:spacing w:after="0"/>
              <w:rPr>
                <w:sz w:val="20"/>
                <w:szCs w:val="20"/>
                <w:color w:val="auto"/>
              </w:rPr>
            </w:pPr>
            <w:r>
              <w:rPr>
                <w:rFonts w:ascii="Arial" w:cs="Arial" w:eastAsia="Arial" w:hAnsi="Arial"/>
                <w:sz w:val="16"/>
                <w:szCs w:val="16"/>
                <w:color w:val="auto"/>
              </w:rPr>
              <w:t>Convertible preferred stock</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13,270</w:t>
            </w:r>
          </w:p>
        </w:tc>
        <w:tc>
          <w:tcPr>
            <w:tcW w:w="0" w:type="dxa"/>
            <w:vAlign w:val="bottom"/>
          </w:tcPr>
          <w:p>
            <w:pPr>
              <w:spacing w:after="0"/>
              <w:rPr>
                <w:sz w:val="1"/>
                <w:szCs w:val="1"/>
                <w:color w:val="auto"/>
              </w:rPr>
            </w:pPr>
          </w:p>
        </w:tc>
      </w:tr>
      <w:tr>
        <w:trPr>
          <w:trHeight w:val="280"/>
        </w:trPr>
        <w:tc>
          <w:tcPr>
            <w:tcW w:w="640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64"/>
        </w:trPr>
        <w:tc>
          <w:tcPr>
            <w:tcW w:w="6400" w:type="dxa"/>
            <w:vAlign w:val="bottom"/>
            <w:gridSpan w:val="2"/>
          </w:tcPr>
          <w:p>
            <w:pPr>
              <w:ind w:left="600"/>
              <w:spacing w:after="0"/>
              <w:rPr>
                <w:sz w:val="20"/>
                <w:szCs w:val="20"/>
                <w:color w:val="auto"/>
              </w:rPr>
            </w:pPr>
            <w:r>
              <w:rPr>
                <w:rFonts w:ascii="Arial" w:cs="Arial" w:eastAsia="Arial" w:hAnsi="Arial"/>
                <w:sz w:val="16"/>
                <w:szCs w:val="16"/>
                <w:color w:val="auto"/>
              </w:rPr>
              <w:t>Contingently issuable shares related to an acquisition</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64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attributable to</w:t>
            </w:r>
          </w:p>
        </w:tc>
        <w:tc>
          <w:tcPr>
            <w:tcW w:w="10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37,170</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35,973</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28,352</w:t>
            </w:r>
          </w:p>
        </w:tc>
        <w:tc>
          <w:tcPr>
            <w:tcW w:w="0" w:type="dxa"/>
            <w:vAlign w:val="bottom"/>
          </w:tcPr>
          <w:p>
            <w:pPr>
              <w:spacing w:after="0"/>
              <w:rPr>
                <w:sz w:val="1"/>
                <w:szCs w:val="1"/>
                <w:color w:val="auto"/>
              </w:rPr>
            </w:pPr>
          </w:p>
        </w:tc>
      </w:tr>
      <w:tr>
        <w:trPr>
          <w:trHeight w:val="198"/>
        </w:trPr>
        <w:tc>
          <w:tcPr>
            <w:tcW w:w="6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common stockholders - diluted</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 per share attributable to common stockholders</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40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5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40" w:type="dxa"/>
            <w:vAlign w:val="bottom"/>
          </w:tcPr>
          <w:p>
            <w:pPr>
              <w:ind w:left="360"/>
              <w:spacing w:after="0"/>
              <w:rPr>
                <w:sz w:val="20"/>
                <w:szCs w:val="20"/>
                <w:color w:val="auto"/>
              </w:rPr>
            </w:pPr>
            <w:r>
              <w:rPr>
                <w:rFonts w:ascii="Arial" w:cs="Arial" w:eastAsia="Arial" w:hAnsi="Arial"/>
                <w:sz w:val="16"/>
                <w:szCs w:val="16"/>
                <w:color w:val="auto"/>
              </w:rPr>
              <w:t>Diluted</w:t>
            </w:r>
          </w:p>
        </w:tc>
        <w:tc>
          <w:tcPr>
            <w:tcW w:w="5260" w:type="dxa"/>
            <w:vAlign w:val="bottom"/>
          </w:tcPr>
          <w:p>
            <w:pPr>
              <w:spacing w:after="0"/>
              <w:rPr>
                <w:sz w:val="19"/>
                <w:szCs w:val="19"/>
                <w:color w:val="auto"/>
              </w:rPr>
            </w:pP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0.81</w:t>
            </w:r>
          </w:p>
        </w:tc>
        <w:tc>
          <w:tcPr>
            <w:tcW w:w="5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9"/>
                <w:szCs w:val="19"/>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2014</w:t>
            </w:r>
          </w:p>
        </w:tc>
        <w:tc>
          <w:tcPr>
            <w:tcW w:w="700" w:type="dxa"/>
            <w:vAlign w:val="bottom"/>
          </w:tcPr>
          <w:p>
            <w:pPr>
              <w:spacing w:after="0"/>
              <w:rPr>
                <w:sz w:val="19"/>
                <w:szCs w:val="19"/>
                <w:color w:val="auto"/>
              </w:rPr>
            </w:pPr>
          </w:p>
        </w:tc>
        <w:tc>
          <w:tcPr>
            <w:tcW w:w="1900" w:type="dxa"/>
            <w:vAlign w:val="bottom"/>
          </w:tcPr>
          <w:p>
            <w:pPr>
              <w:jc w:val="right"/>
              <w:ind w:right="839"/>
              <w:spacing w:after="0"/>
              <w:rPr>
                <w:sz w:val="20"/>
                <w:szCs w:val="20"/>
                <w:color w:val="auto"/>
              </w:rPr>
            </w:pPr>
            <w:r>
              <w:rPr>
                <w:rFonts w:ascii="Arial" w:cs="Arial" w:eastAsia="Arial" w:hAnsi="Arial"/>
                <w:sz w:val="16"/>
                <w:szCs w:val="16"/>
                <w:b w:val="1"/>
                <w:bCs w:val="1"/>
                <w:color w:val="auto"/>
              </w:rPr>
              <w:t>2013</w:t>
            </w: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2012</w:t>
            </w:r>
          </w:p>
        </w:tc>
      </w:tr>
      <w:tr>
        <w:trPr>
          <w:trHeight w:val="247"/>
        </w:trPr>
        <w:tc>
          <w:tcPr>
            <w:tcW w:w="64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9"/>
              </w:rPr>
              <w:t>(in thousands)</w:t>
            </w:r>
          </w:p>
        </w:tc>
        <w:tc>
          <w:tcPr>
            <w:tcW w:w="1380" w:type="dxa"/>
            <w:vAlign w:val="bottom"/>
            <w:tcBorders>
              <w:top w:val="single" w:sz="8" w:color="auto"/>
            </w:tcBorders>
          </w:tcPr>
          <w:p>
            <w:pPr>
              <w:spacing w:after="0"/>
              <w:rPr>
                <w:sz w:val="21"/>
                <w:szCs w:val="21"/>
                <w:color w:val="auto"/>
              </w:rPr>
            </w:pPr>
          </w:p>
        </w:tc>
      </w:tr>
      <w:tr>
        <w:trPr>
          <w:trHeight w:val="280"/>
        </w:trPr>
        <w:tc>
          <w:tcPr>
            <w:tcW w:w="7440" w:type="dxa"/>
            <w:vAlign w:val="bottom"/>
            <w:gridSpan w:val="2"/>
            <w:shd w:val="clear" w:color="auto" w:fill="CCEEFF"/>
          </w:tcPr>
          <w:p>
            <w:pPr>
              <w:jc w:val="right"/>
              <w:ind w:right="5760"/>
              <w:spacing w:after="0"/>
              <w:rPr>
                <w:sz w:val="20"/>
                <w:szCs w:val="20"/>
                <w:color w:val="auto"/>
              </w:rPr>
            </w:pPr>
            <w:r>
              <w:rPr>
                <w:rFonts w:ascii="Arial" w:cs="Arial" w:eastAsia="Arial" w:hAnsi="Arial"/>
                <w:sz w:val="16"/>
                <w:szCs w:val="16"/>
                <w:color w:val="auto"/>
              </w:rPr>
              <w:t>Common stock options</w:t>
            </w:r>
          </w:p>
        </w:tc>
        <w:tc>
          <w:tcPr>
            <w:tcW w:w="7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1,689</w:t>
            </w:r>
          </w:p>
        </w:tc>
        <w:tc>
          <w:tcPr>
            <w:tcW w:w="19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952</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3"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Quarterly Financial Information (Unaudited)</w:t>
      </w:r>
    </w:p>
    <w:p>
      <w:pPr>
        <w:spacing w:after="0" w:line="126"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following table sets forth unaudited consolidated statements of operations data for each of the quarters in the two-year period ended December 31, 2014. The unaudited quarterly consolidated statements of operations data set forth below have been prepared on the same basis as the audited consolidated financial statements included elsewhere in this Annual Report on Form 10-K and, in the opinion of management, reflect all necessary adjustments, which consist only of normal recurring adjustments, necessary for a fair presentation of such data. Historical results are not necessarily indicative of the results for the full year or any other period. This data should be read together with the consolidated financial statements and the related notes included elsewhere in this Annual Report on Form 10-K.</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30,</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27,749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32,302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36,573</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6,415</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21,334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29,052</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7,015</w:t>
            </w:r>
          </w:p>
        </w:tc>
        <w:tc>
          <w:tcPr>
            <w:tcW w:w="0" w:type="dxa"/>
            <w:vAlign w:val="bottom"/>
          </w:tcPr>
          <w:p>
            <w:pPr>
              <w:spacing w:after="0"/>
              <w:rPr>
                <w:sz w:val="1"/>
                <w:szCs w:val="1"/>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10,411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12,492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11,845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11,774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11,938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4,277</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5,156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5,888</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19,361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19,839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23,337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23,420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24,841</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4,211</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Income (loss) before income taxes </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17"/>
                <w:szCs w:val="17"/>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(22,270)</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 xml:space="preserve">Net income (loss)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25,913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attributable to common</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340" w:type="dxa"/>
            <w:vAlign w:val="bottom"/>
            <w:vMerge w:val="continue"/>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1,295</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1,657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3,105</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25,913</w:t>
            </w:r>
          </w:p>
        </w:tc>
        <w:tc>
          <w:tcPr>
            <w:tcW w:w="0" w:type="dxa"/>
            <w:vAlign w:val="bottom"/>
          </w:tcPr>
          <w:p>
            <w:pPr>
              <w:spacing w:after="0"/>
              <w:rPr>
                <w:sz w:val="1"/>
                <w:szCs w:val="1"/>
                <w:color w:val="auto"/>
              </w:rPr>
            </w:pPr>
          </w:p>
        </w:tc>
      </w:tr>
      <w:tr>
        <w:trPr>
          <w:trHeight w:val="211"/>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stockholders</w:t>
            </w: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Net income (loss) per share attributable to</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stockholders: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 xml:space="preserve">Basic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0.04</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 xml:space="preserve">Diluted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20" w:right="580" w:hanging="250"/>
        <w:spacing w:after="0" w:line="211" w:lineRule="auto"/>
        <w:tabs>
          <w:tab w:leader="none" w:pos="327"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Provision for income taxes consists primarily of taxes on income in foreign jurisdictions and state income taxes in the U.S. In the fourth quarter of 2014, the Company recorded a tax benefit of $23.7 million to recognize its U.S. federal and certain state deferred tax assets.</w:t>
      </w:r>
    </w:p>
    <w:p>
      <w:pPr>
        <w:ind w:left="420" w:right="140" w:hanging="250"/>
        <w:spacing w:after="0" w:line="218" w:lineRule="auto"/>
        <w:tabs>
          <w:tab w:leader="none" w:pos="327"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Other income (expense), income (loss) before income taxes, net income (loss), net income (loss) attributable to common stockholders and net income (loss) per share have been adjusted for an immaterial error as further described in Note 1 to the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333" w:right="25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ind w:right="160" w:firstLine="405"/>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2014,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4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or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2014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2014.</w:t>
      </w:r>
    </w:p>
    <w:p>
      <w:pPr>
        <w:spacing w:after="0" w:line="206"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41" w:right="25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2014 that has materially affected, or is reasonably likely to materially affect, our internal control over financial reporting.</w:t>
      </w:r>
    </w:p>
    <w:p>
      <w:pPr>
        <w:spacing w:after="0" w:line="34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141" w:right="29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2015 Annual Meeting of Stockholders to be filed with the SEC within 120 days after the end of the fiscal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 to be filed with the SEC within 120 days after the end of the fiscal year ended December 31, 2014.</w:t>
      </w:r>
    </w:p>
    <w:p>
      <w:pPr>
        <w:spacing w:after="0" w:line="200" w:lineRule="exact"/>
        <w:rPr>
          <w:sz w:val="20"/>
          <w:szCs w:val="20"/>
          <w:color w:val="auto"/>
        </w:rPr>
      </w:pPr>
    </w:p>
    <w:p>
      <w:pPr>
        <w:spacing w:after="0" w:line="352" w:lineRule="exact"/>
        <w:rPr>
          <w:sz w:val="20"/>
          <w:szCs w:val="20"/>
          <w:color w:val="auto"/>
        </w:rPr>
      </w:pPr>
    </w:p>
    <w:p>
      <w:pPr>
        <w:ind w:left="40" w:right="240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ind w:firstLine="405"/>
        <w:spacing w:after="0" w:line="250"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2015 Annual Meeting of Stockholders to be filed with the SEC within 120 days after the end of the fiscal year ended December 31, 2014. For the information required by this item with respect to</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 to be filed with the SEC within 120 days after the end of the fiscal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141" w:right="31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 to be filed with the SEC within 120 days after the end of the fiscal year ended December 31, 2014.</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98"/>
        </w:trPr>
        <w:tc>
          <w:tcPr>
            <w:tcW w:w="3780" w:type="dxa"/>
            <w:vAlign w:val="bottom"/>
          </w:tcPr>
          <w:p>
            <w:pPr>
              <w:spacing w:after="0"/>
              <w:rPr>
                <w:sz w:val="17"/>
                <w:szCs w:val="17"/>
                <w:color w:val="auto"/>
              </w:rPr>
            </w:pPr>
          </w:p>
        </w:tc>
        <w:tc>
          <w:tcPr>
            <w:tcW w:w="2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Balance at Beginning of</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Charged to Costs and</w:t>
            </w:r>
          </w:p>
        </w:tc>
        <w:tc>
          <w:tcPr>
            <w:tcW w:w="2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Deductions and</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3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7"/>
              </w:rPr>
              <w:t>Year</w:t>
            </w:r>
          </w:p>
        </w:tc>
        <w:tc>
          <w:tcPr>
            <w:tcW w:w="320" w:type="dxa"/>
            <w:vAlign w:val="bottom"/>
          </w:tcPr>
          <w:p>
            <w:pPr>
              <w:spacing w:after="0"/>
              <w:rPr>
                <w:sz w:val="20"/>
                <w:szCs w:val="20"/>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1640" w:type="dxa"/>
            <w:vAlign w:val="bottom"/>
            <w:gridSpan w:val="2"/>
          </w:tcPr>
          <w:p>
            <w:pPr>
              <w:jc w:val="center"/>
              <w:ind w:right="280"/>
              <w:spacing w:after="0" w:line="234"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(1)</w:t>
            </w: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at End of Year</w:t>
            </w:r>
          </w:p>
        </w:tc>
      </w:tr>
      <w:tr>
        <w:trPr>
          <w:trHeight w:val="26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Allowance for Doubtful Accounts</w:t>
            </w:r>
          </w:p>
        </w:tc>
        <w:tc>
          <w:tcPr>
            <w:tcW w:w="48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r>
      <w:tr>
        <w:trPr>
          <w:trHeight w:val="260"/>
        </w:trPr>
        <w:tc>
          <w:tcPr>
            <w:tcW w:w="3780" w:type="dxa"/>
            <w:vAlign w:val="bottom"/>
          </w:tcPr>
          <w:p>
            <w:pPr>
              <w:ind w:left="280"/>
              <w:spacing w:after="0"/>
              <w:rPr>
                <w:sz w:val="20"/>
                <w:szCs w:val="20"/>
                <w:color w:val="auto"/>
              </w:rPr>
            </w:pPr>
            <w:r>
              <w:rPr>
                <w:rFonts w:ascii="Arial" w:cs="Arial" w:eastAsia="Arial" w:hAnsi="Arial"/>
                <w:sz w:val="16"/>
                <w:szCs w:val="16"/>
                <w:color w:val="auto"/>
              </w:rPr>
              <w:t>Year ended December 31, 2014</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470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590</w:t>
            </w:r>
          </w:p>
        </w:tc>
      </w:tr>
      <w:tr>
        <w:trPr>
          <w:trHeight w:val="28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Year ended December 31, 2013</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r>
      <w:tr>
        <w:trPr>
          <w:trHeight w:val="251"/>
        </w:trPr>
        <w:tc>
          <w:tcPr>
            <w:tcW w:w="3780" w:type="dxa"/>
            <w:vAlign w:val="bottom"/>
          </w:tcPr>
          <w:p>
            <w:pPr>
              <w:ind w:left="280"/>
              <w:spacing w:after="0"/>
              <w:rPr>
                <w:sz w:val="20"/>
                <w:szCs w:val="20"/>
                <w:color w:val="auto"/>
              </w:rPr>
            </w:pPr>
            <w:r>
              <w:rPr>
                <w:rFonts w:ascii="Arial" w:cs="Arial" w:eastAsia="Arial" w:hAnsi="Arial"/>
                <w:sz w:val="16"/>
                <w:szCs w:val="16"/>
                <w:color w:val="auto"/>
              </w:rPr>
              <w:t>Year ended December 31, 2012</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w:t>
            </w:r>
          </w:p>
        </w:tc>
      </w:tr>
    </w:tbl>
    <w:p>
      <w:pPr>
        <w:spacing w:after="0" w:line="204"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Primarily represents write-offs of uncollectible accounts, net of recoveries.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220" w:firstLine="405"/>
        <w:spacing w:after="0" w:line="262" w:lineRule="auto"/>
        <w:rPr>
          <w:sz w:val="20"/>
          <w:szCs w:val="20"/>
          <w:color w:val="auto"/>
        </w:rPr>
      </w:pPr>
      <w:r>
        <w:rPr>
          <w:rFonts w:ascii="Arial" w:cs="Arial" w:eastAsia="Arial" w:hAnsi="Arial"/>
          <w:sz w:val="18"/>
          <w:szCs w:val="18"/>
          <w:color w:val="auto"/>
        </w:rPr>
        <w:t>The exhibits listed on the Exhibit Index (following the Signatures section of this report) are included, or incorporated by reference, in this Annual Report on Form 10-K.</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41"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SIGNATURES</w:t>
      </w:r>
    </w:p>
    <w:p>
      <w:pPr>
        <w:spacing w:after="0" w:line="24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r>
        <w:rPr>
          <w:rFonts w:ascii="Arial" w:cs="Arial" w:eastAsia="Arial" w:hAnsi="Arial"/>
          <w:sz w:val="18"/>
          <w:szCs w:val="18"/>
          <w:color w:val="231F20"/>
        </w:rPr>
        <w:t>, in the City of Redwood City, State of California</w:t>
      </w:r>
      <w:r>
        <w:rPr>
          <w:rFonts w:ascii="Arial" w:cs="Arial" w:eastAsia="Arial" w:hAnsi="Arial"/>
          <w:sz w:val="18"/>
          <w:szCs w:val="18"/>
          <w:color w:val="auto"/>
        </w:rPr>
        <w:t xml:space="preserve"> </w:t>
      </w:r>
      <w:r>
        <w:rPr>
          <w:rFonts w:ascii="Arial" w:cs="Arial" w:eastAsia="Arial" w:hAnsi="Arial"/>
          <w:sz w:val="18"/>
          <w:szCs w:val="18"/>
          <w:color w:val="231F20"/>
        </w:rPr>
        <w:t xml:space="preserve">on </w:t>
      </w:r>
      <w:r>
        <w:rPr>
          <w:rFonts w:ascii="Arial" w:cs="Arial" w:eastAsia="Arial" w:hAnsi="Arial"/>
          <w:sz w:val="18"/>
          <w:szCs w:val="18"/>
          <w:color w:val="000000"/>
        </w:rPr>
        <w:t>March 6, 2015.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5700"/>
        <w:spacing w:after="0"/>
        <w:tabs>
          <w:tab w:leader="none" w:pos="630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Philippe F. Courtot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Chairman,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right="50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400"/>
          </w:cols>
          <w:pgMar w:left="240" w:top="141" w:right="259" w:bottom="1440" w:gutter="0" w:footer="0" w:header="0"/>
        </w:sectPr>
      </w:pPr>
    </w:p>
    <w:p>
      <w:pPr>
        <w:spacing w:after="0" w:line="372" w:lineRule="exact"/>
        <w:rPr>
          <w:sz w:val="20"/>
          <w:szCs w:val="20"/>
          <w:color w:val="auto"/>
        </w:rPr>
      </w:pPr>
    </w:p>
    <w:p>
      <w:pPr>
        <w:jc w:val="right"/>
        <w:ind w:right="1500"/>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SANDRA E.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Bergeron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DONALD 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R. Dixon</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Jeffrey P. Hank</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Peter Pace</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Kristi M. Rogers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HOWARD A.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A. Schmidt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040" w:type="dxa"/>
            <w:vAlign w:val="bottom"/>
            <w:gridSpan w:val="3"/>
          </w:tcPr>
          <w:p>
            <w:pPr>
              <w:ind w:left="780"/>
              <w:spacing w:after="0"/>
              <w:rPr>
                <w:sz w:val="20"/>
                <w:szCs w:val="20"/>
                <w:color w:val="auto"/>
              </w:rPr>
            </w:pPr>
            <w:r>
              <w:rPr>
                <w:rFonts w:ascii="Arial" w:cs="Arial" w:eastAsia="Arial" w:hAnsi="Arial"/>
                <w:sz w:val="18"/>
                <w:szCs w:val="18"/>
                <w:color w:val="auto"/>
              </w:rPr>
              <w:t>Date</w:t>
            </w:r>
          </w:p>
        </w:tc>
      </w:tr>
      <w:tr>
        <w:trPr>
          <w:trHeight w:val="20"/>
        </w:trPr>
        <w:tc>
          <w:tcPr>
            <w:tcW w:w="2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87"/>
        </w:trPr>
        <w:tc>
          <w:tcPr>
            <w:tcW w:w="4640" w:type="dxa"/>
            <w:vAlign w:val="bottom"/>
            <w:gridSpan w:val="3"/>
          </w:tcPr>
          <w:p>
            <w:pPr>
              <w:spacing w:after="0"/>
              <w:rPr>
                <w:sz w:val="20"/>
                <w:szCs w:val="20"/>
                <w:color w:val="auto"/>
              </w:rPr>
            </w:pPr>
            <w:r>
              <w:rPr>
                <w:rFonts w:ascii="Arial" w:cs="Arial" w:eastAsia="Arial" w:hAnsi="Arial"/>
                <w:sz w:val="18"/>
                <w:szCs w:val="18"/>
                <w:color w:val="auto"/>
              </w:rPr>
              <w:t>Chairman, President and Chief Executive Officer</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6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36"/>
        </w:trPr>
        <w:tc>
          <w:tcPr>
            <w:tcW w:w="464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and</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7"/>
        </w:trPr>
        <w:tc>
          <w:tcPr>
            <w:tcW w:w="464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7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64"/>
        </w:trPr>
        <w:tc>
          <w:tcPr>
            <w:tcW w:w="46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64"/>
        </w:trPr>
        <w:tc>
          <w:tcPr>
            <w:tcW w:w="46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64"/>
        </w:trPr>
        <w:tc>
          <w:tcPr>
            <w:tcW w:w="46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64"/>
        </w:trPr>
        <w:tc>
          <w:tcPr>
            <w:tcW w:w="46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64"/>
        </w:trPr>
        <w:tc>
          <w:tcPr>
            <w:tcW w:w="46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r>
        <w:trPr>
          <w:trHeight w:val="864"/>
        </w:trPr>
        <w:tc>
          <w:tcPr>
            <w:tcW w:w="46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7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w w:val="99"/>
              </w:rPr>
              <w:t>March 6, 2015</w:t>
            </w:r>
          </w:p>
        </w:tc>
      </w:tr>
    </w:tbl>
    <w:p>
      <w:pPr>
        <w:spacing w:after="0" w:line="460" w:lineRule="exact"/>
        <w:rPr>
          <w:sz w:val="20"/>
          <w:szCs w:val="20"/>
          <w:color w:val="auto"/>
        </w:rPr>
      </w:pPr>
    </w:p>
    <w:p>
      <w:pPr>
        <w:sectPr>
          <w:pgSz w:w="11900" w:h="16838" w:orient="portrait"/>
          <w:cols w:equalWidth="0" w:num="2">
            <w:col w:w="4000" w:space="720"/>
            <w:col w:w="6680"/>
          </w:cols>
          <w:pgMar w:left="240" w:top="141" w:right="25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00"/>
          </w:cols>
          <w:pgMar w:left="240" w:top="141" w:right="25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940" w:type="dxa"/>
            <w:vAlign w:val="bottom"/>
            <w:gridSpan w:val="2"/>
          </w:tcPr>
          <w:p>
            <w:pPr>
              <w:ind w:left="2320"/>
              <w:spacing w:after="0"/>
              <w:rPr>
                <w:sz w:val="20"/>
                <w:szCs w:val="20"/>
                <w:color w:val="auto"/>
              </w:rPr>
            </w:pPr>
            <w:r>
              <w:rPr>
                <w:rFonts w:ascii="Arial" w:cs="Arial" w:eastAsia="Arial" w:hAnsi="Arial"/>
                <w:sz w:val="13"/>
                <w:szCs w:val="13"/>
                <w:color w:val="auto"/>
              </w:rPr>
              <w:t>Incorporated by Reference</w:t>
            </w: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7"/>
              </w:rPr>
              <w:t>Exhibit</w:t>
            </w:r>
          </w:p>
        </w:tc>
        <w:tc>
          <w:tcPr>
            <w:tcW w:w="3180" w:type="dxa"/>
            <w:vAlign w:val="bottom"/>
          </w:tcPr>
          <w:p>
            <w:pPr>
              <w:spacing w:after="0"/>
              <w:rPr>
                <w:sz w:val="16"/>
                <w:szCs w:val="16"/>
                <w:color w:val="auto"/>
              </w:rPr>
            </w:pPr>
          </w:p>
        </w:tc>
        <w:tc>
          <w:tcPr>
            <w:tcW w:w="3120" w:type="dxa"/>
            <w:vAlign w:val="bottom"/>
            <w:vMerge w:val="restart"/>
          </w:tcPr>
          <w:p>
            <w:pPr>
              <w:jc w:val="center"/>
              <w:ind w:left="2217"/>
              <w:spacing w:after="0"/>
              <w:rPr>
                <w:sz w:val="20"/>
                <w:szCs w:val="20"/>
                <w:color w:val="auto"/>
              </w:rPr>
            </w:pPr>
            <w:r>
              <w:rPr>
                <w:rFonts w:ascii="Arial" w:cs="Arial" w:eastAsia="Arial" w:hAnsi="Arial"/>
                <w:sz w:val="13"/>
                <w:szCs w:val="13"/>
                <w:color w:val="auto"/>
                <w:w w:val="99"/>
              </w:rPr>
              <w:t>Filed</w:t>
            </w: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99"/>
              </w:rPr>
              <w:t>Number</w:t>
            </w:r>
          </w:p>
        </w:tc>
        <w:tc>
          <w:tcPr>
            <w:tcW w:w="3180" w:type="dxa"/>
            <w:vAlign w:val="bottom"/>
          </w:tcPr>
          <w:p>
            <w:pPr>
              <w:ind w:left="240"/>
              <w:spacing w:after="0"/>
              <w:rPr>
                <w:sz w:val="20"/>
                <w:szCs w:val="20"/>
                <w:color w:val="auto"/>
              </w:rPr>
            </w:pPr>
            <w:r>
              <w:rPr>
                <w:rFonts w:ascii="Arial" w:cs="Arial" w:eastAsia="Arial" w:hAnsi="Arial"/>
                <w:sz w:val="13"/>
                <w:szCs w:val="13"/>
                <w:color w:val="auto"/>
              </w:rPr>
              <w:t>Description</w:t>
            </w:r>
          </w:p>
        </w:tc>
        <w:tc>
          <w:tcPr>
            <w:tcW w:w="3120" w:type="dxa"/>
            <w:vAlign w:val="bottom"/>
          </w:tcPr>
          <w:p>
            <w:pPr>
              <w:jc w:val="center"/>
              <w:ind w:left="2197"/>
              <w:spacing w:after="0"/>
              <w:rPr>
                <w:sz w:val="20"/>
                <w:szCs w:val="20"/>
                <w:color w:val="auto"/>
              </w:rPr>
            </w:pPr>
            <w:r>
              <w:rPr>
                <w:rFonts w:ascii="Arial" w:cs="Arial" w:eastAsia="Arial" w:hAnsi="Arial"/>
                <w:sz w:val="13"/>
                <w:szCs w:val="13"/>
                <w:color w:val="auto"/>
                <w:w w:val="97"/>
              </w:rPr>
              <w:t>Herewith</w:t>
            </w:r>
          </w:p>
        </w:tc>
        <w:tc>
          <w:tcPr>
            <w:tcW w:w="820" w:type="dxa"/>
            <w:vAlign w:val="bottom"/>
          </w:tcPr>
          <w:p>
            <w:pPr>
              <w:ind w:left="180"/>
              <w:spacing w:after="0"/>
              <w:rPr>
                <w:sz w:val="20"/>
                <w:szCs w:val="20"/>
                <w:color w:val="auto"/>
              </w:rPr>
            </w:pPr>
            <w:r>
              <w:rPr>
                <w:rFonts w:ascii="Arial" w:cs="Arial" w:eastAsia="Arial" w:hAnsi="Arial"/>
                <w:sz w:val="13"/>
                <w:szCs w:val="13"/>
                <w:color w:val="auto"/>
              </w:rPr>
              <w:t>Form</w:t>
            </w:r>
          </w:p>
        </w:tc>
        <w:tc>
          <w:tcPr>
            <w:tcW w:w="780" w:type="dxa"/>
            <w:vAlign w:val="bottom"/>
          </w:tcPr>
          <w:p>
            <w:pPr>
              <w:ind w:left="140"/>
              <w:spacing w:after="0"/>
              <w:rPr>
                <w:sz w:val="20"/>
                <w:szCs w:val="20"/>
                <w:color w:val="auto"/>
              </w:rPr>
            </w:pPr>
            <w:r>
              <w:rPr>
                <w:rFonts w:ascii="Arial" w:cs="Arial" w:eastAsia="Arial" w:hAnsi="Arial"/>
                <w:sz w:val="13"/>
                <w:szCs w:val="13"/>
                <w:color w:val="auto"/>
              </w:rPr>
              <w:t>File No.</w:t>
            </w:r>
          </w:p>
        </w:tc>
        <w:tc>
          <w:tcPr>
            <w:tcW w:w="1620" w:type="dxa"/>
            <w:vAlign w:val="bottom"/>
          </w:tcPr>
          <w:p>
            <w:pPr>
              <w:ind w:left="220"/>
              <w:spacing w:after="0"/>
              <w:rPr>
                <w:sz w:val="20"/>
                <w:szCs w:val="20"/>
                <w:color w:val="auto"/>
              </w:rPr>
            </w:pPr>
            <w:r>
              <w:rPr>
                <w:rFonts w:ascii="Arial" w:cs="Arial" w:eastAsia="Arial" w:hAnsi="Arial"/>
                <w:sz w:val="13"/>
                <w:szCs w:val="13"/>
                <w:color w:val="auto"/>
              </w:rPr>
              <w:t>Exhibit No.   Filing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3.1</w:t>
            </w:r>
          </w:p>
        </w:tc>
        <w:tc>
          <w:tcPr>
            <w:tcW w:w="5960" w:type="dxa"/>
            <w:vAlign w:val="bottom"/>
          </w:tcPr>
          <w:p>
            <w:pPr>
              <w:ind w:left="260"/>
              <w:spacing w:after="0"/>
              <w:rPr>
                <w:sz w:val="20"/>
                <w:szCs w:val="20"/>
                <w:color w:val="auto"/>
              </w:rPr>
            </w:pPr>
            <w:r>
              <w:rPr>
                <w:rFonts w:ascii="Arial" w:cs="Arial" w:eastAsia="Arial" w:hAnsi="Arial"/>
                <w:sz w:val="13"/>
                <w:szCs w:val="13"/>
                <w:color w:val="auto"/>
              </w:rPr>
              <w:t>Amended and Restated Certificate of Incorporation of Qualys, Inc.</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3.3</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3.2</w:t>
            </w:r>
          </w:p>
        </w:tc>
        <w:tc>
          <w:tcPr>
            <w:tcW w:w="5960" w:type="dxa"/>
            <w:vAlign w:val="bottom"/>
          </w:tcPr>
          <w:p>
            <w:pPr>
              <w:ind w:left="260"/>
              <w:spacing w:after="0"/>
              <w:rPr>
                <w:sz w:val="20"/>
                <w:szCs w:val="20"/>
                <w:color w:val="auto"/>
              </w:rPr>
            </w:pPr>
            <w:r>
              <w:rPr>
                <w:rFonts w:ascii="Arial" w:cs="Arial" w:eastAsia="Arial" w:hAnsi="Arial"/>
                <w:sz w:val="13"/>
                <w:szCs w:val="13"/>
                <w:color w:val="auto"/>
              </w:rPr>
              <w:t>Amended and Restated Bylaws of Qualys, Inc.</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3.5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4.1</w:t>
            </w:r>
          </w:p>
        </w:tc>
        <w:tc>
          <w:tcPr>
            <w:tcW w:w="5960" w:type="dxa"/>
            <w:vAlign w:val="bottom"/>
          </w:tcPr>
          <w:p>
            <w:pPr>
              <w:ind w:left="260"/>
              <w:spacing w:after="0"/>
              <w:rPr>
                <w:sz w:val="20"/>
                <w:szCs w:val="20"/>
                <w:color w:val="auto"/>
              </w:rPr>
            </w:pPr>
            <w:r>
              <w:rPr>
                <w:rFonts w:ascii="Arial" w:cs="Arial" w:eastAsia="Arial" w:hAnsi="Arial"/>
                <w:sz w:val="13"/>
                <w:szCs w:val="13"/>
                <w:color w:val="auto"/>
              </w:rPr>
              <w:t>Form of common stock certificate.</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Amended and Restated Investor Rights Agreement, by and among Qualys, Inc. and the</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9"/>
              </w:rPr>
              <w:t>4.2</w:t>
            </w:r>
          </w:p>
        </w:tc>
        <w:tc>
          <w:tcPr>
            <w:tcW w:w="5960" w:type="dxa"/>
            <w:vAlign w:val="bottom"/>
          </w:tcPr>
          <w:p>
            <w:pPr>
              <w:ind w:left="260"/>
              <w:spacing w:after="0"/>
              <w:rPr>
                <w:sz w:val="20"/>
                <w:szCs w:val="20"/>
                <w:color w:val="auto"/>
              </w:rPr>
            </w:pPr>
            <w:r>
              <w:rPr>
                <w:rFonts w:ascii="Arial" w:cs="Arial" w:eastAsia="Arial" w:hAnsi="Arial"/>
                <w:sz w:val="13"/>
                <w:szCs w:val="13"/>
                <w:color w:val="auto"/>
              </w:rPr>
              <w:t>investors party thereto, dated July 12, 2005.</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10.1*</w:t>
            </w:r>
          </w:p>
        </w:tc>
        <w:tc>
          <w:tcPr>
            <w:tcW w:w="5960" w:type="dxa"/>
            <w:vAlign w:val="bottom"/>
          </w:tcPr>
          <w:p>
            <w:pPr>
              <w:ind w:left="260"/>
              <w:spacing w:after="0"/>
              <w:rPr>
                <w:sz w:val="20"/>
                <w:szCs w:val="20"/>
                <w:color w:val="auto"/>
              </w:rPr>
            </w:pPr>
            <w:r>
              <w:rPr>
                <w:rFonts w:ascii="Arial" w:cs="Arial" w:eastAsia="Arial" w:hAnsi="Arial"/>
                <w:sz w:val="13"/>
                <w:szCs w:val="13"/>
                <w:color w:val="auto"/>
              </w:rPr>
              <w:t>2000 Equity Incentive Plan, as amended, and the form of stock option agreement thereunder.</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10.2*</w:t>
            </w:r>
          </w:p>
        </w:tc>
        <w:tc>
          <w:tcPr>
            <w:tcW w:w="5960" w:type="dxa"/>
            <w:vAlign w:val="bottom"/>
          </w:tcPr>
          <w:p>
            <w:pPr>
              <w:ind w:left="260"/>
              <w:spacing w:after="0"/>
              <w:rPr>
                <w:sz w:val="20"/>
                <w:szCs w:val="20"/>
                <w:color w:val="auto"/>
              </w:rPr>
            </w:pPr>
            <w:r>
              <w:rPr>
                <w:rFonts w:ascii="Arial" w:cs="Arial" w:eastAsia="Arial" w:hAnsi="Arial"/>
                <w:sz w:val="13"/>
                <w:szCs w:val="13"/>
                <w:color w:val="auto"/>
              </w:rPr>
              <w:t>2012 Equity Incentive Plan and forms of agreements thereunder.</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10.2</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10.3*</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Philippe F. Courtot, dated December 7, 2000.</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10.4*</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Amer S. Deeba, dated September 4, 2001.</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10.4</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10.5*</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Sumedh S. Thakar, dated January 20, 2003.</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10.5</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Donald C. McCauley, dated February 7, 2006, as</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10.6*</w:t>
            </w:r>
          </w:p>
        </w:tc>
        <w:tc>
          <w:tcPr>
            <w:tcW w:w="5960" w:type="dxa"/>
            <w:vAlign w:val="bottom"/>
          </w:tcPr>
          <w:p>
            <w:pPr>
              <w:ind w:left="260"/>
              <w:spacing w:after="0"/>
              <w:rPr>
                <w:sz w:val="20"/>
                <w:szCs w:val="20"/>
                <w:color w:val="auto"/>
              </w:rPr>
            </w:pPr>
            <w:r>
              <w:rPr>
                <w:rFonts w:ascii="Arial" w:cs="Arial" w:eastAsia="Arial" w:hAnsi="Arial"/>
                <w:sz w:val="13"/>
                <w:szCs w:val="13"/>
                <w:color w:val="auto"/>
              </w:rPr>
              <w:t>amended.</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10.6</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513"/>
        </w:trPr>
        <w:tc>
          <w:tcPr>
            <w:tcW w:w="64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10.7*</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Bruce K. Posey, dated May 8, 2012.</w:t>
            </w:r>
          </w:p>
        </w:tc>
        <w:tc>
          <w:tcPr>
            <w:tcW w:w="1020" w:type="dxa"/>
            <w:vAlign w:val="bottom"/>
            <w:vMerge w:val="restart"/>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4"/>
              </w:rPr>
              <w:t>10.9</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8"/>
              </w:rPr>
              <w:t>10.8*</w:t>
            </w:r>
          </w:p>
        </w:tc>
        <w:tc>
          <w:tcPr>
            <w:tcW w:w="5960" w:type="dxa"/>
            <w:vAlign w:val="bottom"/>
          </w:tcPr>
          <w:p>
            <w:pPr>
              <w:ind w:left="260"/>
              <w:spacing w:after="0"/>
              <w:rPr>
                <w:sz w:val="20"/>
                <w:szCs w:val="20"/>
                <w:color w:val="auto"/>
              </w:rPr>
            </w:pPr>
            <w:r>
              <w:rPr>
                <w:rFonts w:ascii="Arial" w:cs="Arial" w:eastAsia="Arial" w:hAnsi="Arial"/>
                <w:sz w:val="13"/>
                <w:szCs w:val="13"/>
                <w:color w:val="auto"/>
              </w:rPr>
              <w:t>Form of director and executive officer indemnification agreement.</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rPr>
              <w:t>August 10, 2012</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Lease Agreement, between Qualys, Inc. and Westport Office Park, LLC, dated July 11, 2006,</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vMerge w:val="restart"/>
          </w:tcPr>
          <w:p>
            <w:pPr>
              <w:jc w:val="center"/>
              <w:ind w:right="217"/>
              <w:spacing w:after="0"/>
              <w:rPr>
                <w:sz w:val="20"/>
                <w:szCs w:val="20"/>
                <w:color w:val="auto"/>
              </w:rPr>
            </w:pPr>
            <w:r>
              <w:rPr>
                <w:rFonts w:ascii="Arial" w:cs="Arial" w:eastAsia="Arial" w:hAnsi="Arial"/>
                <w:sz w:val="13"/>
                <w:szCs w:val="13"/>
                <w:color w:val="auto"/>
                <w:w w:val="94"/>
              </w:rPr>
              <w:t>10.9</w:t>
            </w:r>
          </w:p>
        </w:tc>
        <w:tc>
          <w:tcPr>
            <w:tcW w:w="5960" w:type="dxa"/>
            <w:vAlign w:val="bottom"/>
          </w:tcPr>
          <w:p>
            <w:pPr>
              <w:ind w:left="260"/>
              <w:spacing w:after="0"/>
              <w:rPr>
                <w:sz w:val="20"/>
                <w:szCs w:val="20"/>
                <w:color w:val="auto"/>
              </w:rPr>
            </w:pPr>
            <w:r>
              <w:rPr>
                <w:rFonts w:ascii="Arial" w:cs="Arial" w:eastAsia="Arial" w:hAnsi="Arial"/>
                <w:sz w:val="13"/>
                <w:szCs w:val="13"/>
                <w:color w:val="auto"/>
              </w:rPr>
              <w:t>as amended August 10, 2007, May 20, 2010 and December 5, 2011.</w:t>
            </w:r>
          </w:p>
        </w:tc>
        <w:tc>
          <w:tcPr>
            <w:tcW w:w="1020" w:type="dxa"/>
            <w:vAlign w:val="bottom"/>
            <w:vMerge w:val="restart"/>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8"/>
              </w:rPr>
              <w:t>10.11</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640" w:type="dxa"/>
            <w:vAlign w:val="bottom"/>
            <w:vMerge w:val="restart"/>
          </w:tcPr>
          <w:p>
            <w:pPr>
              <w:jc w:val="center"/>
              <w:ind w:right="217"/>
              <w:spacing w:after="0"/>
              <w:rPr>
                <w:sz w:val="20"/>
                <w:szCs w:val="20"/>
                <w:color w:val="auto"/>
              </w:rPr>
            </w:pPr>
            <w:r>
              <w:rPr>
                <w:rFonts w:ascii="Arial" w:cs="Arial" w:eastAsia="Arial" w:hAnsi="Arial"/>
                <w:sz w:val="13"/>
                <w:szCs w:val="13"/>
                <w:color w:val="auto"/>
                <w:w w:val="95"/>
              </w:rPr>
              <w:t>10.10*</w:t>
            </w:r>
          </w:p>
        </w:tc>
        <w:tc>
          <w:tcPr>
            <w:tcW w:w="5960" w:type="dxa"/>
            <w:vAlign w:val="bottom"/>
          </w:tcPr>
          <w:p>
            <w:pPr>
              <w:ind w:left="260"/>
              <w:spacing w:after="0"/>
              <w:rPr>
                <w:sz w:val="20"/>
                <w:szCs w:val="20"/>
                <w:color w:val="auto"/>
              </w:rPr>
            </w:pPr>
            <w:r>
              <w:rPr>
                <w:rFonts w:ascii="Arial" w:cs="Arial" w:eastAsia="Arial" w:hAnsi="Arial"/>
                <w:sz w:val="13"/>
                <w:szCs w:val="13"/>
                <w:color w:val="auto"/>
              </w:rPr>
              <w:t>2011 Corporate Bonus Plan.</w:t>
            </w:r>
          </w:p>
        </w:tc>
        <w:tc>
          <w:tcPr>
            <w:tcW w:w="1020" w:type="dxa"/>
            <w:vAlign w:val="bottom"/>
            <w:vMerge w:val="restart"/>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vMerge w:val="restart"/>
          </w:tcPr>
          <w:p>
            <w:pPr>
              <w:jc w:val="center"/>
              <w:ind w:left="17"/>
              <w:spacing w:after="0"/>
              <w:rPr>
                <w:sz w:val="20"/>
                <w:szCs w:val="20"/>
                <w:color w:val="auto"/>
              </w:rPr>
            </w:pPr>
            <w:r>
              <w:rPr>
                <w:rFonts w:ascii="Arial" w:cs="Arial" w:eastAsia="Arial" w:hAnsi="Arial"/>
                <w:sz w:val="13"/>
                <w:szCs w:val="13"/>
                <w:color w:val="auto"/>
                <w:w w:val="98"/>
              </w:rPr>
              <w:t>10.12</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135"/>
        </w:trPr>
        <w:tc>
          <w:tcPr>
            <w:tcW w:w="640" w:type="dxa"/>
            <w:vAlign w:val="bottom"/>
            <w:vMerge w:val="continue"/>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10.11*</w:t>
            </w:r>
          </w:p>
        </w:tc>
        <w:tc>
          <w:tcPr>
            <w:tcW w:w="5960" w:type="dxa"/>
            <w:vAlign w:val="bottom"/>
          </w:tcPr>
          <w:p>
            <w:pPr>
              <w:ind w:left="260"/>
              <w:spacing w:after="0"/>
              <w:rPr>
                <w:sz w:val="20"/>
                <w:szCs w:val="20"/>
                <w:color w:val="auto"/>
              </w:rPr>
            </w:pPr>
            <w:r>
              <w:rPr>
                <w:rFonts w:ascii="Arial" w:cs="Arial" w:eastAsia="Arial" w:hAnsi="Arial"/>
                <w:sz w:val="13"/>
                <w:szCs w:val="13"/>
                <w:color w:val="auto"/>
              </w:rPr>
              <w:t>2012 Corporate Bonus Plan.</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10.13</w:t>
            </w:r>
          </w:p>
        </w:tc>
        <w:tc>
          <w:tcPr>
            <w:tcW w:w="1300" w:type="dxa"/>
            <w:vAlign w:val="bottom"/>
          </w:tcPr>
          <w:p>
            <w:pPr>
              <w:ind w:left="160"/>
              <w:spacing w:after="0"/>
              <w:rPr>
                <w:sz w:val="20"/>
                <w:szCs w:val="20"/>
                <w:color w:val="auto"/>
              </w:rPr>
            </w:pPr>
            <w:r>
              <w:rPr>
                <w:rFonts w:ascii="Arial" w:cs="Arial" w:eastAsia="Arial" w:hAnsi="Arial"/>
                <w:sz w:val="13"/>
                <w:szCs w:val="13"/>
                <w:color w:val="auto"/>
              </w:rPr>
              <w:t>June 8,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Master Services Agreement, between Qualys, Inc. and Savvis Communications Corporation,</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8"/>
              </w:rPr>
              <w:t>10.12</w:t>
            </w:r>
          </w:p>
        </w:tc>
        <w:tc>
          <w:tcPr>
            <w:tcW w:w="5960" w:type="dxa"/>
            <w:vAlign w:val="bottom"/>
          </w:tcPr>
          <w:p>
            <w:pPr>
              <w:ind w:left="260"/>
              <w:spacing w:after="0"/>
              <w:rPr>
                <w:sz w:val="20"/>
                <w:szCs w:val="20"/>
                <w:color w:val="auto"/>
              </w:rPr>
            </w:pPr>
            <w:r>
              <w:rPr>
                <w:rFonts w:ascii="Arial" w:cs="Arial" w:eastAsia="Arial" w:hAnsi="Arial"/>
                <w:sz w:val="13"/>
                <w:szCs w:val="13"/>
                <w:color w:val="auto"/>
              </w:rPr>
              <w:t>dated June 22, 2010.</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10.14</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Master Agreement, between Qualys, Inc. and Interoute Communications Limited, dated</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10.13†</w:t>
            </w:r>
          </w:p>
        </w:tc>
        <w:tc>
          <w:tcPr>
            <w:tcW w:w="5960" w:type="dxa"/>
            <w:vAlign w:val="bottom"/>
          </w:tcPr>
          <w:p>
            <w:pPr>
              <w:ind w:left="260"/>
              <w:spacing w:after="0"/>
              <w:rPr>
                <w:sz w:val="20"/>
                <w:szCs w:val="20"/>
                <w:color w:val="auto"/>
              </w:rPr>
            </w:pPr>
            <w:r>
              <w:rPr>
                <w:rFonts w:ascii="Arial" w:cs="Arial" w:eastAsia="Arial" w:hAnsi="Arial"/>
                <w:sz w:val="13"/>
                <w:szCs w:val="13"/>
                <w:color w:val="auto"/>
              </w:rPr>
              <w:t>March 31, 2008.</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10.15</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496"/>
        </w:trPr>
        <w:tc>
          <w:tcPr>
            <w:tcW w:w="640" w:type="dxa"/>
            <w:vAlign w:val="bottom"/>
          </w:tcPr>
          <w:p>
            <w:pPr>
              <w:spacing w:after="0"/>
              <w:rPr>
                <w:sz w:val="24"/>
                <w:szCs w:val="24"/>
                <w:color w:val="auto"/>
              </w:rPr>
            </w:pPr>
          </w:p>
        </w:tc>
        <w:tc>
          <w:tcPr>
            <w:tcW w:w="5960" w:type="dxa"/>
            <w:vAlign w:val="bottom"/>
          </w:tcPr>
          <w:p>
            <w:pPr>
              <w:ind w:left="260"/>
              <w:spacing w:after="0"/>
              <w:rPr>
                <w:sz w:val="20"/>
                <w:szCs w:val="20"/>
                <w:color w:val="auto"/>
              </w:rPr>
            </w:pPr>
            <w:r>
              <w:rPr>
                <w:rFonts w:ascii="Arial" w:cs="Arial" w:eastAsia="Arial" w:hAnsi="Arial"/>
                <w:sz w:val="13"/>
                <w:szCs w:val="13"/>
                <w:color w:val="auto"/>
              </w:rPr>
              <w:t>Manufacturing Services Agreement, between Qualys, Inc. and Synnex Corporation, dated</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 w:type="dxa"/>
            <w:vAlign w:val="bottom"/>
          </w:tcPr>
          <w:p>
            <w:pPr>
              <w:jc w:val="center"/>
              <w:ind w:right="197"/>
              <w:spacing w:after="0"/>
              <w:rPr>
                <w:sz w:val="20"/>
                <w:szCs w:val="20"/>
                <w:color w:val="auto"/>
              </w:rPr>
            </w:pPr>
            <w:r>
              <w:rPr>
                <w:rFonts w:ascii="Arial" w:cs="Arial" w:eastAsia="Arial" w:hAnsi="Arial"/>
                <w:sz w:val="13"/>
                <w:szCs w:val="13"/>
                <w:color w:val="auto"/>
                <w:w w:val="95"/>
              </w:rPr>
              <w:t>10.14†</w:t>
            </w:r>
          </w:p>
        </w:tc>
        <w:tc>
          <w:tcPr>
            <w:tcW w:w="5960" w:type="dxa"/>
            <w:vAlign w:val="bottom"/>
          </w:tcPr>
          <w:p>
            <w:pPr>
              <w:ind w:left="260"/>
              <w:spacing w:after="0"/>
              <w:rPr>
                <w:sz w:val="20"/>
                <w:szCs w:val="20"/>
                <w:color w:val="auto"/>
              </w:rPr>
            </w:pPr>
            <w:r>
              <w:rPr>
                <w:rFonts w:ascii="Arial" w:cs="Arial" w:eastAsia="Arial" w:hAnsi="Arial"/>
                <w:sz w:val="13"/>
                <w:szCs w:val="13"/>
                <w:color w:val="auto"/>
              </w:rPr>
              <w:t>March 1, 2011.</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S-1/A</w:t>
            </w:r>
          </w:p>
        </w:tc>
        <w:tc>
          <w:tcPr>
            <w:tcW w:w="1080" w:type="dxa"/>
            <w:vAlign w:val="bottom"/>
          </w:tcPr>
          <w:p>
            <w:pPr>
              <w:jc w:val="center"/>
              <w:spacing w:after="0"/>
              <w:rPr>
                <w:sz w:val="20"/>
                <w:szCs w:val="20"/>
                <w:color w:val="auto"/>
              </w:rPr>
            </w:pPr>
            <w:r>
              <w:rPr>
                <w:rFonts w:ascii="Arial" w:cs="Arial" w:eastAsia="Arial" w:hAnsi="Arial"/>
                <w:sz w:val="13"/>
                <w:szCs w:val="13"/>
                <w:color w:val="auto"/>
                <w:w w:val="95"/>
              </w:rPr>
              <w:t>333-182027</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8"/>
              </w:rPr>
              <w:t>10.16</w:t>
            </w:r>
          </w:p>
        </w:tc>
        <w:tc>
          <w:tcPr>
            <w:tcW w:w="1300" w:type="dxa"/>
            <w:vAlign w:val="bottom"/>
          </w:tcPr>
          <w:p>
            <w:pPr>
              <w:ind w:left="160"/>
              <w:spacing w:after="0"/>
              <w:rPr>
                <w:sz w:val="20"/>
                <w:szCs w:val="20"/>
                <w:color w:val="auto"/>
              </w:rPr>
            </w:pPr>
            <w:r>
              <w:rPr>
                <w:rFonts w:ascii="Arial" w:cs="Arial" w:eastAsia="Arial" w:hAnsi="Arial"/>
                <w:sz w:val="13"/>
                <w:szCs w:val="13"/>
                <w:color w:val="auto"/>
                <w:w w:val="95"/>
              </w:rPr>
              <w:t>September 12, 2012</w:t>
            </w:r>
          </w:p>
        </w:tc>
        <w:tc>
          <w:tcPr>
            <w:tcW w:w="0" w:type="dxa"/>
            <w:vAlign w:val="bottom"/>
          </w:tcPr>
          <w:p>
            <w:pPr>
              <w:spacing w:after="0"/>
              <w:rPr>
                <w:sz w:val="1"/>
                <w:szCs w:val="1"/>
                <w:color w:val="auto"/>
              </w:rPr>
            </w:pPr>
          </w:p>
        </w:tc>
      </w:tr>
      <w:tr>
        <w:trPr>
          <w:trHeight w:val="594"/>
        </w:trPr>
        <w:tc>
          <w:tcPr>
            <w:tcW w:w="640" w:type="dxa"/>
            <w:vAlign w:val="bottom"/>
          </w:tcPr>
          <w:p>
            <w:pPr>
              <w:jc w:val="center"/>
              <w:ind w:right="217"/>
              <w:spacing w:after="0"/>
              <w:rPr>
                <w:sz w:val="20"/>
                <w:szCs w:val="20"/>
                <w:color w:val="auto"/>
              </w:rPr>
            </w:pPr>
            <w:r>
              <w:rPr>
                <w:rFonts w:ascii="Arial" w:cs="Arial" w:eastAsia="Arial" w:hAnsi="Arial"/>
                <w:sz w:val="13"/>
                <w:szCs w:val="13"/>
                <w:color w:val="auto"/>
                <w:w w:val="95"/>
              </w:rPr>
              <w:t>10.17*</w:t>
            </w:r>
          </w:p>
        </w:tc>
        <w:tc>
          <w:tcPr>
            <w:tcW w:w="5960" w:type="dxa"/>
            <w:vAlign w:val="bottom"/>
          </w:tcPr>
          <w:p>
            <w:pPr>
              <w:ind w:left="260"/>
              <w:spacing w:after="0"/>
              <w:rPr>
                <w:sz w:val="20"/>
                <w:szCs w:val="20"/>
                <w:color w:val="auto"/>
              </w:rPr>
            </w:pPr>
            <w:r>
              <w:rPr>
                <w:rFonts w:ascii="Arial" w:cs="Arial" w:eastAsia="Arial" w:hAnsi="Arial"/>
                <w:sz w:val="13"/>
                <w:szCs w:val="13"/>
                <w:color w:val="auto"/>
              </w:rPr>
              <w:t>Offer Letter, between Qualys, Inc. and Ann S. Johnson, dated November 7, 2013</w:t>
            </w:r>
          </w:p>
        </w:tc>
        <w:tc>
          <w:tcPr>
            <w:tcW w:w="1020" w:type="dxa"/>
            <w:vAlign w:val="bottom"/>
          </w:tcPr>
          <w:p>
            <w:pPr>
              <w:jc w:val="center"/>
              <w:ind w:left="277"/>
              <w:spacing w:after="0"/>
              <w:rPr>
                <w:sz w:val="20"/>
                <w:szCs w:val="20"/>
                <w:color w:val="auto"/>
              </w:rPr>
            </w:pPr>
            <w:r>
              <w:rPr>
                <w:rFonts w:ascii="Arial" w:cs="Arial" w:eastAsia="Arial" w:hAnsi="Arial"/>
                <w:sz w:val="13"/>
                <w:szCs w:val="13"/>
                <w:color w:val="auto"/>
                <w:w w:val="98"/>
              </w:rPr>
              <w:t>8-K</w:t>
            </w:r>
          </w:p>
        </w:tc>
        <w:tc>
          <w:tcPr>
            <w:tcW w:w="1080" w:type="dxa"/>
            <w:vAlign w:val="bottom"/>
          </w:tcPr>
          <w:p>
            <w:pPr>
              <w:jc w:val="center"/>
              <w:ind w:right="17"/>
              <w:spacing w:after="0"/>
              <w:rPr>
                <w:sz w:val="20"/>
                <w:szCs w:val="20"/>
                <w:color w:val="auto"/>
              </w:rPr>
            </w:pPr>
            <w:r>
              <w:rPr>
                <w:rFonts w:ascii="Arial" w:cs="Arial" w:eastAsia="Arial" w:hAnsi="Arial"/>
                <w:sz w:val="13"/>
                <w:szCs w:val="13"/>
                <w:color w:val="auto"/>
                <w:w w:val="96"/>
              </w:rPr>
              <w:t>001-35662</w:t>
            </w:r>
          </w:p>
        </w:tc>
        <w:tc>
          <w:tcPr>
            <w:tcW w:w="720" w:type="dxa"/>
            <w:vAlign w:val="bottom"/>
          </w:tcPr>
          <w:p>
            <w:pPr>
              <w:jc w:val="center"/>
              <w:ind w:left="17"/>
              <w:spacing w:after="0"/>
              <w:rPr>
                <w:sz w:val="20"/>
                <w:szCs w:val="20"/>
                <w:color w:val="auto"/>
              </w:rPr>
            </w:pPr>
            <w:r>
              <w:rPr>
                <w:rFonts w:ascii="Arial" w:cs="Arial" w:eastAsia="Arial" w:hAnsi="Arial"/>
                <w:sz w:val="13"/>
                <w:szCs w:val="13"/>
                <w:color w:val="auto"/>
                <w:w w:val="94"/>
              </w:rPr>
              <w:t>10.1</w:t>
            </w:r>
          </w:p>
        </w:tc>
        <w:tc>
          <w:tcPr>
            <w:tcW w:w="1300" w:type="dxa"/>
            <w:vAlign w:val="bottom"/>
          </w:tcPr>
          <w:p>
            <w:pPr>
              <w:ind w:left="160"/>
              <w:spacing w:after="0"/>
              <w:rPr>
                <w:sz w:val="20"/>
                <w:szCs w:val="20"/>
                <w:color w:val="auto"/>
              </w:rPr>
            </w:pPr>
            <w:r>
              <w:rPr>
                <w:rFonts w:ascii="Arial" w:cs="Arial" w:eastAsia="Arial" w:hAnsi="Arial"/>
                <w:sz w:val="13"/>
                <w:szCs w:val="13"/>
                <w:color w:val="auto"/>
                <w:w w:val="98"/>
              </w:rPr>
              <w:t>November 12,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41" w:right="659" w:bottom="1440" w:gutter="0" w:footer="0" w:header="0"/>
        </w:sectPr>
      </w:pPr>
    </w:p>
    <w:p>
      <w:pPr>
        <w:spacing w:after="0" w:line="45"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000"/>
          </w:cols>
          <w:pgMar w:left="240" w:top="141" w:right="659" w:bottom="1440" w:gutter="0" w:footer="0" w:header="0"/>
          <w:type w:val="continuous"/>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20" w:type="dxa"/>
        <w:tblCellMar>
          <w:top w:w="0" w:type="dxa"/>
          <w:left w:w="0" w:type="dxa"/>
          <w:bottom w:w="0" w:type="dxa"/>
          <w:right w:w="0" w:type="dxa"/>
        </w:tblCellMar>
      </w:tblP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5"/>
              </w:rPr>
              <w:t>10.18*</w:t>
            </w:r>
          </w:p>
        </w:tc>
        <w:tc>
          <w:tcPr>
            <w:tcW w:w="5620" w:type="dxa"/>
            <w:vAlign w:val="bottom"/>
          </w:tcPr>
          <w:p>
            <w:pPr>
              <w:ind w:left="220"/>
              <w:spacing w:after="0"/>
              <w:rPr>
                <w:sz w:val="20"/>
                <w:szCs w:val="20"/>
                <w:color w:val="auto"/>
              </w:rPr>
            </w:pPr>
            <w:r>
              <w:rPr>
                <w:rFonts w:ascii="Arial" w:cs="Arial" w:eastAsia="Arial" w:hAnsi="Arial"/>
                <w:sz w:val="13"/>
                <w:szCs w:val="13"/>
                <w:color w:val="auto"/>
              </w:rPr>
              <w:t>Agreement with Ann S. Johnson dated May 2, 2014</w:t>
            </w:r>
          </w:p>
        </w:tc>
        <w:tc>
          <w:tcPr>
            <w:tcW w:w="1300" w:type="dxa"/>
            <w:vAlign w:val="bottom"/>
          </w:tcPr>
          <w:p>
            <w:pPr>
              <w:ind w:left="880"/>
              <w:spacing w:after="0"/>
              <w:rPr>
                <w:sz w:val="20"/>
                <w:szCs w:val="20"/>
                <w:color w:val="auto"/>
              </w:rPr>
            </w:pPr>
            <w:r>
              <w:rPr>
                <w:rFonts w:ascii="Arial" w:cs="Arial" w:eastAsia="Arial" w:hAnsi="Arial"/>
                <w:sz w:val="13"/>
                <w:szCs w:val="13"/>
                <w:color w:val="auto"/>
              </w:rPr>
              <w:t>8-K</w:t>
            </w:r>
          </w:p>
        </w:tc>
        <w:tc>
          <w:tcPr>
            <w:tcW w:w="1080" w:type="dxa"/>
            <w:vAlign w:val="bottom"/>
          </w:tcPr>
          <w:p>
            <w:pPr>
              <w:jc w:val="right"/>
              <w:ind w:right="197"/>
              <w:spacing w:after="0"/>
              <w:rPr>
                <w:sz w:val="20"/>
                <w:szCs w:val="20"/>
                <w:color w:val="auto"/>
              </w:rPr>
            </w:pPr>
            <w:r>
              <w:rPr>
                <w:rFonts w:ascii="Arial" w:cs="Arial" w:eastAsia="Arial" w:hAnsi="Arial"/>
                <w:sz w:val="13"/>
                <w:szCs w:val="13"/>
                <w:color w:val="auto"/>
              </w:rPr>
              <w:t>001-35662</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10.11</w:t>
            </w:r>
          </w:p>
        </w:tc>
        <w:tc>
          <w:tcPr>
            <w:tcW w:w="840" w:type="dxa"/>
            <w:vAlign w:val="bottom"/>
          </w:tcPr>
          <w:p>
            <w:pPr>
              <w:ind w:left="160"/>
              <w:spacing w:after="0"/>
              <w:rPr>
                <w:sz w:val="20"/>
                <w:szCs w:val="20"/>
                <w:color w:val="auto"/>
              </w:rPr>
            </w:pPr>
            <w:r>
              <w:rPr>
                <w:rFonts w:ascii="Arial" w:cs="Arial" w:eastAsia="Arial" w:hAnsi="Arial"/>
                <w:sz w:val="13"/>
                <w:szCs w:val="13"/>
                <w:color w:val="auto"/>
                <w:w w:val="92"/>
              </w:rPr>
              <w:t>May 5, 2014</w:t>
            </w:r>
          </w:p>
        </w:tc>
      </w:tr>
      <w:tr>
        <w:trPr>
          <w:trHeight w:val="540"/>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21.1</w:t>
            </w:r>
          </w:p>
        </w:tc>
        <w:tc>
          <w:tcPr>
            <w:tcW w:w="5620" w:type="dxa"/>
            <w:vAlign w:val="bottom"/>
          </w:tcPr>
          <w:p>
            <w:pPr>
              <w:ind w:left="220"/>
              <w:spacing w:after="0"/>
              <w:rPr>
                <w:sz w:val="20"/>
                <w:szCs w:val="20"/>
                <w:color w:val="auto"/>
              </w:rPr>
            </w:pPr>
            <w:r>
              <w:rPr>
                <w:rFonts w:ascii="Arial" w:cs="Arial" w:eastAsia="Arial" w:hAnsi="Arial"/>
                <w:sz w:val="13"/>
                <w:szCs w:val="13"/>
                <w:color w:val="auto"/>
              </w:rPr>
              <w:t>List of subsidiaries of Qualys, Inc.</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23.1</w:t>
            </w:r>
          </w:p>
        </w:tc>
        <w:tc>
          <w:tcPr>
            <w:tcW w:w="5620" w:type="dxa"/>
            <w:vAlign w:val="bottom"/>
          </w:tcPr>
          <w:p>
            <w:pPr>
              <w:ind w:left="220"/>
              <w:spacing w:after="0"/>
              <w:rPr>
                <w:sz w:val="20"/>
                <w:szCs w:val="20"/>
                <w:color w:val="auto"/>
              </w:rPr>
            </w:pPr>
            <w:r>
              <w:rPr>
                <w:rFonts w:ascii="Arial" w:cs="Arial" w:eastAsia="Arial" w:hAnsi="Arial"/>
                <w:sz w:val="13"/>
                <w:szCs w:val="13"/>
                <w:color w:val="auto"/>
              </w:rPr>
              <w:t>Consent of Grant Thornton LLP, independent registered public accounting firm.</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13a-14(a) or Rule 15d-14(a) of the</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31.1</w:t>
            </w:r>
          </w:p>
        </w:tc>
        <w:tc>
          <w:tcPr>
            <w:tcW w:w="5620" w:type="dxa"/>
            <w:vAlign w:val="bottom"/>
          </w:tcPr>
          <w:p>
            <w:pPr>
              <w:ind w:left="220"/>
              <w:spacing w:after="0"/>
              <w:rPr>
                <w:sz w:val="20"/>
                <w:szCs w:val="20"/>
                <w:color w:val="auto"/>
              </w:rPr>
            </w:pPr>
            <w:r>
              <w:rPr>
                <w:rFonts w:ascii="Arial" w:cs="Arial" w:eastAsia="Arial" w:hAnsi="Arial"/>
                <w:sz w:val="13"/>
                <w:szCs w:val="13"/>
                <w:color w:val="auto"/>
              </w:rPr>
              <w:t>Oxley Act of 2002.</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13a-14(a) or Rule 15d-14(a) of the</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as adopted pursuant to Section 302 of The Sarbanes-</w:t>
            </w: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31.2</w:t>
            </w:r>
          </w:p>
        </w:tc>
        <w:tc>
          <w:tcPr>
            <w:tcW w:w="5620" w:type="dxa"/>
            <w:vAlign w:val="bottom"/>
          </w:tcPr>
          <w:p>
            <w:pPr>
              <w:ind w:left="220"/>
              <w:spacing w:after="0"/>
              <w:rPr>
                <w:sz w:val="20"/>
                <w:szCs w:val="20"/>
                <w:color w:val="auto"/>
              </w:rPr>
            </w:pPr>
            <w:r>
              <w:rPr>
                <w:rFonts w:ascii="Arial" w:cs="Arial" w:eastAsia="Arial" w:hAnsi="Arial"/>
                <w:sz w:val="13"/>
                <w:szCs w:val="13"/>
                <w:color w:val="auto"/>
              </w:rPr>
              <w:t>Oxley Act of 2002.</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Executive Officer pursuant to Rule 13a-14(b) or Rule 15d-14(b) of the</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32.1</w:t>
            </w:r>
          </w:p>
        </w:tc>
        <w:tc>
          <w:tcPr>
            <w:tcW w:w="5620" w:type="dxa"/>
            <w:vAlign w:val="bottom"/>
          </w:tcPr>
          <w:p>
            <w:pPr>
              <w:ind w:left="220"/>
              <w:spacing w:after="0"/>
              <w:rPr>
                <w:sz w:val="20"/>
                <w:szCs w:val="20"/>
                <w:color w:val="auto"/>
              </w:rPr>
            </w:pPr>
            <w:r>
              <w:rPr>
                <w:rFonts w:ascii="Arial" w:cs="Arial" w:eastAsia="Arial" w:hAnsi="Arial"/>
                <w:sz w:val="13"/>
                <w:szCs w:val="13"/>
                <w:color w:val="auto"/>
              </w:rPr>
              <w:t>906 of The Sarbanes-Oxley Act of 2002.</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496"/>
        </w:trPr>
        <w:tc>
          <w:tcPr>
            <w:tcW w:w="740" w:type="dxa"/>
            <w:vAlign w:val="bottom"/>
          </w:tcPr>
          <w:p>
            <w:pPr>
              <w:spacing w:after="0"/>
              <w:rPr>
                <w:sz w:val="24"/>
                <w:szCs w:val="24"/>
                <w:color w:val="auto"/>
              </w:rPr>
            </w:pPr>
          </w:p>
        </w:tc>
        <w:tc>
          <w:tcPr>
            <w:tcW w:w="5620" w:type="dxa"/>
            <w:vAlign w:val="bottom"/>
          </w:tcPr>
          <w:p>
            <w:pPr>
              <w:ind w:left="220"/>
              <w:spacing w:after="0"/>
              <w:rPr>
                <w:sz w:val="20"/>
                <w:szCs w:val="20"/>
                <w:color w:val="auto"/>
              </w:rPr>
            </w:pPr>
            <w:r>
              <w:rPr>
                <w:rFonts w:ascii="Arial" w:cs="Arial" w:eastAsia="Arial" w:hAnsi="Arial"/>
                <w:sz w:val="13"/>
                <w:szCs w:val="13"/>
                <w:color w:val="auto"/>
              </w:rPr>
              <w:t>Certification of Chief Financial Officer pursuant to Rule 13a-14(b) or Rule 15d-14(b) of the</w:t>
            </w: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5"/>
        </w:trPr>
        <w:tc>
          <w:tcPr>
            <w:tcW w:w="740" w:type="dxa"/>
            <w:vAlign w:val="bottom"/>
          </w:tcPr>
          <w:p>
            <w:pPr>
              <w:spacing w:after="0"/>
              <w:rPr>
                <w:sz w:val="11"/>
                <w:szCs w:val="11"/>
                <w:color w:val="auto"/>
              </w:rPr>
            </w:pPr>
          </w:p>
        </w:tc>
        <w:tc>
          <w:tcPr>
            <w:tcW w:w="5620" w:type="dxa"/>
            <w:vAlign w:val="bottom"/>
          </w:tcPr>
          <w:p>
            <w:pPr>
              <w:ind w:left="220"/>
              <w:spacing w:after="0" w:line="135" w:lineRule="exact"/>
              <w:rPr>
                <w:sz w:val="20"/>
                <w:szCs w:val="20"/>
                <w:color w:val="auto"/>
              </w:rPr>
            </w:pPr>
            <w:r>
              <w:rPr>
                <w:rFonts w:ascii="Arial" w:cs="Arial" w:eastAsia="Arial" w:hAnsi="Arial"/>
                <w:sz w:val="13"/>
                <w:szCs w:val="13"/>
                <w:color w:val="auto"/>
              </w:rPr>
              <w:t>Securities Exchange Act of 1934 and 18 U.S.C. Section 1350 as adopted pursuant to Section</w:t>
            </w:r>
          </w:p>
        </w:tc>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2"/>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4"/>
              </w:rPr>
              <w:t>32.2</w:t>
            </w:r>
          </w:p>
        </w:tc>
        <w:tc>
          <w:tcPr>
            <w:tcW w:w="5620" w:type="dxa"/>
            <w:vAlign w:val="bottom"/>
          </w:tcPr>
          <w:p>
            <w:pPr>
              <w:ind w:left="220"/>
              <w:spacing w:after="0"/>
              <w:rPr>
                <w:sz w:val="20"/>
                <w:szCs w:val="20"/>
                <w:color w:val="auto"/>
              </w:rPr>
            </w:pPr>
            <w:r>
              <w:rPr>
                <w:rFonts w:ascii="Arial" w:cs="Arial" w:eastAsia="Arial" w:hAnsi="Arial"/>
                <w:sz w:val="13"/>
                <w:szCs w:val="13"/>
                <w:color w:val="auto"/>
              </w:rPr>
              <w:t>906 of The Sarbanes-Oxley Act of 2002.</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7"/>
              </w:rPr>
              <w:t>101.INS</w:t>
            </w:r>
          </w:p>
        </w:tc>
        <w:tc>
          <w:tcPr>
            <w:tcW w:w="5620" w:type="dxa"/>
            <w:vAlign w:val="bottom"/>
          </w:tcPr>
          <w:p>
            <w:pPr>
              <w:ind w:left="220"/>
              <w:spacing w:after="0"/>
              <w:rPr>
                <w:sz w:val="20"/>
                <w:szCs w:val="20"/>
                <w:color w:val="auto"/>
              </w:rPr>
            </w:pPr>
            <w:r>
              <w:rPr>
                <w:rFonts w:ascii="Arial" w:cs="Arial" w:eastAsia="Arial" w:hAnsi="Arial"/>
                <w:sz w:val="13"/>
                <w:szCs w:val="13"/>
                <w:color w:val="auto"/>
              </w:rPr>
              <w:t>XBRL Instance Document</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4"/>
              </w:rPr>
              <w:t>101.SCH</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Schema Document</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8"/>
              </w:rPr>
              <w:t>101.CAL</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Calculation Linkbase Document</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7"/>
              </w:rPr>
              <w:t>101.DEF</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Definition Linkbase</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740" w:type="dxa"/>
            <w:vAlign w:val="bottom"/>
          </w:tcPr>
          <w:p>
            <w:pPr>
              <w:jc w:val="center"/>
              <w:ind w:right="197"/>
              <w:spacing w:after="0"/>
              <w:rPr>
                <w:sz w:val="20"/>
                <w:szCs w:val="20"/>
                <w:color w:val="auto"/>
              </w:rPr>
            </w:pPr>
            <w:r>
              <w:rPr>
                <w:rFonts w:ascii="Arial" w:cs="Arial" w:eastAsia="Arial" w:hAnsi="Arial"/>
                <w:sz w:val="13"/>
                <w:szCs w:val="13"/>
                <w:color w:val="auto"/>
                <w:w w:val="96"/>
              </w:rPr>
              <w:t>101.LAB</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Labels Linkbase Document</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4"/>
        </w:trPr>
        <w:tc>
          <w:tcPr>
            <w:tcW w:w="740" w:type="dxa"/>
            <w:vAlign w:val="bottom"/>
          </w:tcPr>
          <w:p>
            <w:pPr>
              <w:jc w:val="center"/>
              <w:ind w:right="177"/>
              <w:spacing w:after="0"/>
              <w:rPr>
                <w:sz w:val="20"/>
                <w:szCs w:val="20"/>
                <w:color w:val="auto"/>
              </w:rPr>
            </w:pPr>
            <w:r>
              <w:rPr>
                <w:rFonts w:ascii="Arial" w:cs="Arial" w:eastAsia="Arial" w:hAnsi="Arial"/>
                <w:sz w:val="13"/>
                <w:szCs w:val="13"/>
                <w:color w:val="auto"/>
                <w:w w:val="96"/>
              </w:rPr>
              <w:t>101.PRE</w:t>
            </w:r>
          </w:p>
        </w:tc>
        <w:tc>
          <w:tcPr>
            <w:tcW w:w="5620" w:type="dxa"/>
            <w:vAlign w:val="bottom"/>
          </w:tcPr>
          <w:p>
            <w:pPr>
              <w:ind w:left="220"/>
              <w:spacing w:after="0"/>
              <w:rPr>
                <w:sz w:val="20"/>
                <w:szCs w:val="20"/>
                <w:color w:val="auto"/>
              </w:rPr>
            </w:pPr>
            <w:r>
              <w:rPr>
                <w:rFonts w:ascii="Arial" w:cs="Arial" w:eastAsia="Arial" w:hAnsi="Arial"/>
                <w:sz w:val="13"/>
                <w:szCs w:val="13"/>
                <w:color w:val="auto"/>
              </w:rPr>
              <w:t>XBRL Taxonomy Extension Presentation Linkbase Document</w:t>
            </w:r>
          </w:p>
        </w:tc>
        <w:tc>
          <w:tcPr>
            <w:tcW w:w="1300" w:type="dxa"/>
            <w:vAlign w:val="bottom"/>
          </w:tcPr>
          <w:p>
            <w:pPr>
              <w:ind w:left="200"/>
              <w:spacing w:after="0"/>
              <w:rPr>
                <w:sz w:val="20"/>
                <w:szCs w:val="20"/>
                <w:color w:val="auto"/>
              </w:rPr>
            </w:pPr>
            <w:r>
              <w:rPr>
                <w:rFonts w:ascii="Arial" w:cs="Arial" w:eastAsia="Arial" w:hAnsi="Arial"/>
                <w:sz w:val="13"/>
                <w:szCs w:val="13"/>
                <w:color w:val="auto"/>
              </w:rPr>
              <w:t>X</w:t>
            </w: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42" w:lineRule="exact"/>
        <w:rPr>
          <w:sz w:val="20"/>
          <w:szCs w:val="20"/>
          <w:color w:val="auto"/>
        </w:rPr>
      </w:pPr>
    </w:p>
    <w:p>
      <w:pPr>
        <w:ind w:left="1180" w:hanging="227"/>
        <w:spacing w:after="0"/>
        <w:tabs>
          <w:tab w:leader="none" w:pos="11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Portions of this exhibit have been omitted due to a determination by the Securities and</w:t>
      </w:r>
    </w:p>
    <w:p>
      <w:pPr>
        <w:ind w:left="1180" w:hanging="227"/>
        <w:spacing w:after="0"/>
        <w:tabs>
          <w:tab w:leader="none" w:pos="11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Exchange Commission that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540"/>
          </w:cols>
          <w:pgMar w:left="240" w:top="141" w:right="11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Qualys,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of Subsidiary</w:t>
            </w:r>
          </w:p>
        </w:tc>
        <w:tc>
          <w:tcPr>
            <w:tcW w:w="380" w:type="dxa"/>
            <w:vAlign w:val="bottom"/>
          </w:tcPr>
          <w:p>
            <w:pPr>
              <w:spacing w:after="0"/>
              <w:rPr>
                <w:sz w:val="19"/>
                <w:szCs w:val="19"/>
                <w:color w:val="auto"/>
              </w:rPr>
            </w:pPr>
          </w:p>
        </w:tc>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Jurisdiction of Incorporation</w:t>
            </w:r>
          </w:p>
        </w:tc>
      </w:tr>
      <w:tr>
        <w:trPr>
          <w:trHeight w:val="581"/>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International, Inc.</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42"/>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Brazil Desenvolvimento de Produtos e Consultoria de Tecnologias</w:t>
            </w:r>
          </w:p>
        </w:tc>
        <w:tc>
          <w:tcPr>
            <w:tcW w:w="3560" w:type="dxa"/>
            <w:vAlign w:val="bottom"/>
          </w:tcPr>
          <w:p>
            <w:pPr>
              <w:spacing w:after="0"/>
              <w:rPr>
                <w:sz w:val="21"/>
                <w:szCs w:val="21"/>
                <w:color w:val="auto"/>
              </w:rPr>
            </w:pPr>
          </w:p>
        </w:tc>
      </w:tr>
      <w:tr>
        <w:trPr>
          <w:trHeight w:val="21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de Seguranca LTDA.</w:t>
            </w:r>
          </w:p>
        </w:tc>
        <w:tc>
          <w:tcPr>
            <w:tcW w:w="3560" w:type="dxa"/>
            <w:vAlign w:val="bottom"/>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Canada, Ltd.</w:t>
            </w:r>
          </w:p>
        </w:tc>
        <w:tc>
          <w:tcPr>
            <w:tcW w:w="356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Technologies, S.A.</w:t>
            </w:r>
          </w:p>
        </w:tc>
        <w:tc>
          <w:tcPr>
            <w:tcW w:w="3560" w:type="dxa"/>
            <w:vAlign w:val="bottom"/>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GmbH</w:t>
            </w:r>
          </w:p>
        </w:tc>
        <w:tc>
          <w:tcPr>
            <w:tcW w:w="35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Hong Kong Limited</w:t>
            </w:r>
          </w:p>
        </w:tc>
        <w:tc>
          <w:tcPr>
            <w:tcW w:w="3560" w:type="dxa"/>
            <w:vAlign w:val="bottom"/>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Security TechServices Private Ltd.</w:t>
            </w:r>
          </w:p>
        </w:tc>
        <w:tc>
          <w:tcPr>
            <w:tcW w:w="3560" w:type="dxa"/>
            <w:vAlign w:val="bottom"/>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Japan K.K.</w:t>
            </w:r>
          </w:p>
        </w:tc>
        <w:tc>
          <w:tcPr>
            <w:tcW w:w="3560" w:type="dxa"/>
            <w:vAlign w:val="bottom"/>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(Beijing) Information Technology Ltd. Corp.</w:t>
            </w:r>
          </w:p>
        </w:tc>
        <w:tc>
          <w:tcPr>
            <w:tcW w:w="356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Singapore Pte. Ltd.</w:t>
            </w:r>
          </w:p>
        </w:tc>
        <w:tc>
          <w:tcPr>
            <w:tcW w:w="3560" w:type="dxa"/>
            <w:vAlign w:val="bottom"/>
          </w:tcPr>
          <w:p>
            <w:pPr>
              <w:ind w:left="40"/>
              <w:spacing w:after="0"/>
              <w:rPr>
                <w:sz w:val="20"/>
                <w:szCs w:val="20"/>
                <w:color w:val="auto"/>
              </w:rPr>
            </w:pPr>
            <w:r>
              <w:rPr>
                <w:rFonts w:ascii="Arial" w:cs="Arial" w:eastAsia="Arial" w:hAnsi="Arial"/>
                <w:sz w:val="18"/>
                <w:szCs w:val="18"/>
                <w:color w:val="auto"/>
              </w:rPr>
              <w:t>Singapore</w:t>
            </w:r>
          </w:p>
        </w:tc>
      </w:tr>
      <w:tr>
        <w:trPr>
          <w:trHeight w:val="32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 xml:space="preserve">Qualys FZE </w:t>
            </w:r>
            <w:r>
              <w:rPr>
                <w:rFonts w:ascii="Arial" w:cs="Arial" w:eastAsia="Arial" w:hAnsi="Arial"/>
                <w:sz w:val="21"/>
                <w:szCs w:val="21"/>
                <w:color w:val="auto"/>
                <w:vertAlign w:val="superscript"/>
              </w:rPr>
              <w:t>(1)</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Arab Emirates</w:t>
            </w:r>
          </w:p>
        </w:tc>
      </w:tr>
      <w:tr>
        <w:trPr>
          <w:trHeight w:val="217"/>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Middle East FZE</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Arab Emirates</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Ltd.</w:t>
            </w:r>
          </w:p>
        </w:tc>
        <w:tc>
          <w:tcPr>
            <w:tcW w:w="3560" w:type="dxa"/>
            <w:vAlign w:val="bottom"/>
          </w:tcPr>
          <w:p>
            <w:pPr>
              <w:ind w:left="40"/>
              <w:spacing w:after="0"/>
              <w:rPr>
                <w:sz w:val="20"/>
                <w:szCs w:val="20"/>
                <w:color w:val="auto"/>
              </w:rPr>
            </w:pPr>
            <w:r>
              <w:rPr>
                <w:rFonts w:ascii="Arial" w:cs="Arial" w:eastAsia="Arial" w:hAnsi="Arial"/>
                <w:sz w:val="18"/>
                <w:szCs w:val="18"/>
                <w:color w:val="auto"/>
              </w:rPr>
              <w:t>United Kingdom</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Australia Pty Ltd.</w:t>
            </w:r>
          </w:p>
        </w:tc>
        <w:tc>
          <w:tcPr>
            <w:tcW w:w="3560" w:type="dxa"/>
            <w:vAlign w:val="bottom"/>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Qualys Switzerland Sarl</w:t>
            </w:r>
          </w:p>
        </w:tc>
        <w:tc>
          <w:tcPr>
            <w:tcW w:w="3560" w:type="dxa"/>
            <w:vAlign w:val="bottom"/>
          </w:tcPr>
          <w:p>
            <w:pPr>
              <w:ind w:left="40"/>
              <w:spacing w:after="0"/>
              <w:rPr>
                <w:sz w:val="20"/>
                <w:szCs w:val="20"/>
                <w:color w:val="auto"/>
              </w:rPr>
            </w:pPr>
            <w:r>
              <w:rPr>
                <w:rFonts w:ascii="Arial" w:cs="Arial" w:eastAsia="Arial" w:hAnsi="Arial"/>
                <w:sz w:val="18"/>
                <w:szCs w:val="18"/>
                <w:color w:val="auto"/>
              </w:rPr>
              <w:t>Switzerland</w:t>
            </w:r>
          </w:p>
        </w:tc>
      </w:tr>
    </w:tbl>
    <w:p>
      <w:pPr>
        <w:spacing w:after="0" w:line="200"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As of December 31, 2014, this entity is inactive and in the process of being dissolved.</w:t>
      </w:r>
    </w:p>
    <w:p>
      <w:pPr>
        <w:sectPr>
          <w:pgSz w:w="11900" w:h="16838" w:orient="portrait"/>
          <w:cols w:equalWidth="0" w:num="1">
            <w:col w:w="11420"/>
          </w:cols>
          <w:pgMar w:left="240" w:top="589"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issued our report dated March 6, 2015, with respect to the consolidated financial statements and schedule included in the Annual Report of Qualys, Inc. on Form 10-K for the year ended December 31, 2014. We hereby consent to the incorporation by reference of said report in the Registration Statements on Forms S-8 (File No. 333-184394 and File No. 333-193576).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6, 2015</w:t>
      </w:r>
    </w:p>
    <w:p>
      <w:pPr>
        <w:sectPr>
          <w:pgSz w:w="11900" w:h="16838" w:orient="portrait"/>
          <w:cols w:equalWidth="0" w:num="1">
            <w:col w:w="11420"/>
          </w:cols>
          <w:pgMar w:left="240" w:top="576"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March 6, 2015</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March 6, 2015</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2014,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March 6, 2015</w:t>
      </w:r>
    </w:p>
    <w:p>
      <w:pPr>
        <w:ind w:left="40"/>
        <w:spacing w:after="0"/>
        <w:rPr>
          <w:sz w:val="20"/>
          <w:szCs w:val="20"/>
          <w:color w:val="auto"/>
        </w:rPr>
      </w:pPr>
      <w:r>
        <w:rPr>
          <w:rFonts w:ascii="Arial" w:cs="Arial" w:eastAsia="Arial" w:hAnsi="Arial"/>
          <w:sz w:val="18"/>
          <w:szCs w:val="18"/>
          <w:color w:val="auto"/>
        </w:rPr>
        <w:t>Date:</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2014,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March 6, 2015</w:t>
      </w:r>
    </w:p>
    <w:p>
      <w:pPr>
        <w:ind w:left="40"/>
        <w:spacing w:after="0"/>
        <w:rPr>
          <w:sz w:val="20"/>
          <w:szCs w:val="20"/>
          <w:color w:val="auto"/>
        </w:rPr>
      </w:pPr>
      <w:r>
        <w:rPr>
          <w:rFonts w:ascii="Arial" w:cs="Arial" w:eastAsia="Arial" w:hAnsi="Arial"/>
          <w:sz w:val="18"/>
          <w:szCs w:val="18"/>
          <w:color w:val="auto"/>
        </w:rPr>
        <w:t>Date:</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decimal"/>
      <w:start w:val="2"/>
    </w:lvl>
  </w:abstractNum>
  <w:abstractNum w:abstractNumId="37">
    <w:nsid w:val="5C482A9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2019-12-29T18:45:09Z</dcterms:created>
  <dcterms:modified xsi:type="dcterms:W3CDTF">2019-12-29T18:45:09Z</dcterms:modified>
</cp:coreProperties>
</file>