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6"/>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76"/>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76"/>
        <w:spacing w:after="0"/>
        <w:rPr>
          <w:sz w:val="20"/>
          <w:szCs w:val="20"/>
          <w:color w:val="auto"/>
        </w:rPr>
      </w:pPr>
      <w:r>
        <w:rPr>
          <w:rFonts w:ascii="Arial" w:cs="Arial" w:eastAsia="Arial" w:hAnsi="Arial"/>
          <w:sz w:val="18"/>
          <w:szCs w:val="18"/>
          <w:b w:val="1"/>
          <w:bCs w:val="1"/>
          <w:color w:val="auto"/>
        </w:rPr>
        <w:t>Washington, D.C. 20549</w:t>
      </w:r>
    </w:p>
    <w:p>
      <w:pPr>
        <w:spacing w:after="0" w:line="179" w:lineRule="exact"/>
        <w:rPr>
          <w:sz w:val="24"/>
          <w:szCs w:val="24"/>
          <w:color w:val="auto"/>
        </w:rPr>
      </w:pPr>
    </w:p>
    <w:p>
      <w:pPr>
        <w:jc w:val="center"/>
        <w:ind w:right="76"/>
        <w:spacing w:after="0"/>
        <w:rPr>
          <w:sz w:val="20"/>
          <w:szCs w:val="20"/>
          <w:color w:val="auto"/>
        </w:rPr>
      </w:pPr>
      <w:r>
        <w:rPr>
          <w:rFonts w:ascii="Arial" w:cs="Arial" w:eastAsia="Arial" w:hAnsi="Arial"/>
          <w:sz w:val="18"/>
          <w:szCs w:val="18"/>
          <w:b w:val="1"/>
          <w:bCs w:val="1"/>
          <w:color w:val="auto"/>
        </w:rPr>
        <w:t>SCHEDULE 14A</w:t>
      </w:r>
    </w:p>
    <w:p>
      <w:pPr>
        <w:spacing w:after="0" w:line="198" w:lineRule="exact"/>
        <w:rPr>
          <w:sz w:val="24"/>
          <w:szCs w:val="24"/>
          <w:color w:val="auto"/>
        </w:rPr>
      </w:pPr>
    </w:p>
    <w:p>
      <w:pPr>
        <w:jc w:val="center"/>
        <w:ind w:right="76"/>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96"/>
        <w:spacing w:after="0"/>
        <w:tabs>
          <w:tab w:leader="none" w:pos="200" w:val="left"/>
        </w:tabs>
        <w:rPr>
          <w:sz w:val="20"/>
          <w:szCs w:val="20"/>
          <w:color w:val="auto"/>
        </w:rPr>
      </w:pPr>
      <w:r>
        <w:rPr>
          <w:rFonts w:ascii="Arial" w:cs="Arial" w:eastAsia="Arial" w:hAnsi="Arial"/>
          <w:sz w:val="18"/>
          <w:szCs w:val="18"/>
          <w:b w:val="1"/>
          <w:bCs w:val="1"/>
          <w:color w:val="auto"/>
        </w:rPr>
        <w:t>EXCHANGE ACT OF 1934 (AMENDMENT NO.</w:t>
        <w:tab/>
        <w:t>)</w:t>
      </w:r>
    </w:p>
    <w:p>
      <w:pPr>
        <w:spacing w:after="0" w:line="98" w:lineRule="exact"/>
        <w:rPr>
          <w:sz w:val="24"/>
          <w:szCs w:val="24"/>
          <w:color w:val="auto"/>
        </w:rPr>
      </w:pPr>
    </w:p>
    <w:p>
      <w:pPr>
        <w:ind w:left="584"/>
        <w:spacing w:after="0" w:line="242"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21"/>
          <w:szCs w:val="21"/>
          <w:color w:val="auto"/>
        </w:rPr>
        <w:t>☒</w:t>
      </w:r>
    </w:p>
    <w:p>
      <w:pPr>
        <w:spacing w:after="0" w:line="150" w:lineRule="exact"/>
        <w:rPr>
          <w:sz w:val="24"/>
          <w:szCs w:val="24"/>
          <w:color w:val="auto"/>
        </w:rPr>
      </w:pPr>
    </w:p>
    <w:p>
      <w:pPr>
        <w:ind w:left="584"/>
        <w:spacing w:after="0" w:line="242"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21"/>
          <w:szCs w:val="21"/>
          <w:color w:val="auto"/>
        </w:rPr>
        <w:t>☐</w:t>
      </w:r>
    </w:p>
    <w:p>
      <w:pPr>
        <w:spacing w:after="0" w:line="163" w:lineRule="exact"/>
        <w:rPr>
          <w:sz w:val="24"/>
          <w:szCs w:val="24"/>
          <w:color w:val="auto"/>
        </w:rPr>
      </w:pPr>
    </w:p>
    <w:p>
      <w:pPr>
        <w:ind w:left="584"/>
        <w:spacing w:after="0"/>
        <w:rPr>
          <w:sz w:val="20"/>
          <w:szCs w:val="20"/>
          <w:color w:val="auto"/>
        </w:rPr>
      </w:pPr>
      <w:r>
        <w:rPr>
          <w:rFonts w:ascii="Arial" w:cs="Arial" w:eastAsia="Arial" w:hAnsi="Arial"/>
          <w:sz w:val="18"/>
          <w:szCs w:val="18"/>
          <w:color w:val="auto"/>
        </w:rPr>
        <w:t>Check the appropriate box:</w:t>
      </w:r>
    </w:p>
    <w:p>
      <w:pPr>
        <w:spacing w:after="0" w:line="126" w:lineRule="exact"/>
        <w:rPr>
          <w:sz w:val="24"/>
          <w:szCs w:val="24"/>
          <w:color w:val="auto"/>
        </w:rPr>
      </w:pPr>
    </w:p>
    <w:p>
      <w:pPr>
        <w:ind w:left="1144" w:hanging="550"/>
        <w:spacing w:after="0"/>
        <w:tabs>
          <w:tab w:leader="none" w:pos="114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245" w:lineRule="exact"/>
        <w:rPr>
          <w:rFonts w:ascii="MS PGothic" w:cs="MS PGothic" w:eastAsia="MS PGothic" w:hAnsi="MS PGothic"/>
          <w:sz w:val="22"/>
          <w:szCs w:val="22"/>
          <w:color w:val="auto"/>
        </w:rPr>
      </w:pPr>
    </w:p>
    <w:p>
      <w:pPr>
        <w:ind w:left="1144" w:hanging="550"/>
        <w:spacing w:after="0"/>
        <w:tabs>
          <w:tab w:leader="none" w:pos="114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245" w:lineRule="exact"/>
        <w:rPr>
          <w:rFonts w:ascii="MS PGothic" w:cs="MS PGothic" w:eastAsia="MS PGothic" w:hAnsi="MS PGothic"/>
          <w:sz w:val="22"/>
          <w:szCs w:val="22"/>
          <w:color w:val="auto"/>
        </w:rPr>
      </w:pPr>
    </w:p>
    <w:p>
      <w:pPr>
        <w:ind w:left="1144" w:hanging="550"/>
        <w:spacing w:after="0"/>
        <w:tabs>
          <w:tab w:leader="none" w:pos="114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245" w:lineRule="exact"/>
        <w:rPr>
          <w:sz w:val="24"/>
          <w:szCs w:val="24"/>
          <w:color w:val="auto"/>
        </w:rPr>
      </w:pPr>
    </w:p>
    <w:p>
      <w:pPr>
        <w:ind w:left="1144" w:hanging="550"/>
        <w:spacing w:after="0"/>
        <w:tabs>
          <w:tab w:leader="none" w:pos="1144"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245" w:lineRule="exact"/>
        <w:rPr>
          <w:sz w:val="24"/>
          <w:szCs w:val="24"/>
          <w:color w:val="auto"/>
        </w:rPr>
      </w:pPr>
    </w:p>
    <w:p>
      <w:pPr>
        <w:ind w:left="1144" w:hanging="550"/>
        <w:spacing w:after="0"/>
        <w:tabs>
          <w:tab w:leader="none" w:pos="1144"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§240.14a-12</w:t>
      </w:r>
    </w:p>
    <w:p>
      <w:pPr>
        <w:spacing w:after="0" w:line="190" w:lineRule="exact"/>
        <w:rPr>
          <w:sz w:val="24"/>
          <w:szCs w:val="24"/>
          <w:color w:val="auto"/>
        </w:rPr>
      </w:pPr>
    </w:p>
    <w:p>
      <w:pPr>
        <w:jc w:val="center"/>
        <w:ind w:right="76"/>
        <w:spacing w:after="0"/>
        <w:rPr>
          <w:sz w:val="20"/>
          <w:szCs w:val="20"/>
          <w:color w:val="auto"/>
        </w:rPr>
      </w:pPr>
      <w:r>
        <w:rPr>
          <w:rFonts w:ascii="Arial" w:cs="Arial" w:eastAsia="Arial" w:hAnsi="Arial"/>
          <w:sz w:val="24"/>
          <w:szCs w:val="24"/>
          <w:b w:val="1"/>
          <w:bCs w:val="1"/>
          <w:color w:val="auto"/>
        </w:rPr>
        <w:t>QUALYS,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 w:lineRule="exact"/>
        <w:rPr>
          <w:sz w:val="24"/>
          <w:szCs w:val="24"/>
          <w:color w:val="auto"/>
        </w:rPr>
      </w:pPr>
    </w:p>
    <w:p>
      <w:pPr>
        <w:ind w:left="38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4" w:lineRule="exact"/>
        <w:rPr>
          <w:sz w:val="24"/>
          <w:szCs w:val="24"/>
          <w:color w:val="auto"/>
        </w:rPr>
      </w:pPr>
    </w:p>
    <w:p>
      <w:pPr>
        <w:ind w:left="584"/>
        <w:spacing w:after="0"/>
        <w:rPr>
          <w:sz w:val="20"/>
          <w:szCs w:val="20"/>
          <w:color w:val="auto"/>
        </w:rPr>
      </w:pPr>
      <w:r>
        <w:rPr>
          <w:rFonts w:ascii="Arial" w:cs="Arial" w:eastAsia="Arial" w:hAnsi="Arial"/>
          <w:sz w:val="18"/>
          <w:szCs w:val="18"/>
          <w:color w:val="auto"/>
        </w:rPr>
        <w:t>Payment of Filing Fee (Check the appropriate box):</w:t>
      </w:r>
    </w:p>
    <w:p>
      <w:pPr>
        <w:ind w:left="1044" w:hanging="544"/>
        <w:spacing w:after="0" w:line="189" w:lineRule="auto"/>
        <w:tabs>
          <w:tab w:leader="none" w:pos="1044" w:val="left"/>
        </w:tabs>
        <w:numPr>
          <w:ilvl w:val="0"/>
          <w:numId w:val="4"/>
        </w:numPr>
        <w:rPr>
          <w:rFonts w:ascii="MS PGothic" w:cs="MS PGothic" w:eastAsia="MS PGothic" w:hAnsi="MS PGothic"/>
          <w:sz w:val="43"/>
          <w:szCs w:val="43"/>
          <w:color w:val="auto"/>
          <w:vertAlign w:val="subscript"/>
        </w:rPr>
      </w:pPr>
      <w:r>
        <w:rPr>
          <w:rFonts w:ascii="Arial" w:cs="Arial" w:eastAsia="Arial" w:hAnsi="Arial"/>
          <w:sz w:val="18"/>
          <w:szCs w:val="18"/>
          <w:color w:val="auto"/>
        </w:rPr>
        <w:t>No fee required.</w:t>
      </w:r>
    </w:p>
    <w:p>
      <w:pPr>
        <w:spacing w:after="0" w:line="44" w:lineRule="exact"/>
        <w:rPr>
          <w:sz w:val="24"/>
          <w:szCs w:val="24"/>
          <w:color w:val="auto"/>
        </w:rPr>
      </w:pPr>
    </w:p>
    <w:p>
      <w:pPr>
        <w:ind w:left="1044" w:hanging="544"/>
        <w:spacing w:after="0"/>
        <w:tabs>
          <w:tab w:leader="none" w:pos="1044" w:val="left"/>
        </w:tabs>
        <w:numPr>
          <w:ilvl w:val="0"/>
          <w:numId w:val="5"/>
        </w:numPr>
        <w:rPr>
          <w:rFonts w:ascii="MS PGothic" w:cs="MS PGothic" w:eastAsia="MS PGothic" w:hAnsi="MS PGothic"/>
          <w:sz w:val="43"/>
          <w:szCs w:val="43"/>
          <w:color w:val="auto"/>
          <w:vertAlign w:val="subscript"/>
        </w:rPr>
      </w:pPr>
      <w:r>
        <w:rPr>
          <w:rFonts w:ascii="Arial" w:cs="Arial" w:eastAsia="Arial" w:hAnsi="Arial"/>
          <w:sz w:val="18"/>
          <w:szCs w:val="18"/>
          <w:color w:val="auto"/>
        </w:rPr>
        <w:t>Fee computed on table below per Exchange Act Rules 14a-6(i)(1) and 0-11.</w:t>
      </w:r>
    </w:p>
    <w:p>
      <w:pPr>
        <w:spacing w:after="0" w:line="250" w:lineRule="exact"/>
        <w:rPr>
          <w:sz w:val="24"/>
          <w:szCs w:val="24"/>
          <w:color w:val="auto"/>
        </w:rPr>
      </w:pPr>
    </w:p>
    <w:p>
      <w:pPr>
        <w:ind w:left="1044" w:hanging="544"/>
        <w:spacing w:after="0"/>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044" w:hanging="544"/>
        <w:spacing w:after="0"/>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044" w:hanging="544"/>
        <w:spacing w:after="0" w:line="268" w:lineRule="auto"/>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50" w:lineRule="exact"/>
        <w:rPr>
          <w:rFonts w:ascii="Arial" w:cs="Arial" w:eastAsia="Arial" w:hAnsi="Arial"/>
          <w:sz w:val="18"/>
          <w:szCs w:val="18"/>
          <w:color w:val="auto"/>
        </w:rPr>
      </w:pPr>
    </w:p>
    <w:p>
      <w:pPr>
        <w:ind w:left="1044" w:hanging="544"/>
        <w:spacing w:after="0"/>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1044" w:hanging="544"/>
        <w:spacing w:after="0"/>
        <w:tabs>
          <w:tab w:leader="none" w:pos="1044"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82" w:lineRule="exact"/>
        <w:rPr>
          <w:rFonts w:ascii="Arial" w:cs="Arial" w:eastAsia="Arial" w:hAnsi="Arial"/>
          <w:sz w:val="18"/>
          <w:szCs w:val="18"/>
          <w:color w:val="auto"/>
        </w:rPr>
      </w:pPr>
    </w:p>
    <w:p>
      <w:pPr>
        <w:ind w:left="504" w:hanging="504"/>
        <w:spacing w:after="0"/>
        <w:tabs>
          <w:tab w:leader="none" w:pos="504" w:val="left"/>
        </w:tabs>
        <w:numPr>
          <w:ilvl w:val="0"/>
          <w:numId w:val="6"/>
        </w:numPr>
        <w:rPr>
          <w:rFonts w:ascii="MS PGothic" w:cs="MS PGothic" w:eastAsia="MS PGothic" w:hAnsi="MS PGothic"/>
          <w:sz w:val="43"/>
          <w:szCs w:val="43"/>
          <w:color w:val="auto"/>
          <w:vertAlign w:val="subscript"/>
        </w:rPr>
      </w:pPr>
      <w:r>
        <w:rPr>
          <w:rFonts w:ascii="Arial" w:cs="Arial" w:eastAsia="Arial" w:hAnsi="Arial"/>
          <w:sz w:val="18"/>
          <w:szCs w:val="18"/>
          <w:color w:val="auto"/>
        </w:rPr>
        <w:t>Fee paid previously with preliminary materials.</w:t>
      </w:r>
    </w:p>
    <w:p>
      <w:pPr>
        <w:spacing w:after="0" w:line="142" w:lineRule="exact"/>
        <w:rPr>
          <w:rFonts w:ascii="MS PGothic" w:cs="MS PGothic" w:eastAsia="MS PGothic" w:hAnsi="MS PGothic"/>
          <w:sz w:val="43"/>
          <w:szCs w:val="43"/>
          <w:color w:val="auto"/>
          <w:vertAlign w:val="subscript"/>
        </w:rPr>
      </w:pPr>
    </w:p>
    <w:p>
      <w:pPr>
        <w:ind w:left="504" w:right="520" w:hanging="504"/>
        <w:spacing w:after="0" w:line="186" w:lineRule="auto"/>
        <w:tabs>
          <w:tab w:leader="none" w:pos="504" w:val="left"/>
        </w:tabs>
        <w:numPr>
          <w:ilvl w:val="0"/>
          <w:numId w:val="6"/>
        </w:numPr>
        <w:rPr>
          <w:rFonts w:ascii="MS PGothic" w:cs="MS PGothic" w:eastAsia="MS PGothic" w:hAnsi="MS PGothic"/>
          <w:sz w:val="38"/>
          <w:szCs w:val="38"/>
          <w:color w:val="auto"/>
          <w:vertAlign w:val="subscript"/>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-640080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-1146175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-1652270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-2295525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-2801620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4"/>
          <w:szCs w:val="24"/>
          <w:color w:val="auto"/>
        </w:rPr>
      </w:pPr>
    </w:p>
    <w:p>
      <w:pPr>
        <w:ind w:left="964" w:hanging="451"/>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964" w:hanging="451"/>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964" w:hanging="451"/>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964" w:hanging="451"/>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242570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-262890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-768985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-1274445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4"/>
          </w:cols>
          <w:pgMar w:left="356" w:top="219" w:right="259" w:bottom="931"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 Exercise Your Right to Vote ***</w:t>
      </w:r>
    </w:p>
    <w:p>
      <w:pPr>
        <w:spacing w:after="0"/>
        <w:rPr>
          <w:sz w:val="20"/>
          <w:szCs w:val="20"/>
          <w:color w:val="auto"/>
        </w:rPr>
      </w:pPr>
      <w:r>
        <w:rPr>
          <w:rFonts w:ascii="Arial" w:cs="Arial" w:eastAsia="Arial" w:hAnsi="Arial"/>
          <w:sz w:val="3"/>
          <w:szCs w:val="3"/>
          <w:color w:val="FFFFFF"/>
        </w:rPr>
        <w:t>MeetingImportantInformationNoticeRegarding the Availability of Proxy Materials for the Stockholder Meeting to Be Held on June 4, 2013.</w:t>
      </w:r>
    </w:p>
    <w:p>
      <w:pPr>
        <w:spacing w:after="0" w:line="194" w:lineRule="auto"/>
        <w:rPr>
          <w:sz w:val="20"/>
          <w:szCs w:val="20"/>
          <w:color w:val="auto"/>
        </w:rPr>
      </w:pPr>
      <w:r>
        <w:rPr>
          <w:rFonts w:ascii="Arial" w:cs="Arial" w:eastAsia="Arial" w:hAnsi="Arial"/>
          <w:sz w:val="5"/>
          <w:szCs w:val="5"/>
          <w:color w:val="FFFFFF"/>
        </w:rPr>
        <w:t>QUALYS, INC.</w:t>
      </w:r>
    </w:p>
    <w:p>
      <w:pPr>
        <w:spacing w:after="0" w:line="181" w:lineRule="auto"/>
        <w:rPr>
          <w:sz w:val="20"/>
          <w:szCs w:val="20"/>
          <w:color w:val="auto"/>
        </w:rPr>
      </w:pPr>
      <w:r>
        <w:rPr>
          <w:rFonts w:ascii="Arial" w:cs="Arial" w:eastAsia="Arial" w:hAnsi="Arial"/>
          <w:sz w:val="14"/>
          <w:szCs w:val="14"/>
          <w:color w:val="FFFFFF"/>
        </w:rPr>
        <w:t>1600REDWOODBRIDGECITY,PARKWAYCA94065</w:t>
      </w:r>
    </w:p>
    <w:p>
      <w:pPr>
        <w:spacing w:after="0" w:line="212" w:lineRule="auto"/>
        <w:rPr>
          <w:sz w:val="20"/>
          <w:szCs w:val="20"/>
          <w:color w:val="auto"/>
        </w:rPr>
      </w:pPr>
      <w:r>
        <w:rPr>
          <w:rFonts w:ascii="Arial" w:cs="Arial" w:eastAsia="Arial" w:hAnsi="Arial"/>
          <w:sz w:val="2"/>
          <w:szCs w:val="2"/>
          <w:color w:val="FFFFFF"/>
        </w:rPr>
        <w:t>ForMeetingholdersType:as of:AnnualAprilMeeting</w:t>
      </w:r>
      <w:r>
        <w:rPr>
          <w:rFonts w:ascii="Arial" w:cs="Arial" w:eastAsia="Arial" w:hAnsi="Arial"/>
          <w:sz w:val="4"/>
          <w:szCs w:val="4"/>
          <w:color w:val="FFFFFF"/>
          <w:vertAlign w:val="superscript"/>
        </w:rPr>
        <w:t>10,</w:t>
      </w:r>
      <w:r>
        <w:rPr>
          <w:rFonts w:ascii="Arial" w:cs="Arial" w:eastAsia="Arial" w:hAnsi="Arial"/>
          <w:sz w:val="2"/>
          <w:szCs w:val="2"/>
          <w:color w:val="FFFFFF"/>
        </w:rPr>
        <w:t>2013</w:t>
      </w:r>
    </w:p>
    <w:p>
      <w:pPr>
        <w:ind w:right="3840"/>
        <w:spacing w:after="0"/>
        <w:rPr>
          <w:sz w:val="20"/>
          <w:szCs w:val="20"/>
          <w:color w:val="auto"/>
        </w:rPr>
      </w:pPr>
      <w:r>
        <w:rPr>
          <w:rFonts w:ascii="Arial" w:cs="Arial" w:eastAsia="Arial" w:hAnsi="Arial"/>
          <w:sz w:val="7"/>
          <w:szCs w:val="7"/>
          <w:color w:val="FFFFFF"/>
        </w:rPr>
        <w:t>Date: June 4, 2013 Time: 1:00 AM Location: Sofitel San Francisco Bay Hotel 223 Twin Dolphin Drive Redwood City, California 94065 You are receiving this communication because you hold shares in the company named above.</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This is not a ballot. You cannot use this notice to vote these</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7"/>
          <w:szCs w:val="7"/>
          <w:color w:val="FFFFFF"/>
        </w:rPr>
        <w:t xml:space="preserve">shares. This communication presents only an overview of the more complete proxy materials that are available to you on the Internet. You may view the proxy materials online at www.proxyvote.com or easily </w:t>
      </w:r>
      <w:r>
        <w:rPr>
          <w:rFonts w:ascii="Arial" w:cs="Arial" w:eastAsia="Arial" w:hAnsi="Arial"/>
          <w:sz w:val="9"/>
          <w:szCs w:val="9"/>
          <w:color w:val="FFFFFF"/>
          <w:vertAlign w:val="subscript"/>
        </w:rPr>
        <w:t>requestencourage</w:t>
      </w:r>
      <w:r>
        <w:rPr>
          <w:rFonts w:ascii="Arial" w:cs="Arial" w:eastAsia="Arial" w:hAnsi="Arial"/>
          <w:sz w:val="7"/>
          <w:szCs w:val="7"/>
          <w:color w:val="FFFFFF"/>
        </w:rPr>
        <w:t>paper copy (see reverse side).</w:t>
      </w:r>
    </w:p>
    <w:p>
      <w:pPr>
        <w:spacing w:after="0"/>
        <w:tabs>
          <w:tab w:leader="none" w:pos="780" w:val="left"/>
        </w:tabs>
        <w:rPr>
          <w:sz w:val="20"/>
          <w:szCs w:val="20"/>
          <w:color w:val="auto"/>
        </w:rPr>
      </w:pPr>
      <w:r>
        <w:rPr>
          <w:rFonts w:ascii="Arial" w:cs="Arial" w:eastAsia="Arial" w:hAnsi="Arial"/>
          <w:sz w:val="3"/>
          <w:szCs w:val="3"/>
          <w:color w:val="FFFFFF"/>
        </w:rPr>
        <w:t>W</w:t>
      </w:r>
      <w:r>
        <w:rPr>
          <w:sz w:val="20"/>
          <w:szCs w:val="20"/>
          <w:color w:val="auto"/>
        </w:rPr>
        <w:tab/>
      </w:r>
      <w:r>
        <w:rPr>
          <w:rFonts w:ascii="Arial" w:cs="Arial" w:eastAsia="Arial" w:hAnsi="Arial"/>
          <w:sz w:val="3"/>
          <w:szCs w:val="3"/>
          <w:color w:val="FFFFFF"/>
        </w:rPr>
        <w:t>you to access and review all of the important information contained in the proxy materials before voting.</w:t>
      </w:r>
    </w:p>
    <w:p>
      <w:pPr>
        <w:spacing w:after="0" w:line="194" w:lineRule="auto"/>
        <w:rPr>
          <w:sz w:val="20"/>
          <w:szCs w:val="20"/>
          <w:color w:val="auto"/>
        </w:rPr>
      </w:pPr>
      <w:r>
        <w:rPr>
          <w:rFonts w:ascii="Arial" w:cs="Arial" w:eastAsia="Arial" w:hAnsi="Arial"/>
          <w:sz w:val="5"/>
          <w:szCs w:val="5"/>
          <w:color w:val="FFFFFF"/>
        </w:rPr>
        <w:t>M58539-P33208</w:t>
      </w:r>
    </w:p>
    <w:p>
      <w:pPr>
        <w:spacing w:after="0"/>
        <w:rPr>
          <w:sz w:val="20"/>
          <w:szCs w:val="20"/>
          <w:color w:val="auto"/>
        </w:rPr>
      </w:pPr>
      <w:r>
        <w:rPr>
          <w:rFonts w:ascii="Arial" w:cs="Arial" w:eastAsia="Arial" w:hAnsi="Arial"/>
          <w:sz w:val="14"/>
          <w:szCs w:val="14"/>
          <w:color w:val="FFFFFF"/>
        </w:rPr>
        <w:t>See the reverse side of this notice to obtain proxy materials and voting instructions.</w:t>
      </w:r>
    </w:p>
    <w:p>
      <w:pPr>
        <w:sectPr>
          <w:pgSz w:w="11900" w:h="16838" w:orient="portrait"/>
          <w:cols w:equalWidth="0" w:num="1">
            <w:col w:w="11280"/>
          </w:cols>
          <w:pgMar w:left="240" w:top="1440"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FFFFFF"/>
        </w:rPr>
        <w:t>BeforeHowtoYouAccessVotethe Proxy Materials</w:t>
      </w:r>
    </w:p>
    <w:p>
      <w:pPr>
        <w:spacing w:after="0"/>
        <w:rPr>
          <w:sz w:val="20"/>
          <w:szCs w:val="20"/>
          <w:color w:val="auto"/>
        </w:rPr>
      </w:pPr>
      <w:r>
        <w:rPr>
          <w:rFonts w:ascii="Arial" w:cs="Arial" w:eastAsia="Arial" w:hAnsi="Arial"/>
          <w:sz w:val="3"/>
          <w:szCs w:val="3"/>
          <w:color w:val="FFFFFF"/>
        </w:rPr>
        <w:t>Proxy Materials Available to VIEW or RECEIVE:</w:t>
      </w:r>
    </w:p>
    <w:p>
      <w:pPr>
        <w:spacing w:after="0" w:line="181" w:lineRule="auto"/>
        <w:rPr>
          <w:sz w:val="20"/>
          <w:szCs w:val="20"/>
          <w:color w:val="auto"/>
        </w:rPr>
      </w:pPr>
      <w:r>
        <w:rPr>
          <w:rFonts w:ascii="Arial" w:cs="Arial" w:eastAsia="Arial" w:hAnsi="Arial"/>
          <w:sz w:val="10"/>
          <w:szCs w:val="10"/>
          <w:color w:val="FFFFFF"/>
        </w:rPr>
        <w:t>NOTICEavetoViewANDOnline:PROXY STATEMENT ANNUAL REPORT</w:t>
      </w:r>
    </w:p>
    <w:p>
      <w:pPr>
        <w:ind w:left="320"/>
        <w:spacing w:after="0"/>
        <w:rPr>
          <w:sz w:val="20"/>
          <w:szCs w:val="20"/>
          <w:color w:val="auto"/>
        </w:rPr>
      </w:pPr>
      <w:r>
        <w:rPr>
          <w:rFonts w:ascii="Arial" w:cs="Arial" w:eastAsia="Arial" w:hAnsi="Arial"/>
          <w:sz w:val="3"/>
          <w:szCs w:val="3"/>
          <w:color w:val="FFFFFF"/>
        </w:rPr>
        <w:t>the information that is printed in the box marked by the arrow XXXX XXXX XXXX (located on the following page) and visit: www.proxyvote.com.</w:t>
      </w:r>
    </w:p>
    <w:p>
      <w:pPr>
        <w:spacing w:after="0" w:line="181" w:lineRule="auto"/>
        <w:rPr>
          <w:sz w:val="20"/>
          <w:szCs w:val="20"/>
          <w:color w:val="auto"/>
        </w:rPr>
      </w:pPr>
      <w:r>
        <w:rPr>
          <w:rFonts w:ascii="Arial" w:cs="Arial" w:eastAsia="Arial" w:hAnsi="Arial"/>
          <w:sz w:val="10"/>
          <w:szCs w:val="10"/>
          <w:color w:val="FFFFFF"/>
        </w:rPr>
        <w:t>IfHowyoutowantRequesttoreceiveandReceiveapaperaorPAPER-mailorcopyE-MAILoftheseCopy:documents, you must request one. There is NO charge for requesting a copy. Please choose one of the following methods to make your request:</w:t>
      </w:r>
    </w:p>
    <w:p>
      <w:pPr>
        <w:spacing w:after="0"/>
        <w:rPr>
          <w:sz w:val="20"/>
          <w:szCs w:val="20"/>
          <w:color w:val="auto"/>
        </w:rPr>
      </w:pPr>
      <w:r>
        <w:rPr>
          <w:rFonts w:ascii="Arial" w:cs="Arial" w:eastAsia="Arial" w:hAnsi="Arial"/>
          <w:sz w:val="3"/>
          <w:szCs w:val="3"/>
          <w:color w:val="FFFFFF"/>
        </w:rPr>
        <w:t>*1)IfBYrequestingINTERNET:materialswwwby.proxyvote-mail,please.com2)sendBYaTELEPHONE:blanke-mailwith1-800the-579information-16393) BYthat Eis-MAIL*:printedinsendmaterial@proxyvote.comtheboxmarkedbythearrow XXXX XXXX XXXX (located on the following page) in the subject line.</w:t>
      </w:r>
    </w:p>
    <w:p>
      <w:pPr>
        <w:spacing w:after="0" w:line="6" w:lineRule="exact"/>
        <w:rPr>
          <w:sz w:val="20"/>
          <w:szCs w:val="20"/>
          <w:color w:val="auto"/>
        </w:rPr>
      </w:pPr>
    </w:p>
    <w:p>
      <w:pPr>
        <w:spacing w:after="0" w:line="230" w:lineRule="auto"/>
        <w:rPr>
          <w:sz w:val="20"/>
          <w:szCs w:val="20"/>
          <w:color w:val="auto"/>
        </w:rPr>
      </w:pPr>
      <w:r>
        <w:rPr>
          <w:rFonts w:ascii="Arial" w:cs="Arial" w:eastAsia="Arial" w:hAnsi="Arial"/>
          <w:sz w:val="11"/>
          <w:szCs w:val="11"/>
          <w:color w:val="FFFFFF"/>
        </w:rPr>
        <w:t>Requests, instructions and other inquiries sent to this e-mail address will NOT be forwarded to your investment advisor. Please make the request as instructed above on or before May 21, 2013 to facilitate timely delivery.</w:t>
      </w:r>
    </w:p>
    <w:p>
      <w:pPr>
        <w:spacing w:after="0"/>
        <w:rPr>
          <w:sz w:val="20"/>
          <w:szCs w:val="20"/>
          <w:color w:val="auto"/>
        </w:rPr>
      </w:pPr>
      <w:r>
        <w:rPr>
          <w:rFonts w:ascii="Arial" w:cs="Arial" w:eastAsia="Arial" w:hAnsi="Arial"/>
          <w:sz w:val="3"/>
          <w:szCs w:val="3"/>
          <w:color w:val="FFFFFF"/>
        </w:rPr>
        <w:t>Please Choose One of the Following Voting Methods</w:t>
      </w:r>
    </w:p>
    <w:p>
      <w:pPr>
        <w:spacing w:after="0" w:line="6" w:lineRule="exact"/>
        <w:rPr>
          <w:sz w:val="20"/>
          <w:szCs w:val="20"/>
          <w:color w:val="auto"/>
        </w:rPr>
      </w:pPr>
    </w:p>
    <w:p>
      <w:pPr>
        <w:ind w:right="100"/>
        <w:spacing w:after="0"/>
        <w:rPr>
          <w:sz w:val="20"/>
          <w:szCs w:val="20"/>
          <w:color w:val="auto"/>
        </w:rPr>
      </w:pPr>
      <w:r>
        <w:rPr>
          <w:rFonts w:ascii="Arial" w:cs="Arial" w:eastAsia="Arial" w:hAnsi="Arial"/>
          <w:sz w:val="7"/>
          <w:szCs w:val="7"/>
          <w:color w:val="FFFFFF"/>
        </w:rPr>
        <w:t>Vote In Person: Many stockholder meetings have attendance requirements including, but not limited to, the possession of an attendance ticket issued by the entity holding the meeting. Please check the meeting materials for any special requirements for meeting attendance. At the meeting, you will need to request a ballot to vote these shares.</w:t>
      </w:r>
    </w:p>
    <w:p>
      <w:pPr>
        <w:spacing w:after="0" w:line="214" w:lineRule="auto"/>
        <w:rPr>
          <w:sz w:val="20"/>
          <w:szCs w:val="20"/>
          <w:color w:val="auto"/>
        </w:rPr>
      </w:pPr>
      <w:r>
        <w:rPr>
          <w:rFonts w:ascii="Arial" w:cs="Arial" w:eastAsia="Arial" w:hAnsi="Arial"/>
          <w:sz w:val="2"/>
          <w:szCs w:val="2"/>
          <w:color w:val="FFFFFF"/>
        </w:rPr>
        <w:t>Vote By Internet:</w:t>
      </w:r>
      <w:r>
        <w:rPr>
          <w:rFonts w:ascii="Arial" w:cs="Arial" w:eastAsia="Arial" w:hAnsi="Arial"/>
          <w:sz w:val="4"/>
          <w:szCs w:val="4"/>
          <w:color w:val="FFFFFF"/>
          <w:vertAlign w:val="subscript"/>
        </w:rPr>
        <w:t>instructions</w:t>
      </w:r>
      <w:r>
        <w:rPr>
          <w:rFonts w:ascii="Arial" w:cs="Arial" w:eastAsia="Arial" w:hAnsi="Arial"/>
          <w:sz w:val="2"/>
          <w:szCs w:val="2"/>
          <w:color w:val="FFFFFF"/>
        </w:rPr>
        <w:t>Tvote now by Internet, go to www.proxyvote.com. Have the information that is printed in the box marked by the arrow XXXX XXXX XXXX (located on the following page) available and</w:t>
      </w:r>
    </w:p>
    <w:p>
      <w:pPr>
        <w:spacing w:after="0"/>
        <w:tabs>
          <w:tab w:leader="none" w:pos="1200" w:val="left"/>
        </w:tabs>
        <w:rPr>
          <w:sz w:val="20"/>
          <w:szCs w:val="20"/>
          <w:color w:val="auto"/>
        </w:rPr>
      </w:pPr>
      <w:r>
        <w:rPr>
          <w:rFonts w:ascii="Arial" w:cs="Arial" w:eastAsia="Arial" w:hAnsi="Arial"/>
          <w:sz w:val="3"/>
          <w:szCs w:val="3"/>
          <w:color w:val="FFFFFF"/>
        </w:rPr>
        <w:t>follow the</w:t>
      </w:r>
      <w:r>
        <w:rPr>
          <w:sz w:val="20"/>
          <w:szCs w:val="20"/>
          <w:color w:val="auto"/>
        </w:rPr>
        <w:tab/>
      </w:r>
      <w:r>
        <w:rPr>
          <w:rFonts w:ascii="Arial" w:cs="Arial" w:eastAsia="Arial" w:hAnsi="Arial"/>
          <w:sz w:val="3"/>
          <w:szCs w:val="3"/>
          <w:color w:val="FFFFFF"/>
        </w:rPr>
        <w:t>.</w:t>
      </w:r>
    </w:p>
    <w:p>
      <w:pPr>
        <w:spacing w:after="0" w:line="194" w:lineRule="auto"/>
        <w:rPr>
          <w:sz w:val="20"/>
          <w:szCs w:val="20"/>
          <w:color w:val="auto"/>
        </w:rPr>
      </w:pPr>
      <w:r>
        <w:rPr>
          <w:rFonts w:ascii="Arial" w:cs="Arial" w:eastAsia="Arial" w:hAnsi="Arial"/>
          <w:sz w:val="5"/>
          <w:szCs w:val="5"/>
          <w:color w:val="FFFFFF"/>
        </w:rPr>
        <w:t>Vote By Mail: You can vote by mail by requesting a paper copy of the materials, which will include a proxy card.</w:t>
      </w:r>
    </w:p>
    <w:p>
      <w:pPr>
        <w:spacing w:after="0"/>
        <w:rPr>
          <w:sz w:val="20"/>
          <w:szCs w:val="20"/>
          <w:color w:val="auto"/>
        </w:rPr>
      </w:pPr>
      <w:r>
        <w:rPr>
          <w:rFonts w:ascii="Arial" w:cs="Arial" w:eastAsia="Arial" w:hAnsi="Arial"/>
          <w:sz w:val="14"/>
          <w:szCs w:val="14"/>
          <w:color w:val="FFFFFF"/>
        </w:rPr>
        <w:t>M58540-P33208</w:t>
      </w:r>
    </w:p>
    <w:p>
      <w:pPr>
        <w:sectPr>
          <w:pgSz w:w="11900" w:h="16838" w:orient="portrait"/>
          <w:cols w:equalWidth="0" w:num="1">
            <w:col w:w="11380"/>
          </w:cols>
          <w:pgMar w:left="240" w:top="1440" w:right="2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Voting Items</w:t>
      </w:r>
    </w:p>
    <w:p>
      <w:pPr>
        <w:spacing w:after="0" w:line="187" w:lineRule="auto"/>
        <w:rPr>
          <w:sz w:val="20"/>
          <w:szCs w:val="20"/>
          <w:color w:val="auto"/>
        </w:rPr>
      </w:pPr>
      <w:r>
        <w:rPr>
          <w:rFonts w:ascii="Arial" w:cs="Arial" w:eastAsia="Arial" w:hAnsi="Arial"/>
          <w:sz w:val="9"/>
          <w:szCs w:val="9"/>
          <w:color w:val="FFFFFF"/>
        </w:rPr>
        <w:t>The Board of Directors recommends you vote FOR the following:</w:t>
      </w:r>
    </w:p>
    <w:p>
      <w:pPr>
        <w:spacing w:after="0"/>
        <w:rPr>
          <w:sz w:val="20"/>
          <w:szCs w:val="20"/>
          <w:color w:val="auto"/>
        </w:rPr>
      </w:pPr>
      <w:r>
        <w:rPr>
          <w:rFonts w:ascii="Arial" w:cs="Arial" w:eastAsia="Arial" w:hAnsi="Arial"/>
          <w:sz w:val="3"/>
          <w:szCs w:val="3"/>
          <w:color w:val="FFFFFF"/>
        </w:rPr>
        <w:t>Nominees:1.Election of Directors</w:t>
      </w:r>
    </w:p>
    <w:p>
      <w:pPr>
        <w:spacing w:after="0" w:line="194" w:lineRule="auto"/>
        <w:rPr>
          <w:sz w:val="20"/>
          <w:szCs w:val="20"/>
          <w:color w:val="auto"/>
        </w:rPr>
      </w:pPr>
      <w:r>
        <w:rPr>
          <w:rFonts w:ascii="Arial" w:cs="Arial" w:eastAsia="Arial" w:hAnsi="Arial"/>
          <w:sz w:val="5"/>
          <w:szCs w:val="5"/>
          <w:color w:val="FFFFFF"/>
        </w:rPr>
        <w:t>01) Sandra E. Bergeron 02) Yves B. Sisteron</w:t>
      </w:r>
    </w:p>
    <w:p>
      <w:pPr>
        <w:spacing w:after="0" w:line="211" w:lineRule="auto"/>
        <w:rPr>
          <w:sz w:val="20"/>
          <w:szCs w:val="20"/>
          <w:color w:val="auto"/>
        </w:rPr>
      </w:pPr>
      <w:r>
        <w:rPr>
          <w:rFonts w:ascii="Arial" w:cs="Arial" w:eastAsia="Arial" w:hAnsi="Arial"/>
          <w:sz w:val="2"/>
          <w:szCs w:val="2"/>
          <w:color w:val="FFFFFF"/>
        </w:rPr>
        <w:t xml:space="preserve">The Board of Directors recommends you vote FOR the following </w:t>
      </w:r>
      <w:r>
        <w:rPr>
          <w:rFonts w:ascii="Arial" w:cs="Arial" w:eastAsia="Arial" w:hAnsi="Arial"/>
          <w:sz w:val="4"/>
          <w:szCs w:val="4"/>
          <w:color w:val="FFFFFF"/>
          <w:vertAlign w:val="subscript"/>
        </w:rPr>
        <w:t>proposal:</w:t>
      </w:r>
    </w:p>
    <w:p>
      <w:pPr>
        <w:spacing w:after="0" w:line="212" w:lineRule="auto"/>
        <w:rPr>
          <w:sz w:val="20"/>
          <w:szCs w:val="20"/>
          <w:color w:val="auto"/>
        </w:rPr>
      </w:pPr>
      <w:r>
        <w:rPr>
          <w:rFonts w:ascii="Arial" w:cs="Arial" w:eastAsia="Arial" w:hAnsi="Arial"/>
          <w:sz w:val="4"/>
          <w:szCs w:val="4"/>
          <w:color w:val="FFFFFF"/>
          <w:vertAlign w:val="superscript"/>
        </w:rPr>
        <w:t>NOTE:</w:t>
      </w:r>
    </w:p>
    <w:p>
      <w:pPr>
        <w:spacing w:after="0"/>
        <w:tabs>
          <w:tab w:leader="none" w:pos="200" w:val="left"/>
        </w:tabs>
        <w:rPr>
          <w:sz w:val="20"/>
          <w:szCs w:val="20"/>
          <w:color w:val="auto"/>
        </w:rPr>
      </w:pPr>
      <w:r>
        <w:rPr>
          <w:rFonts w:ascii="Arial" w:cs="Arial" w:eastAsia="Arial" w:hAnsi="Arial"/>
          <w:sz w:val="3"/>
          <w:szCs w:val="3"/>
          <w:color w:val="FFFFFF"/>
        </w:rPr>
        <w:t>2.</w:t>
      </w:r>
      <w:r>
        <w:rPr>
          <w:sz w:val="20"/>
          <w:szCs w:val="20"/>
          <w:color w:val="auto"/>
        </w:rPr>
        <w:tab/>
      </w:r>
      <w:r>
        <w:rPr>
          <w:rFonts w:ascii="Arial" w:cs="Arial" w:eastAsia="Arial" w:hAnsi="Arial"/>
          <w:sz w:val="3"/>
          <w:szCs w:val="3"/>
          <w:color w:val="FFFFFF"/>
        </w:rPr>
        <w:t>o ratifySuchtheotherappointmentbusiness asof mayGrantproperlyThorntoncomeLLPbeforeasQualys,themeetingInc.’independentoranyadjournmentregisteredthereof.public accounting from for its fiscal year ending December 31, 2013.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M58541-P33208</w:t>
      </w:r>
    </w:p>
    <w:p>
      <w:pPr>
        <w:sectPr>
          <w:pgSz w:w="11900" w:h="16838" w:orient="portrait"/>
          <w:cols w:equalWidth="0" w:num="1">
            <w:col w:w="10219"/>
          </w:cols>
          <w:pgMar w:left="2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color w:val="FFFFFF"/>
        </w:rPr>
        <w:t>M58542-P33208</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2)"/>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2019-12-06T23:52:40Z</dcterms:created>
  <dcterms:modified xsi:type="dcterms:W3CDTF">2019-12-06T23:52:40Z</dcterms:modified>
</cp:coreProperties>
</file>