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4"/>
          <w:szCs w:val="24"/>
          <w:color w:val="auto"/>
        </w:rPr>
      </w:pP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231F20"/>
        </w:rPr>
        <w:t>FORM 10-K</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271" w:lineRule="exact"/>
        <w:rPr>
          <w:sz w:val="24"/>
          <w:szCs w:val="24"/>
          <w:color w:val="auto"/>
        </w:rPr>
      </w:pPr>
    </w:p>
    <w:p>
      <w:pPr>
        <w:ind w:left="960" w:hanging="628"/>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5" w:lineRule="exact"/>
        <w:rPr>
          <w:rFonts w:ascii="MS PGothic" w:cs="MS PGothic" w:eastAsia="MS PGothic" w:hAnsi="MS PGothic"/>
          <w:sz w:val="18"/>
          <w:szCs w:val="18"/>
          <w:color w:val="auto"/>
        </w:rPr>
      </w:pPr>
    </w:p>
    <w:p>
      <w:pPr>
        <w:ind w:left="38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Annual Period Ended December 31, 2019</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1020" w:hanging="688"/>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80"/>
          </w:cols>
          <w:pgMar w:left="240" w:top="249" w:right="279" w:bottom="573" w:gutter="0" w:footer="0" w:header="0"/>
        </w:sectPr>
      </w:pPr>
    </w:p>
    <w:p>
      <w:pPr>
        <w:spacing w:after="0" w:line="81"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6560" w:space="440"/>
            <w:col w:w="4380"/>
          </w:cols>
          <w:pgMar w:left="240" w:top="249" w:right="279" w:bottom="573"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Commission file number 001-35662</w:t>
      </w:r>
    </w:p>
    <w:p>
      <w:pPr>
        <w:spacing w:after="0" w:line="5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80"/>
          </w:cols>
          <w:pgMar w:left="240" w:top="249" w:right="279" w:bottom="573" w:gutter="0" w:footer="0" w:header="0"/>
          <w:type w:val="continuous"/>
        </w:sectPr>
      </w:pPr>
    </w:p>
    <w:p>
      <w:pPr>
        <w:spacing w:after="0" w:line="31" w:lineRule="exact"/>
        <w:rPr>
          <w:sz w:val="24"/>
          <w:szCs w:val="24"/>
          <w:color w:val="auto"/>
        </w:rPr>
      </w:pPr>
    </w:p>
    <w:tbl>
      <w:tblPr>
        <w:tblLayout w:type="fixed"/>
        <w:tblInd w:w="1560" w:type="dxa"/>
        <w:tblCellMar>
          <w:top w:w="0" w:type="dxa"/>
          <w:left w:w="0" w:type="dxa"/>
          <w:bottom w:w="0" w:type="dxa"/>
          <w:right w:w="0" w:type="dxa"/>
        </w:tblCellMar>
      </w:tblPr>
      <w:tr>
        <w:trPr>
          <w:trHeight w:val="460"/>
        </w:trPr>
        <w:tc>
          <w:tcPr>
            <w:tcW w:w="6440" w:type="dxa"/>
            <w:vAlign w:val="bottom"/>
          </w:tcPr>
          <w:p>
            <w:pPr>
              <w:jc w:val="center"/>
              <w:ind w:left="1777"/>
              <w:spacing w:after="0"/>
              <w:rPr>
                <w:sz w:val="20"/>
                <w:szCs w:val="20"/>
                <w:color w:val="auto"/>
              </w:rPr>
            </w:pPr>
            <w:r>
              <w:rPr>
                <w:rFonts w:ascii="Arial" w:cs="Arial" w:eastAsia="Arial" w:hAnsi="Arial"/>
                <w:sz w:val="40"/>
                <w:szCs w:val="40"/>
                <w:b w:val="1"/>
                <w:bCs w:val="1"/>
                <w:color w:val="231F20"/>
                <w:w w:val="97"/>
              </w:rPr>
              <w:t>QUALYS, INC.</w:t>
            </w:r>
          </w:p>
        </w:tc>
        <w:tc>
          <w:tcPr>
            <w:tcW w:w="1560" w:type="dxa"/>
            <w:vAlign w:val="bottom"/>
          </w:tcPr>
          <w:p>
            <w:pPr>
              <w:spacing w:after="0"/>
              <w:rPr>
                <w:sz w:val="24"/>
                <w:szCs w:val="24"/>
                <w:color w:val="auto"/>
              </w:rPr>
            </w:pPr>
          </w:p>
        </w:tc>
      </w:tr>
      <w:tr>
        <w:trPr>
          <w:trHeight w:val="152"/>
        </w:trPr>
        <w:tc>
          <w:tcPr>
            <w:tcW w:w="6440" w:type="dxa"/>
            <w:vAlign w:val="bottom"/>
          </w:tcPr>
          <w:p>
            <w:pPr>
              <w:jc w:val="center"/>
              <w:ind w:left="1777"/>
              <w:spacing w:after="0" w:line="153" w:lineRule="exact"/>
              <w:rPr>
                <w:sz w:val="20"/>
                <w:szCs w:val="20"/>
                <w:color w:val="auto"/>
              </w:rPr>
            </w:pPr>
            <w:r>
              <w:rPr>
                <w:rFonts w:ascii="Arial" w:cs="Arial" w:eastAsia="Arial" w:hAnsi="Arial"/>
                <w:sz w:val="14"/>
                <w:szCs w:val="14"/>
                <w:b w:val="1"/>
                <w:bCs w:val="1"/>
                <w:color w:val="231F20"/>
              </w:rPr>
              <w:t>(Exact name of registrant as specified in its charter)</w:t>
            </w:r>
          </w:p>
        </w:tc>
        <w:tc>
          <w:tcPr>
            <w:tcW w:w="1560" w:type="dxa"/>
            <w:vAlign w:val="bottom"/>
          </w:tcPr>
          <w:p>
            <w:pPr>
              <w:spacing w:after="0"/>
              <w:rPr>
                <w:sz w:val="13"/>
                <w:szCs w:val="13"/>
                <w:color w:val="auto"/>
              </w:rPr>
            </w:pPr>
          </w:p>
        </w:tc>
      </w:tr>
      <w:tr>
        <w:trPr>
          <w:trHeight w:val="239"/>
        </w:trPr>
        <w:tc>
          <w:tcPr>
            <w:tcW w:w="6440" w:type="dxa"/>
            <w:vAlign w:val="bottom"/>
          </w:tcPr>
          <w:p>
            <w:pPr>
              <w:jc w:val="center"/>
              <w:ind w:left="1797"/>
              <w:spacing w:after="0"/>
              <w:rPr>
                <w:sz w:val="20"/>
                <w:szCs w:val="20"/>
                <w:color w:val="auto"/>
              </w:rPr>
            </w:pPr>
            <w:r>
              <w:rPr>
                <w:rFonts w:ascii="Arial" w:cs="Arial" w:eastAsia="Arial" w:hAnsi="Arial"/>
                <w:sz w:val="18"/>
                <w:szCs w:val="18"/>
                <w:b w:val="1"/>
                <w:bCs w:val="1"/>
                <w:color w:val="231F20"/>
                <w:w w:val="99"/>
              </w:rPr>
              <w:t>__________________</w:t>
            </w:r>
          </w:p>
        </w:tc>
        <w:tc>
          <w:tcPr>
            <w:tcW w:w="1560" w:type="dxa"/>
            <w:vAlign w:val="bottom"/>
          </w:tcPr>
          <w:p>
            <w:pPr>
              <w:spacing w:after="0"/>
              <w:rPr>
                <w:sz w:val="20"/>
                <w:szCs w:val="20"/>
                <w:color w:val="auto"/>
              </w:rPr>
            </w:pPr>
          </w:p>
        </w:tc>
      </w:tr>
      <w:tr>
        <w:trPr>
          <w:trHeight w:val="393"/>
        </w:trPr>
        <w:tc>
          <w:tcPr>
            <w:tcW w:w="6440" w:type="dxa"/>
            <w:vAlign w:val="bottom"/>
          </w:tcPr>
          <w:p>
            <w:pPr>
              <w:jc w:val="center"/>
              <w:ind w:right="4317"/>
              <w:spacing w:after="0"/>
              <w:rPr>
                <w:sz w:val="20"/>
                <w:szCs w:val="20"/>
                <w:color w:val="auto"/>
              </w:rPr>
            </w:pPr>
            <w:r>
              <w:rPr>
                <w:rFonts w:ascii="Arial" w:cs="Arial" w:eastAsia="Arial" w:hAnsi="Arial"/>
                <w:sz w:val="14"/>
                <w:szCs w:val="14"/>
                <w:b w:val="1"/>
                <w:bCs w:val="1"/>
                <w:color w:val="auto"/>
              </w:rPr>
              <w:t>Delaware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6440" w:type="dxa"/>
            <w:vAlign w:val="bottom"/>
          </w:tcPr>
          <w:p>
            <w:pPr>
              <w:jc w:val="center"/>
              <w:ind w:right="4317"/>
              <w:spacing w:after="0"/>
              <w:rPr>
                <w:sz w:val="20"/>
                <w:szCs w:val="20"/>
                <w:color w:val="auto"/>
              </w:rPr>
            </w:pPr>
            <w:r>
              <w:rPr>
                <w:rFonts w:ascii="Arial" w:cs="Arial" w:eastAsia="Arial" w:hAnsi="Arial"/>
                <w:sz w:val="14"/>
                <w:szCs w:val="14"/>
                <w:b w:val="1"/>
                <w:bCs w:val="1"/>
                <w:color w:val="auto"/>
              </w:rPr>
              <w:t>(State or other jurisdiction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6440" w:type="dxa"/>
            <w:vAlign w:val="bottom"/>
          </w:tcPr>
          <w:p>
            <w:pPr>
              <w:jc w:val="center"/>
              <w:ind w:right="4317"/>
              <w:spacing w:after="0"/>
              <w:rPr>
                <w:sz w:val="20"/>
                <w:szCs w:val="20"/>
                <w:color w:val="auto"/>
              </w:rPr>
            </w:pPr>
            <w:r>
              <w:rPr>
                <w:rFonts w:ascii="Arial" w:cs="Arial" w:eastAsia="Arial" w:hAnsi="Arial"/>
                <w:sz w:val="14"/>
                <w:szCs w:val="14"/>
                <w:b w:val="1"/>
                <w:bCs w:val="1"/>
                <w:color w:val="auto"/>
              </w:rPr>
              <w:t>incorporation or organization)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Identification Number)</w:t>
            </w:r>
          </w:p>
        </w:tc>
      </w:tr>
      <w:tr>
        <w:trPr>
          <w:trHeight w:val="215"/>
        </w:trPr>
        <w:tc>
          <w:tcPr>
            <w:tcW w:w="6440" w:type="dxa"/>
            <w:vAlign w:val="bottom"/>
          </w:tcPr>
          <w:p>
            <w:pPr>
              <w:jc w:val="center"/>
              <w:ind w:left="1777"/>
              <w:spacing w:after="0"/>
              <w:rPr>
                <w:sz w:val="20"/>
                <w:szCs w:val="20"/>
                <w:color w:val="auto"/>
              </w:rPr>
            </w:pPr>
            <w:r>
              <w:rPr>
                <w:rFonts w:ascii="Arial" w:cs="Arial" w:eastAsia="Arial" w:hAnsi="Arial"/>
                <w:sz w:val="14"/>
                <w:szCs w:val="14"/>
                <w:b w:val="1"/>
                <w:bCs w:val="1"/>
                <w:color w:val="auto"/>
              </w:rPr>
              <w:t>919 E. Hillsdale Boulevard, 4th Floor, Foster City, California 94404</w:t>
            </w:r>
          </w:p>
        </w:tc>
        <w:tc>
          <w:tcPr>
            <w:tcW w:w="1560" w:type="dxa"/>
            <w:vAlign w:val="bottom"/>
          </w:tcPr>
          <w:p>
            <w:pPr>
              <w:spacing w:after="0"/>
              <w:rPr>
                <w:sz w:val="18"/>
                <w:szCs w:val="18"/>
                <w:color w:val="auto"/>
              </w:rPr>
            </w:pPr>
          </w:p>
        </w:tc>
      </w:tr>
      <w:tr>
        <w:trPr>
          <w:trHeight w:val="190"/>
        </w:trPr>
        <w:tc>
          <w:tcPr>
            <w:tcW w:w="6440" w:type="dxa"/>
            <w:vAlign w:val="bottom"/>
          </w:tcPr>
          <w:p>
            <w:pPr>
              <w:jc w:val="center"/>
              <w:ind w:left="1777"/>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1560" w:type="dxa"/>
            <w:vAlign w:val="bottom"/>
          </w:tcPr>
          <w:p>
            <w:pPr>
              <w:spacing w:after="0"/>
              <w:rPr>
                <w:sz w:val="16"/>
                <w:szCs w:val="16"/>
                <w:color w:val="auto"/>
              </w:rPr>
            </w:pPr>
          </w:p>
        </w:tc>
      </w:tr>
      <w:tr>
        <w:trPr>
          <w:trHeight w:val="188"/>
        </w:trPr>
        <w:tc>
          <w:tcPr>
            <w:tcW w:w="6440" w:type="dxa"/>
            <w:vAlign w:val="bottom"/>
          </w:tcPr>
          <w:p>
            <w:pPr>
              <w:jc w:val="center"/>
              <w:ind w:left="1777"/>
              <w:spacing w:after="0"/>
              <w:rPr>
                <w:sz w:val="20"/>
                <w:szCs w:val="20"/>
                <w:color w:val="auto"/>
              </w:rPr>
            </w:pPr>
            <w:r>
              <w:rPr>
                <w:rFonts w:ascii="Arial" w:cs="Arial" w:eastAsia="Arial" w:hAnsi="Arial"/>
                <w:sz w:val="14"/>
                <w:szCs w:val="14"/>
                <w:b w:val="1"/>
                <w:bCs w:val="1"/>
                <w:color w:val="auto"/>
              </w:rPr>
              <w:t>(650) 801-6100</w:t>
            </w:r>
          </w:p>
        </w:tc>
        <w:tc>
          <w:tcPr>
            <w:tcW w:w="1560" w:type="dxa"/>
            <w:vAlign w:val="bottom"/>
          </w:tcPr>
          <w:p>
            <w:pPr>
              <w:spacing w:after="0"/>
              <w:rPr>
                <w:sz w:val="16"/>
                <w:szCs w:val="16"/>
                <w:color w:val="auto"/>
              </w:rPr>
            </w:pPr>
          </w:p>
        </w:tc>
      </w:tr>
      <w:tr>
        <w:trPr>
          <w:trHeight w:val="160"/>
        </w:trPr>
        <w:tc>
          <w:tcPr>
            <w:tcW w:w="6440" w:type="dxa"/>
            <w:vAlign w:val="bottom"/>
          </w:tcPr>
          <w:p>
            <w:pPr>
              <w:jc w:val="center"/>
              <w:ind w:left="1797"/>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560" w:type="dxa"/>
            <w:vAlign w:val="bottom"/>
          </w:tcPr>
          <w:p>
            <w:pPr>
              <w:spacing w:after="0"/>
              <w:rPr>
                <w:sz w:val="13"/>
                <w:szCs w:val="13"/>
                <w:color w:val="auto"/>
              </w:rPr>
            </w:pPr>
          </w:p>
        </w:tc>
      </w:tr>
      <w:tr>
        <w:trPr>
          <w:trHeight w:val="142"/>
        </w:trPr>
        <w:tc>
          <w:tcPr>
            <w:tcW w:w="6440" w:type="dxa"/>
            <w:vAlign w:val="bottom"/>
          </w:tcPr>
          <w:p>
            <w:pPr>
              <w:jc w:val="center"/>
              <w:ind w:left="1797"/>
              <w:spacing w:after="0"/>
              <w:rPr>
                <w:sz w:val="20"/>
                <w:szCs w:val="20"/>
                <w:color w:val="auto"/>
              </w:rPr>
            </w:pPr>
            <w:r>
              <w:rPr>
                <w:rFonts w:ascii="Arial" w:cs="Arial" w:eastAsia="Arial" w:hAnsi="Arial"/>
                <w:sz w:val="11"/>
                <w:szCs w:val="11"/>
                <w:b w:val="1"/>
                <w:bCs w:val="1"/>
                <w:color w:val="231F20"/>
                <w:w w:val="98"/>
              </w:rPr>
              <w:t>__________________</w:t>
            </w:r>
          </w:p>
        </w:tc>
        <w:tc>
          <w:tcPr>
            <w:tcW w:w="1560" w:type="dxa"/>
            <w:vAlign w:val="bottom"/>
          </w:tcPr>
          <w:p>
            <w:pPr>
              <w:spacing w:after="0"/>
              <w:rPr>
                <w:sz w:val="12"/>
                <w:szCs w:val="12"/>
                <w:color w:val="auto"/>
              </w:rPr>
            </w:pPr>
          </w:p>
        </w:tc>
      </w:tr>
    </w:tbl>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231F20"/>
        </w:rPr>
        <w:t>Securities registered pursuant to section 12(b) of the Act:</w:t>
      </w:r>
    </w:p>
    <w:p>
      <w:pPr>
        <w:spacing w:after="0" w:line="163" w:lineRule="exact"/>
        <w:rPr>
          <w:sz w:val="24"/>
          <w:szCs w:val="24"/>
          <w:color w:val="auto"/>
        </w:rPr>
      </w:pPr>
    </w:p>
    <w:tbl>
      <w:tblPr>
        <w:tblLayout w:type="fixed"/>
        <w:tblInd w:w="300" w:type="dxa"/>
        <w:tblCellMar>
          <w:top w:w="0" w:type="dxa"/>
          <w:left w:w="0" w:type="dxa"/>
          <w:bottom w:w="0" w:type="dxa"/>
          <w:right w:w="0" w:type="dxa"/>
        </w:tblCellMar>
      </w:tblPr>
      <w:tr>
        <w:trPr>
          <w:trHeight w:val="196"/>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exchange on which registered</w:t>
            </w:r>
          </w:p>
        </w:tc>
      </w:tr>
      <w:tr>
        <w:trPr>
          <w:trHeight w:val="204"/>
        </w:trPr>
        <w:tc>
          <w:tcPr>
            <w:tcW w:w="4180" w:type="dxa"/>
            <w:vAlign w:val="bottom"/>
          </w:tcPr>
          <w:p>
            <w:pPr>
              <w:jc w:val="center"/>
              <w:spacing w:after="0"/>
              <w:rPr>
                <w:sz w:val="20"/>
                <w:szCs w:val="20"/>
                <w:color w:val="auto"/>
              </w:rPr>
            </w:pPr>
            <w:r>
              <w:rPr>
                <w:rFonts w:ascii="Arial" w:cs="Arial" w:eastAsia="Arial" w:hAnsi="Arial"/>
                <w:sz w:val="14"/>
                <w:szCs w:val="14"/>
                <w:color w:val="auto"/>
              </w:rPr>
              <w:t>Common stock, $0.001 par value per share</w:t>
            </w:r>
          </w:p>
        </w:tc>
        <w:tc>
          <w:tcPr>
            <w:tcW w:w="2580" w:type="dxa"/>
            <w:vAlign w:val="bottom"/>
          </w:tcPr>
          <w:p>
            <w:pPr>
              <w:jc w:val="center"/>
              <w:spacing w:after="0"/>
              <w:rPr>
                <w:sz w:val="20"/>
                <w:szCs w:val="20"/>
                <w:color w:val="auto"/>
              </w:rPr>
            </w:pPr>
            <w:r>
              <w:rPr>
                <w:rFonts w:ascii="Arial" w:cs="Arial" w:eastAsia="Arial" w:hAnsi="Arial"/>
                <w:sz w:val="14"/>
                <w:szCs w:val="14"/>
                <w:color w:val="auto"/>
              </w:rPr>
              <w:t>QLYS</w:t>
            </w:r>
          </w:p>
        </w:tc>
        <w:tc>
          <w:tcPr>
            <w:tcW w:w="4060" w:type="dxa"/>
            <w:vAlign w:val="bottom"/>
          </w:tcPr>
          <w:p>
            <w:pPr>
              <w:jc w:val="center"/>
              <w:spacing w:after="0"/>
              <w:rPr>
                <w:sz w:val="20"/>
                <w:szCs w:val="20"/>
                <w:color w:val="auto"/>
              </w:rPr>
            </w:pPr>
            <w:r>
              <w:rPr>
                <w:rFonts w:ascii="Arial" w:cs="Arial" w:eastAsia="Arial" w:hAnsi="Arial"/>
                <w:sz w:val="14"/>
                <w:szCs w:val="14"/>
                <w:color w:val="auto"/>
              </w:rPr>
              <w:t>NASDAQ Stock Market</w:t>
            </w:r>
          </w:p>
        </w:tc>
      </w:tr>
    </w:tbl>
    <w:p>
      <w:pPr>
        <w:spacing w:after="0" w:line="269"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 xml:space="preserve">Securities registered pursuant to section 12(g) of the Act: </w:t>
      </w:r>
      <w:r>
        <w:rPr>
          <w:rFonts w:ascii="Arial" w:cs="Arial" w:eastAsia="Arial" w:hAnsi="Arial"/>
          <w:sz w:val="14"/>
          <w:szCs w:val="14"/>
          <w:color w:val="231F20"/>
        </w:rPr>
        <w:t>None</w:t>
      </w:r>
    </w:p>
    <w:p>
      <w:pPr>
        <w:spacing w:after="0" w:line="58" w:lineRule="exact"/>
        <w:rPr>
          <w:sz w:val="24"/>
          <w:szCs w:val="24"/>
          <w:color w:val="auto"/>
        </w:rPr>
      </w:pPr>
    </w:p>
    <w:p>
      <w:pPr>
        <w:ind w:right="2100"/>
        <w:spacing w:after="0" w:line="465"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jc w:val="both"/>
        <w:ind w:right="4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3" w:lineRule="exact"/>
        <w:rPr>
          <w:sz w:val="24"/>
          <w:szCs w:val="24"/>
          <w:color w:val="auto"/>
        </w:rPr>
      </w:pPr>
    </w:p>
    <w:p>
      <w:pPr>
        <w:ind w:right="6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39" w:lineRule="exact"/>
        <w:rPr>
          <w:sz w:val="24"/>
          <w:szCs w:val="24"/>
          <w:color w:val="auto"/>
        </w:rPr>
      </w:pPr>
    </w:p>
    <w:p>
      <w:pPr>
        <w:ind w:right="16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249" w:right="279" w:bottom="573" w:gutter="0" w:footer="0" w:header="0"/>
          <w:type w:val="continuous"/>
        </w:sectPr>
      </w:pPr>
    </w:p>
    <w:p>
      <w:pPr>
        <w:spacing w:after="0" w:line="33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8">
            <w:col w:w="1640" w:space="560"/>
            <w:col w:w="140" w:space="500"/>
            <w:col w:w="1160" w:space="720"/>
            <w:col w:w="80" w:space="520"/>
            <w:col w:w="1500" w:space="600"/>
            <w:col w:w="80" w:space="540"/>
            <w:col w:w="1920" w:space="560"/>
            <w:col w:w="860"/>
          </w:cols>
          <w:pgMar w:left="240" w:top="249" w:right="279" w:bottom="573" w:gutter="0" w:footer="0" w:header="0"/>
          <w:type w:val="continuous"/>
        </w:sectPr>
      </w:pPr>
    </w:p>
    <w:p>
      <w:pPr>
        <w:spacing w:after="0" w:line="55" w:lineRule="exact"/>
        <w:rPr>
          <w:sz w:val="24"/>
          <w:szCs w:val="24"/>
          <w:color w:val="auto"/>
        </w:rPr>
      </w:pPr>
    </w:p>
    <w:p>
      <w:pPr>
        <w:ind w:left="80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93" w:lineRule="exact"/>
        <w:rPr>
          <w:sz w:val="24"/>
          <w:szCs w:val="24"/>
          <w:color w:val="auto"/>
        </w:rPr>
      </w:pPr>
    </w:p>
    <w:p>
      <w:pPr>
        <w:sectPr>
          <w:pgSz w:w="11900" w:h="16838" w:orient="portrait"/>
          <w:cols w:equalWidth="0" w:num="2">
            <w:col w:w="9960" w:space="560"/>
            <w:col w:w="860"/>
          </w:cols>
          <w:pgMar w:left="240" w:top="249" w:right="279" w:bottom="573" w:gutter="0" w:footer="0" w:header="0"/>
          <w:type w:val="continuous"/>
        </w:sectPr>
      </w:pPr>
    </w:p>
    <w:p>
      <w:pPr>
        <w:ind w:right="26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0" w:lineRule="exact"/>
        <w:rPr>
          <w:sz w:val="24"/>
          <w:szCs w:val="24"/>
          <w:color w:val="auto"/>
        </w:rPr>
      </w:pPr>
    </w:p>
    <w:p>
      <w:pPr>
        <w:spacing w:after="0" w:line="184" w:lineRule="exact"/>
        <w:tabs>
          <w:tab w:leader="none" w:pos="8260" w:val="left"/>
          <w:tab w:leader="none" w:pos="89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xA</w:t>
      </w:r>
    </w:p>
    <w:p>
      <w:pPr>
        <w:spacing w:after="0" w:line="209" w:lineRule="exact"/>
        <w:rPr>
          <w:sz w:val="24"/>
          <w:szCs w:val="24"/>
          <w:color w:val="auto"/>
        </w:rPr>
      </w:pPr>
    </w:p>
    <w:p>
      <w:pPr>
        <w:ind w:right="60"/>
        <w:spacing w:after="0" w:line="251" w:lineRule="auto"/>
        <w:rPr>
          <w:sz w:val="20"/>
          <w:szCs w:val="20"/>
          <w:color w:val="auto"/>
        </w:rPr>
      </w:pPr>
      <w:r>
        <w:rPr>
          <w:rFonts w:ascii="Arial" w:cs="Arial" w:eastAsia="Arial" w:hAnsi="Arial"/>
          <w:sz w:val="16"/>
          <w:szCs w:val="16"/>
          <w:color w:val="auto"/>
        </w:rPr>
        <w:t>As of June 30, 2019, the aggregate market value of voting shares of common stock held by non-affiliates of the registrant was $2,505 million based on the last reported sale price of the registrant's common stock on June 30, 2019. Shares of common stock held by each executive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February 13, 2020 was 39,092,443 shares.</w:t>
      </w: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Portions of the registrant's Proxy Statement for its 2020 Annual Meeting of Stockholders are incorporated by reference in Part III of this Annual Report on Form 10-K where indicated. Such proxy statement will be filed with the Securities and Exchange Commission within 120 days of the registrant's fiscal year ended December 31, 2019.</w:t>
      </w:r>
    </w:p>
    <w:p>
      <w:pPr>
        <w:sectPr>
          <w:pgSz w:w="11900" w:h="16838" w:orient="portrait"/>
          <w:cols w:equalWidth="0" w:num="1">
            <w:col w:w="11380"/>
          </w:cols>
          <w:pgMar w:left="240" w:top="249" w:right="279" w:bottom="573"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260" w:type="dxa"/>
            <w:vAlign w:val="bottom"/>
          </w:tcPr>
          <w:p>
            <w:pPr>
              <w:ind w:left="4480"/>
              <w:spacing w:after="0"/>
              <w:rPr>
                <w:sz w:val="20"/>
                <w:szCs w:val="20"/>
                <w:color w:val="auto"/>
              </w:rPr>
            </w:pPr>
            <w:r>
              <w:rPr>
                <w:rFonts w:ascii="Arial" w:cs="Arial" w:eastAsia="Arial" w:hAnsi="Arial"/>
                <w:sz w:val="18"/>
                <w:szCs w:val="18"/>
                <w:b w:val="1"/>
                <w:bCs w:val="1"/>
                <w:color w:val="231F20"/>
              </w:rPr>
              <w:t>Qualys, Inc.</w:t>
            </w:r>
          </w:p>
        </w:tc>
        <w:tc>
          <w:tcPr>
            <w:tcW w:w="760" w:type="dxa"/>
            <w:vAlign w:val="bottom"/>
          </w:tcPr>
          <w:p>
            <w:pPr>
              <w:spacing w:after="0"/>
              <w:rPr>
                <w:sz w:val="18"/>
                <w:szCs w:val="18"/>
                <w:color w:val="auto"/>
              </w:rPr>
            </w:pPr>
          </w:p>
        </w:tc>
      </w:tr>
      <w:tr>
        <w:trPr>
          <w:trHeight w:val="239"/>
        </w:trPr>
        <w:tc>
          <w:tcPr>
            <w:tcW w:w="680" w:type="dxa"/>
            <w:vAlign w:val="bottom"/>
          </w:tcPr>
          <w:p>
            <w:pPr>
              <w:spacing w:after="0"/>
              <w:rPr>
                <w:sz w:val="20"/>
                <w:szCs w:val="20"/>
                <w:color w:val="auto"/>
              </w:rPr>
            </w:pPr>
          </w:p>
        </w:tc>
        <w:tc>
          <w:tcPr>
            <w:tcW w:w="9260" w:type="dxa"/>
            <w:vAlign w:val="bottom"/>
          </w:tcPr>
          <w:p>
            <w:pPr>
              <w:ind w:left="4040"/>
              <w:spacing w:after="0"/>
              <w:rPr>
                <w:sz w:val="20"/>
                <w:szCs w:val="20"/>
                <w:color w:val="auto"/>
              </w:rPr>
            </w:pPr>
            <w:r>
              <w:rPr>
                <w:rFonts w:ascii="Arial" w:cs="Arial" w:eastAsia="Arial" w:hAnsi="Arial"/>
                <w:sz w:val="18"/>
                <w:szCs w:val="18"/>
                <w:b w:val="1"/>
                <w:bCs w:val="1"/>
                <w:color w:val="231F20"/>
              </w:rPr>
              <w:t>TABLE OF CONTENTS</w:t>
            </w:r>
          </w:p>
        </w:tc>
        <w:tc>
          <w:tcPr>
            <w:tcW w:w="760" w:type="dxa"/>
            <w:vAlign w:val="bottom"/>
          </w:tcPr>
          <w:p>
            <w:pPr>
              <w:spacing w:after="0"/>
              <w:rPr>
                <w:sz w:val="20"/>
                <w:szCs w:val="20"/>
                <w:color w:val="auto"/>
              </w:rPr>
            </w:pPr>
          </w:p>
        </w:tc>
      </w:tr>
      <w:tr>
        <w:trPr>
          <w:trHeight w:val="372"/>
        </w:trPr>
        <w:tc>
          <w:tcPr>
            <w:tcW w:w="68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Page</w:t>
            </w:r>
          </w:p>
        </w:tc>
      </w:tr>
      <w:tr>
        <w:trPr>
          <w:trHeight w:val="210"/>
        </w:trPr>
        <w:tc>
          <w:tcPr>
            <w:tcW w:w="680" w:type="dxa"/>
            <w:vAlign w:val="bottom"/>
          </w:tcPr>
          <w:p>
            <w:pPr>
              <w:spacing w:after="0"/>
              <w:rPr>
                <w:sz w:val="18"/>
                <w:szCs w:val="18"/>
                <w:color w:val="auto"/>
              </w:rPr>
            </w:pPr>
          </w:p>
        </w:tc>
        <w:tc>
          <w:tcPr>
            <w:tcW w:w="9260" w:type="dxa"/>
            <w:vAlign w:val="bottom"/>
          </w:tcPr>
          <w:p>
            <w:pPr>
              <w:jc w:val="center"/>
              <w:spacing w:after="0"/>
              <w:rPr>
                <w:sz w:val="20"/>
                <w:szCs w:val="20"/>
                <w:color w:val="auto"/>
              </w:rPr>
            </w:pPr>
            <w:r>
              <w:rPr>
                <w:rFonts w:ascii="Arial" w:cs="Arial" w:eastAsia="Arial" w:hAnsi="Arial"/>
                <w:sz w:val="16"/>
                <w:szCs w:val="16"/>
                <w:b w:val="1"/>
                <w:bCs w:val="1"/>
                <w:color w:val="auto"/>
                <w:w w:val="95"/>
              </w:rPr>
              <w:t>PART I</w:t>
            </w:r>
          </w:p>
        </w:tc>
        <w:tc>
          <w:tcPr>
            <w:tcW w:w="760" w:type="dxa"/>
            <w:vAlign w:val="bottom"/>
          </w:tcPr>
          <w:p>
            <w:pPr>
              <w:spacing w:after="0"/>
              <w:rPr>
                <w:sz w:val="18"/>
                <w:szCs w:val="18"/>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w:t>
            </w:r>
          </w:p>
        </w:tc>
        <w:tc>
          <w:tcPr>
            <w:tcW w:w="9260" w:type="dxa"/>
            <w:vAlign w:val="bottom"/>
          </w:tcPr>
          <w:p>
            <w:pPr>
              <w:ind w:left="80"/>
              <w:spacing w:after="0"/>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760" w:type="dxa"/>
            <w:vAlign w:val="bottom"/>
          </w:tcPr>
          <w:p>
            <w:pPr>
              <w:jc w:val="cente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1A.</w:t>
            </w:r>
          </w:p>
        </w:tc>
        <w:tc>
          <w:tcPr>
            <w:tcW w:w="9260" w:type="dxa"/>
            <w:vAlign w:val="bottom"/>
          </w:tcPr>
          <w:p>
            <w:pPr>
              <w:ind w:left="80"/>
              <w:spacing w:after="0"/>
              <w:rPr>
                <w:rFonts w:ascii="Arial" w:cs="Arial" w:eastAsia="Arial" w:hAnsi="Arial"/>
                <w:sz w:val="16"/>
                <w:szCs w:val="16"/>
                <w:color w:val="0000EE"/>
              </w:rPr>
            </w:pPr>
            <w:hyperlink w:anchor="page15">
              <w:r>
                <w:rPr>
                  <w:rFonts w:ascii="Arial" w:cs="Arial" w:eastAsia="Arial" w:hAnsi="Arial"/>
                  <w:sz w:val="16"/>
                  <w:szCs w:val="16"/>
                  <w:color w:val="0000EE"/>
                </w:rPr>
                <w:t>Risk Factors</w:t>
              </w:r>
            </w:hyperlink>
          </w:p>
        </w:tc>
        <w:tc>
          <w:tcPr>
            <w:tcW w:w="760" w:type="dxa"/>
            <w:vAlign w:val="bottom"/>
          </w:tcPr>
          <w:p>
            <w:pPr>
              <w:jc w:val="center"/>
              <w:spacing w:after="0"/>
              <w:rPr>
                <w:rFonts w:ascii="Arial" w:cs="Arial" w:eastAsia="Arial" w:hAnsi="Arial"/>
                <w:sz w:val="16"/>
                <w:szCs w:val="16"/>
                <w:color w:val="0000EE"/>
              </w:rPr>
            </w:pPr>
            <w:hyperlink w:anchor="page15">
              <w:r>
                <w:rPr>
                  <w:rFonts w:ascii="Arial" w:cs="Arial" w:eastAsia="Arial" w:hAnsi="Arial"/>
                  <w:sz w:val="16"/>
                  <w:szCs w:val="16"/>
                  <w:color w:val="0000EE"/>
                </w:rPr>
                <w:t>15</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1B.</w:t>
            </w:r>
          </w:p>
        </w:tc>
        <w:tc>
          <w:tcPr>
            <w:tcW w:w="9260" w:type="dxa"/>
            <w:vAlign w:val="bottom"/>
          </w:tcPr>
          <w:p>
            <w:pPr>
              <w:ind w:left="80"/>
              <w:spacing w:after="0"/>
              <w:rPr>
                <w:rFonts w:ascii="Arial" w:cs="Arial" w:eastAsia="Arial" w:hAnsi="Arial"/>
                <w:sz w:val="16"/>
                <w:szCs w:val="16"/>
                <w:color w:val="0000EE"/>
              </w:rPr>
            </w:pPr>
            <w:hyperlink w:anchor="page36">
              <w:r>
                <w:rPr>
                  <w:rFonts w:ascii="Arial" w:cs="Arial" w:eastAsia="Arial" w:hAnsi="Arial"/>
                  <w:sz w:val="16"/>
                  <w:szCs w:val="16"/>
                  <w:color w:val="0000EE"/>
                </w:rPr>
                <w:t>Unresolved Staff Comments</w:t>
              </w:r>
            </w:hyperlink>
          </w:p>
        </w:tc>
        <w:tc>
          <w:tcPr>
            <w:tcW w:w="760" w:type="dxa"/>
            <w:vAlign w:val="bottom"/>
          </w:tcPr>
          <w:p>
            <w:pPr>
              <w:jc w:val="center"/>
              <w:spacing w:after="0"/>
              <w:rPr>
                <w:rFonts w:ascii="Arial" w:cs="Arial" w:eastAsia="Arial" w:hAnsi="Arial"/>
                <w:sz w:val="16"/>
                <w:szCs w:val="16"/>
                <w:color w:val="0000EE"/>
              </w:rPr>
            </w:pPr>
            <w:hyperlink w:anchor="page36">
              <w:r>
                <w:rPr>
                  <w:rFonts w:ascii="Arial" w:cs="Arial" w:eastAsia="Arial" w:hAnsi="Arial"/>
                  <w:sz w:val="16"/>
                  <w:szCs w:val="16"/>
                  <w:color w:val="0000EE"/>
                </w:rPr>
                <w:t>36</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2.</w:t>
            </w:r>
          </w:p>
        </w:tc>
        <w:tc>
          <w:tcPr>
            <w:tcW w:w="9260" w:type="dxa"/>
            <w:vAlign w:val="bottom"/>
          </w:tcPr>
          <w:p>
            <w:pPr>
              <w:ind w:left="80"/>
              <w:spacing w:after="0"/>
              <w:rPr>
                <w:rFonts w:ascii="Arial" w:cs="Arial" w:eastAsia="Arial" w:hAnsi="Arial"/>
                <w:sz w:val="16"/>
                <w:szCs w:val="16"/>
                <w:color w:val="0000EE"/>
              </w:rPr>
            </w:pPr>
            <w:hyperlink w:anchor="page36">
              <w:r>
                <w:rPr>
                  <w:rFonts w:ascii="Arial" w:cs="Arial" w:eastAsia="Arial" w:hAnsi="Arial"/>
                  <w:sz w:val="16"/>
                  <w:szCs w:val="16"/>
                  <w:color w:val="0000EE"/>
                </w:rPr>
                <w:t>Properties</w:t>
              </w:r>
            </w:hyperlink>
          </w:p>
        </w:tc>
        <w:tc>
          <w:tcPr>
            <w:tcW w:w="760" w:type="dxa"/>
            <w:vAlign w:val="bottom"/>
          </w:tcPr>
          <w:p>
            <w:pPr>
              <w:jc w:val="center"/>
              <w:spacing w:after="0"/>
              <w:rPr>
                <w:rFonts w:ascii="Arial" w:cs="Arial" w:eastAsia="Arial" w:hAnsi="Arial"/>
                <w:sz w:val="16"/>
                <w:szCs w:val="16"/>
                <w:color w:val="0000EE"/>
              </w:rPr>
            </w:pPr>
            <w:hyperlink w:anchor="page36">
              <w:r>
                <w:rPr>
                  <w:rFonts w:ascii="Arial" w:cs="Arial" w:eastAsia="Arial" w:hAnsi="Arial"/>
                  <w:sz w:val="16"/>
                  <w:szCs w:val="16"/>
                  <w:color w:val="0000EE"/>
                </w:rPr>
                <w:t>36</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3.</w:t>
            </w:r>
          </w:p>
        </w:tc>
        <w:tc>
          <w:tcPr>
            <w:tcW w:w="9260" w:type="dxa"/>
            <w:vAlign w:val="bottom"/>
          </w:tcPr>
          <w:p>
            <w:pPr>
              <w:ind w:left="80"/>
              <w:spacing w:after="0"/>
              <w:rPr>
                <w:rFonts w:ascii="Arial" w:cs="Arial" w:eastAsia="Arial" w:hAnsi="Arial"/>
                <w:sz w:val="16"/>
                <w:szCs w:val="16"/>
                <w:color w:val="0000EE"/>
              </w:rPr>
            </w:pPr>
            <w:hyperlink w:anchor="page36">
              <w:r>
                <w:rPr>
                  <w:rFonts w:ascii="Arial" w:cs="Arial" w:eastAsia="Arial" w:hAnsi="Arial"/>
                  <w:sz w:val="16"/>
                  <w:szCs w:val="16"/>
                  <w:color w:val="0000EE"/>
                </w:rPr>
                <w:t>Legal Proceedings</w:t>
              </w:r>
            </w:hyperlink>
          </w:p>
        </w:tc>
        <w:tc>
          <w:tcPr>
            <w:tcW w:w="760" w:type="dxa"/>
            <w:vAlign w:val="bottom"/>
          </w:tcPr>
          <w:p>
            <w:pPr>
              <w:jc w:val="center"/>
              <w:spacing w:after="0"/>
              <w:rPr>
                <w:rFonts w:ascii="Arial" w:cs="Arial" w:eastAsia="Arial" w:hAnsi="Arial"/>
                <w:sz w:val="16"/>
                <w:szCs w:val="16"/>
                <w:color w:val="0000EE"/>
              </w:rPr>
            </w:pPr>
            <w:hyperlink w:anchor="page36">
              <w:r>
                <w:rPr>
                  <w:rFonts w:ascii="Arial" w:cs="Arial" w:eastAsia="Arial" w:hAnsi="Arial"/>
                  <w:sz w:val="16"/>
                  <w:szCs w:val="16"/>
                  <w:color w:val="0000EE"/>
                </w:rPr>
                <w:t>36</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4.</w:t>
            </w:r>
          </w:p>
        </w:tc>
        <w:tc>
          <w:tcPr>
            <w:tcW w:w="9260" w:type="dxa"/>
            <w:vAlign w:val="bottom"/>
          </w:tcPr>
          <w:p>
            <w:pPr>
              <w:ind w:left="80"/>
              <w:spacing w:after="0"/>
              <w:rPr>
                <w:rFonts w:ascii="Arial" w:cs="Arial" w:eastAsia="Arial" w:hAnsi="Arial"/>
                <w:sz w:val="16"/>
                <w:szCs w:val="16"/>
                <w:color w:val="0000EE"/>
              </w:rPr>
            </w:pPr>
            <w:hyperlink w:anchor="page36">
              <w:r>
                <w:rPr>
                  <w:rFonts w:ascii="Arial" w:cs="Arial" w:eastAsia="Arial" w:hAnsi="Arial"/>
                  <w:sz w:val="16"/>
                  <w:szCs w:val="16"/>
                  <w:color w:val="0000EE"/>
                </w:rPr>
                <w:t>Mine Safety Disclosures</w:t>
              </w:r>
            </w:hyperlink>
          </w:p>
        </w:tc>
        <w:tc>
          <w:tcPr>
            <w:tcW w:w="760" w:type="dxa"/>
            <w:vAlign w:val="bottom"/>
          </w:tcPr>
          <w:p>
            <w:pPr>
              <w:jc w:val="center"/>
              <w:spacing w:after="0"/>
              <w:rPr>
                <w:rFonts w:ascii="Arial" w:cs="Arial" w:eastAsia="Arial" w:hAnsi="Arial"/>
                <w:sz w:val="16"/>
                <w:szCs w:val="16"/>
                <w:color w:val="0000EE"/>
              </w:rPr>
            </w:pPr>
            <w:hyperlink w:anchor="page36">
              <w:r>
                <w:rPr>
                  <w:rFonts w:ascii="Arial" w:cs="Arial" w:eastAsia="Arial" w:hAnsi="Arial"/>
                  <w:sz w:val="16"/>
                  <w:szCs w:val="16"/>
                  <w:color w:val="0000EE"/>
                </w:rPr>
                <w:t>36</w:t>
              </w:r>
            </w:hyperlink>
          </w:p>
        </w:tc>
      </w:tr>
      <w:tr>
        <w:trPr>
          <w:trHeight w:val="243"/>
        </w:trPr>
        <w:tc>
          <w:tcPr>
            <w:tcW w:w="680" w:type="dxa"/>
            <w:vAlign w:val="bottom"/>
          </w:tcPr>
          <w:p>
            <w:pPr>
              <w:spacing w:after="0"/>
              <w:rPr>
                <w:sz w:val="21"/>
                <w:szCs w:val="21"/>
                <w:color w:val="auto"/>
              </w:rPr>
            </w:pPr>
          </w:p>
        </w:tc>
        <w:tc>
          <w:tcPr>
            <w:tcW w:w="9260" w:type="dxa"/>
            <w:vAlign w:val="bottom"/>
          </w:tcPr>
          <w:p>
            <w:pPr>
              <w:jc w:val="center"/>
              <w:spacing w:after="0"/>
              <w:rPr>
                <w:sz w:val="20"/>
                <w:szCs w:val="20"/>
                <w:color w:val="auto"/>
              </w:rPr>
            </w:pPr>
            <w:r>
              <w:rPr>
                <w:rFonts w:ascii="Arial" w:cs="Arial" w:eastAsia="Arial" w:hAnsi="Arial"/>
                <w:sz w:val="16"/>
                <w:szCs w:val="16"/>
                <w:b w:val="1"/>
                <w:bCs w:val="1"/>
                <w:color w:val="auto"/>
              </w:rPr>
              <w:t>PART II</w:t>
            </w:r>
          </w:p>
        </w:tc>
        <w:tc>
          <w:tcPr>
            <w:tcW w:w="760" w:type="dxa"/>
            <w:vAlign w:val="bottom"/>
          </w:tcPr>
          <w:p>
            <w:pPr>
              <w:spacing w:after="0"/>
              <w:rPr>
                <w:sz w:val="21"/>
                <w:szCs w:val="21"/>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5.</w:t>
            </w:r>
          </w:p>
        </w:tc>
        <w:tc>
          <w:tcPr>
            <w:tcW w:w="9260" w:type="dxa"/>
            <w:vAlign w:val="bottom"/>
          </w:tcPr>
          <w:p>
            <w:pPr>
              <w:ind w:left="80"/>
              <w:spacing w:after="0"/>
              <w:rPr>
                <w:rFonts w:ascii="Arial" w:cs="Arial" w:eastAsia="Arial" w:hAnsi="Arial"/>
                <w:sz w:val="16"/>
                <w:szCs w:val="16"/>
                <w:color w:val="0000EE"/>
              </w:rPr>
            </w:pPr>
            <w:hyperlink w:anchor="page37">
              <w:r>
                <w:rPr>
                  <w:rFonts w:ascii="Arial" w:cs="Arial" w:eastAsia="Arial" w:hAnsi="Arial"/>
                  <w:sz w:val="16"/>
                  <w:szCs w:val="16"/>
                  <w:color w:val="0000EE"/>
                </w:rPr>
                <w:t>Market for Registrant's Common Equity, Related Stockholder Matters and Issuer Purchases of Equity Securities</w:t>
              </w:r>
            </w:hyperlink>
          </w:p>
        </w:tc>
        <w:tc>
          <w:tcPr>
            <w:tcW w:w="760" w:type="dxa"/>
            <w:vAlign w:val="bottom"/>
          </w:tcPr>
          <w:p>
            <w:pPr>
              <w:jc w:val="center"/>
              <w:spacing w:after="0"/>
              <w:rPr>
                <w:rFonts w:ascii="Arial" w:cs="Arial" w:eastAsia="Arial" w:hAnsi="Arial"/>
                <w:sz w:val="16"/>
                <w:szCs w:val="16"/>
                <w:color w:val="0000EE"/>
              </w:rPr>
            </w:pPr>
            <w:hyperlink w:anchor="page37">
              <w:r>
                <w:rPr>
                  <w:rFonts w:ascii="Arial" w:cs="Arial" w:eastAsia="Arial" w:hAnsi="Arial"/>
                  <w:sz w:val="16"/>
                  <w:szCs w:val="16"/>
                  <w:color w:val="0000EE"/>
                </w:rPr>
                <w:t>37</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6.</w:t>
            </w:r>
          </w:p>
        </w:tc>
        <w:tc>
          <w:tcPr>
            <w:tcW w:w="9260" w:type="dxa"/>
            <w:vAlign w:val="bottom"/>
          </w:tcPr>
          <w:p>
            <w:pPr>
              <w:ind w:left="80"/>
              <w:spacing w:after="0"/>
              <w:rPr>
                <w:rFonts w:ascii="Arial" w:cs="Arial" w:eastAsia="Arial" w:hAnsi="Arial"/>
                <w:sz w:val="16"/>
                <w:szCs w:val="16"/>
                <w:color w:val="0000EE"/>
              </w:rPr>
            </w:pPr>
            <w:hyperlink w:anchor="page40">
              <w:r>
                <w:rPr>
                  <w:rFonts w:ascii="Arial" w:cs="Arial" w:eastAsia="Arial" w:hAnsi="Arial"/>
                  <w:sz w:val="16"/>
                  <w:szCs w:val="16"/>
                  <w:color w:val="0000EE"/>
                </w:rPr>
                <w:t>Selected Consolidated Financial Data</w:t>
              </w:r>
            </w:hyperlink>
          </w:p>
        </w:tc>
        <w:tc>
          <w:tcPr>
            <w:tcW w:w="760" w:type="dxa"/>
            <w:vAlign w:val="bottom"/>
          </w:tcPr>
          <w:p>
            <w:pPr>
              <w:jc w:val="center"/>
              <w:spacing w:after="0"/>
              <w:rPr>
                <w:rFonts w:ascii="Arial" w:cs="Arial" w:eastAsia="Arial" w:hAnsi="Arial"/>
                <w:sz w:val="16"/>
                <w:szCs w:val="16"/>
                <w:color w:val="0000EE"/>
              </w:rPr>
            </w:pPr>
            <w:hyperlink w:anchor="page40">
              <w:r>
                <w:rPr>
                  <w:rFonts w:ascii="Arial" w:cs="Arial" w:eastAsia="Arial" w:hAnsi="Arial"/>
                  <w:sz w:val="16"/>
                  <w:szCs w:val="16"/>
                  <w:color w:val="0000EE"/>
                </w:rPr>
                <w:t>40</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7.</w:t>
            </w:r>
          </w:p>
        </w:tc>
        <w:tc>
          <w:tcPr>
            <w:tcW w:w="9260" w:type="dxa"/>
            <w:vAlign w:val="bottom"/>
          </w:tcPr>
          <w:p>
            <w:pPr>
              <w:ind w:left="80"/>
              <w:spacing w:after="0"/>
              <w:rPr>
                <w:rFonts w:ascii="Arial" w:cs="Arial" w:eastAsia="Arial" w:hAnsi="Arial"/>
                <w:sz w:val="16"/>
                <w:szCs w:val="16"/>
                <w:color w:val="0000EE"/>
              </w:rPr>
            </w:pPr>
            <w:hyperlink w:anchor="page41">
              <w:r>
                <w:rPr>
                  <w:rFonts w:ascii="Arial" w:cs="Arial" w:eastAsia="Arial" w:hAnsi="Arial"/>
                  <w:sz w:val="16"/>
                  <w:szCs w:val="16"/>
                  <w:color w:val="0000EE"/>
                </w:rPr>
                <w:t>Management's Discussion and Analysis of Financial Condition and Results of Operations</w:t>
              </w:r>
            </w:hyperlink>
          </w:p>
        </w:tc>
        <w:tc>
          <w:tcPr>
            <w:tcW w:w="760" w:type="dxa"/>
            <w:vAlign w:val="bottom"/>
          </w:tcPr>
          <w:p>
            <w:pPr>
              <w:jc w:val="center"/>
              <w:spacing w:after="0"/>
              <w:rPr>
                <w:rFonts w:ascii="Arial" w:cs="Arial" w:eastAsia="Arial" w:hAnsi="Arial"/>
                <w:sz w:val="16"/>
                <w:szCs w:val="16"/>
                <w:color w:val="0000EE"/>
              </w:rPr>
            </w:pPr>
            <w:hyperlink w:anchor="page41">
              <w:r>
                <w:rPr>
                  <w:rFonts w:ascii="Arial" w:cs="Arial" w:eastAsia="Arial" w:hAnsi="Arial"/>
                  <w:sz w:val="16"/>
                  <w:szCs w:val="16"/>
                  <w:color w:val="0000EE"/>
                </w:rPr>
                <w:t>41</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7A.</w:t>
            </w:r>
          </w:p>
        </w:tc>
        <w:tc>
          <w:tcPr>
            <w:tcW w:w="9260" w:type="dxa"/>
            <w:vAlign w:val="bottom"/>
          </w:tcPr>
          <w:p>
            <w:pPr>
              <w:ind w:left="80"/>
              <w:spacing w:after="0"/>
              <w:rPr>
                <w:rFonts w:ascii="Arial" w:cs="Arial" w:eastAsia="Arial" w:hAnsi="Arial"/>
                <w:sz w:val="16"/>
                <w:szCs w:val="16"/>
                <w:color w:val="0000EE"/>
              </w:rPr>
            </w:pPr>
            <w:hyperlink w:anchor="page52">
              <w:r>
                <w:rPr>
                  <w:rFonts w:ascii="Arial" w:cs="Arial" w:eastAsia="Arial" w:hAnsi="Arial"/>
                  <w:sz w:val="16"/>
                  <w:szCs w:val="16"/>
                  <w:color w:val="0000EE"/>
                </w:rPr>
                <w:t>Quantitative and Qualitative Disclosures About Market Risk</w:t>
              </w:r>
            </w:hyperlink>
          </w:p>
        </w:tc>
        <w:tc>
          <w:tcPr>
            <w:tcW w:w="760" w:type="dxa"/>
            <w:vAlign w:val="bottom"/>
          </w:tcPr>
          <w:p>
            <w:pPr>
              <w:jc w:val="center"/>
              <w:spacing w:after="0"/>
              <w:rPr>
                <w:rFonts w:ascii="Arial" w:cs="Arial" w:eastAsia="Arial" w:hAnsi="Arial"/>
                <w:sz w:val="16"/>
                <w:szCs w:val="16"/>
                <w:color w:val="0000EE"/>
              </w:rPr>
            </w:pPr>
            <w:hyperlink w:anchor="page52">
              <w:r>
                <w:rPr>
                  <w:rFonts w:ascii="Arial" w:cs="Arial" w:eastAsia="Arial" w:hAnsi="Arial"/>
                  <w:sz w:val="16"/>
                  <w:szCs w:val="16"/>
                  <w:color w:val="0000EE"/>
                </w:rPr>
                <w:t>52</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8.</w:t>
            </w:r>
          </w:p>
        </w:tc>
        <w:tc>
          <w:tcPr>
            <w:tcW w:w="9260" w:type="dxa"/>
            <w:vAlign w:val="bottom"/>
          </w:tcPr>
          <w:p>
            <w:pPr>
              <w:ind w:left="80"/>
              <w:spacing w:after="0"/>
              <w:rPr>
                <w:rFonts w:ascii="Arial" w:cs="Arial" w:eastAsia="Arial" w:hAnsi="Arial"/>
                <w:sz w:val="16"/>
                <w:szCs w:val="16"/>
                <w:color w:val="0000EE"/>
              </w:rPr>
            </w:pPr>
            <w:hyperlink w:anchor="page54">
              <w:r>
                <w:rPr>
                  <w:rFonts w:ascii="Arial" w:cs="Arial" w:eastAsia="Arial" w:hAnsi="Arial"/>
                  <w:sz w:val="16"/>
                  <w:szCs w:val="16"/>
                  <w:color w:val="0000EE"/>
                </w:rPr>
                <w:t>Financial Statements and Supplementary Data</w:t>
              </w:r>
            </w:hyperlink>
          </w:p>
        </w:tc>
        <w:tc>
          <w:tcPr>
            <w:tcW w:w="760" w:type="dxa"/>
            <w:vAlign w:val="bottom"/>
          </w:tcPr>
          <w:p>
            <w:pPr>
              <w:jc w:val="center"/>
              <w:spacing w:after="0"/>
              <w:rPr>
                <w:rFonts w:ascii="Arial" w:cs="Arial" w:eastAsia="Arial" w:hAnsi="Arial"/>
                <w:sz w:val="16"/>
                <w:szCs w:val="16"/>
                <w:color w:val="0000EE"/>
              </w:rPr>
            </w:pPr>
            <w:hyperlink w:anchor="page54">
              <w:r>
                <w:rPr>
                  <w:rFonts w:ascii="Arial" w:cs="Arial" w:eastAsia="Arial" w:hAnsi="Arial"/>
                  <w:sz w:val="16"/>
                  <w:szCs w:val="16"/>
                  <w:color w:val="0000EE"/>
                </w:rPr>
                <w:t>54</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9.</w:t>
            </w:r>
          </w:p>
        </w:tc>
        <w:tc>
          <w:tcPr>
            <w:tcW w:w="9260" w:type="dxa"/>
            <w:vAlign w:val="bottom"/>
          </w:tcPr>
          <w:p>
            <w:pPr>
              <w:ind w:left="80"/>
              <w:spacing w:after="0"/>
              <w:rPr>
                <w:rFonts w:ascii="Arial" w:cs="Arial" w:eastAsia="Arial" w:hAnsi="Arial"/>
                <w:sz w:val="16"/>
                <w:szCs w:val="16"/>
                <w:color w:val="0000EE"/>
              </w:rPr>
            </w:pPr>
            <w:hyperlink w:anchor="page88">
              <w:r>
                <w:rPr>
                  <w:rFonts w:ascii="Arial" w:cs="Arial" w:eastAsia="Arial" w:hAnsi="Arial"/>
                  <w:sz w:val="16"/>
                  <w:szCs w:val="16"/>
                  <w:color w:val="0000EE"/>
                </w:rPr>
                <w:t>Changes in and Disagreements with Accountants on Accounting and Financial Disclosure</w:t>
              </w:r>
            </w:hyperlink>
          </w:p>
        </w:tc>
        <w:tc>
          <w:tcPr>
            <w:tcW w:w="760" w:type="dxa"/>
            <w:vAlign w:val="bottom"/>
          </w:tcPr>
          <w:p>
            <w:pPr>
              <w:jc w:val="center"/>
              <w:spacing w:after="0"/>
              <w:rPr>
                <w:rFonts w:ascii="Arial" w:cs="Arial" w:eastAsia="Arial" w:hAnsi="Arial"/>
                <w:sz w:val="16"/>
                <w:szCs w:val="16"/>
                <w:color w:val="0000EE"/>
              </w:rPr>
            </w:pPr>
            <w:hyperlink w:anchor="page88">
              <w:r>
                <w:rPr>
                  <w:rFonts w:ascii="Arial" w:cs="Arial" w:eastAsia="Arial" w:hAnsi="Arial"/>
                  <w:sz w:val="16"/>
                  <w:szCs w:val="16"/>
                  <w:color w:val="0000EE"/>
                </w:rPr>
                <w:t>87</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9A.</w:t>
            </w:r>
          </w:p>
        </w:tc>
        <w:tc>
          <w:tcPr>
            <w:tcW w:w="9260" w:type="dxa"/>
            <w:vAlign w:val="bottom"/>
          </w:tcPr>
          <w:p>
            <w:pPr>
              <w:ind w:left="80"/>
              <w:spacing w:after="0"/>
              <w:rPr>
                <w:rFonts w:ascii="Arial" w:cs="Arial" w:eastAsia="Arial" w:hAnsi="Arial"/>
                <w:sz w:val="16"/>
                <w:szCs w:val="16"/>
                <w:color w:val="0000EE"/>
              </w:rPr>
            </w:pPr>
            <w:hyperlink w:anchor="page88">
              <w:r>
                <w:rPr>
                  <w:rFonts w:ascii="Arial" w:cs="Arial" w:eastAsia="Arial" w:hAnsi="Arial"/>
                  <w:sz w:val="16"/>
                  <w:szCs w:val="16"/>
                  <w:color w:val="0000EE"/>
                </w:rPr>
                <w:t>Controls and Procedures</w:t>
              </w:r>
            </w:hyperlink>
          </w:p>
        </w:tc>
        <w:tc>
          <w:tcPr>
            <w:tcW w:w="760" w:type="dxa"/>
            <w:vAlign w:val="bottom"/>
          </w:tcPr>
          <w:p>
            <w:pPr>
              <w:jc w:val="center"/>
              <w:spacing w:after="0"/>
              <w:rPr>
                <w:rFonts w:ascii="Arial" w:cs="Arial" w:eastAsia="Arial" w:hAnsi="Arial"/>
                <w:sz w:val="16"/>
                <w:szCs w:val="16"/>
                <w:color w:val="0000EE"/>
              </w:rPr>
            </w:pPr>
            <w:hyperlink w:anchor="page88">
              <w:r>
                <w:rPr>
                  <w:rFonts w:ascii="Arial" w:cs="Arial" w:eastAsia="Arial" w:hAnsi="Arial"/>
                  <w:sz w:val="16"/>
                  <w:szCs w:val="16"/>
                  <w:color w:val="0000EE"/>
                </w:rPr>
                <w:t>87</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9B.</w:t>
            </w:r>
          </w:p>
        </w:tc>
        <w:tc>
          <w:tcPr>
            <w:tcW w:w="9260" w:type="dxa"/>
            <w:vAlign w:val="bottom"/>
          </w:tcPr>
          <w:p>
            <w:pPr>
              <w:ind w:left="80"/>
              <w:spacing w:after="0"/>
              <w:rPr>
                <w:rFonts w:ascii="Arial" w:cs="Arial" w:eastAsia="Arial" w:hAnsi="Arial"/>
                <w:sz w:val="16"/>
                <w:szCs w:val="16"/>
                <w:color w:val="0000EE"/>
              </w:rPr>
            </w:pPr>
            <w:hyperlink w:anchor="page89">
              <w:r>
                <w:rPr>
                  <w:rFonts w:ascii="Arial" w:cs="Arial" w:eastAsia="Arial" w:hAnsi="Arial"/>
                  <w:sz w:val="16"/>
                  <w:szCs w:val="16"/>
                  <w:color w:val="0000EE"/>
                </w:rPr>
                <w:t>Other Information</w:t>
              </w:r>
            </w:hyperlink>
          </w:p>
        </w:tc>
        <w:tc>
          <w:tcPr>
            <w:tcW w:w="760" w:type="dxa"/>
            <w:vAlign w:val="bottom"/>
          </w:tcPr>
          <w:p>
            <w:pPr>
              <w:jc w:val="center"/>
              <w:spacing w:after="0"/>
              <w:rPr>
                <w:rFonts w:ascii="Arial" w:cs="Arial" w:eastAsia="Arial" w:hAnsi="Arial"/>
                <w:sz w:val="16"/>
                <w:szCs w:val="16"/>
                <w:color w:val="0000EE"/>
              </w:rPr>
            </w:pPr>
            <w:hyperlink w:anchor="page89">
              <w:r>
                <w:rPr>
                  <w:rFonts w:ascii="Arial" w:cs="Arial" w:eastAsia="Arial" w:hAnsi="Arial"/>
                  <w:sz w:val="16"/>
                  <w:szCs w:val="16"/>
                  <w:color w:val="0000EE"/>
                </w:rPr>
                <w:t>88</w:t>
              </w:r>
            </w:hyperlink>
          </w:p>
        </w:tc>
      </w:tr>
      <w:tr>
        <w:trPr>
          <w:trHeight w:val="243"/>
        </w:trPr>
        <w:tc>
          <w:tcPr>
            <w:tcW w:w="680" w:type="dxa"/>
            <w:vAlign w:val="bottom"/>
          </w:tcPr>
          <w:p>
            <w:pPr>
              <w:spacing w:after="0"/>
              <w:rPr>
                <w:sz w:val="21"/>
                <w:szCs w:val="21"/>
                <w:color w:val="auto"/>
              </w:rPr>
            </w:pPr>
          </w:p>
        </w:tc>
        <w:tc>
          <w:tcPr>
            <w:tcW w:w="9260" w:type="dxa"/>
            <w:vAlign w:val="bottom"/>
          </w:tcPr>
          <w:p>
            <w:pPr>
              <w:jc w:val="center"/>
              <w:spacing w:after="0"/>
              <w:rPr>
                <w:sz w:val="20"/>
                <w:szCs w:val="20"/>
                <w:color w:val="auto"/>
              </w:rPr>
            </w:pPr>
            <w:r>
              <w:rPr>
                <w:rFonts w:ascii="Arial" w:cs="Arial" w:eastAsia="Arial" w:hAnsi="Arial"/>
                <w:sz w:val="16"/>
                <w:szCs w:val="16"/>
                <w:b w:val="1"/>
                <w:bCs w:val="1"/>
                <w:color w:val="auto"/>
              </w:rPr>
              <w:t>PART III</w:t>
            </w:r>
          </w:p>
        </w:tc>
        <w:tc>
          <w:tcPr>
            <w:tcW w:w="760" w:type="dxa"/>
            <w:vAlign w:val="bottom"/>
          </w:tcPr>
          <w:p>
            <w:pPr>
              <w:spacing w:after="0"/>
              <w:rPr>
                <w:sz w:val="21"/>
                <w:szCs w:val="21"/>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10.</w:t>
            </w:r>
          </w:p>
        </w:tc>
        <w:tc>
          <w:tcPr>
            <w:tcW w:w="9260" w:type="dxa"/>
            <w:vAlign w:val="bottom"/>
          </w:tcPr>
          <w:p>
            <w:pPr>
              <w:ind w:left="80"/>
              <w:spacing w:after="0"/>
              <w:rPr>
                <w:rFonts w:ascii="Arial" w:cs="Arial" w:eastAsia="Arial" w:hAnsi="Arial"/>
                <w:sz w:val="16"/>
                <w:szCs w:val="16"/>
                <w:color w:val="0000EE"/>
              </w:rPr>
            </w:pPr>
            <w:hyperlink w:anchor="page89">
              <w:r>
                <w:rPr>
                  <w:rFonts w:ascii="Arial" w:cs="Arial" w:eastAsia="Arial" w:hAnsi="Arial"/>
                  <w:sz w:val="16"/>
                  <w:szCs w:val="16"/>
                  <w:color w:val="0000EE"/>
                </w:rPr>
                <w:t>Directors, Executive Officers and Corporate Governance</w:t>
              </w:r>
            </w:hyperlink>
          </w:p>
        </w:tc>
        <w:tc>
          <w:tcPr>
            <w:tcW w:w="760" w:type="dxa"/>
            <w:vAlign w:val="bottom"/>
          </w:tcPr>
          <w:p>
            <w:pPr>
              <w:jc w:val="center"/>
              <w:spacing w:after="0"/>
              <w:rPr>
                <w:rFonts w:ascii="Arial" w:cs="Arial" w:eastAsia="Arial" w:hAnsi="Arial"/>
                <w:sz w:val="16"/>
                <w:szCs w:val="16"/>
                <w:color w:val="0000EE"/>
              </w:rPr>
            </w:pPr>
            <w:hyperlink w:anchor="page89">
              <w:r>
                <w:rPr>
                  <w:rFonts w:ascii="Arial" w:cs="Arial" w:eastAsia="Arial" w:hAnsi="Arial"/>
                  <w:sz w:val="16"/>
                  <w:szCs w:val="16"/>
                  <w:color w:val="0000EE"/>
                </w:rPr>
                <w:t>88</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11.</w:t>
            </w:r>
          </w:p>
        </w:tc>
        <w:tc>
          <w:tcPr>
            <w:tcW w:w="9260" w:type="dxa"/>
            <w:vAlign w:val="bottom"/>
          </w:tcPr>
          <w:p>
            <w:pPr>
              <w:ind w:left="80"/>
              <w:spacing w:after="0"/>
              <w:rPr>
                <w:rFonts w:ascii="Arial" w:cs="Arial" w:eastAsia="Arial" w:hAnsi="Arial"/>
                <w:sz w:val="16"/>
                <w:szCs w:val="16"/>
                <w:color w:val="0000EE"/>
              </w:rPr>
            </w:pPr>
            <w:hyperlink w:anchor="page89">
              <w:r>
                <w:rPr>
                  <w:rFonts w:ascii="Arial" w:cs="Arial" w:eastAsia="Arial" w:hAnsi="Arial"/>
                  <w:sz w:val="16"/>
                  <w:szCs w:val="16"/>
                  <w:color w:val="0000EE"/>
                </w:rPr>
                <w:t>Executive Compensation</w:t>
              </w:r>
            </w:hyperlink>
          </w:p>
        </w:tc>
        <w:tc>
          <w:tcPr>
            <w:tcW w:w="760" w:type="dxa"/>
            <w:vAlign w:val="bottom"/>
          </w:tcPr>
          <w:p>
            <w:pPr>
              <w:jc w:val="center"/>
              <w:spacing w:after="0"/>
              <w:rPr>
                <w:rFonts w:ascii="Arial" w:cs="Arial" w:eastAsia="Arial" w:hAnsi="Arial"/>
                <w:sz w:val="16"/>
                <w:szCs w:val="16"/>
                <w:color w:val="0000EE"/>
              </w:rPr>
            </w:pPr>
            <w:hyperlink w:anchor="page89">
              <w:r>
                <w:rPr>
                  <w:rFonts w:ascii="Arial" w:cs="Arial" w:eastAsia="Arial" w:hAnsi="Arial"/>
                  <w:sz w:val="16"/>
                  <w:szCs w:val="16"/>
                  <w:color w:val="0000EE"/>
                </w:rPr>
                <w:t>88</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12.</w:t>
            </w:r>
          </w:p>
        </w:tc>
        <w:tc>
          <w:tcPr>
            <w:tcW w:w="9260" w:type="dxa"/>
            <w:vAlign w:val="bottom"/>
          </w:tcPr>
          <w:p>
            <w:pPr>
              <w:ind w:left="80"/>
              <w:spacing w:after="0"/>
              <w:rPr>
                <w:rFonts w:ascii="Arial" w:cs="Arial" w:eastAsia="Arial" w:hAnsi="Arial"/>
                <w:sz w:val="16"/>
                <w:szCs w:val="16"/>
                <w:color w:val="0000EE"/>
              </w:rPr>
            </w:pPr>
            <w:hyperlink w:anchor="page89">
              <w:r>
                <w:rPr>
                  <w:rFonts w:ascii="Arial" w:cs="Arial" w:eastAsia="Arial" w:hAnsi="Arial"/>
                  <w:sz w:val="16"/>
                  <w:szCs w:val="16"/>
                  <w:color w:val="0000EE"/>
                </w:rPr>
                <w:t>Security Ownership of Certain Beneficial Owners and Management and Related Stockholder Matters</w:t>
              </w:r>
            </w:hyperlink>
          </w:p>
        </w:tc>
        <w:tc>
          <w:tcPr>
            <w:tcW w:w="760" w:type="dxa"/>
            <w:vAlign w:val="bottom"/>
          </w:tcPr>
          <w:p>
            <w:pPr>
              <w:jc w:val="center"/>
              <w:spacing w:after="0"/>
              <w:rPr>
                <w:rFonts w:ascii="Arial" w:cs="Arial" w:eastAsia="Arial" w:hAnsi="Arial"/>
                <w:sz w:val="16"/>
                <w:szCs w:val="16"/>
                <w:color w:val="0000EE"/>
              </w:rPr>
            </w:pPr>
            <w:hyperlink w:anchor="page89">
              <w:r>
                <w:rPr>
                  <w:rFonts w:ascii="Arial" w:cs="Arial" w:eastAsia="Arial" w:hAnsi="Arial"/>
                  <w:sz w:val="16"/>
                  <w:szCs w:val="16"/>
                  <w:color w:val="0000EE"/>
                </w:rPr>
                <w:t>88</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13.</w:t>
            </w:r>
          </w:p>
        </w:tc>
        <w:tc>
          <w:tcPr>
            <w:tcW w:w="9260" w:type="dxa"/>
            <w:vAlign w:val="bottom"/>
          </w:tcPr>
          <w:p>
            <w:pPr>
              <w:ind w:left="80"/>
              <w:spacing w:after="0"/>
              <w:rPr>
                <w:rFonts w:ascii="Arial" w:cs="Arial" w:eastAsia="Arial" w:hAnsi="Arial"/>
                <w:sz w:val="16"/>
                <w:szCs w:val="16"/>
                <w:color w:val="0000EE"/>
              </w:rPr>
            </w:pPr>
            <w:hyperlink w:anchor="page90">
              <w:r>
                <w:rPr>
                  <w:rFonts w:ascii="Arial" w:cs="Arial" w:eastAsia="Arial" w:hAnsi="Arial"/>
                  <w:sz w:val="16"/>
                  <w:szCs w:val="16"/>
                  <w:color w:val="0000EE"/>
                </w:rPr>
                <w:t>Certain Relationships and Related Transactions, and Director Independence</w:t>
              </w:r>
            </w:hyperlink>
          </w:p>
        </w:tc>
        <w:tc>
          <w:tcPr>
            <w:tcW w:w="760" w:type="dxa"/>
            <w:vAlign w:val="bottom"/>
          </w:tcPr>
          <w:p>
            <w:pPr>
              <w:jc w:val="center"/>
              <w:spacing w:after="0"/>
              <w:rPr>
                <w:rFonts w:ascii="Arial" w:cs="Arial" w:eastAsia="Arial" w:hAnsi="Arial"/>
                <w:sz w:val="16"/>
                <w:szCs w:val="16"/>
                <w:color w:val="0000EE"/>
              </w:rPr>
            </w:pPr>
            <w:hyperlink w:anchor="page90">
              <w:r>
                <w:rPr>
                  <w:rFonts w:ascii="Arial" w:cs="Arial" w:eastAsia="Arial" w:hAnsi="Arial"/>
                  <w:sz w:val="16"/>
                  <w:szCs w:val="16"/>
                  <w:color w:val="0000EE"/>
                </w:rPr>
                <w:t>89</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14.</w:t>
            </w:r>
          </w:p>
        </w:tc>
        <w:tc>
          <w:tcPr>
            <w:tcW w:w="9260" w:type="dxa"/>
            <w:vAlign w:val="bottom"/>
          </w:tcPr>
          <w:p>
            <w:pPr>
              <w:ind w:left="80"/>
              <w:spacing w:after="0"/>
              <w:rPr>
                <w:rFonts w:ascii="Arial" w:cs="Arial" w:eastAsia="Arial" w:hAnsi="Arial"/>
                <w:sz w:val="16"/>
                <w:szCs w:val="16"/>
                <w:color w:val="0000EE"/>
              </w:rPr>
            </w:pPr>
            <w:hyperlink w:anchor="page90">
              <w:r>
                <w:rPr>
                  <w:rFonts w:ascii="Arial" w:cs="Arial" w:eastAsia="Arial" w:hAnsi="Arial"/>
                  <w:sz w:val="16"/>
                  <w:szCs w:val="16"/>
                  <w:color w:val="0000EE"/>
                </w:rPr>
                <w:t>Principal Accounting Fees and Services</w:t>
              </w:r>
            </w:hyperlink>
          </w:p>
        </w:tc>
        <w:tc>
          <w:tcPr>
            <w:tcW w:w="760" w:type="dxa"/>
            <w:vAlign w:val="bottom"/>
          </w:tcPr>
          <w:p>
            <w:pPr>
              <w:jc w:val="center"/>
              <w:spacing w:after="0"/>
              <w:rPr>
                <w:rFonts w:ascii="Arial" w:cs="Arial" w:eastAsia="Arial" w:hAnsi="Arial"/>
                <w:sz w:val="16"/>
                <w:szCs w:val="16"/>
                <w:color w:val="0000EE"/>
              </w:rPr>
            </w:pPr>
            <w:hyperlink w:anchor="page90">
              <w:r>
                <w:rPr>
                  <w:rFonts w:ascii="Arial" w:cs="Arial" w:eastAsia="Arial" w:hAnsi="Arial"/>
                  <w:sz w:val="16"/>
                  <w:szCs w:val="16"/>
                  <w:color w:val="0000EE"/>
                </w:rPr>
                <w:t>89</w:t>
              </w:r>
            </w:hyperlink>
          </w:p>
        </w:tc>
      </w:tr>
      <w:tr>
        <w:trPr>
          <w:trHeight w:val="243"/>
        </w:trPr>
        <w:tc>
          <w:tcPr>
            <w:tcW w:w="680" w:type="dxa"/>
            <w:vAlign w:val="bottom"/>
          </w:tcPr>
          <w:p>
            <w:pPr>
              <w:spacing w:after="0"/>
              <w:rPr>
                <w:sz w:val="21"/>
                <w:szCs w:val="21"/>
                <w:color w:val="auto"/>
              </w:rPr>
            </w:pPr>
          </w:p>
        </w:tc>
        <w:tc>
          <w:tcPr>
            <w:tcW w:w="9260" w:type="dxa"/>
            <w:vAlign w:val="bottom"/>
          </w:tcPr>
          <w:p>
            <w:pPr>
              <w:jc w:val="center"/>
              <w:spacing w:after="0"/>
              <w:rPr>
                <w:sz w:val="20"/>
                <w:szCs w:val="20"/>
                <w:color w:val="auto"/>
              </w:rPr>
            </w:pPr>
            <w:r>
              <w:rPr>
                <w:rFonts w:ascii="Arial" w:cs="Arial" w:eastAsia="Arial" w:hAnsi="Arial"/>
                <w:sz w:val="16"/>
                <w:szCs w:val="16"/>
                <w:b w:val="1"/>
                <w:bCs w:val="1"/>
                <w:color w:val="auto"/>
                <w:w w:val="98"/>
              </w:rPr>
              <w:t>PART IV</w:t>
            </w:r>
          </w:p>
        </w:tc>
        <w:tc>
          <w:tcPr>
            <w:tcW w:w="760" w:type="dxa"/>
            <w:vAlign w:val="bottom"/>
          </w:tcPr>
          <w:p>
            <w:pPr>
              <w:spacing w:after="0"/>
              <w:rPr>
                <w:sz w:val="21"/>
                <w:szCs w:val="21"/>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15.</w:t>
            </w:r>
          </w:p>
        </w:tc>
        <w:tc>
          <w:tcPr>
            <w:tcW w:w="9260" w:type="dxa"/>
            <w:vAlign w:val="bottom"/>
          </w:tcPr>
          <w:p>
            <w:pPr>
              <w:ind w:left="80"/>
              <w:spacing w:after="0"/>
              <w:rPr>
                <w:rFonts w:ascii="Arial" w:cs="Arial" w:eastAsia="Arial" w:hAnsi="Arial"/>
                <w:sz w:val="16"/>
                <w:szCs w:val="16"/>
                <w:color w:val="0000EE"/>
              </w:rPr>
            </w:pPr>
            <w:hyperlink w:anchor="page91">
              <w:r>
                <w:rPr>
                  <w:rFonts w:ascii="Arial" w:cs="Arial" w:eastAsia="Arial" w:hAnsi="Arial"/>
                  <w:sz w:val="16"/>
                  <w:szCs w:val="16"/>
                  <w:color w:val="0000EE"/>
                </w:rPr>
                <w:t>Exhibits and Financial Statement Schedules</w:t>
              </w:r>
            </w:hyperlink>
          </w:p>
        </w:tc>
        <w:tc>
          <w:tcPr>
            <w:tcW w:w="760" w:type="dxa"/>
            <w:vAlign w:val="bottom"/>
          </w:tcPr>
          <w:p>
            <w:pPr>
              <w:jc w:val="center"/>
              <w:spacing w:after="0"/>
              <w:rPr>
                <w:rFonts w:ascii="Arial" w:cs="Arial" w:eastAsia="Arial" w:hAnsi="Arial"/>
                <w:sz w:val="16"/>
                <w:szCs w:val="16"/>
                <w:color w:val="0000EE"/>
              </w:rPr>
            </w:pPr>
            <w:hyperlink w:anchor="page91">
              <w:r>
                <w:rPr>
                  <w:rFonts w:ascii="Arial" w:cs="Arial" w:eastAsia="Arial" w:hAnsi="Arial"/>
                  <w:sz w:val="16"/>
                  <w:szCs w:val="16"/>
                  <w:color w:val="0000EE"/>
                </w:rPr>
                <w:t>90</w:t>
              </w:r>
            </w:hyperlink>
          </w:p>
        </w:tc>
      </w:tr>
      <w:tr>
        <w:trPr>
          <w:trHeight w:val="243"/>
        </w:trPr>
        <w:tc>
          <w:tcPr>
            <w:tcW w:w="9940" w:type="dxa"/>
            <w:vAlign w:val="bottom"/>
            <w:gridSpan w:val="2"/>
          </w:tcPr>
          <w:p>
            <w:pPr>
              <w:spacing w:after="0"/>
              <w:rPr>
                <w:sz w:val="20"/>
                <w:szCs w:val="20"/>
                <w:color w:val="auto"/>
              </w:rPr>
            </w:pPr>
            <w:r>
              <w:rPr>
                <w:rFonts w:ascii="Arial" w:cs="Arial" w:eastAsia="Arial" w:hAnsi="Arial"/>
                <w:sz w:val="16"/>
                <w:szCs w:val="16"/>
                <w:color w:val="0000EE"/>
              </w:rPr>
              <w:t>Signatures</w:t>
            </w:r>
          </w:p>
        </w:tc>
        <w:tc>
          <w:tcPr>
            <w:tcW w:w="760" w:type="dxa"/>
            <w:vAlign w:val="bottom"/>
          </w:tcPr>
          <w:p>
            <w:pPr>
              <w:jc w:val="center"/>
              <w:spacing w:after="0"/>
              <w:rPr>
                <w:rFonts w:ascii="Arial" w:cs="Arial" w:eastAsia="Arial" w:hAnsi="Arial"/>
                <w:sz w:val="16"/>
                <w:szCs w:val="16"/>
                <w:color w:val="0000EE"/>
              </w:rPr>
            </w:pPr>
            <w:hyperlink w:anchor="page93">
              <w:r>
                <w:rPr>
                  <w:rFonts w:ascii="Arial" w:cs="Arial" w:eastAsia="Arial" w:hAnsi="Arial"/>
                  <w:sz w:val="16"/>
                  <w:szCs w:val="16"/>
                  <w:color w:val="0000EE"/>
                </w:rPr>
                <w:t>91</w:t>
              </w:r>
            </w:hyperlink>
          </w:p>
        </w:tc>
      </w:tr>
    </w:tbl>
    <w:p>
      <w:pPr>
        <w:spacing w:after="0" w:line="200" w:lineRule="exact"/>
        <w:rPr>
          <w:sz w:val="20"/>
          <w:szCs w:val="20"/>
          <w:color w:val="auto"/>
        </w:rPr>
      </w:pP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240" w:top="141" w:right="91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Forward-Looking Statements</w:t>
      </w:r>
    </w:p>
    <w:p>
      <w:pPr>
        <w:spacing w:after="0" w:line="2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Annual Report on Form 10-K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89" w:lineRule="exact"/>
        <w:rPr>
          <w:sz w:val="20"/>
          <w:szCs w:val="20"/>
          <w:color w:val="auto"/>
        </w:rPr>
      </w:pPr>
    </w:p>
    <w:p>
      <w:pPr>
        <w:ind w:left="106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231F20"/>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231F20"/>
        </w:rPr>
      </w:pPr>
    </w:p>
    <w:p>
      <w:pPr>
        <w:ind w:left="106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anticipated investments in sales and marketing, our infrastructure, new solutions,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231F20"/>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hanging="323"/>
        <w:spacing w:after="0" w:line="262"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other factors discussed in this Annual Report on Form 10-K in the sections titled "Risk Factors," "Management's Discussion and Analysis of Financial Condition and Results of Operations" and "Business."</w:t>
      </w:r>
    </w:p>
    <w:p>
      <w:pPr>
        <w:spacing w:after="0" w:line="17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231F20"/>
        </w:rPr>
        <w:t xml:space="preserve">We have based the forward-looking statements contained in this Annual Report on Form 10-K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 Item 1A (Risk Factors) of this Annual Report </w:t>
      </w:r>
      <w:r>
        <w:rPr>
          <w:rFonts w:ascii="Arial" w:cs="Arial" w:eastAsia="Arial" w:hAnsi="Arial"/>
          <w:sz w:val="18"/>
          <w:szCs w:val="18"/>
          <w:i w:val="1"/>
          <w:iCs w:val="1"/>
          <w:color w:val="000000"/>
        </w:rPr>
        <w:t>and those discussed in other documents we file with</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 xml:space="preserve">the U.S. Securities and Exchange Commission (SEC). </w:t>
      </w:r>
      <w:r>
        <w:rPr>
          <w:rFonts w:ascii="Arial" w:cs="Arial" w:eastAsia="Arial" w:hAnsi="Arial"/>
          <w:sz w:val="18"/>
          <w:szCs w:val="18"/>
          <w:i w:val="1"/>
          <w:iCs w:val="1"/>
          <w:color w:val="231F20"/>
        </w:rPr>
        <w:t>Moreover, we operate in a very competitive and rapidly changing environment. New</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i w:val="1"/>
          <w:iCs w:val="1"/>
          <w:color w:val="231F20"/>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7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i w:val="1"/>
          <w:iCs w:val="1"/>
          <w:color w:val="231F20"/>
        </w:rPr>
        <w:t>Qualys, the Qualys logo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 and ™ designations, as applicable, for the trademarks used in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are a pioneer and leading provider of a cloud-based platform delivering information technology (IT), security and compliance solutions. Our integrated suite of IT, security and compliance solutions delivered on our Qualys Cloud Platform enables our customers to: 1) identify and manage their IT assets across on-premises, endpoints, cloud, containers, and mobile environments; 2) collect and analyze large amounts of IT security data; 3) discover and prioritize vulnerabilities; 4) recommend and implement remediation actions; and 5) verify the implementation of such actions. This helps organizations protect their systems and applications from ever-evolving cyber-attacks and helps achieve compliance with internal policies and external regulations.</w:t>
      </w:r>
    </w:p>
    <w:p>
      <w:pPr>
        <w:spacing w:after="0" w:line="10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cloud solutions address the growing IT,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8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In this environment, new and evolving digital technologies intended to improve organizations’ operations can also increase vulnerability to cyber-attacks,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delivered in a single platform.</w:t>
      </w:r>
    </w:p>
    <w:p>
      <w:pPr>
        <w:spacing w:after="0" w:line="10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designed our Qualys Cloud Platform to transform the way organizations secure and protect their IT infrastructures and applications. Our cloud platform offers an integrated suite of solutions that automates the lifecycle of asset discovery and management, security assessments, and compliance management for an organization’s IT infrastructure and assets, whether such infrastructure and assets reside inside the organization, on their network perimeter, on endpoints or in the cloud. Since inception, our solutions have been designed to be delivered through the cloud and to be easily and rapidly deployed on a global scale, enabling faster implementation and lower total cost of ownership than traditional on-premises enterprise software products. Our customers, ranging from some of the largest global organizations to small businesses, are served from our globally-distributed cloud platform, enabling us to rapidly deliver new solutions, enhancements and security updates.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that our cloud platform provides our customers with unique advantages, including:</w:t>
      </w:r>
    </w:p>
    <w:p>
      <w:pPr>
        <w:spacing w:after="0" w:line="99" w:lineRule="exact"/>
        <w:rPr>
          <w:sz w:val="20"/>
          <w:szCs w:val="20"/>
          <w:color w:val="auto"/>
        </w:rPr>
      </w:pPr>
    </w:p>
    <w:p>
      <w:pPr>
        <w:ind w:left="1040" w:right="20" w:hanging="316"/>
        <w:spacing w:after="0" w:line="282"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No hardware to buy or manage. </w:t>
      </w:r>
      <w:r>
        <w:rPr>
          <w:rFonts w:ascii="Arial" w:cs="Arial" w:eastAsia="Arial" w:hAnsi="Arial"/>
          <w:sz w:val="18"/>
          <w:szCs w:val="18"/>
          <w:color w:val="auto"/>
        </w:rPr>
        <w:t>There is no infrastructure or software to buy and maintain thus reducing our customers’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all services are accessible in the cloud via web interface. Qualys operates and maintains the platform.</w:t>
      </w:r>
    </w:p>
    <w:p>
      <w:pPr>
        <w:spacing w:after="0" w:line="53" w:lineRule="exact"/>
        <w:rPr>
          <w:rFonts w:ascii="Arial" w:cs="Arial" w:eastAsia="Arial" w:hAnsi="Arial"/>
          <w:sz w:val="18"/>
          <w:szCs w:val="18"/>
          <w:color w:val="auto"/>
        </w:rPr>
      </w:pPr>
    </w:p>
    <w:p>
      <w:pPr>
        <w:jc w:val="both"/>
        <w:ind w:left="1040" w:hanging="316"/>
        <w:spacing w:after="0" w:line="26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Real-time visibility in one place, anytime and anywhere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can conveniently see their security and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posture across their global IT asset inventory in one browser window, without plugins or a virtual private network (VPN), whenever and wherever Internet access is available.</w:t>
      </w:r>
    </w:p>
    <w:p>
      <w:pPr>
        <w:spacing w:after="0" w:line="68" w:lineRule="exact"/>
        <w:rPr>
          <w:rFonts w:ascii="Arial" w:cs="Arial" w:eastAsia="Arial" w:hAnsi="Arial"/>
          <w:sz w:val="18"/>
          <w:szCs w:val="18"/>
          <w:color w:val="auto"/>
        </w:rPr>
      </w:pPr>
    </w:p>
    <w:p>
      <w:pPr>
        <w:ind w:left="1040" w:hanging="316"/>
        <w:spacing w:after="0" w:line="282"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Easy global scanning. </w:t>
      </w:r>
      <w:r>
        <w:rPr>
          <w:rFonts w:ascii="Arial" w:cs="Arial" w:eastAsia="Arial" w:hAnsi="Arial"/>
          <w:sz w:val="18"/>
          <w:szCs w:val="18"/>
          <w:color w:val="auto"/>
        </w:rPr>
        <w:t>Our customers can easily perform scans on geographically distributed and segmented networks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perimeter, behind the firewall, on dynamic cloud environments and on endpoints.</w:t>
      </w:r>
    </w:p>
    <w:p>
      <w:pPr>
        <w:spacing w:after="0" w:line="53" w:lineRule="exact"/>
        <w:rPr>
          <w:rFonts w:ascii="Arial" w:cs="Arial" w:eastAsia="Arial" w:hAnsi="Arial"/>
          <w:sz w:val="18"/>
          <w:szCs w:val="18"/>
          <w:color w:val="auto"/>
        </w:rPr>
      </w:pPr>
    </w:p>
    <w:p>
      <w:pPr>
        <w:jc w:val="both"/>
        <w:ind w:left="1040" w:hanging="316"/>
        <w:spacing w:after="0" w:line="26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Seamless scaling. </w:t>
      </w:r>
      <w:r>
        <w:rPr>
          <w:rFonts w:ascii="Arial" w:cs="Arial" w:eastAsia="Arial" w:hAnsi="Arial"/>
          <w:sz w:val="18"/>
          <w:szCs w:val="18"/>
          <w:color w:val="auto"/>
        </w:rPr>
        <w:t>Our cloud platform is a scalable, comprehensive, and end-to-end solution for the IT, security and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needs of our customers. Our customers can seamlessly add new coverage, users and services after they have deployed our platform.</w:t>
      </w:r>
    </w:p>
    <w:p>
      <w:pPr>
        <w:spacing w:after="0" w:line="68" w:lineRule="exact"/>
        <w:rPr>
          <w:rFonts w:ascii="Arial" w:cs="Arial" w:eastAsia="Arial" w:hAnsi="Arial"/>
          <w:sz w:val="18"/>
          <w:szCs w:val="18"/>
          <w:color w:val="auto"/>
        </w:rPr>
      </w:pPr>
    </w:p>
    <w:p>
      <w:pPr>
        <w:ind w:left="1040" w:hanging="316"/>
        <w:spacing w:after="0" w:line="282"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Up to date resources</w:t>
      </w:r>
      <w:r>
        <w:rPr>
          <w:rFonts w:ascii="Arial" w:cs="Arial" w:eastAsia="Arial" w:hAnsi="Arial"/>
          <w:sz w:val="18"/>
          <w:szCs w:val="18"/>
          <w:color w:val="auto"/>
        </w:rPr>
        <w:t>. Qualys has one of the largest knowledge bases of vulnerability signatures in the industry. All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updates are made in real-time.</w:t>
      </w:r>
    </w:p>
    <w:p>
      <w:pPr>
        <w:spacing w:after="0" w:line="53" w:lineRule="exact"/>
        <w:rPr>
          <w:rFonts w:ascii="Arial" w:cs="Arial" w:eastAsia="Arial" w:hAnsi="Arial"/>
          <w:sz w:val="18"/>
          <w:szCs w:val="18"/>
          <w:color w:val="auto"/>
        </w:rPr>
      </w:pPr>
    </w:p>
    <w:p>
      <w:pPr>
        <w:ind w:left="1040" w:hanging="316"/>
        <w:spacing w:after="0" w:line="282"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Data stored securely</w:t>
      </w:r>
      <w:r>
        <w:rPr>
          <w:rFonts w:ascii="Arial" w:cs="Arial" w:eastAsia="Arial" w:hAnsi="Arial"/>
          <w:sz w:val="18"/>
          <w:szCs w:val="18"/>
          <w:color w:val="auto"/>
        </w:rPr>
        <w:t>. Data is securely stored and processed in a multi-tiered architecture of load-balanced servers. Our encrypted</w:t>
      </w:r>
      <w:r>
        <w:rPr>
          <w:rFonts w:ascii="Arial" w:cs="Arial" w:eastAsia="Arial" w:hAnsi="Arial"/>
          <w:sz w:val="18"/>
          <w:szCs w:val="18"/>
          <w:i w:val="1"/>
          <w:iCs w:val="1"/>
          <w:color w:val="auto"/>
        </w:rPr>
        <w:t xml:space="preserve"> </w:t>
      </w:r>
      <w:r>
        <w:rPr>
          <w:rFonts w:ascii="Arial" w:cs="Arial" w:eastAsia="Arial" w:hAnsi="Arial"/>
          <w:sz w:val="18"/>
          <w:szCs w:val="18"/>
          <w:color w:val="auto"/>
        </w:rPr>
        <w:t>databases are physically and logically secured.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79" w:lineRule="exact"/>
        <w:rPr>
          <w:sz w:val="20"/>
          <w:szCs w:val="20"/>
          <w:color w:val="auto"/>
        </w:rPr>
      </w:pPr>
    </w:p>
    <w:p>
      <w:pPr>
        <w:ind w:left="1060" w:right="20" w:hanging="323"/>
        <w:spacing w:after="0" w:line="282"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IT Security: Vulnerability Management (VM), Threat Protection (TP), Continuous Monitoring (CM), Patch Management (PM), Indication of Compromise (IOC);</w:t>
      </w:r>
    </w:p>
    <w:p>
      <w:pPr>
        <w:spacing w:after="0" w:line="53" w:lineRule="exact"/>
        <w:rPr>
          <w:rFonts w:ascii="Arial" w:cs="Arial" w:eastAsia="Arial" w:hAnsi="Arial"/>
          <w:sz w:val="18"/>
          <w:szCs w:val="18"/>
          <w:color w:val="auto"/>
        </w:rPr>
      </w:pPr>
    </w:p>
    <w:p>
      <w:pPr>
        <w:ind w:left="1060" w:hanging="323"/>
        <w:spacing w:after="0" w:line="282"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Compliance Monitoring: Policy Compliance (PC), PCI Compliance (PCI), File Integrity Monitoring (FIM), Security Configuration Assessment (SCA), Security Assessment Questionnaire (SAQ), Out of-Band Configuration Assessment (OCA);</w:t>
      </w:r>
    </w:p>
    <w:p>
      <w:pPr>
        <w:spacing w:after="0" w:line="5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Global IT Asset Management: </w:t>
      </w:r>
      <w:r>
        <w:rPr>
          <w:rFonts w:ascii="Arial" w:cs="Arial" w:eastAsia="Arial" w:hAnsi="Arial"/>
          <w:sz w:val="18"/>
          <w:szCs w:val="18"/>
          <w:color w:val="auto"/>
        </w:rPr>
        <w:t>Global IT Asset Inventory (AI), CMDB Sync (SYN), Certificate Inventory (CRI); and,</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w:t>
      </w:r>
    </w:p>
    <w:p>
      <w:pPr>
        <w:spacing w:after="0" w:line="13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(CS).</w:t>
      </w:r>
    </w:p>
    <w:p>
      <w:pPr>
        <w:spacing w:after="0" w:line="11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significant revenue growth from our existing customers as they renew and purchase additional subscriptions, as well as from the addition of new customers to our cloud platform.</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w:t>
      </w:r>
      <w:r>
        <w:rPr>
          <w:rFonts w:ascii="Arial" w:cs="Arial" w:eastAsia="Arial" w:hAnsi="Arial"/>
          <w:sz w:val="18"/>
          <w:szCs w:val="18"/>
          <w:color w:val="231F20"/>
        </w:rPr>
        <w:t>ur Qualys Cloud Platform is currently used by over 15,700 customers, including active subscribers of our free services, in more than 133</w:t>
      </w:r>
      <w:r>
        <w:rPr>
          <w:rFonts w:ascii="Arial" w:cs="Arial" w:eastAsia="Arial" w:hAnsi="Arial"/>
          <w:sz w:val="18"/>
          <w:szCs w:val="18"/>
          <w:color w:val="auto"/>
        </w:rPr>
        <w:t xml:space="preserve"> </w:t>
      </w:r>
      <w:r>
        <w:rPr>
          <w:rFonts w:ascii="Arial" w:cs="Arial" w:eastAsia="Arial" w:hAnsi="Arial"/>
          <w:sz w:val="18"/>
          <w:szCs w:val="18"/>
          <w:color w:val="231F20"/>
        </w:rPr>
        <w:t xml:space="preserve">countries, including a majority </w:t>
      </w:r>
      <w:r>
        <w:rPr>
          <w:rFonts w:ascii="Arial" w:cs="Arial" w:eastAsia="Arial" w:hAnsi="Arial"/>
          <w:sz w:val="18"/>
          <w:szCs w:val="18"/>
          <w:color w:val="000000"/>
        </w:rPr>
        <w:t>of each of the Forbes Global 100 and Fortune 100. Our revenues increased to $321.6 million in 2019 from</w:t>
      </w:r>
      <w:r>
        <w:rPr>
          <w:rFonts w:ascii="Arial" w:cs="Arial" w:eastAsia="Arial" w:hAnsi="Arial"/>
          <w:sz w:val="18"/>
          <w:szCs w:val="18"/>
          <w:color w:val="231F20"/>
        </w:rPr>
        <w:t xml:space="preserve"> </w:t>
      </w:r>
      <w:r>
        <w:rPr>
          <w:rFonts w:ascii="Arial" w:cs="Arial" w:eastAsia="Arial" w:hAnsi="Arial"/>
          <w:sz w:val="18"/>
          <w:szCs w:val="18"/>
          <w:color w:val="000000"/>
        </w:rPr>
        <w:t xml:space="preserve">$278.9 million in 2018 and $230.8 million in 2017. Our VM solutions (including VM, CM, TP, Cloud Agent for VM, CS, CRI, allocated scanner revenue and Qualys Private Cloud Platform) have provided a majority of our revenues to date, representing 73% of total revenue in 2019, and 74% </w:t>
      </w:r>
      <w:r>
        <w:rPr>
          <w:rFonts w:ascii="Arial" w:cs="Arial" w:eastAsia="Arial" w:hAnsi="Arial"/>
          <w:sz w:val="18"/>
          <w:szCs w:val="18"/>
          <w:color w:val="231F20"/>
        </w:rPr>
        <w:t>of total revenues in each of</w:t>
      </w:r>
      <w:r>
        <w:rPr>
          <w:rFonts w:ascii="Arial" w:cs="Arial" w:eastAsia="Arial" w:hAnsi="Arial"/>
          <w:sz w:val="18"/>
          <w:szCs w:val="18"/>
          <w:color w:val="000000"/>
        </w:rPr>
        <w:t xml:space="preserve"> 2018 </w:t>
      </w:r>
      <w:r>
        <w:rPr>
          <w:rFonts w:ascii="Arial" w:cs="Arial" w:eastAsia="Arial" w:hAnsi="Arial"/>
          <w:sz w:val="18"/>
          <w:szCs w:val="18"/>
          <w:color w:val="231F20"/>
        </w:rPr>
        <w:t>and</w:t>
      </w:r>
      <w:r>
        <w:rPr>
          <w:rFonts w:ascii="Arial" w:cs="Arial" w:eastAsia="Arial" w:hAnsi="Arial"/>
          <w:sz w:val="18"/>
          <w:szCs w:val="18"/>
          <w:color w:val="000000"/>
        </w:rPr>
        <w:t xml:space="preserve"> 2017</w:t>
      </w:r>
      <w:r>
        <w:rPr>
          <w:rFonts w:ascii="Arial" w:cs="Arial" w:eastAsia="Arial" w:hAnsi="Arial"/>
          <w:sz w:val="18"/>
          <w:szCs w:val="18"/>
          <w:color w:val="231F20"/>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39"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Our cloud platform consists of a suite of IT security, compliance monitoring, web application security, global IT asset management and cloud and container security solutions, which we refer to as the Qualys Cloud Apps, that leverages our shared and extensible core services and our highly scalable multi-tenant cloud infrastructure. We also provide open application program interfaces, or APIs, and other developer tools that allow third parties to embed our technology into their solutions and build applications on our cloud platform.</w:t>
      </w:r>
    </w:p>
    <w:p>
      <w:pPr>
        <w:spacing w:after="0" w:line="9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Our cloud platform utilizes physical and virtual sensors, and cloud agents that provide our customers with continuous visibility enabling customers to respond to threats immediately. Customers can extend visibility to all known IT infrastructure using our Out-of-Band Configuration Assessment sensor for systems that are air-gapped or otherwise difficult to assess.</w:t>
      </w:r>
    </w:p>
    <w:p>
      <w:pPr>
        <w:spacing w:after="0" w:line="94"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 xml:space="preserve">The Qualys Cloud Platform automatically gathers and analyzes security and compliance data in a scalable, state-of-the-art backend. The technology underlying our cloud infrastructure </w:t>
      </w:r>
      <w:r>
        <w:rPr>
          <w:rFonts w:ascii="Arial" w:cs="Arial" w:eastAsia="Arial" w:hAnsi="Arial"/>
          <w:sz w:val="18"/>
          <w:szCs w:val="18"/>
          <w:color w:val="222222"/>
        </w:rPr>
        <w:t>enables us to ingest, process, analyze and store a high volume of sensor data coming from our</w:t>
      </w:r>
      <w:r>
        <w:rPr>
          <w:rFonts w:ascii="Arial" w:cs="Arial" w:eastAsia="Arial" w:hAnsi="Arial"/>
          <w:sz w:val="18"/>
          <w:szCs w:val="18"/>
          <w:color w:val="auto"/>
        </w:rPr>
        <w:t xml:space="preserve"> </w:t>
      </w:r>
      <w:r>
        <w:rPr>
          <w:rFonts w:ascii="Arial" w:cs="Arial" w:eastAsia="Arial" w:hAnsi="Arial"/>
          <w:sz w:val="18"/>
          <w:szCs w:val="18"/>
          <w:color w:val="222222"/>
        </w:rPr>
        <w:t>agents, scanners and passive analyzers, and correlate information at very high speeds in a distributed manner for millions of devices.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379095</wp:posOffset>
            </wp:positionV>
            <wp:extent cx="5866130" cy="4656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465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Our cloud platform is delivered to our customers via our shared platform offering from our global data centers, or via our private platform offering, Qualys Private Cloud Platform (PCP), for customers or partners that want the platform to reside within the customer's data center. The PCP is a standalone version of our multi-layer, multi-tenant services architecture and is a fully integrated turnkey solution, making it more scalable, cost effective and faster to deploy within a customer's data center. Solutions delivered through our PCP are typically on the same subscription basis as solutions delivered through our shared platform. Our PCP utilizes hardware and software owned by us and is physically located on the customer's premises. The customer is not permitted to take possession of the software or access the software code. We also offer our PCP as a subscription-based platform services to the customer using a virtual version of our software. This virtualized PCP allows us to extend our security and compliance solutions without the complexity and cost associated with deploying traditional enterprise software. We also offer Private Cloud Platform Appliance (PCPA), an on-premises IT, security and compliance solution packaged in a form-factor for medium-sized companies.</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Core Services</w:t>
      </w:r>
    </w:p>
    <w:p>
      <w:pPr>
        <w:spacing w:after="0" w:line="139" w:lineRule="exact"/>
        <w:rPr>
          <w:sz w:val="20"/>
          <w:szCs w:val="20"/>
          <w:color w:val="auto"/>
        </w:rPr>
      </w:pPr>
    </w:p>
    <w:p>
      <w:pPr>
        <w:jc w:val="both"/>
        <w:ind w:right="20" w:firstLine="392"/>
        <w:spacing w:after="0" w:line="262" w:lineRule="auto"/>
        <w:rPr>
          <w:sz w:val="20"/>
          <w:szCs w:val="20"/>
          <w:color w:val="auto"/>
        </w:rPr>
      </w:pPr>
      <w:r>
        <w:rPr>
          <w:rFonts w:ascii="Arial" w:cs="Arial" w:eastAsia="Arial" w:hAnsi="Arial"/>
          <w:sz w:val="18"/>
          <w:szCs w:val="18"/>
          <w:color w:val="auto"/>
        </w:rPr>
        <w:t>Our core services enable integrated workflows, management and real-time analysis and reporting across all of our IT, security and compliance solutions for our customers inside their organizations, on the perimeter, on endpoints or in the cloud.</w:t>
      </w:r>
    </w:p>
    <w:p>
      <w:pPr>
        <w:spacing w:after="0" w:line="88"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Our core services constitute dynamic and customizable dashboards and centrally managed, self-updating integrated Cloud Apps, through what we call a “single-pane-of-glass” user interface. Our interactive, dynamic dashboards and cloud platform allow our customers to aggregate and correlate all of their IT, security and compliance data in one place, drill down into details, and generate reports customized for different audiences. Our cloud platform’s powerful Elasticsearch clusters enable customers to instantly find detailed data on any asset.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core services include:</w:t>
      </w:r>
    </w:p>
    <w:p>
      <w:pPr>
        <w:spacing w:after="0" w:line="99" w:lineRule="exact"/>
        <w:rPr>
          <w:sz w:val="20"/>
          <w:szCs w:val="20"/>
          <w:color w:val="auto"/>
        </w:rPr>
      </w:pPr>
    </w:p>
    <w:p>
      <w:pPr>
        <w:jc w:val="both"/>
        <w:ind w:left="1060" w:hanging="323"/>
        <w:spacing w:after="0" w:line="25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Asset Tagging and Management. </w:t>
      </w:r>
      <w:r>
        <w:rPr>
          <w:rFonts w:ascii="Arial" w:cs="Arial" w:eastAsia="Arial" w:hAnsi="Arial"/>
          <w:sz w:val="18"/>
          <w:szCs w:val="18"/>
          <w:color w:val="auto"/>
        </w:rPr>
        <w:t>Enables customers to easily identify, categorize and manage large numbers of assets in highly</w:t>
      </w:r>
      <w:r>
        <w:rPr>
          <w:rFonts w:ascii="Arial" w:cs="Arial" w:eastAsia="Arial" w:hAnsi="Arial"/>
          <w:sz w:val="18"/>
          <w:szCs w:val="18"/>
          <w:i w:val="1"/>
          <w:iCs w:val="1"/>
          <w:color w:val="auto"/>
        </w:rPr>
        <w:t xml:space="preserve"> </w:t>
      </w:r>
      <w:r>
        <w:rPr>
          <w:rFonts w:ascii="Arial" w:cs="Arial" w:eastAsia="Arial" w:hAnsi="Arial"/>
          <w:sz w:val="18"/>
          <w:szCs w:val="18"/>
          <w:color w:val="auto"/>
        </w:rPr>
        <w:t>dynamic IT environments and automates the process of inventory management and hierarchical organization of IT assets. Built on top of this core service is the Qualys AI framework, which is a global asset inventory service enabling our customers to search for information on any IT asset, scaling to millions of assets for customers of all sizes, helping IT and security personnel to search IT assets and maintain an up-to-date inventory on a continuous basis.</w:t>
      </w:r>
    </w:p>
    <w:p>
      <w:pPr>
        <w:spacing w:after="0" w:line="75" w:lineRule="exact"/>
        <w:rPr>
          <w:rFonts w:ascii="Arial" w:cs="Arial" w:eastAsia="Arial" w:hAnsi="Arial"/>
          <w:sz w:val="18"/>
          <w:szCs w:val="18"/>
          <w:color w:val="auto"/>
        </w:rPr>
      </w:pPr>
    </w:p>
    <w:p>
      <w:pPr>
        <w:ind w:left="1060" w:right="20" w:hanging="323"/>
        <w:spacing w:after="0" w:line="282"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Reporting and Dashboards. </w:t>
      </w:r>
      <w:r>
        <w:rPr>
          <w:rFonts w:ascii="Arial" w:cs="Arial" w:eastAsia="Arial" w:hAnsi="Arial"/>
          <w:sz w:val="18"/>
          <w:szCs w:val="18"/>
          <w:color w:val="auto"/>
        </w:rPr>
        <w:t>A highly configurable reporting engine that provides customers with reports and dashboards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roles and access privileges.</w:t>
      </w:r>
    </w:p>
    <w:p>
      <w:pPr>
        <w:spacing w:after="0" w:line="53" w:lineRule="exact"/>
        <w:rPr>
          <w:rFonts w:ascii="Arial" w:cs="Arial" w:eastAsia="Arial" w:hAnsi="Arial"/>
          <w:sz w:val="18"/>
          <w:szCs w:val="18"/>
          <w:color w:val="auto"/>
        </w:rPr>
      </w:pPr>
    </w:p>
    <w:p>
      <w:pPr>
        <w:jc w:val="both"/>
        <w:ind w:left="1060" w:hanging="323"/>
        <w:spacing w:after="0" w:line="266"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Questionnaires and Collaboration. </w:t>
      </w:r>
      <w:r>
        <w:rPr>
          <w:rFonts w:ascii="Arial" w:cs="Arial" w:eastAsia="Arial" w:hAnsi="Arial"/>
          <w:sz w:val="18"/>
          <w:szCs w:val="18"/>
          <w:color w:val="auto"/>
        </w:rPr>
        <w:t>A configurable workflow engine that enables customers to easily build questionnaires and</w:t>
      </w:r>
      <w:r>
        <w:rPr>
          <w:rFonts w:ascii="Arial" w:cs="Arial" w:eastAsia="Arial" w:hAnsi="Arial"/>
          <w:sz w:val="18"/>
          <w:szCs w:val="18"/>
          <w:i w:val="1"/>
          <w:iCs w:val="1"/>
          <w:color w:val="auto"/>
        </w:rPr>
        <w:t xml:space="preserve"> </w:t>
      </w:r>
      <w:r>
        <w:rPr>
          <w:rFonts w:ascii="Arial" w:cs="Arial" w:eastAsia="Arial" w:hAnsi="Arial"/>
          <w:sz w:val="18"/>
          <w:szCs w:val="18"/>
          <w:color w:val="auto"/>
        </w:rPr>
        <w:t>capture existing business processes and workflows to evaluate controls and gather evidence to validate and document compliance.</w:t>
      </w:r>
    </w:p>
    <w:p>
      <w:pPr>
        <w:spacing w:after="0" w:line="68" w:lineRule="exact"/>
        <w:rPr>
          <w:rFonts w:ascii="Arial" w:cs="Arial" w:eastAsia="Arial" w:hAnsi="Arial"/>
          <w:sz w:val="18"/>
          <w:szCs w:val="18"/>
          <w:color w:val="auto"/>
        </w:rPr>
      </w:pPr>
    </w:p>
    <w:p>
      <w:pPr>
        <w:jc w:val="both"/>
        <w:ind w:left="1060" w:hanging="323"/>
        <w:spacing w:after="0" w:line="25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Remediation and Workflow. </w:t>
      </w:r>
      <w:r>
        <w:rPr>
          <w:rFonts w:ascii="Arial" w:cs="Arial" w:eastAsia="Arial" w:hAnsi="Arial"/>
          <w:sz w:val="18"/>
          <w:szCs w:val="18"/>
          <w:color w:val="auto"/>
        </w:rPr>
        <w:t>An integrated workflow engine that allows customers to automatically generate helpdesk tickets for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remediation and to manage 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are applied and remediation is verified in subsequent scans.</w:t>
      </w:r>
    </w:p>
    <w:p>
      <w:pPr>
        <w:spacing w:after="0" w:line="75" w:lineRule="exact"/>
        <w:rPr>
          <w:rFonts w:ascii="Arial" w:cs="Arial" w:eastAsia="Arial" w:hAnsi="Arial"/>
          <w:sz w:val="18"/>
          <w:szCs w:val="18"/>
          <w:color w:val="auto"/>
        </w:rPr>
      </w:pPr>
    </w:p>
    <w:p>
      <w:pPr>
        <w:jc w:val="both"/>
        <w:ind w:left="1060" w:hanging="323"/>
        <w:spacing w:after="0" w:line="261"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Big Data Correlation and Analytics Engine. </w:t>
      </w:r>
      <w:r>
        <w:rPr>
          <w:rFonts w:ascii="Arial" w:cs="Arial" w:eastAsia="Arial" w:hAnsi="Arial"/>
          <w:sz w:val="18"/>
          <w:szCs w:val="18"/>
          <w:color w:val="auto"/>
        </w:rPr>
        <w:t>Provides Elasticsearch capabilities for indexing, searching and correlating large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of security and compliance data with other security incidents and third-party security intelligence data. Embedded workflows enable customers to quickly assess risk and access information for remediation, incident analysis and forensic investigations.</w:t>
      </w:r>
    </w:p>
    <w:p>
      <w:pPr>
        <w:spacing w:after="0" w:line="71" w:lineRule="exact"/>
        <w:rPr>
          <w:rFonts w:ascii="Arial" w:cs="Arial" w:eastAsia="Arial" w:hAnsi="Arial"/>
          <w:sz w:val="18"/>
          <w:szCs w:val="18"/>
          <w:color w:val="auto"/>
        </w:rPr>
      </w:pPr>
    </w:p>
    <w:p>
      <w:pPr>
        <w:ind w:left="1060" w:hanging="323"/>
        <w:spacing w:after="0" w:line="282"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Alerts and Notifications. </w:t>
      </w:r>
      <w:r>
        <w:rPr>
          <w:rFonts w:ascii="Arial" w:cs="Arial" w:eastAsia="Arial" w:hAnsi="Arial"/>
          <w:sz w:val="18"/>
          <w:szCs w:val="18"/>
          <w:color w:val="auto"/>
        </w:rPr>
        <w:t>Creates email notifications to alert customers of new vulnerabilities, malware infections, scan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open trouble tickets and system updates.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Cloud Apps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Many organizations have an array of heterogeneous point tools that do not interoperate well and are difficult and costly to maintain and integrate, making it difficult for Chief Information Officers (CIOs) and Chief Information Security Officers (CISOs) to obtain a single, unified view of their organization’s security and compliance posture. The Qualys Cloud Platform and its Cloud Apps help organizations escape this tool-fragmentation dilemma by drastically simplifying their security stacks and regaining unimpeded visibility across their IT environment.</w:t>
      </w:r>
    </w:p>
    <w:p>
      <w:pPr>
        <w:spacing w:after="0" w:line="9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Cloud Apps are self-updating, centrally managed and tightly integrated, and cover a broad range of functionality in areas such as IT, security, compliance monitoring, web application security, global IT asset management and cloud and container security solutions.</w:t>
      </w:r>
    </w:p>
    <w:p>
      <w:pPr>
        <w:spacing w:after="0" w:line="8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From inception through December 31, 2018, we have added the following Cloud Apps: VM, PC, PCI, WAS, WAF, CM, SYN, SAQ, TP, FIM, IOC, AI, SCA, CS, CI, CSA, and CRI. In 2019, we introduced Patch Management (PM) and a free version of Global IT Asset Discovery and Inventory.</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believe that our applications are easy to use and provide our customers with a high level of control because our applications are part of one platform, share a common user interface, utilize the same scanners and agents, access the same collected data, and leverage the same user permissions.</w:t>
      </w:r>
    </w:p>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customers can subscribe to one or more of our IT, security and compliance Apps based on their initial needs and expand their subscriptions over time to new areas within their organization or to additional Qualys solutions. We offer four editions of our Qualys Cloud Apps: Enterprise for large enterprises, Express for medium-sized businesses, Express Lite for small-sized businesses, and Consulting Edition for consultants, consulting organizations and Managed Service Providers (MSPs).</w:t>
      </w:r>
    </w:p>
    <w:p>
      <w:pPr>
        <w:spacing w:after="0" w:line="96"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Many of our customers use multiple Cloud Apps to develop a more complete understanding of their respective environment’s IT, security and compliance posture. The Qualys Cloud Platform currently provides the following Cloud Apps to our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 Security</w:t>
      </w:r>
    </w:p>
    <w:p>
      <w:pPr>
        <w:spacing w:after="0" w:line="13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Vulnerability Management (VM): VM is an industry leading and award-winning solution that automates network auditing and vulnerability management across an organization, including network discovery and mapping, asset management,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vulnerability reporting and remediation tracking. Driven by our comprehensive knowledge base of known vulnerabilities, VM enables cost-effective protection against vulnerabilities without substantial resource deployment.</w:t>
      </w:r>
    </w:p>
    <w:p>
      <w:pPr>
        <w:spacing w:after="0" w:line="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Threat Protection (TP): Thousands of new vulnerabilities are disclosed annually. With TP, customers can pinpoint their most critical threats and identify what they need to remediate first. TP continuously correlates external threat information against a customer's vulnerabilities and IT asset inventory, so customers know which threats pose the greatest risk to their organization at any given time. As Qualys engineers continuously validate and rate new threats from internal and external sources, TP’s live feed displays the latest vulnerability disclosures and maps them to customers’ impacted IT assets. Customers can see the assets affected by each threat, and drill down into details.</w:t>
      </w:r>
    </w:p>
    <w:p>
      <w:pPr>
        <w:spacing w:after="0" w:line="9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Continuous Monitoring (CM): Built on top of VM, CM is a next-generation cloud service that can detect network threats and unexpected changes before they turn into breaches. Whenever CM spots an anomaly in a network, it immediately sends targeted, informative alerts to the right people for each situation and each machine. CM tracks what happens throughout public perimeters, internal networks, and cloud environments - anywhere in the world.</w:t>
      </w:r>
    </w:p>
    <w:p>
      <w:pPr>
        <w:spacing w:after="0" w:line="9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Patch Management (PM): PM provides automated patch deployment capabilities by correlating vulnerabilities and patches. It continuously gathers and uploads telemetry about installed software, open vulnerabilities and missing patches to the Qualys Cloud Platform. The resulting shared visibility of assets and their posture enables IT and security teams to collaborate using common vulnerability-centric terminology and provides a consistent data set to analyze, prioritize, deploy and verify patches more efficiently.</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Indication of Compromise (IOC): IOC delivers threat hunting, detects suspicious activity, and confirms the presence of known and unknown malware for devices both on and off the network. From its single console, customers can monitor current and historical system activity for all on-premises servers, user endpoints, and cloud instances - even for assets that are currently offline or have been re-imaged by IT. IOC utilizes the Cloud Agent to capture endpoint activity on files, processes, mutant handles, registries, and network connections, and uploads the data to the Qualys Cloud Platform for storage, processing, and query. IOC 2.0, which was released in 2019, now provides enhanced attack detection, investigation, and response capabilities for security analysts, incident responders, and managed security service providers.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Monitoring</w:t>
      </w:r>
    </w:p>
    <w:p>
      <w:pPr>
        <w:spacing w:after="0" w:line="13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Policy Compliance (PC): PC performs automated security configuration assessments on IT systems throughout a network, helping to reduce risk and continuously ensure compliance with internal policies and external regulations. PC leverages out-of-the-box library content to fast-track compliance assessments using industry-recommended best practices. PC also provides a centralized, interactive console for specifying baseline standards for different hosts. By automating requirement evaluation against multiple standards for OSes, network devices, databases and server applications, PC enables the quick identification of security issues and works to prevent configuration drift. PC works to prioritize and track remediation and exceptions, while demonstrating a repeatable auditable process for compliance management.</w:t>
      </w:r>
    </w:p>
    <w:p>
      <w:pPr>
        <w:spacing w:after="0" w:line="10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PCI Compliance (PCI): PCI streamlines and automates compliance with PCI DSS (Payment Card Industry Data Security Standard) requirements for protecting the collection, storage, processing and transmission of cardholder data. As an Approved Scanning Vendor, Qualys has been authorized by the PCI Security Standards Council to conduct the required quarterly scans. PCI scans all Internet-facing networks and systems with Six Sigma (99.9996%) accuracy, generates reports and provides detailed patching instructions. An auto-submission feature completes the compliance process once remediation is completed.</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File Integrity Monitoring (FIM): FIM logs and centrally tracks file change events on common enterprise operating systems in organizations of all sizes. FIM provides customers with a simple way to achieve centralized cloud-based visibility of activity resulting from normal patching and administrative tasks, change control exceptions or violations, or malicious activity - then reports on that system activity as part of compliance mandates. FIM collects the critical details needed to quickly identify changes and root out activity that violates policy or is potentially malicious. FIM helps customers to comply with change control policy enforcement and change monitoring requirements.</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Security Configuration Assessment (SCA): SCA provides automatic assessment of IT assets’ configurations using the latest Center for Internet Security (CIS) Benchmarks for operating systems, databases, applications and network devices. SCA provides intuitive workflows for assessing, monitoring, reporting and remediating security-related configuration issues. SCA’s CIS assessments are provided via a web-based user interface and delivered from the Qualys Cloud Platform, enabling centralized management with minimal deployment overhead. SCA users can automatically create downloadable reports and view dashboards.</w:t>
      </w:r>
    </w:p>
    <w:p>
      <w:pPr>
        <w:spacing w:after="0" w:line="9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Security Assessment Questionnaire (SAQ): SAQ automates and streamlines third-party and internal risk assessment processes, obviating the need to perform such processes manually via email and spreadsheets. SAQ easily designs surveys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assess procedural controls of IT and security policies and practices. SAQ automates the launch and monitoring of assessment campaigns, making the process agile, accurate, comprehensive, centralized, scalable and uniform across an organization. SAQ also provides tools for displaying, analyzing and acting on collected data, enabling the assessment of compliance with industry standards, regulations and internal policies of third parties, like vendors and partners, and of employees.</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Out-of-Band Configuration Assessment (OCA): The OCA sensor and Cloud App allows customers to achieve complete visibility of all known IT infrastructure by pushing vulnerability and configuration data to the Qualys Cloud Platform from systems that are otherwise difficult to assess, such as highly locked-down systems, systems on disconnected or “air gap” networks, or in environments that are highly sensitive to scans. OCA’s expanded data collection approach significantly broadens the types of technologies supported by the Qualys Cloud Platform and provides deeper assessment of configuration so that customers have better visibility into potentially critical vulnerabilities and misconfigurations across their entire environment.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 Application Security</w:t>
      </w:r>
    </w:p>
    <w:p>
      <w:pPr>
        <w:spacing w:after="0" w:line="13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Web Application Scanning (WAS): WAS continuously discovers and catalogs web applications – including new and unknown ones – and detects vulnerabilities and misconfigurations in web apps and APIs. Scaling to thousands of scans, it conducts incisive, thorough and precise testing of browser-based web apps, mobile app backends, and Internet of things (IoT) services. Its seamless integration with the Qualys Web Application Firewall (WAF) enables verification of attack protection and one click mitigation of vulnerabilities. WAS' powerful API enables integration with other systems and allows teams to detect issues within DevOps environments early in the application development process. Bundled malware detection capability with WAS uses reputational, behavioral, antivirus, and heuristic analyses to identify and alert on malware infecting a user's websites. By Integrating WAS with manual testing tools and bug bounty solutions, customers can build a comprehensive web application vulnerability testing program.</w:t>
      </w:r>
    </w:p>
    <w:p>
      <w:pPr>
        <w:spacing w:after="0" w:line="9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Web Application Firewall (WAF): WAF permits the reduction of application security cost and complexity with a unified platform to prevent any attempt to exploit vulnerabilities. Simple, scalable and adaptive, WAF enables the quick blocking of attacks, prevents disclosure of sensitive information, and controls when and where customer applications are accessed. WAF and WAS work together seamlessly. Customers scan web apps with WAS, deploy one-click virtual patches if needed in WAF, and manage it all from a centralized cloud-based portal. WAF can be deployed in minutes on prem or in the cloud, as a virtual machine or a container, supports load-balancing as well as Transport Layer Security (TLS) offloading, and does not require special hardware.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IT Asset Management</w:t>
      </w:r>
    </w:p>
    <w:p>
      <w:pPr>
        <w:spacing w:after="0" w:line="13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Global IT Asset Inventory (AI): AI constantly gathers information on all assets, including system and hardware details, running services, open ports, installed software and user accounts. Asset discovery and inventory collection is done through a combination of Qualys network scanners, Cloud Agents and passive scanners, which together collect comprehensive data from on-premises or cloud infrastructure as well as remote endpoints. In order to create consistent and uniform asset data, AI normalizes raw discovery data to standardize every manufacturer name, product name, model and software version using Qualys’ ever-evolving technology catalog as a reference. This catalog automatically extends IT asset inventory with non-discoverable metadata such as hardware and software release dates, end of life dates, and license categories. This new data layer allows teams to detect issues such as unauthorized software, outdated hardware or end-of-life software, which can help properly tag, support, and secure business-critical assets. Additionally, customers can sync their asset information with ServiceNow CMDB.</w:t>
      </w:r>
    </w:p>
    <w:p>
      <w:pPr>
        <w:spacing w:after="0" w:line="10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CMDB Sync (SYN): SYN is a certified application that synchronizes Qualys AI data with ServiceNow’s Configuration Management system. Device changes are immediately transmitted to the Qualys Cloud Platform and then synchronized with ServiceNow. For customers, this means an end to unidentified and misclassified assets, and to data update delays, all of which increase chances of breaches. SYN provides real-time, comprehensive visibility of IT asset inventories enabling immediate detection of security and compliance risks.</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Certificate Inventory (CRI): CRI continuously scans global IT assets from a single console to discover internal and external certificates issued from any certificate authority across all enterprise IT assets, both on premise and in the cloud. As a result, certificates can be renewed before they expire, which stops certificate-related outages and improves availability. It collects all certificate, vulnerability and configuration data required for certificate inventory and analysis. CRI also reveals how many certificates are out of compliance or do not follow organizational policies for key length, for signature algorithms or for the use of trusted and approved Certificate Authorities through the use of highly customizable dashboards and provides users a comprehensive overview of Qualys SSL Labs-caliber certificate grades for internal and externally facing certificates.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 Container Security</w:t>
      </w:r>
    </w:p>
    <w:p>
      <w:pPr>
        <w:spacing w:after="0" w:line="13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Cloud Inventory (CI): CI delivers continuous visibility into public cloud accounts. In one single-pane view, it inventories virtual machines, storage buckets, databases, security groups, Access Control Lists (ACLs), Elastic Load Balancers (ELBs) and users – across all regions, multiple accounts and multiple cloud platforms. CI continuously tracks assets and enables users to quickly understand the topography of their cloud environment and uncover the root cause of incidents.</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Cloud Security Assessment (CSA): CSA provides a continuous assessment of the security posture of an organization’s cloud resources against misconfigurations, malicious behavior, and nonstandard deployments. CSA evaluates resources against CIS benchmarks and best practices to identify misconfigured storage buckets, security groups, Relational Database Service, exposing data and the resource for public exploitation. CSA correlates host vulnerabilities and compliance data into intelligent insights which allow users to quickly detect risks throughout their complex cloud environments. With CSA, users gain real-time visibility into their up-to-date security and compliance posture of public clouds in one single-pane view.</w:t>
      </w:r>
    </w:p>
    <w:p>
      <w:pPr>
        <w:spacing w:after="0" w:line="10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Container Security (CS): CS delivers container-native visibility and protection throughout the entire lifecycle of containerized applications. It incorporates scanning of container images for software composition and enforcement of hardened container stack configurations for continuous policy compliance, whether the images are on the build machines, in the container registries or in the runtime cluster nodes. CS uses a unique 'layered-in' approach to provide deep visibility into all the application activities and automatically creates a behavior profile, which is enforced on each container for runtime protection. By integrating with CI/CD pipelines and toolchains, CS enables DevSecOps processes and transparent enforcement of security and compliance without compromising the speed and agility of containers and serverless deployment models. This leads to significant cost benefits for enterprises compared to certain legacy security solutions.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Services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also offer organizations of all sizes free security and compliance services based on the Qualys Cloud Platform:</w:t>
      </w:r>
    </w:p>
    <w:p>
      <w:pPr>
        <w:spacing w:after="0" w:line="117" w:lineRule="exact"/>
        <w:rPr>
          <w:sz w:val="20"/>
          <w:szCs w:val="20"/>
          <w:color w:val="auto"/>
        </w:rPr>
      </w:pPr>
    </w:p>
    <w:p>
      <w:pPr>
        <w:jc w:val="both"/>
        <w:ind w:left="1060" w:hanging="323"/>
        <w:spacing w:after="0" w:line="252"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Qualys Global IT Asset Discovery and Inventory app automatically creates a continuous, real-time inventory of known and unknown assets throughout a user's global IT footprint across on-premises, endpoints, multi-cloud, mobile, containers, OT and IoT. The app also automatically normalizes and categorizes assets to ensure clean, reliable, and consistent data. In-depth asset details provide fine-grained visibility on the system, services, installed software, network, and users. It also detects any device that connects to a user's networks, via passive scanning technology. Upon an unknown device detection, users can install a light-weight Qualys self-updating agent (3MB) to turn the device into a managed device or launch a vulnerability scan.</w:t>
      </w:r>
    </w:p>
    <w:p>
      <w:pPr>
        <w:spacing w:after="0" w:line="100" w:lineRule="exact"/>
        <w:rPr>
          <w:rFonts w:ascii="Arial" w:cs="Arial" w:eastAsia="Arial" w:hAnsi="Arial"/>
          <w:sz w:val="18"/>
          <w:szCs w:val="18"/>
          <w:color w:val="auto"/>
        </w:rPr>
      </w:pPr>
    </w:p>
    <w:p>
      <w:pPr>
        <w:jc w:val="both"/>
        <w:ind w:left="1060" w:hanging="323"/>
        <w:spacing w:after="0" w:line="25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Qualys Community Edition automatically gathers and analyzes security and compliance data from hybrid IT environments to provide a complete, continuously updated, and instant view of monitored IT assets on-premises or in the cloud, as well as web apps, from a single-pane-of-glass interface. The Community Edition is limited to one user with data retention for three months.</w:t>
      </w:r>
    </w:p>
    <w:p>
      <w:pPr>
        <w:spacing w:after="0" w:line="93" w:lineRule="exact"/>
        <w:rPr>
          <w:rFonts w:ascii="Arial" w:cs="Arial" w:eastAsia="Arial" w:hAnsi="Arial"/>
          <w:sz w:val="18"/>
          <w:szCs w:val="18"/>
          <w:color w:val="auto"/>
        </w:rPr>
      </w:pPr>
    </w:p>
    <w:p>
      <w:pPr>
        <w:jc w:val="both"/>
        <w:ind w:left="1060" w:hanging="323"/>
        <w:spacing w:after="0" w:line="25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Qualys CloudView continuously discovers and tracks assets and resources across public cloud deployments to provide users both real-time and historical views of cloud inventory. It collects metadata about cloud assets and resources to help users understand the relationships between public cloud assets and resources across different dimensions and then discover their threat posture based on those attributes and relationships. CloudView is limited to three accounts per public cloud platform.</w:t>
      </w:r>
    </w:p>
    <w:p>
      <w:pPr>
        <w:spacing w:after="0" w:line="96" w:lineRule="exact"/>
        <w:rPr>
          <w:rFonts w:ascii="Arial" w:cs="Arial" w:eastAsia="Arial" w:hAnsi="Arial"/>
          <w:sz w:val="18"/>
          <w:szCs w:val="18"/>
          <w:color w:val="auto"/>
        </w:rPr>
      </w:pPr>
    </w:p>
    <w:p>
      <w:pPr>
        <w:jc w:val="both"/>
        <w:ind w:left="1060" w:hanging="323"/>
        <w:spacing w:after="0" w:line="25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Qualys CertView inventories and assesses all Internet-facing certificates to generate SSL/TLS configuration grades, identifies the certificate issuer and tracks certificate expirations to help stop expired and expiring certificates from interrupting critical business functions.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39"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We intend to strengthen our leadership position as a trusted provider of cloud-based IT, security and compliance solutions. The key elements of our growth strategy are:</w:t>
      </w:r>
    </w:p>
    <w:p>
      <w:pPr>
        <w:spacing w:after="0" w:line="66" w:lineRule="exact"/>
        <w:rPr>
          <w:sz w:val="20"/>
          <w:szCs w:val="20"/>
          <w:color w:val="auto"/>
        </w:rPr>
      </w:pPr>
    </w:p>
    <w:p>
      <w:pPr>
        <w:jc w:val="both"/>
        <w:ind w:left="1060" w:hanging="323"/>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and enhance our cloud platform and suite of solutions. </w:t>
      </w:r>
      <w:r>
        <w:rPr>
          <w:rFonts w:ascii="Arial" w:cs="Arial" w:eastAsia="Arial" w:hAnsi="Arial"/>
          <w:sz w:val="18"/>
          <w:szCs w:val="18"/>
          <w:color w:val="auto"/>
        </w:rPr>
        <w:t>We intend to continue to make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research and development to extend our cloud platform’s functionality by developing new security solutions and capabilities and further enhancing our existing suite of solutions. From inception through December 31, 2018, we have added the following Cloud Apps: VM, PCI, PC, WAS, WAF, CM, SYN, SAQ, TP, FIM, IOC, AI, SCA, CS, CI, CSA, and CRI. In 2019, we introduced Patch Management (PM) and a free version of Global IT Asset Discovery and Inventory.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060" w:hanging="323"/>
        <w:spacing w:after="0" w:line="256"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the use of our suite of solutions by our large and diverse customer base. </w:t>
      </w:r>
      <w:r>
        <w:rPr>
          <w:rFonts w:ascii="Arial" w:cs="Arial" w:eastAsia="Arial" w:hAnsi="Arial"/>
          <w:sz w:val="18"/>
          <w:szCs w:val="18"/>
          <w:color w:val="auto"/>
        </w:rPr>
        <w:t>With more than 15,700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active subscribers of our free services, across many industries and geographies, we believe we have a significant opportunity to sell additional solutions to our customers and expand their use of our suite of solutions. Because our customers typically initially deploy one or two of our solutions in select parts of their IT infrastructures, our existing customers serve as a strong source of new sales as they expand their scope and increase their subscriptions or choose to adopt additional solutions from our integrated suite of IT, security and compliance offerings. In this regard, we continue to expand our sales execution and marketing functions to increase adoption of our newly developed solutions among our existing customers.</w:t>
      </w:r>
    </w:p>
    <w:p>
      <w:pPr>
        <w:spacing w:after="0" w:line="75" w:lineRule="exact"/>
        <w:rPr>
          <w:rFonts w:ascii="Arial" w:cs="Arial" w:eastAsia="Arial" w:hAnsi="Arial"/>
          <w:sz w:val="18"/>
          <w:szCs w:val="18"/>
          <w:color w:val="auto"/>
        </w:rPr>
      </w:pPr>
    </w:p>
    <w:p>
      <w:pPr>
        <w:jc w:val="both"/>
        <w:ind w:left="1060" w:hanging="323"/>
        <w:spacing w:after="0" w:line="25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new customer growth and broaden our global reach. </w:t>
      </w:r>
      <w:r>
        <w:rPr>
          <w:rFonts w:ascii="Arial" w:cs="Arial" w:eastAsia="Arial" w:hAnsi="Arial"/>
          <w:sz w:val="18"/>
          <w:szCs w:val="18"/>
          <w:color w:val="auto"/>
        </w:rPr>
        <w:t>We are pursuing new customers by targeting key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releasing free IT, security and compliance services and expanding both our sales and marketing organization and network of channel partners. We will continue to seek to make significant investments to encourage organizations to replace their existing security products with our cloud solutions. We intend to expand our relationships with key security consulting organizations, managed security service providers and value-added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data centers, helping us expand our reach in new markets and new geographies.</w:t>
      </w:r>
    </w:p>
    <w:p>
      <w:pPr>
        <w:spacing w:after="0" w:line="77" w:lineRule="exact"/>
        <w:rPr>
          <w:rFonts w:ascii="Arial" w:cs="Arial" w:eastAsia="Arial" w:hAnsi="Arial"/>
          <w:sz w:val="18"/>
          <w:szCs w:val="18"/>
          <w:color w:val="auto"/>
        </w:rPr>
      </w:pPr>
    </w:p>
    <w:p>
      <w:pPr>
        <w:jc w:val="both"/>
        <w:ind w:left="1060" w:hanging="323"/>
        <w:spacing w:after="0" w:line="253" w:lineRule="auto"/>
        <w:tabs>
          <w:tab w:leader="none" w:pos="10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Selectively pursue technology acquisitions to bolster our capabilities and leadership position. </w:t>
      </w:r>
      <w:r>
        <w:rPr>
          <w:rFonts w:ascii="Arial" w:cs="Arial" w:eastAsia="Arial" w:hAnsi="Arial"/>
          <w:sz w:val="18"/>
          <w:szCs w:val="18"/>
          <w:color w:val="auto"/>
        </w:rPr>
        <w:t>We may explore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that are complementary to and can expand the functionality of our cloud platform. We may also seek to acquire development teams to supplement our own personnel and acquire technology to increase the breadth of our cloud-based IT, security and compliance solutions. In 2019, we acquired the software assets of Adya Inc. (Adya), enabling Qualys to provide companies of all sizes with the ability to consolidate administration of their Software as a Service (SaaS) applications into one console, manage license costs across SaaS applications, set and enforce security policies in one place and report and audit on all activity with a single tool. In 2018, we acquired the software assets of 1Mobility Private Limited (1Mobility), a Singapore based company, allowing Qualys to provide enterprises of all sizes with the ability to create and continuously update an inventory of mobile devices on all versions of Android, iOS and Windows Mobile in their environment; and to continuously assess their security and compliance posture, while quarantining devices that are compromised or out-of-compliance. In 2018, we also acquired Layered Insight (</w:t>
      </w:r>
      <w:r>
        <w:rPr>
          <w:rFonts w:ascii="Arial" w:cs="Arial" w:eastAsia="Arial" w:hAnsi="Arial"/>
          <w:sz w:val="18"/>
          <w:szCs w:val="18"/>
          <w:color w:val="231F20"/>
        </w:rPr>
        <w:t>Layered Insight)</w:t>
      </w:r>
      <w:r>
        <w:rPr>
          <w:rFonts w:ascii="Arial" w:cs="Arial" w:eastAsia="Arial" w:hAnsi="Arial"/>
          <w:sz w:val="18"/>
          <w:szCs w:val="18"/>
          <w:color w:val="auto"/>
        </w:rPr>
        <w:t>, a provider of container native application protection, delivering insight into container images, adaptive analysis of running containers, and automated enforcement of the container environments.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As of December 31, 2019, we had over 15,700 customers, including active subscribers of our free services, in more than 133 countries, including a majority of each of the Forbes Global 100 and Fortune 100. In each of 2019, 2018 and 2017, no one customer accounted for more than 10% of our revenues. In 2019, 2018 and 2017, 64%, 67% and 70%, respectively, of our revenues were derived from customers in the United States based on our customers billing address.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w:t>
      </w:r>
    </w:p>
    <w:p>
      <w:pPr>
        <w:spacing w:after="0" w:line="13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market and sell our IT, security and compliance solutions to customers directly through our sales teams as well as indirectly through our network of channel partners.</w:t>
      </w:r>
    </w:p>
    <w:p>
      <w:pPr>
        <w:spacing w:after="0" w:line="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global sales force is organized into a field sales team, which focuses on enterprises, generally including organizations with more than 5,000 employees, and an inside sales team, which focuses on small to medium-sized businesses, which generally include organizations with less than 5,000 employees. Both our field and inside sales teams are divided into three geographic regions, including the Americas; Europe, Middle East and Africa; and Asia-Pacific. We also further segment each of our sales teams into groups that focus on adding new customers or managing relationships with existing customers.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managed service providers and resellers, such as Accenture, BT Managed Security, Cognizant Technology Solutions, Deutsche Telekom, DXC Technology, Fujitsu, Hindustan Computers Limited (HCL) Technologies, International Business Machines (IBM), Infosys, Nippon Telegraph and Telephone Corporation (NTT), Optiv, SecureWorks, Tata Communications, Verizon and Wipro. Qualys has also established strategic partnerships with leading cloud providers like Amazon Web Services, Microsoft Azure and the Google Cloud Platform.</w:t>
      </w:r>
    </w:p>
    <w:p>
      <w:pPr>
        <w:spacing w:after="0" w:line="9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earning a fee based on the total value of the order.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2019, 2018 and 2017, 42%, 41% and 39%, respectively, of our revenues were generated by channel partners.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w:t>
      </w:r>
    </w:p>
    <w:p>
      <w:pPr>
        <w:spacing w:after="0" w:line="13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marketing programs include a variety of online marketing, advertising, conferences, events, public relations activities and web-based seminar campaigns targeted at key decision makers within our prospective customers.</w:t>
      </w:r>
    </w:p>
    <w:p>
      <w:pPr>
        <w:spacing w:after="0" w:line="8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13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Qualys Support delivers 24x7x365 day customer technical support from global centers located in Foster City, California; Raleigh, North Carolina; and Pune, India. We recruit senior level technical personnel and trained subject matter experts who work closely with engineering and operations personnel to resolve issues quickly. Our IT, security and compliance solutions can be deployed easily and are designed to be implemented and operated without the need for significant professional services. We also offer various training programs as part of our subscriptions to all of our customers. In addition, we leverage the insights drawn from our customers to further improve the functionality of our IT, security and compliance solutions. Our mission is to ensure customer satisfaction and play a critical role in retaining and expanding our customer base.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Operations</w:t>
      </w:r>
    </w:p>
    <w:p>
      <w:pPr>
        <w:spacing w:after="0" w:line="13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devote significant resources to maintain, enhance and add new functionality to our Qualys Cloud Platform and the integrated suite of solutions that we offer. Our development organization consists of agile engineering teams with substantial security expertise in specific areas of our solutions. In addition to our development teams, we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 States, France and India, which gives us access to some of the best research and engineering talent in the world. Our focus remains to attract engineering talent as we continue to add new solutions and improve existing ones.</w:t>
      </w:r>
    </w:p>
    <w:p>
      <w:pPr>
        <w:spacing w:after="0" w:line="99"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9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Our physical appliances are provided by SYNNEX Corporation (SYNNEX), pursuant to a manufacturing services agreement dated March 1, 2011. Under this agreement, SYNNEX manufactures, assembles and tests our physical scanner appliances. This agreement is automatically renewed annually, unless terminated (i) at any time upon the mutual written agreement of us and SYNNEX, (ii) by either party upon 90 days or more written notice, (iii) upon written notice, subject to applicable cure periods, if the other party has materially breached its obligations under the agreement or (iv) by either party upon the other party seeking an order for relief under the bankruptcy laws of the United States or similar laws of any other jurisdiction, a composition with or assignment for the benefit of creditors, or dissolution or liquidation.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Data Center Agreements</w:t>
      </w:r>
    </w:p>
    <w:p>
      <w:pPr>
        <w:spacing w:after="0" w:line="139"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Our data center operations are provided by large third-party data center vendors and are located in the United States, Canada, Switzerland, the Netherlands and India. Our data center agreements have varying terms through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The expanding capabilities of our IT,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94"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 xml:space="preserve">We compete with large and small public companies, such as Belden (Tripwire), Broadcom (Symantec Enterprise Security), CrowdStrike, F5 Networks, FireEye, Forescout Technologies, International Business Machines, Micro Focus International, Rapid7, Palo Alto Networks, and Tenable Holdings, as well as privately held security providers including Barracuda Networks, BeyondTrust Software, Flexera, Imperva, McAfee, Tanium, Trustwave Holdings, Venafi,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w:t>
      </w:r>
      <w:r>
        <w:rPr>
          <w:rFonts w:ascii="Arial" w:cs="Arial" w:eastAsia="Arial" w:hAnsi="Arial"/>
          <w:sz w:val="18"/>
          <w:szCs w:val="18"/>
          <w:color w:val="231F20"/>
        </w:rPr>
        <w:t>Our competitors may also</w:t>
      </w:r>
      <w:r>
        <w:rPr>
          <w:rFonts w:ascii="Arial" w:cs="Arial" w:eastAsia="Arial" w:hAnsi="Arial"/>
          <w:sz w:val="18"/>
          <w:szCs w:val="18"/>
          <w:color w:val="auto"/>
        </w:rPr>
        <w:t xml:space="preserve"> </w:t>
      </w:r>
      <w:r>
        <w:rPr>
          <w:rFonts w:ascii="Arial" w:cs="Arial" w:eastAsia="Arial" w:hAnsi="Arial"/>
          <w:sz w:val="18"/>
          <w:szCs w:val="18"/>
          <w:color w:val="231F20"/>
        </w:rPr>
        <w:t>attempt to further expand their presence in the IT, security and compliance market and compete more directly against one or more of our solutions.</w:t>
      </w:r>
    </w:p>
    <w:p>
      <w:pPr>
        <w:spacing w:after="0" w:line="98"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We believe that the principal competitive factors affecting our markets include product functionality, breadth of product offerings, flexibility of delivery models, ease of deployment and use, total cost of ownership, scalability and performance, customer support and extensibility of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9"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We rely on a combination of trade secrets, copyrights, patents and trademarks, as well as contractual protections, to establish and protect our intellectual property rights and protect our proprietary technology. As of December 31, 2019, we have eighteen issued patents, several pending U.S. patent applications and an exclusive license to four U.S. patents, which was obtained in connection with our acquisition of Nemean in 2010. The inbound license remains in effect until the licensed 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the Qualys Cloud Platform, which we believe differentiates us from our competitors.</w:t>
      </w:r>
    </w:p>
    <w:p>
      <w:pPr>
        <w:spacing w:after="0" w:line="103"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As of December 31, 2019, we had 1,289 full-time employees, including 659 in research and development, 267 in sales and marketing, 236 in operations and customer support and 127 in general and administrative. As of December 31, 2019, we had 389 employees in the United States and 900 employees internationally. None of our U.S. employees are covered by collective bargaining agreements. Employees in certain European countries have collective bargaining arrangements at the national level. We believe our employee relations are good and we have not experienced any work stoppages. As of December 31, 2019, approximately 70% of our employees were located outside the United States, with 61% of our employees located in Pune, India.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principal executive offices are located at 919 E. Hillsdale Blvd., 4th Floor, Foster City, California 94404. The telephone number of our principal executive offices is (650) 801-6100, and our main corporate website is </w:t>
      </w:r>
      <w:r>
        <w:rPr>
          <w:rFonts w:ascii="Arial" w:cs="Arial" w:eastAsia="Arial" w:hAnsi="Arial"/>
          <w:sz w:val="18"/>
          <w:szCs w:val="18"/>
          <w:i w:val="1"/>
          <w:iCs w:val="1"/>
          <w:color w:val="auto"/>
        </w:rPr>
        <w:t>www.qualys.com</w:t>
      </w:r>
      <w:r>
        <w:rPr>
          <w:rFonts w:ascii="Arial" w:cs="Arial" w:eastAsia="Arial" w:hAnsi="Arial"/>
          <w:sz w:val="18"/>
          <w:szCs w:val="18"/>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9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Arial" w:cs="Arial" w:eastAsia="Arial" w:hAnsi="Arial"/>
          <w:sz w:val="18"/>
          <w:szCs w:val="18"/>
          <w:i w:val="1"/>
          <w:iCs w:val="1"/>
          <w:color w:val="auto"/>
        </w:rPr>
        <w:t>www.qualys.com</w:t>
      </w:r>
      <w:r>
        <w:rPr>
          <w:rFonts w:ascii="Arial" w:cs="Arial" w:eastAsia="Arial" w:hAnsi="Arial"/>
          <w:sz w:val="18"/>
          <w:szCs w:val="18"/>
          <w:color w:val="auto"/>
        </w:rPr>
        <w:t xml:space="preserve"> as soon as reasonably practicable after they are electronically filed with or furnished to the SEC. Additionally, copies of materials filed by us with the SEC may be accessed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Subscriptions to our Vulnerability Management solutions generate most of our revenues, and if we are unable to continue to renew and grow subscriptions for these solutions, our operating results would suffer.</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We derived approximately 73%, 74% and 74% of our revenues from subscriptions to our VM solutions for the years ended </w:t>
      </w:r>
      <w:r>
        <w:rPr>
          <w:rFonts w:ascii="Arial" w:cs="Arial" w:eastAsia="Arial" w:hAnsi="Arial"/>
          <w:sz w:val="18"/>
          <w:szCs w:val="18"/>
          <w:color w:val="000000"/>
        </w:rPr>
        <w:t>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w:t>
      </w:r>
      <w:r>
        <w:rPr>
          <w:rFonts w:ascii="Arial" w:cs="Arial" w:eastAsia="Arial" w:hAnsi="Arial"/>
          <w:sz w:val="18"/>
          <w:szCs w:val="18"/>
          <w:color w:val="231F20"/>
        </w:rPr>
        <w:t>,</w:t>
      </w:r>
      <w:r>
        <w:rPr>
          <w:rFonts w:ascii="Arial" w:cs="Arial" w:eastAsia="Arial" w:hAnsi="Arial"/>
          <w:sz w:val="18"/>
          <w:szCs w:val="18"/>
          <w:color w:val="auto"/>
        </w:rPr>
        <w:t xml:space="preserve"> 2018 </w:t>
      </w:r>
      <w:r>
        <w:rPr>
          <w:rFonts w:ascii="Arial" w:cs="Arial" w:eastAsia="Arial" w:hAnsi="Arial"/>
          <w:sz w:val="18"/>
          <w:szCs w:val="18"/>
          <w:color w:val="231F20"/>
        </w:rPr>
        <w:t>and</w:t>
      </w:r>
      <w:r>
        <w:rPr>
          <w:rFonts w:ascii="Arial" w:cs="Arial" w:eastAsia="Arial" w:hAnsi="Arial"/>
          <w:sz w:val="18"/>
          <w:szCs w:val="18"/>
          <w:color w:val="auto"/>
        </w:rPr>
        <w:t xml:space="preserve"> 2017</w:t>
      </w:r>
      <w:r>
        <w:rPr>
          <w:rFonts w:ascii="Arial" w:cs="Arial" w:eastAsia="Arial" w:hAnsi="Arial"/>
          <w:sz w:val="18"/>
          <w:szCs w:val="18"/>
          <w:color w:val="231F20"/>
        </w:rPr>
        <w:t>, respectively.</w:t>
      </w:r>
    </w:p>
    <w:p>
      <w:pPr>
        <w:spacing w:after="0" w:line="11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VM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income tax benefits that we recognize resulting from excess tax benefits related to stock-based compensation;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11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For example, a Data Protection Act that substantially implements the European Union’s General Data Protection Regulation (GDPR) was implemented in the United Kingdom in May 2018, and "Brexit" could also lead to further legislative and regulatory changes. It is unclear, however, how United Kingdom data protection laws or regulations will develop in the medium to longer term, and how data transfers to and from the United Kingdom will be regulated.</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8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9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9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13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VM for our business and revenues to grow as we expect. Revenues from our other solutions such as Policy Compliance, PCI Compliance, Web Application Scanning, Web Application Firewall, CMDB Sync, Security Assessment Questionnaire, File Integrity Monitoring, Indication of Compromise, Global IT Asset Inventory, Security Configuration Assessment, Cloud Security Assessment and Patch Management have been relatively modest compared to revenues from our VM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6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and those of our service providers, may also suffer security incidents as a result of non-technical issues, including intentional or inadvertent acts or omissions by our employees or service providers.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00"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6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10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Additionally, concerns regarding the effects of the "Brexit" decision,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10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Our IT, security and compliance solutions are delivered from six data centers, and any disruption of service at these facilities would interrupt or delay our ability to deliver our solutions to our customers which could reduce our revenues and harm our operating results.</w:t>
      </w:r>
    </w:p>
    <w:p>
      <w:pPr>
        <w:spacing w:after="0" w:line="8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Canada,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0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9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compete with large and small public companies, such as Belden (Tripwire), Broadcom (Symantec Enterprise Security), CrowdStrike, F5 Networks, FireEye, Forescout Technologies, International Business Machines, Micro Focus International, Rapid7, Palo Alto Networks, and Tenable Holdings, as well as privately held security providers including Barracuda Networks, BeyondTrust Software, Flexera, Imperva, McAfee, Tanium, Trustwave Holdings, Venafi, and Veracode. We also s</w:t>
      </w:r>
      <w:r>
        <w:rPr>
          <w:rFonts w:ascii="Arial" w:cs="Arial" w:eastAsia="Arial" w:hAnsi="Arial"/>
          <w:sz w:val="18"/>
          <w:szCs w:val="18"/>
          <w:color w:val="231F20"/>
        </w:rPr>
        <w:t>eek to replace IT, security and compliance solutions that organizations have</w:t>
      </w:r>
      <w:r>
        <w:rPr>
          <w:rFonts w:ascii="Arial" w:cs="Arial" w:eastAsia="Arial" w:hAnsi="Arial"/>
          <w:sz w:val="18"/>
          <w:szCs w:val="18"/>
          <w:color w:val="auto"/>
        </w:rPr>
        <w:t xml:space="preserve"> </w:t>
      </w:r>
      <w:r>
        <w:rPr>
          <w:rFonts w:ascii="Arial" w:cs="Arial" w:eastAsia="Arial" w:hAnsi="Arial"/>
          <w:sz w:val="18"/>
          <w:szCs w:val="18"/>
          <w:color w:val="231F20"/>
        </w:rPr>
        <w:t>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9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11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0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0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13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6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0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9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6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solutions could harm our reputation, decrease market acceptance of our solutions or result in liability.</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0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0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GDPR. This regulation, which took effect in May of 2018, causes EU data protection requirements to be more stringent and provides for greater penalties. The GDPR may be subject to new or changing interpretations by courts, and our interpretation of the law and efforts to comply with the rules and regulations of the law may be ruled invalid. Noncompliance with the GDPR can trigger fines of up to €20 million or 4% of global annual revenues, whichever is higher. Similarly, California recently enacted the California Consumer Privacy Act (“CCPA”), which, among other things, requires covered companies to provide new disclosures to California consumers and afford such consumers new rights to opt-out of certain sales of personal information. The CCPA creates a private right of action for statutory damages for certain breaches of information. The CCPA has been amended on multiple occasions and is the subject of proposed regulations of the California Attorney General that were released on February 7, 2020. Aspects of the CCPA and its interpretation remain unclear. In addition, other states have enacted or proposed legislation that regulates the collection, use, and sale of personal information, and such regimes might not be compatible with either the GDPR or the CCPA or may require us to undertake additional practices. We cannot yet predict the impact of the CCPA or impending legislation on our business or operations, but it may require us to modify our data processing practices and policies and incur substantial costs and expenses in an effort to comply.</w:t>
      </w:r>
    </w:p>
    <w:p>
      <w:pPr>
        <w:spacing w:after="0" w:line="103"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privacy, data protection, and information security laws and regulations we must comply with also are subject to change. For example, the United Kingdom enacted a Data Protection Act in May 2018 that substantially implements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U.S. and EU authorities reached a political agreement in February 2016 regarding a means for legitimizing personal data transfers from the EEA to the U.S., the EU-U.S. Privacy Shield Framework, replacing a prior program that was invalidated. We have joined the EU-U.S. Privacy Shield Framework and a related program, the Swiss-U.S. Privacy Shield Framework. The EU-U.S. Privacy Shield Framework is subject to legal challenge, however, and it or the Swiss-U.S. Privacy Shield Framework may be modified or invalidated. We may be unsuccessful in maintaining legitimate means for our transfer and receipt of personal data from the EEA or Switzerland. We may experience reluctance or refusal by current or prospective European customers to use our products, and we may find it necessary or desirable to make further changes to our handling of personal data of European residents.</w:t>
      </w:r>
    </w:p>
    <w:p>
      <w:pPr>
        <w:spacing w:after="0" w:line="10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04"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8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11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0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In addition, as of </w:t>
      </w:r>
      <w:r>
        <w:rPr>
          <w:rFonts w:ascii="Arial" w:cs="Arial" w:eastAsia="Arial" w:hAnsi="Arial"/>
          <w:sz w:val="18"/>
          <w:szCs w:val="18"/>
          <w:color w:val="000000"/>
        </w:rPr>
        <w:t>December 31, 2019</w:t>
      </w:r>
      <w:r>
        <w:rPr>
          <w:rFonts w:ascii="Arial" w:cs="Arial" w:eastAsia="Arial" w:hAnsi="Arial"/>
          <w:sz w:val="18"/>
          <w:szCs w:val="18"/>
          <w:color w:val="231F20"/>
        </w:rPr>
        <w:t>, approximately 70% of our employees were located outside of the United States, and 61% of our employees were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From </w:t>
      </w:r>
      <w:r>
        <w:rPr>
          <w:rFonts w:ascii="Arial" w:cs="Arial" w:eastAsia="Arial" w:hAnsi="Arial"/>
          <w:sz w:val="18"/>
          <w:szCs w:val="18"/>
          <w:color w:val="000000"/>
        </w:rPr>
        <w:t>2017</w:t>
      </w:r>
      <w:r>
        <w:rPr>
          <w:rFonts w:ascii="Arial" w:cs="Arial" w:eastAsia="Arial" w:hAnsi="Arial"/>
          <w:sz w:val="18"/>
          <w:szCs w:val="18"/>
          <w:color w:val="231F20"/>
        </w:rPr>
        <w:t xml:space="preserve"> to </w:t>
      </w:r>
      <w:r>
        <w:rPr>
          <w:rFonts w:ascii="Arial" w:cs="Arial" w:eastAsia="Arial" w:hAnsi="Arial"/>
          <w:sz w:val="18"/>
          <w:szCs w:val="18"/>
          <w:color w:val="000000"/>
        </w:rPr>
        <w:t>2019</w:t>
      </w:r>
      <w:r>
        <w:rPr>
          <w:rFonts w:ascii="Arial" w:cs="Arial" w:eastAsia="Arial" w:hAnsi="Arial"/>
          <w:sz w:val="18"/>
          <w:szCs w:val="18"/>
          <w:color w:val="231F20"/>
        </w:rPr>
        <w:t xml:space="preserve">, our revenues grew from $230.8 million to $321.6 million, and our headcount increased from 684 employees at the beginning of </w:t>
      </w:r>
      <w:r>
        <w:rPr>
          <w:rFonts w:ascii="Arial" w:cs="Arial" w:eastAsia="Arial" w:hAnsi="Arial"/>
          <w:sz w:val="18"/>
          <w:szCs w:val="18"/>
          <w:color w:val="000000"/>
        </w:rPr>
        <w:t>2017</w:t>
      </w:r>
      <w:r>
        <w:rPr>
          <w:rFonts w:ascii="Arial" w:cs="Arial" w:eastAsia="Arial" w:hAnsi="Arial"/>
          <w:sz w:val="18"/>
          <w:szCs w:val="18"/>
          <w:color w:val="231F20"/>
        </w:rPr>
        <w:t xml:space="preserve"> to </w:t>
      </w:r>
      <w:r>
        <w:rPr>
          <w:rFonts w:ascii="Arial" w:cs="Arial" w:eastAsia="Arial" w:hAnsi="Arial"/>
          <w:sz w:val="18"/>
          <w:szCs w:val="18"/>
          <w:color w:val="000000"/>
        </w:rPr>
        <w:t>1,289</w:t>
      </w:r>
      <w:r>
        <w:rPr>
          <w:rFonts w:ascii="Arial" w:cs="Arial" w:eastAsia="Arial" w:hAnsi="Arial"/>
          <w:sz w:val="18"/>
          <w:szCs w:val="18"/>
          <w:color w:val="231F20"/>
        </w:rPr>
        <w:t xml:space="preserve"> employees as of </w:t>
      </w:r>
      <w:r>
        <w:rPr>
          <w:rFonts w:ascii="Arial" w:cs="Arial" w:eastAsia="Arial" w:hAnsi="Arial"/>
          <w:sz w:val="18"/>
          <w:szCs w:val="18"/>
          <w:color w:val="000000"/>
        </w:rPr>
        <w:t>December 31, 2019</w:t>
      </w:r>
      <w:r>
        <w:rPr>
          <w:rFonts w:ascii="Arial" w:cs="Arial" w:eastAsia="Arial" w:hAnsi="Arial"/>
          <w:sz w:val="18"/>
          <w:szCs w:val="18"/>
          <w:color w:val="231F20"/>
        </w:rPr>
        <w:t>.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years ended December 31, </w:t>
      </w:r>
      <w:r>
        <w:rPr>
          <w:rFonts w:ascii="Arial" w:cs="Arial" w:eastAsia="Arial" w:hAnsi="Arial"/>
          <w:sz w:val="18"/>
          <w:szCs w:val="18"/>
          <w:color w:val="000000"/>
        </w:rPr>
        <w:t>2019</w:t>
      </w:r>
      <w:r>
        <w:rPr>
          <w:rFonts w:ascii="Arial" w:cs="Arial" w:eastAsia="Arial" w:hAnsi="Arial"/>
          <w:sz w:val="18"/>
          <w:szCs w:val="18"/>
          <w:color w:val="231F20"/>
        </w:rPr>
        <w:t xml:space="preserve">, </w:t>
      </w:r>
      <w:r>
        <w:rPr>
          <w:rFonts w:ascii="Arial" w:cs="Arial" w:eastAsia="Arial" w:hAnsi="Arial"/>
          <w:sz w:val="18"/>
          <w:szCs w:val="18"/>
          <w:color w:val="000000"/>
        </w:rPr>
        <w:t>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 xml:space="preserve">, we derived approximately </w:t>
      </w:r>
      <w:r>
        <w:rPr>
          <w:rFonts w:ascii="Arial" w:cs="Arial" w:eastAsia="Arial" w:hAnsi="Arial"/>
          <w:sz w:val="18"/>
          <w:szCs w:val="18"/>
          <w:color w:val="000000"/>
        </w:rPr>
        <w:t>42%</w:t>
      </w:r>
      <w:r>
        <w:rPr>
          <w:rFonts w:ascii="Arial" w:cs="Arial" w:eastAsia="Arial" w:hAnsi="Arial"/>
          <w:sz w:val="18"/>
          <w:szCs w:val="18"/>
          <w:color w:val="231F20"/>
        </w:rPr>
        <w:t xml:space="preserve">, 41% and </w:t>
      </w:r>
      <w:r>
        <w:rPr>
          <w:rFonts w:ascii="Arial" w:cs="Arial" w:eastAsia="Arial" w:hAnsi="Arial"/>
          <w:sz w:val="18"/>
          <w:szCs w:val="18"/>
          <w:color w:val="000000"/>
        </w:rPr>
        <w:t>39%</w:t>
      </w:r>
      <w:r>
        <w:rPr>
          <w:rFonts w:ascii="Arial" w:cs="Arial" w:eastAsia="Arial" w:hAnsi="Arial"/>
          <w:sz w:val="18"/>
          <w:szCs w:val="18"/>
          <w:color w:val="231F20"/>
        </w:rPr>
        <w:t>, respectively,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0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0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rely on third-party software -as-a-service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9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0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reporting currency is the U.S. Dollar and we generate a </w:t>
      </w:r>
      <w:r>
        <w:rPr>
          <w:rFonts w:ascii="Arial" w:cs="Arial" w:eastAsia="Arial" w:hAnsi="Arial"/>
          <w:sz w:val="18"/>
          <w:szCs w:val="18"/>
          <w:color w:val="000000"/>
        </w:rPr>
        <w:t>majority of our revenues in U.S. dollars. However, for the year ended</w:t>
      </w:r>
      <w:r>
        <w:rPr>
          <w:rFonts w:ascii="Arial" w:cs="Arial" w:eastAsia="Arial" w:hAnsi="Arial"/>
          <w:sz w:val="18"/>
          <w:szCs w:val="18"/>
          <w:color w:val="231F20"/>
        </w:rPr>
        <w:t xml:space="preserve"> </w:t>
      </w:r>
      <w:r>
        <w:rPr>
          <w:rFonts w:ascii="Arial" w:cs="Arial" w:eastAsia="Arial" w:hAnsi="Arial"/>
          <w:sz w:val="18"/>
          <w:szCs w:val="18"/>
          <w:color w:val="000000"/>
        </w:rPr>
        <w:t xml:space="preserve">December 31, 2019, we incurred approximately 25% of our </w:t>
      </w:r>
      <w:r>
        <w:rPr>
          <w:rFonts w:ascii="Arial" w:cs="Arial" w:eastAsia="Arial" w:hAnsi="Arial"/>
          <w:sz w:val="18"/>
          <w:szCs w:val="18"/>
          <w:color w:val="231F20"/>
        </w:rPr>
        <w:t>expenses outside of the United States in foreign currencies, primarily Euros, British</w:t>
      </w:r>
      <w:r>
        <w:rPr>
          <w:rFonts w:ascii="Arial" w:cs="Arial" w:eastAsia="Arial" w:hAnsi="Arial"/>
          <w:sz w:val="18"/>
          <w:szCs w:val="18"/>
          <w:color w:val="000000"/>
        </w:rPr>
        <w:t xml:space="preserve"> </w:t>
      </w:r>
      <w:r>
        <w:rPr>
          <w:rFonts w:ascii="Arial" w:cs="Arial" w:eastAsia="Arial" w:hAnsi="Arial"/>
          <w:sz w:val="18"/>
          <w:szCs w:val="18"/>
          <w:color w:val="231F20"/>
        </w:rPr>
        <w:t xml:space="preserve">Pounds, and Indian Rupee, principally with respect to salaries and related personnel expenses associated with our European and Indian operations. Additionally, for the year ended December 31, </w:t>
      </w:r>
      <w:r>
        <w:rPr>
          <w:rFonts w:ascii="Arial" w:cs="Arial" w:eastAsia="Arial" w:hAnsi="Arial"/>
          <w:sz w:val="18"/>
          <w:szCs w:val="18"/>
          <w:color w:val="000000"/>
        </w:rPr>
        <w:t>2019</w:t>
      </w:r>
      <w:r>
        <w:rPr>
          <w:rFonts w:ascii="Arial" w:cs="Arial" w:eastAsia="Arial" w:hAnsi="Arial"/>
          <w:sz w:val="18"/>
          <w:szCs w:val="18"/>
          <w:color w:val="231F20"/>
        </w:rPr>
        <w:t>, approximately 21%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1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use derivative financial instruments to reduce our foreign currency exchange risks. We use foreign currency forward contracts to mitigate the impact of foreign currency fluctuations of certain non-U.S. Dollar denominated asset positions, to date primarily cash and accounts receivable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67"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9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As of December 31, 2019, we had 18 issued patents and several pending U.S. patent applications, and we may file additional patent applications in the future. Additionally, we have an exclusive license to </w:t>
      </w:r>
      <w:r>
        <w:rPr>
          <w:rFonts w:ascii="Arial" w:cs="Arial" w:eastAsia="Arial" w:hAnsi="Arial"/>
          <w:sz w:val="18"/>
          <w:szCs w:val="18"/>
          <w:color w:val="000000"/>
        </w:rPr>
        <w:t>four</w:t>
      </w:r>
      <w:r>
        <w:rPr>
          <w:rFonts w:ascii="Arial" w:cs="Arial" w:eastAsia="Arial" w:hAnsi="Arial"/>
          <w:sz w:val="18"/>
          <w:szCs w:val="18"/>
          <w:color w:val="231F20"/>
        </w:rPr>
        <w:t xml:space="preserve"> third-party patents. The process of obtaining patent protection is expensive and time-consuming, and we may not be able to prosecute all necessary or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desirable patent applications at a reasonable cost or in a timely manner, if at all. We may choose not to seek patent protection for certain innovations and may choose not to pursue patent protection in certain jurisdictions.</w:t>
      </w:r>
    </w:p>
    <w:p>
      <w:pPr>
        <w:spacing w:after="0" w:line="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9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and Pune, India, locations in which we have a substantial presence and need for highly skilled personnel and we may not be able to compete for these employees.</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For example, we acquired 1Mobility on April 1, 2018, Layered Insight on October 16, 2018 and Adya on January 10, 2019.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 acquisitions may still be</w:t>
      </w:r>
      <w:r>
        <w:rPr>
          <w:rFonts w:ascii="Arial" w:cs="Arial" w:eastAsia="Arial" w:hAnsi="Arial"/>
          <w:sz w:val="18"/>
          <w:szCs w:val="18"/>
          <w:color w:val="231F20"/>
        </w:rPr>
        <w:t xml:space="preserve"> </w:t>
      </w:r>
      <w:r>
        <w:rPr>
          <w:rFonts w:ascii="Arial" w:cs="Arial" w:eastAsia="Arial" w:hAnsi="Arial"/>
          <w:sz w:val="18"/>
          <w:szCs w:val="18"/>
          <w:color w:val="000000"/>
        </w:rPr>
        <w:t xml:space="preserve">viewed negatively by customers, financial markets or investors. </w:t>
      </w:r>
      <w:r>
        <w:rPr>
          <w:rFonts w:ascii="Arial" w:cs="Arial" w:eastAsia="Arial" w:hAnsi="Arial"/>
          <w:sz w:val="18"/>
          <w:szCs w:val="18"/>
          <w:color w:val="231F20"/>
        </w:rPr>
        <w:t xml:space="preserve">The acquisition and integration process is complex, expensive and time-consuming, and may cause an interruption of, or loss of momentum in, product development and sales activities and operations of both companies, as well as divert the attention of management, </w:t>
      </w:r>
      <w:r>
        <w:rPr>
          <w:rFonts w:ascii="Arial" w:cs="Arial" w:eastAsia="Arial" w:hAnsi="Arial"/>
          <w:sz w:val="18"/>
          <w:szCs w:val="18"/>
          <w:color w:val="000000"/>
        </w:rPr>
        <w:t>and we may incur substantial cost and expense. We may issue equity securities</w:t>
      </w:r>
      <w:r>
        <w:rPr>
          <w:rFonts w:ascii="Arial" w:cs="Arial" w:eastAsia="Arial" w:hAnsi="Arial"/>
          <w:sz w:val="18"/>
          <w:szCs w:val="18"/>
          <w:color w:val="231F20"/>
        </w:rPr>
        <w:t xml:space="preserve"> </w:t>
      </w:r>
      <w:r>
        <w:rPr>
          <w:rFonts w:ascii="Arial" w:cs="Arial" w:eastAsia="Arial" w:hAnsi="Arial"/>
          <w:sz w:val="18"/>
          <w:szCs w:val="18"/>
          <w:color w:val="000000"/>
        </w:rPr>
        <w:t xml:space="preserve">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 candidates, and</w:t>
      </w:r>
      <w:r>
        <w:rPr>
          <w:rFonts w:ascii="Arial" w:cs="Arial" w:eastAsia="Arial" w:hAnsi="Arial"/>
          <w:sz w:val="18"/>
          <w:szCs w:val="18"/>
          <w:color w:val="000000"/>
        </w:rPr>
        <w:t xml:space="preserve"> </w:t>
      </w:r>
      <w:r>
        <w:rPr>
          <w:rFonts w:ascii="Arial" w:cs="Arial" w:eastAsia="Arial" w:hAnsi="Arial"/>
          <w:sz w:val="18"/>
          <w:szCs w:val="18"/>
          <w:color w:val="231F20"/>
        </w:rPr>
        <w:t>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or 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31F20"/>
        </w:rPr>
        <w:t>We have historically expensed commissions associated with sales of our solutions immediately upon receipt of a subscription order from a customer and generally recognize the revenues associated with such sale over the term of the agreement. Accordingly, our historical operating income in any period may not be indicative of our financial health and future performance. With the adoption of Accounting Standards Codification (ASC) 606, Revenue from Contracts with Customers effective January 1, 2018, we commenced capitalizing our commissions but elected to use the practical expedient in ASC 606 and expense commissions related to contracts with a renewal contract term of one year or less. As a result of the adoption of ASC 606, our future operating results may vary from period to period as our commission expense will not be directly comparable to historical periods.</w:t>
      </w:r>
    </w:p>
    <w:p>
      <w:pPr>
        <w:spacing w:after="0" w:line="9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Through December 2017, we expensed commissions paid to our sales personnel in the quarter in which the related order was received. In contrast, we have generally recognized the revenues associated with a sale of our solutions ratably over the term of the subscription, which is typically one year. Accordingly, our historical results may have fluctuated based on timing of commission expenses as compared to revenue recognized. With the adoption of ASC 606, our operating results will also fluctuate and not be comparable to historical periods, and will continue to fluctuate as we will general</w:t>
      </w:r>
      <w:r>
        <w:rPr>
          <w:rFonts w:ascii="Arial" w:cs="Arial" w:eastAsia="Arial" w:hAnsi="Arial"/>
          <w:sz w:val="18"/>
          <w:szCs w:val="18"/>
          <w:color w:val="000000"/>
        </w:rPr>
        <w:t>ly capitalize commissions for new and upsell contracts except for renewal sales that are one year or</w:t>
      </w:r>
      <w:r>
        <w:rPr>
          <w:rFonts w:ascii="Arial" w:cs="Arial" w:eastAsia="Arial" w:hAnsi="Arial"/>
          <w:sz w:val="18"/>
          <w:szCs w:val="18"/>
          <w:color w:val="231F20"/>
        </w:rPr>
        <w:t xml:space="preserve"> </w:t>
      </w:r>
      <w:r>
        <w:rPr>
          <w:rFonts w:ascii="Arial" w:cs="Arial" w:eastAsia="Arial" w:hAnsi="Arial"/>
          <w:sz w:val="18"/>
          <w:szCs w:val="18"/>
          <w:color w:val="000000"/>
        </w:rPr>
        <w:t>less. In addition, amortization of expense from previously capitalized contracts is expected to increase over time as our opening capitalized commission asset balance upon adoption of ASC 606 only included open contracts as of December 31, 2017. Accordingly, we expect our commission expense to grow in future periods as a result of the adoption of ASC 606. Without the adoption of ASC 606, commission expenses would have been $2.6 million and $2.5 million higher for the years ended December 31, 2019 and 2018, respectively.</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our provision for income taxes or adverse outcomes resulting from examination of our income tax returns could adversely affect our operating results. We could be subject to additional taxes.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$5.0 million and $2.1 million, respectively, as of December 31, 2019. Increases in our effective tax rate could harm our operating results.</w:t>
      </w:r>
    </w:p>
    <w:p>
      <w:pPr>
        <w:spacing w:after="0" w:line="101"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9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this Annual Report on Form 10-K that our internal control over financial reporting was effective as of December 31, 2019,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139"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11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0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9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Annual Report on Form 10-K could result in our actual operating results being different from our guidance, and the differences may be adverse and material.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As of December 31, 2019, our executive officers, directors and holders of 10% or more of our outstanding common stock beneficially owned, in the aggregate, approximately </w:t>
      </w:r>
      <w:r>
        <w:rPr>
          <w:rFonts w:ascii="Arial" w:cs="Arial" w:eastAsia="Arial" w:hAnsi="Arial"/>
          <w:sz w:val="18"/>
          <w:szCs w:val="18"/>
          <w:color w:val="000000"/>
        </w:rPr>
        <w:t>30%</w:t>
      </w:r>
      <w:r>
        <w:rPr>
          <w:rFonts w:ascii="Arial" w:cs="Arial" w:eastAsia="Arial" w:hAnsi="Arial"/>
          <w:sz w:val="18"/>
          <w:szCs w:val="18"/>
          <w:color w:val="231F20"/>
        </w:rPr>
        <w:t xml:space="preserve">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December 31, 2019, we had approximately 39.1 million shares of our common stock outstanding.</w:t>
      </w:r>
    </w:p>
    <w:p>
      <w:pPr>
        <w:spacing w:after="0" w:line="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addition, as of December 31, 2019, there were approximately 1.2 million restricted stock units and options to purchase approximately 2.9 million shares of our common stock outstanding. If such options are exercised and restricted stock units are released, these additional shares will become available for sale. As of December 31, 2019, we had an aggregate of 5.2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26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cannot guarantee that our stock repurchase program will be fully consummated or that it will enhance stockholder value, and any stock repurchases we make could affect the price of our common stock.</w:t>
      </w:r>
    </w:p>
    <w:p>
      <w:pPr>
        <w:spacing w:after="0" w:line="14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February 2018, we announced a $100.0 million stock repurchase program. In October 2018 and 2019, we announced that our authorization under this program had increased by $100.0 million and $100.0 million, respectively.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year ended December 31, 2019, we repurchased 1,026,455 shares of our common stock for an aggregate purchase price of approximately $86.4 million. As of December 31, 2019, approximately $128.5 million remained available for share repurchases pursuant to our stock repurchase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7"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jc w:val="both"/>
        <w:ind w:left="66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11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Our principal executive offices are located in Foster City, California, where we occupy a 76,922 square-foot facility under a lease expiring on April 30, 2028. We have additional U.S. offices in Bellevue, Washington and Raleigh, North Carolina. We also lease offices in Courbevoie, France; Moscow, Russia; Munich, Germany; Frankfurt, Germany; Nuremberg, Germany; Pune, India; Dubai, United Arab Emirates; Reading, United Kingdom; and Tokyo, Japan. In addition, during the fiscal year ended December 31, 2019, we entered into a new agreement to lease 281,787 square feet of office space in Pune, India, which has a non-cancellable lease term through February 2025. We believe our facilities are adequate for our current needs and for the foreseeable future.</w:t>
      </w:r>
    </w:p>
    <w:p>
      <w:pPr>
        <w:spacing w:after="0" w:line="101"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We operate principal data centers at third-party facilities in Santa Clara, California; Ashburn, Virginia; Ontario, Canada; Geneva, Switzerland; Pune, India; and Amsterdam, the Netherlands.</w:t>
      </w:r>
    </w:p>
    <w:p>
      <w:pPr>
        <w:spacing w:after="0" w:line="33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5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w:t>
      </w:r>
    </w:p>
    <w:p>
      <w:pPr>
        <w:spacing w:after="0" w:line="3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Equity</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As of February 13, 2020, there were approximately 68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7"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2019. All outstanding awards relate to our common stock.</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Plan Category</w:t>
      </w:r>
    </w:p>
    <w:p>
      <w:pPr>
        <w:spacing w:after="0" w:line="160" w:lineRule="exact"/>
        <w:rPr>
          <w:sz w:val="20"/>
          <w:szCs w:val="20"/>
          <w:color w:val="auto"/>
        </w:rPr>
      </w:pPr>
    </w:p>
    <w:p>
      <w:pPr>
        <w:ind w:left="40" w:right="280"/>
        <w:spacing w:after="0" w:line="274" w:lineRule="auto"/>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1"/>
          <w:szCs w:val="21"/>
          <w:color w:val="auto"/>
          <w:vertAlign w:val="superscript"/>
        </w:rPr>
        <w:t>(1)</w:t>
      </w:r>
    </w:p>
    <w:p>
      <w:pPr>
        <w:spacing w:after="0" w:line="108"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auto"/>
        </w:rPr>
        <w:t>Equity compensation plans not approved by security holders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(c) Number of Securities</w:t>
            </w:r>
          </w:p>
        </w:tc>
      </w:tr>
      <w:tr>
        <w:trPr>
          <w:trHeight w:val="189"/>
        </w:trPr>
        <w:tc>
          <w:tcPr>
            <w:tcW w:w="2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 Number of Securities to be</w:t>
            </w:r>
          </w:p>
        </w:tc>
        <w:tc>
          <w:tcPr>
            <w:tcW w:w="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9"/>
              </w:rPr>
              <w:t>Remaining Available for</w:t>
            </w:r>
          </w:p>
        </w:tc>
      </w:tr>
      <w:tr>
        <w:trPr>
          <w:trHeight w:val="189"/>
        </w:trPr>
        <w:tc>
          <w:tcPr>
            <w:tcW w:w="2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Issued Upon</w:t>
            </w:r>
          </w:p>
        </w:tc>
        <w:tc>
          <w:tcPr>
            <w:tcW w:w="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Future Issuance Under</w:t>
            </w:r>
          </w:p>
        </w:tc>
      </w:tr>
      <w:tr>
        <w:trPr>
          <w:trHeight w:val="189"/>
        </w:trPr>
        <w:tc>
          <w:tcPr>
            <w:tcW w:w="2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Exercise of</w:t>
            </w:r>
          </w:p>
        </w:tc>
        <w:tc>
          <w:tcPr>
            <w:tcW w:w="260" w:type="dxa"/>
            <w:vAlign w:val="bottom"/>
          </w:tcPr>
          <w:p>
            <w:pPr>
              <w:spacing w:after="0"/>
              <w:rPr>
                <w:sz w:val="16"/>
                <w:szCs w:val="16"/>
                <w:color w:val="auto"/>
              </w:rPr>
            </w:pPr>
          </w:p>
        </w:tc>
        <w:tc>
          <w:tcPr>
            <w:tcW w:w="23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(b) Weighted-Average</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Equity Compensation</w:t>
            </w:r>
          </w:p>
        </w:tc>
      </w:tr>
      <w:tr>
        <w:trPr>
          <w:trHeight w:val="189"/>
        </w:trPr>
        <w:tc>
          <w:tcPr>
            <w:tcW w:w="2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6"/>
                <w:szCs w:val="16"/>
                <w:color w:val="auto"/>
              </w:rPr>
            </w:pPr>
          </w:p>
        </w:tc>
        <w:tc>
          <w:tcPr>
            <w:tcW w:w="23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Exercise Price of</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Plans (Excluding</w:t>
            </w:r>
          </w:p>
        </w:tc>
      </w:tr>
      <w:tr>
        <w:trPr>
          <w:trHeight w:val="189"/>
        </w:trPr>
        <w:tc>
          <w:tcPr>
            <w:tcW w:w="2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Options, Warrants</w:t>
            </w:r>
          </w:p>
        </w:tc>
        <w:tc>
          <w:tcPr>
            <w:tcW w:w="260" w:type="dxa"/>
            <w:vAlign w:val="bottom"/>
          </w:tcPr>
          <w:p>
            <w:pPr>
              <w:spacing w:after="0"/>
              <w:rPr>
                <w:sz w:val="16"/>
                <w:szCs w:val="16"/>
                <w:color w:val="auto"/>
              </w:rPr>
            </w:pPr>
          </w:p>
        </w:tc>
        <w:tc>
          <w:tcPr>
            <w:tcW w:w="23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Outstanding Options,</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Securities Reflected in</w:t>
            </w:r>
          </w:p>
        </w:tc>
      </w:tr>
      <w:tr>
        <w:trPr>
          <w:trHeight w:val="234"/>
        </w:trPr>
        <w:tc>
          <w:tcPr>
            <w:tcW w:w="2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and Rights</w:t>
            </w:r>
          </w:p>
        </w:tc>
        <w:tc>
          <w:tcPr>
            <w:tcW w:w="260" w:type="dxa"/>
            <w:vAlign w:val="bottom"/>
          </w:tcPr>
          <w:p>
            <w:pPr>
              <w:spacing w:after="0"/>
              <w:rPr>
                <w:sz w:val="20"/>
                <w:szCs w:val="20"/>
                <w:color w:val="auto"/>
              </w:rPr>
            </w:pPr>
          </w:p>
        </w:tc>
        <w:tc>
          <w:tcPr>
            <w:tcW w:w="23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Warrants and Rights</w:t>
            </w:r>
          </w:p>
        </w:tc>
        <w:tc>
          <w:tcPr>
            <w:tcW w:w="2500" w:type="dxa"/>
            <w:vAlign w:val="bottom"/>
          </w:tcPr>
          <w:p>
            <w:pPr>
              <w:jc w:val="center"/>
              <w:spacing w:after="0" w:line="234" w:lineRule="exact"/>
              <w:rPr>
                <w:sz w:val="20"/>
                <w:szCs w:val="20"/>
                <w:color w:val="auto"/>
              </w:rPr>
            </w:pPr>
            <w:r>
              <w:rPr>
                <w:rFonts w:ascii="Arial" w:cs="Arial" w:eastAsia="Arial" w:hAnsi="Arial"/>
                <w:sz w:val="16"/>
                <w:szCs w:val="16"/>
                <w:b w:val="1"/>
                <w:bCs w:val="1"/>
                <w:color w:val="auto"/>
                <w:w w:val="97"/>
              </w:rPr>
              <w:t>Column (a)</w:t>
            </w:r>
            <w:r>
              <w:rPr>
                <w:rFonts w:ascii="Arial" w:cs="Arial" w:eastAsia="Arial" w:hAnsi="Arial"/>
                <w:sz w:val="21"/>
                <w:szCs w:val="21"/>
                <w:b w:val="1"/>
                <w:bCs w:val="1"/>
                <w:color w:val="auto"/>
                <w:w w:val="97"/>
                <w:vertAlign w:val="superscript"/>
              </w:rPr>
              <w:t>(2)</w:t>
            </w:r>
          </w:p>
        </w:tc>
      </w:tr>
      <w:tr>
        <w:trPr>
          <w:trHeight w:val="555"/>
        </w:trPr>
        <w:tc>
          <w:tcPr>
            <w:tcW w:w="2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2,866,675</w:t>
            </w:r>
          </w:p>
        </w:tc>
        <w:tc>
          <w:tcPr>
            <w:tcW w:w="160" w:type="dxa"/>
            <w:vAlign w:val="bottom"/>
          </w:tcPr>
          <w:p>
            <w:pPr>
              <w:spacing w:after="0"/>
              <w:rPr>
                <w:sz w:val="24"/>
                <w:szCs w:val="24"/>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40.5</w:t>
            </w:r>
          </w:p>
        </w:tc>
        <w:tc>
          <w:tcPr>
            <w:tcW w:w="140" w:type="dxa"/>
            <w:vAlign w:val="bottom"/>
          </w:tcPr>
          <w:p>
            <w:pPr>
              <w:spacing w:after="0"/>
              <w:rPr>
                <w:sz w:val="24"/>
                <w:szCs w:val="24"/>
                <w:color w:val="auto"/>
              </w:rPr>
            </w:pPr>
          </w:p>
        </w:tc>
        <w:tc>
          <w:tcPr>
            <w:tcW w:w="2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5,243,730</w:t>
            </w:r>
          </w:p>
        </w:tc>
      </w:tr>
      <w:tr>
        <w:trPr>
          <w:trHeight w:val="594"/>
        </w:trPr>
        <w:tc>
          <w:tcPr>
            <w:tcW w:w="2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-741680</wp:posOffset>
            </wp:positionV>
            <wp:extent cx="724662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3180" w:space="460"/>
            <w:col w:w="7780"/>
          </w:cols>
          <w:pgMar w:left="240" w:top="141" w:right="239" w:bottom="1440" w:gutter="0" w:footer="0" w:header="0"/>
          <w:type w:val="continuous"/>
        </w:sectPr>
      </w:pPr>
    </w:p>
    <w:p>
      <w:pPr>
        <w:ind w:right="120" w:firstLine="8"/>
        <w:spacing w:after="0" w:line="260" w:lineRule="auto"/>
        <w:tabs>
          <w:tab w:leader="none" w:pos="2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Equity compensation plans approved by stockholders include our 2000 Equity Incentive Plan (2000 Plan), and our 2012 Equity Incentive Plan (2012 Plan). Prior to our IPO, we issued securities under our 2000 Equity Incentive Plan. Following our IPO, we issued securities under our 2012 Plan.</w:t>
      </w:r>
    </w:p>
    <w:p>
      <w:pPr>
        <w:spacing w:after="0" w:line="33" w:lineRule="exact"/>
        <w:rPr>
          <w:rFonts w:ascii="Arial" w:cs="Arial" w:eastAsia="Arial" w:hAnsi="Arial"/>
          <w:sz w:val="16"/>
          <w:szCs w:val="16"/>
          <w:color w:val="auto"/>
        </w:rPr>
      </w:pPr>
    </w:p>
    <w:p>
      <w:pPr>
        <w:ind w:right="160" w:firstLine="8"/>
        <w:spacing w:after="0" w:line="260" w:lineRule="auto"/>
        <w:tabs>
          <w:tab w:leader="none" w:pos="2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shares reserved for issuance under our 2012 Plan, under which incentive stock options, non-statutory stock options, stock appreciation rights, restricted stock awards, restricted stock units, performance units and performance shares are authorized for grant to eligible participants.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following graph shows a comparison from December 31, 2014 through December 31, 2019 of the cumulative total return for an investment of $100 (and the reinvestment of dividends) in our common stock, the NASDAQ Global Select Market Composite Index and the NASDAQ Computer Index and the S&amp;P 500 Index. Such returns are based on historical results and are not intended to suggest future performance.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CUMULATIVE TOTAL RETURN*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Among Qualys, Inc., NASDAQ-Global Select Market Composite Index, and NASDAQ Computer Index and S&amp;P 500 Index</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12/31/14 in stock or index, including reinvestment of dividends. Fiscal 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74930</wp:posOffset>
            </wp:positionV>
            <wp:extent cx="6226175" cy="4305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26175" cy="430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Dec 31, 2014</w:t>
            </w:r>
          </w:p>
        </w:tc>
        <w:tc>
          <w:tcPr>
            <w:tcW w:w="2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Dec 31, 2015</w:t>
            </w:r>
          </w:p>
        </w:tc>
        <w:tc>
          <w:tcPr>
            <w:tcW w:w="2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Dec 31, 2016</w:t>
            </w:r>
          </w:p>
        </w:tc>
        <w:tc>
          <w:tcPr>
            <w:tcW w:w="2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 31, 2017</w:t>
            </w:r>
          </w:p>
        </w:tc>
        <w:tc>
          <w:tcPr>
            <w:tcW w:w="1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 31, 2018</w:t>
            </w:r>
          </w:p>
        </w:tc>
        <w:tc>
          <w:tcPr>
            <w:tcW w:w="1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Dec 31, 2019</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Qualys, Inc.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143.18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136.95</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256.82</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323.41</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360.75</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NASDAQ Global Select Market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120.64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129.80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166.71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160.58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217.75</w:t>
            </w: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NASDAQ Computer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127.36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142.99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287.31</w:t>
            </w: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auto"/>
              </w:rPr>
              <w:t>S&amp;P 500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121.13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144.65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135.63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174.79</w:t>
            </w:r>
          </w:p>
        </w:tc>
      </w:tr>
    </w:tbl>
    <w:p>
      <w:pPr>
        <w:spacing w:after="0" w:line="23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February 5, 2018, our Board of Directors authorized a $100.0 million two-year share repurchase program, which was announced on February 12, 2018. On October 25, 2018, our Board of Directors authorized an increase of $100.0 million to the original share repurchase program authorization, which was announced on October 30, 2018. Shares may be purchased from time to time on the open market in accordance with Rule 10b-18 of the Exchange Act of 1934. On October 24, 2019, our Board of Directors authorized another increase of $100.0 million, which allows us to repurchase shares pursuant to a pre-set trading plan adopted in accordance with Rule 10b5-1 under the Exchange Act until October 30, 2020. All share repurchases were made using cash resources. As of December 31, 2019, approximately $128.5 million remained available for share repurchases pursuant to our share repurchase program.</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repurchases of common stock during the fourth quarter of 2019 is as follows:</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2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 Plan</w:t>
            </w:r>
          </w:p>
        </w:tc>
        <w:tc>
          <w:tcPr>
            <w:tcW w:w="12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 the Plan</w:t>
            </w:r>
          </w:p>
        </w:tc>
      </w:tr>
      <w:tr>
        <w:trPr>
          <w:trHeight w:val="228"/>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99"/>
              </w:rPr>
              <w:t>or Program</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2019 - October 31, 2019</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141,079,878</w:t>
            </w:r>
          </w:p>
        </w:tc>
      </w:tr>
      <w:tr>
        <w:trPr>
          <w:trHeight w:val="260"/>
        </w:trPr>
        <w:tc>
          <w:tcPr>
            <w:tcW w:w="4040" w:type="dxa"/>
            <w:vAlign w:val="bottom"/>
          </w:tcPr>
          <w:p>
            <w:pPr>
              <w:ind w:left="20"/>
              <w:spacing w:after="0"/>
              <w:rPr>
                <w:sz w:val="20"/>
                <w:szCs w:val="20"/>
                <w:color w:val="auto"/>
              </w:rPr>
            </w:pPr>
            <w:r>
              <w:rPr>
                <w:rFonts w:ascii="Arial" w:cs="Arial" w:eastAsia="Arial" w:hAnsi="Arial"/>
                <w:sz w:val="16"/>
                <w:szCs w:val="16"/>
                <w:color w:val="auto"/>
              </w:rPr>
              <w:t>November 1, 2019 - November 30, 2019</w:t>
            </w:r>
          </w:p>
        </w:tc>
        <w:tc>
          <w:tcPr>
            <w:tcW w:w="1360" w:type="dxa"/>
            <w:vAlign w:val="bottom"/>
            <w:gridSpan w:val="2"/>
          </w:tcPr>
          <w:p>
            <w:pPr>
              <w:jc w:val="right"/>
              <w:ind w:right="39"/>
              <w:spacing w:after="0"/>
              <w:rPr>
                <w:sz w:val="20"/>
                <w:szCs w:val="20"/>
                <w:color w:val="auto"/>
              </w:rPr>
            </w:pPr>
            <w:r>
              <w:rPr>
                <w:rFonts w:ascii="Arial" w:cs="Arial" w:eastAsia="Arial" w:hAnsi="Arial"/>
                <w:sz w:val="16"/>
                <w:szCs w:val="16"/>
                <w:color w:val="auto"/>
              </w:rPr>
              <w:t>145,000</w:t>
            </w: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86.53</w:t>
            </w:r>
          </w:p>
        </w:tc>
        <w:tc>
          <w:tcPr>
            <w:tcW w:w="100" w:type="dxa"/>
            <w:vAlign w:val="bottom"/>
          </w:tcPr>
          <w:p>
            <w:pPr>
              <w:spacing w:after="0"/>
              <w:rPr>
                <w:sz w:val="22"/>
                <w:szCs w:val="22"/>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145,000</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128,531,156</w:t>
            </w:r>
          </w:p>
        </w:tc>
      </w:tr>
      <w:tr>
        <w:trPr>
          <w:trHeight w:val="27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2019 - December 31, 2019</w:t>
            </w: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128,531,156</w:t>
            </w:r>
          </w:p>
        </w:tc>
      </w:tr>
      <w:tr>
        <w:trPr>
          <w:trHeight w:val="267"/>
        </w:trPr>
        <w:tc>
          <w:tcPr>
            <w:tcW w:w="4040" w:type="dxa"/>
            <w:vAlign w:val="bottom"/>
          </w:tcPr>
          <w:p>
            <w:pPr>
              <w:ind w:left="2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145,000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Consolidated Financial Data</w:t>
      </w:r>
    </w:p>
    <w:p>
      <w:pPr>
        <w:spacing w:after="0" w:line="36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following selected consolidated financial data should be read in conjunction with "Item 7. Management’s Discussion and Analysis of Financial Condition and Results of Operations” and our consolidated financial statements, related notes and other financial information included elsewhere in this Annual Report on Form 10-K. Our historical results are not necessarily indicative of the results that may be expected in the future, and the results for the year ended December 31, 2019 are not necessarily indicative of operating results to be expected for any other period. Results for reporting periods beginning after January 1, 2018 are presented under Topic 606, while prior period amounts have not been adjusted and continue to be reported in accordance with our historical accounting under Topic 605.</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b w:val="1"/>
                <w:bCs w:val="1"/>
                <w:color w:val="auto"/>
              </w:rPr>
              <w:t>As of December 31,</w:t>
            </w: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64"/>
        </w:trPr>
        <w:tc>
          <w:tcPr>
            <w:tcW w:w="5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r>
      <w:tr>
        <w:trPr>
          <w:trHeight w:val="237"/>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5"/>
          </w:tcPr>
          <w:p>
            <w:pPr>
              <w:jc w:val="center"/>
              <w:ind w:right="199"/>
              <w:spacing w:after="0"/>
              <w:rPr>
                <w:sz w:val="20"/>
                <w:szCs w:val="20"/>
                <w:color w:val="auto"/>
              </w:rPr>
            </w:pPr>
            <w:r>
              <w:rPr>
                <w:rFonts w:ascii="Arial" w:cs="Arial" w:eastAsia="Arial" w:hAnsi="Arial"/>
                <w:sz w:val="16"/>
                <w:szCs w:val="16"/>
                <w:b w:val="1"/>
                <w:bCs w:val="1"/>
                <w:color w:val="auto"/>
              </w:rPr>
              <w:t>(in thousands, except per share data)</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0"/>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0"/>
        </w:trPr>
        <w:tc>
          <w:tcPr>
            <w:tcW w:w="5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321,607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278,889</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230,828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197,925</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164,284</w:t>
            </w:r>
          </w:p>
        </w:tc>
      </w:tr>
      <w:tr>
        <w:trPr>
          <w:trHeight w:val="260"/>
        </w:trPr>
        <w:tc>
          <w:tcPr>
            <w:tcW w:w="522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72,253</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50,361</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37,243</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30,107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24,806</w:t>
            </w:r>
          </w:p>
        </w:tc>
      </w:tr>
      <w:tr>
        <w:trPr>
          <w:trHeight w:val="280"/>
        </w:trPr>
        <w:tc>
          <w:tcPr>
            <w:tcW w:w="5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69,336</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57,304</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40,440</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19,224</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15,865</w:t>
            </w:r>
          </w:p>
        </w:tc>
      </w:tr>
      <w:tr>
        <w:trPr>
          <w:trHeight w:val="260"/>
        </w:trPr>
        <w:tc>
          <w:tcPr>
            <w:tcW w:w="522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5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0.55</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0.47</w:t>
            </w:r>
          </w:p>
        </w:tc>
      </w:tr>
      <w:tr>
        <w:trPr>
          <w:trHeight w:val="251"/>
        </w:trPr>
        <w:tc>
          <w:tcPr>
            <w:tcW w:w="5220" w:type="dxa"/>
            <w:vAlign w:val="bottom"/>
          </w:tcPr>
          <w:p>
            <w:pPr>
              <w:ind w:left="3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1.68</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1.37</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0.42</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b w:val="1"/>
                <w:bCs w:val="1"/>
                <w:color w:val="auto"/>
              </w:rPr>
              <w:t>As of December 31,</w:t>
            </w: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64"/>
        </w:trPr>
        <w:tc>
          <w:tcPr>
            <w:tcW w:w="5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r>
      <w:tr>
        <w:trPr>
          <w:trHeight w:val="237"/>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0"/>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0"/>
        </w:trPr>
        <w:tc>
          <w:tcPr>
            <w:tcW w:w="5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short-term marketable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298,890</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289,166</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288,414</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243,856</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178,966</w:t>
            </w:r>
          </w:p>
        </w:tc>
      </w:tr>
      <w:tr>
        <w:trPr>
          <w:trHeight w:val="260"/>
        </w:trPr>
        <w:tc>
          <w:tcPr>
            <w:tcW w:w="5220" w:type="dxa"/>
            <w:vAlign w:val="bottom"/>
          </w:tcPr>
          <w:p>
            <w:pPr>
              <w:ind w:left="40"/>
              <w:spacing w:after="0"/>
              <w:rPr>
                <w:sz w:val="20"/>
                <w:szCs w:val="20"/>
                <w:color w:val="auto"/>
              </w:rPr>
            </w:pPr>
            <w:r>
              <w:rPr>
                <w:rFonts w:ascii="Arial" w:cs="Arial" w:eastAsia="Arial" w:hAnsi="Arial"/>
                <w:sz w:val="16"/>
                <w:szCs w:val="16"/>
                <w:color w:val="auto"/>
              </w:rPr>
              <w:t>Long-term marketable securities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119,508</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76,710</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67,224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45,725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43,277</w:t>
            </w:r>
          </w:p>
        </w:tc>
      </w:tr>
      <w:tr>
        <w:trPr>
          <w:trHeight w:val="280"/>
        </w:trPr>
        <w:tc>
          <w:tcPr>
            <w:tcW w:w="5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675,608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585,680</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537,525</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407,004</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323,514</w:t>
            </w:r>
          </w:p>
        </w:tc>
      </w:tr>
      <w:tr>
        <w:trPr>
          <w:trHeight w:val="260"/>
        </w:trPr>
        <w:tc>
          <w:tcPr>
            <w:tcW w:w="5220" w:type="dxa"/>
            <w:vAlign w:val="bottom"/>
          </w:tcPr>
          <w:p>
            <w:pPr>
              <w:ind w:left="40"/>
              <w:spacing w:after="0"/>
              <w:rPr>
                <w:sz w:val="20"/>
                <w:szCs w:val="20"/>
                <w:color w:val="auto"/>
              </w:rPr>
            </w:pPr>
            <w:r>
              <w:rPr>
                <w:rFonts w:ascii="Arial" w:cs="Arial" w:eastAsia="Arial" w:hAnsi="Arial"/>
                <w:sz w:val="16"/>
                <w:szCs w:val="16"/>
                <w:color w:val="auto"/>
              </w:rPr>
              <w:t>Deferred revenues, current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192,172</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164,624</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143,186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114,964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98,025</w:t>
            </w:r>
          </w:p>
        </w:tc>
      </w:tr>
      <w:tr>
        <w:trPr>
          <w:trHeight w:val="280"/>
        </w:trPr>
        <w:tc>
          <w:tcPr>
            <w:tcW w:w="5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revenues, noncurrent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20,935</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20,423</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17,136</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15,528</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14,564</w:t>
            </w:r>
          </w:p>
        </w:tc>
      </w:tr>
      <w:tr>
        <w:trPr>
          <w:trHeight w:val="251"/>
        </w:trPr>
        <w:tc>
          <w:tcPr>
            <w:tcW w:w="522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386,803</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357,989</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343,544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258,413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195,566</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231F20"/>
        </w:rPr>
        <w:t>You should read the following discussion in conjunction with the section titled "Selected Consolidated Financial Data" and our consolidated financial statements and the related notes included elsewhere in this Annual Report on Form 10 -K. You should carefully review and consider the information regarding our financial condition and results of operations set forth under Part I-Item 7 (Management’s Discussion and Analysis of Financial Condition and Results of Operations) in our Annual Report on Form 10-K for the fiscal year ended December 31, 2018, filed with the SEC on February 27, 2019, for an understanding of our results of operations and liquidity discussions and analysis comparing fiscal year 2018 to fiscal year 2017.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are a pioneer and leading provider of a cloud-based platform delivering IT, security and compliance solutions that enable organizations to identify security risks to their information technology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security and compliance solutions delivered on our Qualys Cloud Platform enables our customers to identify and manage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79" w:lineRule="exact"/>
        <w:rPr>
          <w:sz w:val="20"/>
          <w:szCs w:val="20"/>
          <w:color w:val="auto"/>
        </w:rPr>
      </w:pPr>
    </w:p>
    <w:p>
      <w:pPr>
        <w:ind w:left="1060" w:firstLine="1"/>
        <w:spacing w:after="0" w:line="282" w:lineRule="auto"/>
        <w:tabs>
          <w:tab w:leader="none" w:pos="136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IT Security: Vulnerability Management (VM), Threat Protection (TP), Continuous Monitoring (CM), Patch Management (PM), Indication of Compromise (IOC);</w:t>
      </w:r>
    </w:p>
    <w:p>
      <w:pPr>
        <w:spacing w:after="0" w:line="53" w:lineRule="exact"/>
        <w:rPr>
          <w:rFonts w:ascii="Arial" w:cs="Arial" w:eastAsia="Arial" w:hAnsi="Arial"/>
          <w:sz w:val="18"/>
          <w:szCs w:val="18"/>
          <w:color w:val="auto"/>
        </w:rPr>
      </w:pPr>
    </w:p>
    <w:p>
      <w:pPr>
        <w:ind w:left="1060" w:firstLine="1"/>
        <w:spacing w:after="0" w:line="282" w:lineRule="auto"/>
        <w:tabs>
          <w:tab w:leader="none" w:pos="136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Compliance Monitoring: Policy Compliance (PC), PCI Compliance (PCI), File Integrity Monitoring (FIM), Security Configuration Assessment (SCA), Security Assessment Questionnaire (SAQ), Out of-Band Configuration Assessment (OCA);</w:t>
      </w:r>
    </w:p>
    <w:p>
      <w:pPr>
        <w:spacing w:after="0" w:line="53" w:lineRule="exact"/>
        <w:rPr>
          <w:rFonts w:ascii="Arial" w:cs="Arial" w:eastAsia="Arial" w:hAnsi="Arial"/>
          <w:sz w:val="18"/>
          <w:szCs w:val="18"/>
          <w:color w:val="auto"/>
        </w:rPr>
      </w:pPr>
    </w:p>
    <w:p>
      <w:pPr>
        <w:ind w:left="1360" w:hanging="299"/>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Global IT Asset Management: </w:t>
      </w:r>
      <w:r>
        <w:rPr>
          <w:rFonts w:ascii="Arial" w:cs="Arial" w:eastAsia="Arial" w:hAnsi="Arial"/>
          <w:sz w:val="18"/>
          <w:szCs w:val="18"/>
          <w:color w:val="auto"/>
        </w:rPr>
        <w:t>Global IT Asset Inventory (AI), CMDB Sync (SYN), Certificate Inventory (CRI); and,</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w:t>
      </w:r>
    </w:p>
    <w:p>
      <w:pPr>
        <w:spacing w:after="0" w:line="13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(CS).</w:t>
      </w:r>
    </w:p>
    <w:p>
      <w:pPr>
        <w:spacing w:after="0" w:line="117"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Our VM solutions (including VM, CM, TP, Cloud Agent for VM, allocated scanner revenue and Qualys Private Cloud Platform) have provided a majority of our revenues to date</w:t>
      </w:r>
      <w:r>
        <w:rPr>
          <w:rFonts w:ascii="Arial" w:cs="Arial" w:eastAsia="Arial" w:hAnsi="Arial"/>
          <w:sz w:val="18"/>
          <w:szCs w:val="18"/>
          <w:color w:val="231F20"/>
        </w:rPr>
        <w:t>, representing 73% of total revenue in 2019 and 74% of total revenues in each of</w:t>
      </w:r>
      <w:r>
        <w:rPr>
          <w:rFonts w:ascii="Arial" w:cs="Arial" w:eastAsia="Arial" w:hAnsi="Arial"/>
          <w:sz w:val="18"/>
          <w:szCs w:val="18"/>
          <w:color w:val="auto"/>
        </w:rPr>
        <w:t xml:space="preserve"> 2018 </w:t>
      </w:r>
      <w:r>
        <w:rPr>
          <w:rFonts w:ascii="Arial" w:cs="Arial" w:eastAsia="Arial" w:hAnsi="Arial"/>
          <w:sz w:val="18"/>
          <w:szCs w:val="18"/>
          <w:color w:val="231F20"/>
        </w:rPr>
        <w:t>and</w:t>
      </w:r>
      <w:r>
        <w:rPr>
          <w:rFonts w:ascii="Arial" w:cs="Arial" w:eastAsia="Arial" w:hAnsi="Arial"/>
          <w:sz w:val="18"/>
          <w:szCs w:val="18"/>
          <w:color w:val="auto"/>
        </w:rPr>
        <w:t xml:space="preserve"> 2017</w:t>
      </w:r>
      <w:r>
        <w:rPr>
          <w:rFonts w:ascii="Arial" w:cs="Arial" w:eastAsia="Arial" w:hAnsi="Arial"/>
          <w:sz w:val="18"/>
          <w:szCs w:val="18"/>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significant revenue growth from our existing customers as they renew and purchase additional subscriptions</w:t>
      </w:r>
      <w:r>
        <w:rPr>
          <w:rFonts w:ascii="Arial" w:cs="Arial" w:eastAsia="Arial" w:hAnsi="Arial"/>
          <w:sz w:val="18"/>
          <w:szCs w:val="18"/>
          <w:color w:val="000000"/>
        </w:rPr>
        <w:t>.</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As of December 31, 2019, we had over 15,700 active customers in more than 133 countries, including a majority of each of the Forbes Global 100 and Fortune 100. In 2019, 2018 and 2017, approximately 64%, 67% and 70%, respectively, of our revenues were derived from customers in the United States based on our customers billing address.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had continued revenue growth over the past three years. Our revenues reached $321.6 million in 2019 from $278.9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and $230.8 million in 2017, respectively, representing period-over-period increases of $42.7 million and $48.1 million in 2019 and 2018,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 and 21%, respectively. We generated net income of $69.3 million in 2019, $57.3 million in 2018 and $40.4 million in 2017.</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0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amortization of internal-use software,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293" w:lineRule="exact"/>
        <w:rPr>
          <w:sz w:val="20"/>
          <w:szCs w:val="20"/>
          <w:color w:val="auto"/>
        </w:rPr>
      </w:pPr>
    </w:p>
    <w:p>
      <w:pPr>
        <w:jc w:val="center"/>
        <w:ind w:right="9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jc w:val="center"/>
        <w:ind w:right="9180"/>
        <w:spacing w:after="0"/>
        <w:rPr>
          <w:sz w:val="20"/>
          <w:szCs w:val="20"/>
          <w:color w:val="auto"/>
        </w:rPr>
      </w:pPr>
      <w:r>
        <w:rPr>
          <w:rFonts w:ascii="Arial" w:cs="Arial" w:eastAsia="Arial" w:hAnsi="Arial"/>
          <w:sz w:val="18"/>
          <w:szCs w:val="18"/>
          <w:i w:val="1"/>
          <w:iCs w:val="1"/>
          <w:color w:val="231F20"/>
        </w:rPr>
        <w:t>Research and Development</w:t>
      </w:r>
    </w:p>
    <w:p>
      <w:pPr>
        <w:spacing w:after="0" w:line="135"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231F20"/>
        </w:rPr>
        <w:t>include third-party contractor fees, software and license fees, amortization of intangibles related to acquisitions and overhead allocations.</w:t>
      </w:r>
    </w:p>
    <w:p>
      <w:pPr>
        <w:spacing w:after="0" w:line="11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We capitalize certain research and development costs related to new products' internal-use software development efforts. Capitalized costs include salaries, benefits, and stock-based compensation charges for employees that are directly involved in developing new products for our cloud security platform during the application development stage. Capitalized costs related to internally developed software under development are treated as construction in progress until the program, feature or functionality is ready for its intended use, at which time amortization commences. </w:t>
      </w:r>
      <w:r>
        <w:rPr>
          <w:rFonts w:ascii="Arial" w:cs="Arial" w:eastAsia="Arial" w:hAnsi="Arial"/>
          <w:sz w:val="18"/>
          <w:szCs w:val="18"/>
          <w:color w:val="000000"/>
        </w:rPr>
        <w:t>We expect to continue to devote substantial resources to research and development in an effort to continuously</w:t>
      </w:r>
      <w:r>
        <w:rPr>
          <w:rFonts w:ascii="Arial" w:cs="Arial" w:eastAsia="Arial" w:hAnsi="Arial"/>
          <w:sz w:val="18"/>
          <w:szCs w:val="18"/>
          <w:color w:val="231F20"/>
        </w:rPr>
        <w:t xml:space="preserve"> </w:t>
      </w:r>
      <w:r>
        <w:rPr>
          <w:rFonts w:ascii="Arial" w:cs="Arial" w:eastAsia="Arial" w:hAnsi="Arial"/>
          <w:sz w:val="18"/>
          <w:szCs w:val="18"/>
          <w:color w:val="000000"/>
        </w:rPr>
        <w:t>improve our existing solutions as well as develop new solutions and capabilities and expect that research and development expenses will increase in absolute dollars.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3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General and administrative expenses consist primarily of personnel expenses, comprised of salaries, benefits, performance-based compensation and stock-based compensation, for our executive, finance and accounting,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marketable securities; foreign exchange gains and losses, the majority of which result from fluctuations between the U.S. Dollar and the Euro, British Pound (GBP) and Indian Rupee; and losses on disposal of property and equipment.</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countries at rates which were generally similar to the U.S. statutory tax rate. Our effective rate differs from the U.S. statutory rate primarily due to excess tax benefits related to stock-based compensation, U.S. federal research and development tax credits, U.S. foreign tax credits, and non-deductible compensation to certain employees.</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income tax expense in 2019 increased due to an increase in our income before income taxes, as well as a reduction in excess stock-based compensation deductions.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39"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following table sets forth selected consolidated statements of operations data for each of the periods presented as a percentage of revenues:</w:t>
      </w:r>
    </w:p>
    <w:p>
      <w:pPr>
        <w:spacing w:after="0" w:line="260"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31750</wp:posOffset>
            </wp:positionV>
            <wp:extent cx="1920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57"/>
        </w:trPr>
        <w:tc>
          <w:tcPr>
            <w:tcW w:w="9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w:t>
            </w:r>
          </w:p>
        </w:tc>
      </w:tr>
      <w:tr>
        <w:trPr>
          <w:trHeight w:val="257"/>
        </w:trPr>
        <w:tc>
          <w:tcPr>
            <w:tcW w:w="9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w:t>
            </w:r>
          </w:p>
        </w:tc>
      </w:tr>
      <w:tr>
        <w:trPr>
          <w:trHeight w:val="260"/>
        </w:trPr>
        <w:tc>
          <w:tcPr>
            <w:tcW w:w="91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9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r>
      <w:tr>
        <w:trPr>
          <w:trHeight w:val="260"/>
        </w:trPr>
        <w:tc>
          <w:tcPr>
            <w:tcW w:w="914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25</w:t>
            </w:r>
          </w:p>
        </w:tc>
      </w:tr>
      <w:tr>
        <w:trPr>
          <w:trHeight w:val="273"/>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r>
      <w:tr>
        <w:trPr>
          <w:trHeight w:val="250"/>
        </w:trPr>
        <w:tc>
          <w:tcPr>
            <w:tcW w:w="82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58</w:t>
            </w:r>
          </w:p>
        </w:tc>
      </w:tr>
      <w:tr>
        <w:trPr>
          <w:trHeight w:val="257"/>
        </w:trPr>
        <w:tc>
          <w:tcPr>
            <w:tcW w:w="9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w:t>
            </w:r>
          </w:p>
        </w:tc>
      </w:tr>
      <w:tr>
        <w:trPr>
          <w:trHeight w:val="257"/>
        </w:trPr>
        <w:tc>
          <w:tcPr>
            <w:tcW w:w="9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r>
      <w:tr>
        <w:trPr>
          <w:trHeight w:val="240"/>
        </w:trPr>
        <w:tc>
          <w:tcPr>
            <w:tcW w:w="9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Years Ended December 31, 2019 and 2018</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6"/>
                <w:szCs w:val="16"/>
                <w:b w:val="1"/>
                <w:bCs w:val="1"/>
                <w:color w:val="auto"/>
                <w:w w:val="99"/>
              </w:rPr>
              <w:t>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4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321,607</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278,889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42,718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bl>
    <w:p>
      <w:pPr>
        <w:spacing w:after="0" w:line="10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Revenues increased $42.7 million in 2019 compared to 2018 due to an increase in the subscriptions from existing customers and new customer subscriptions entered into in 2019. Revenues from customers existing at or prior to December 31, 2018 grew by $31.2 million to $310.1 million during 2019. Subscriptions from new customers added in 2019 contributed $11.5 million to the increase in revenues. Revenues from customers in the United States increased by $20.7 million, or 12%, from $185.9 million in 2018 to $206.6 million in 2019 and revenues from customers in foreign countries increased by $22.0 million, or 24%, from $93.0 million in 2018 to $115.1 million in 2019. We expect revenue growth from existing and new customers to continue. The growth in revenues reflects the continued demand for our solutions.</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3"/>
        </w:trPr>
        <w:tc>
          <w:tcPr>
            <w:tcW w:w="5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4"/>
                <w:szCs w:val="24"/>
                <w:color w:val="auto"/>
              </w:rPr>
            </w:pPr>
          </w:p>
        </w:tc>
      </w:tr>
      <w:tr>
        <w:trPr>
          <w:trHeight w:val="264"/>
        </w:trPr>
        <w:tc>
          <w:tcPr>
            <w:tcW w:w="5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47"/>
        </w:trPr>
        <w:tc>
          <w:tcPr>
            <w:tcW w:w="5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20" w:type="dxa"/>
            <w:vAlign w:val="bottom"/>
            <w:gridSpan w:val="5"/>
          </w:tcPr>
          <w:p>
            <w:pPr>
              <w:ind w:left="100"/>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69,517</w:t>
            </w:r>
          </w:p>
        </w:tc>
        <w:tc>
          <w:tcPr>
            <w:tcW w:w="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66,185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3,332</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60"/>
        </w:trPr>
        <w:tc>
          <w:tcPr>
            <w:tcW w:w="53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bl>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C</w:t>
      </w:r>
      <w:r>
        <w:rPr>
          <w:rFonts w:ascii="Arial" w:cs="Arial" w:eastAsia="Arial" w:hAnsi="Arial"/>
          <w:sz w:val="18"/>
          <w:szCs w:val="18"/>
          <w:color w:val="000000"/>
        </w:rPr>
        <w:t>ost of revenues increased $3.3 million in 2019 compared to 2018, primarily due to an increase of $2.4 million in amortization expense</w:t>
      </w:r>
      <w:r>
        <w:rPr>
          <w:rFonts w:ascii="Arial" w:cs="Arial" w:eastAsia="Arial" w:hAnsi="Arial"/>
          <w:sz w:val="18"/>
          <w:szCs w:val="18"/>
          <w:color w:val="231F20"/>
        </w:rPr>
        <w:t xml:space="preserve"> </w:t>
      </w:r>
      <w:r>
        <w:rPr>
          <w:rFonts w:ascii="Arial" w:cs="Arial" w:eastAsia="Arial" w:hAnsi="Arial"/>
          <w:sz w:val="18"/>
          <w:szCs w:val="18"/>
          <w:color w:val="000000"/>
        </w:rPr>
        <w:t>related to acquired technologies resulting from our business acquisitions; increased costs related to our data centers of $1.9 million; and increased third-party software license costs of $1.2 million resulting from our continued</w:t>
      </w:r>
    </w:p>
    <w:p>
      <w:pPr>
        <w:sectPr>
          <w:pgSz w:w="11900" w:h="16838" w:orient="portrait"/>
          <w:cols w:equalWidth="0" w:num="1">
            <w:col w:w="11420"/>
          </w:cols>
          <w:pgMar w:left="240" w:top="141"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41"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business growth. These increases were partially offset by a $1.8 million decrease in stock-based compensation and personnel expenses driven by a higher proportion of employees in lower-cost locations and a $0.5 million decrease in depreciation expenses.</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3"/>
        </w:trPr>
        <w:tc>
          <w:tcPr>
            <w:tcW w:w="5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4"/>
                <w:szCs w:val="24"/>
                <w:color w:val="auto"/>
              </w:rPr>
            </w:pPr>
          </w:p>
        </w:tc>
      </w:tr>
      <w:tr>
        <w:trPr>
          <w:trHeight w:val="264"/>
        </w:trPr>
        <w:tc>
          <w:tcPr>
            <w:tcW w:w="5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4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68,239</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53,255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14,984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51"/>
        </w:trPr>
        <w:tc>
          <w:tcPr>
            <w:tcW w:w="53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2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Res</w:t>
      </w:r>
      <w:r>
        <w:rPr>
          <w:rFonts w:ascii="Arial" w:cs="Arial" w:eastAsia="Arial" w:hAnsi="Arial"/>
          <w:sz w:val="18"/>
          <w:szCs w:val="18"/>
          <w:color w:val="000000"/>
        </w:rPr>
        <w:t>earch and development expenses increased $15.0 million in 2019 compared to 2018, primarily due to an increase in personnel</w:t>
      </w:r>
      <w:r>
        <w:rPr>
          <w:rFonts w:ascii="Arial" w:cs="Arial" w:eastAsia="Arial" w:hAnsi="Arial"/>
          <w:sz w:val="18"/>
          <w:szCs w:val="18"/>
          <w:color w:val="231F20"/>
        </w:rPr>
        <w:t xml:space="preserve"> </w:t>
      </w:r>
      <w:r>
        <w:rPr>
          <w:rFonts w:ascii="Arial" w:cs="Arial" w:eastAsia="Arial" w:hAnsi="Arial"/>
          <w:sz w:val="18"/>
          <w:szCs w:val="18"/>
          <w:color w:val="000000"/>
        </w:rPr>
        <w:t>expenses of $7.4 million, driven by additional employees hired to support the growth of our business; an increase in stock-based compensation expense of $3.2 million; an increase in allocation of overhead costs to the research and development department of $3.2 million; and an increase in compensation costs associated with prior acquisitions of $2.7 million, offset by a $1.4 million reversal of acquisition-related obligations previously recorded.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3"/>
        </w:trPr>
        <w:tc>
          <w:tcPr>
            <w:tcW w:w="5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4"/>
                <w:szCs w:val="24"/>
                <w:color w:val="auto"/>
              </w:rPr>
            </w:pPr>
          </w:p>
        </w:tc>
      </w:tr>
      <w:tr>
        <w:trPr>
          <w:trHeight w:val="264"/>
        </w:trPr>
        <w:tc>
          <w:tcPr>
            <w:tcW w:w="5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4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70,833</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70,039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794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53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2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Sales and marketing expe</w:t>
      </w:r>
      <w:r>
        <w:rPr>
          <w:rFonts w:ascii="Arial" w:cs="Arial" w:eastAsia="Arial" w:hAnsi="Arial"/>
          <w:sz w:val="18"/>
          <w:szCs w:val="18"/>
          <w:color w:val="000000"/>
        </w:rPr>
        <w:t>nses increased $0.8 million in 2019 compared to 2018, primarily due to an increase in personnel expenses of</w:t>
      </w:r>
      <w:r>
        <w:rPr>
          <w:rFonts w:ascii="Arial" w:cs="Arial" w:eastAsia="Arial" w:hAnsi="Arial"/>
          <w:sz w:val="18"/>
          <w:szCs w:val="18"/>
          <w:color w:val="231F20"/>
        </w:rPr>
        <w:t xml:space="preserve"> </w:t>
      </w:r>
      <w:r>
        <w:rPr>
          <w:rFonts w:ascii="Arial" w:cs="Arial" w:eastAsia="Arial" w:hAnsi="Arial"/>
          <w:sz w:val="18"/>
          <w:szCs w:val="18"/>
          <w:color w:val="000000"/>
        </w:rPr>
        <w:t>$4.4 million, driven by additional employees hired to support the growth of our business, and an increase in trade shows and travel related costs of $1.0 million. These increases were offset by a decrease in compensation costs associated with prior acquisitions of $1.8 million; a decrease of $0.8 million in allocated overhead costs due to a lower proportion of sales and marketing employees in the employee base; a decrease of $0.8 million in consulting fees; a decrease of $0.7 million in customer acquisition costs; and a decrease of $0.4 million in recruiting and training costs.</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3"/>
        </w:trPr>
        <w:tc>
          <w:tcPr>
            <w:tcW w:w="5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4"/>
                <w:szCs w:val="24"/>
                <w:color w:val="auto"/>
              </w:rPr>
            </w:pPr>
          </w:p>
        </w:tc>
      </w:tr>
      <w:tr>
        <w:trPr>
          <w:trHeight w:val="264"/>
        </w:trPr>
        <w:tc>
          <w:tcPr>
            <w:tcW w:w="5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47"/>
        </w:trPr>
        <w:tc>
          <w:tcPr>
            <w:tcW w:w="5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20" w:type="dxa"/>
            <w:vAlign w:val="bottom"/>
            <w:gridSpan w:val="5"/>
          </w:tcPr>
          <w:p>
            <w:pPr>
              <w:ind w:left="100"/>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40,765</w:t>
            </w:r>
          </w:p>
        </w:tc>
        <w:tc>
          <w:tcPr>
            <w:tcW w:w="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39,049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1,716</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53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General and administrative expenses increase</w:t>
      </w:r>
      <w:r>
        <w:rPr>
          <w:rFonts w:ascii="Arial" w:cs="Arial" w:eastAsia="Arial" w:hAnsi="Arial"/>
          <w:sz w:val="18"/>
          <w:szCs w:val="18"/>
          <w:color w:val="000000"/>
        </w:rPr>
        <w:t>d $1.7 million in 2019 compared to 2018, primarily driven by an increase in stock-based</w:t>
      </w:r>
      <w:r>
        <w:rPr>
          <w:rFonts w:ascii="Arial" w:cs="Arial" w:eastAsia="Arial" w:hAnsi="Arial"/>
          <w:sz w:val="18"/>
          <w:szCs w:val="18"/>
          <w:color w:val="231F20"/>
        </w:rPr>
        <w:t xml:space="preserve"> </w:t>
      </w:r>
      <w:r>
        <w:rPr>
          <w:rFonts w:ascii="Arial" w:cs="Arial" w:eastAsia="Arial" w:hAnsi="Arial"/>
          <w:sz w:val="18"/>
          <w:szCs w:val="18"/>
          <w:color w:val="000000"/>
        </w:rPr>
        <w:t>compensation of $1.5 million, driven by additional employees hired to support growth of business, and an increase in personnel related expenses of $1.1 million, which were partially offset by a decrease of $1.1 million in consulting fees and temporary employee costs.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3"/>
        </w:trPr>
        <w:tc>
          <w:tcPr>
            <w:tcW w:w="5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4"/>
                <w:szCs w:val="24"/>
                <w:color w:val="auto"/>
              </w:rPr>
            </w:pPr>
          </w:p>
        </w:tc>
      </w:tr>
      <w:tr>
        <w:trPr>
          <w:trHeight w:val="264"/>
        </w:trPr>
        <w:tc>
          <w:tcPr>
            <w:tcW w:w="5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4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(expense), net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7,730</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5,107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2,623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51"/>
        </w:trPr>
        <w:tc>
          <w:tcPr>
            <w:tcW w:w="53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3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 xml:space="preserve">Total other income (expense), net, increased $2.6 million in 2019 compared to 2018, </w:t>
      </w:r>
      <w:r>
        <w:rPr>
          <w:rFonts w:ascii="Arial" w:cs="Arial" w:eastAsia="Arial" w:hAnsi="Arial"/>
          <w:sz w:val="18"/>
          <w:szCs w:val="18"/>
          <w:color w:val="000000"/>
        </w:rPr>
        <w:t>primarily due to an increase in interest income from</w:t>
      </w:r>
      <w:r>
        <w:rPr>
          <w:rFonts w:ascii="Arial" w:cs="Arial" w:eastAsia="Arial" w:hAnsi="Arial"/>
          <w:sz w:val="18"/>
          <w:szCs w:val="18"/>
          <w:color w:val="231F20"/>
        </w:rPr>
        <w:t xml:space="preserve"> </w:t>
      </w:r>
      <w:r>
        <w:rPr>
          <w:rFonts w:ascii="Arial" w:cs="Arial" w:eastAsia="Arial" w:hAnsi="Arial"/>
          <w:sz w:val="18"/>
          <w:szCs w:val="18"/>
          <w:color w:val="000000"/>
        </w:rPr>
        <w:t>marketable securities due to higher yields and larger portfolio of investments.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(benefit from)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3"/>
        </w:trPr>
        <w:tc>
          <w:tcPr>
            <w:tcW w:w="5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w w:val="99"/>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4"/>
                <w:szCs w:val="24"/>
                <w:color w:val="auto"/>
              </w:rPr>
            </w:pPr>
          </w:p>
        </w:tc>
      </w:tr>
      <w:tr>
        <w:trPr>
          <w:trHeight w:val="264"/>
        </w:trPr>
        <w:tc>
          <w:tcPr>
            <w:tcW w:w="5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47"/>
        </w:trPr>
        <w:tc>
          <w:tcPr>
            <w:tcW w:w="5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8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10,647</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12,483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51"/>
        </w:trPr>
        <w:tc>
          <w:tcPr>
            <w:tcW w:w="52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recorded an income tax expense of $10.6 million in 2019 as compared to an income tax benefit of $(1.8) million in 2018. Our income tax expense increased in 2019 by $12.5 million due to an increase in our income before income taxes, as well as a reduction in the income tax benefits from excess stock-based compensation deductions.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Non-GAAP Metric</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In addition to measures of financial performance presented in our consolidated financial statements, we monitor the Non-GAAP key metric set forth below to help us evaluate growth trends, establish budgets, measure the effectiveness of our sales and marketing efforts and assess operational efficiencies.</w:t>
      </w:r>
    </w:p>
    <w:p>
      <w:pPr>
        <w:spacing w:after="0" w:line="374"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31750</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0" w:lineRule="exact"/>
        <w:rPr>
          <w:sz w:val="20"/>
          <w:szCs w:val="20"/>
          <w:color w:val="auto"/>
        </w:rPr>
      </w:pPr>
    </w:p>
    <w:p>
      <w:pPr>
        <w:ind w:left="8200"/>
        <w:spacing w:after="0"/>
        <w:tabs>
          <w:tab w:leader="none" w:pos="96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31750</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6"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68083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0835" cy="171450"/>
                    </a:xfrm>
                    <a:prstGeom prst="rect">
                      <a:avLst/>
                    </a:prstGeom>
                    <a:noFill/>
                  </pic:spPr>
                </pic:pic>
              </a:graphicData>
            </a:graphic>
          </wp:anchor>
        </w:drawing>
      </w:r>
    </w:p>
    <w:p>
      <w:pPr>
        <w:spacing w:after="0" w:line="86" w:lineRule="exact"/>
        <w:rPr>
          <w:sz w:val="20"/>
          <w:szCs w:val="20"/>
          <w:color w:val="auto"/>
        </w:rPr>
      </w:pPr>
    </w:p>
    <w:p>
      <w:pPr>
        <w:ind w:left="40"/>
        <w:spacing w:after="0"/>
        <w:tabs>
          <w:tab w:leader="none" w:pos="7700" w:val="left"/>
          <w:tab w:leader="none" w:pos="8360" w:val="left"/>
          <w:tab w:leader="none" w:pos="9180" w:val="left"/>
          <w:tab w:leader="none" w:pos="9820" w:val="left"/>
        </w:tabs>
        <w:rPr>
          <w:sz w:val="20"/>
          <w:szCs w:val="20"/>
          <w:color w:val="auto"/>
        </w:rPr>
      </w:pPr>
      <w:r>
        <w:rPr>
          <w:rFonts w:ascii="Arial" w:cs="Arial" w:eastAsia="Arial" w:hAnsi="Arial"/>
          <w:sz w:val="16"/>
          <w:szCs w:val="16"/>
          <w:color w:val="auto"/>
        </w:rPr>
        <w:t>Adjusted EBITDA</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140,785</w:t>
        <w:tab/>
        <w:t>$</w:t>
      </w:r>
      <w:r>
        <w:rPr>
          <w:sz w:val="20"/>
          <w:szCs w:val="20"/>
          <w:color w:val="auto"/>
        </w:rPr>
        <w:tab/>
      </w:r>
      <w:r>
        <w:rPr>
          <w:rFonts w:ascii="Arial" w:cs="Arial" w:eastAsia="Arial" w:hAnsi="Arial"/>
          <w:sz w:val="16"/>
          <w:szCs w:val="16"/>
          <w:color w:val="auto"/>
        </w:rPr>
        <w:t>112,380</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(benefit from) income taxes, (3) depreciation of property and equipment, (4) amortization of intangible assets, (5) stock-based compensation, (6) non-recurring expenses and (7) cash acquisition-related expense that do not reflect ongoing costs of operating the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unaudited table presents the reconciliation of net income to Adjusted EBITDA for each of the periods presented.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Year Ended December 31,</w:t>
            </w:r>
          </w:p>
        </w:tc>
      </w:tr>
      <w:tr>
        <w:trPr>
          <w:trHeight w:val="264"/>
        </w:trPr>
        <w:tc>
          <w:tcPr>
            <w:tcW w:w="7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2018</w:t>
            </w:r>
          </w:p>
        </w:tc>
      </w:tr>
      <w:tr>
        <w:trPr>
          <w:trHeight w:val="247"/>
        </w:trPr>
        <w:tc>
          <w:tcPr>
            <w:tcW w:w="7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1100" w:type="dxa"/>
            <w:vAlign w:val="bottom"/>
          </w:tcPr>
          <w:p>
            <w:pPr>
              <w:spacing w:after="0"/>
              <w:rPr>
                <w:sz w:val="21"/>
                <w:szCs w:val="21"/>
                <w:color w:val="auto"/>
              </w:rPr>
            </w:pP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69,336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57,304</w:t>
            </w:r>
          </w:p>
        </w:tc>
      </w:tr>
      <w:tr>
        <w:trPr>
          <w:trHeight w:val="260"/>
        </w:trPr>
        <w:tc>
          <w:tcPr>
            <w:tcW w:w="7860" w:type="dxa"/>
            <w:vAlign w:val="bottom"/>
          </w:tcPr>
          <w:p>
            <w:pPr>
              <w:ind w:left="380"/>
              <w:spacing w:after="0"/>
              <w:rPr>
                <w:sz w:val="20"/>
                <w:szCs w:val="20"/>
                <w:color w:val="auto"/>
              </w:rPr>
            </w:pPr>
            <w:r>
              <w:rPr>
                <w:rFonts w:ascii="Arial" w:cs="Arial" w:eastAsia="Arial" w:hAnsi="Arial"/>
                <w:sz w:val="16"/>
                <w:szCs w:val="16"/>
                <w:color w:val="auto"/>
              </w:rPr>
              <w:t>Depreciation and amortization of property and equipment</w:t>
            </w:r>
          </w:p>
        </w:tc>
        <w:tc>
          <w:tcPr>
            <w:tcW w:w="380" w:type="dxa"/>
            <w:vAlign w:val="bottom"/>
          </w:tcPr>
          <w:p>
            <w:pPr>
              <w:spacing w:after="0"/>
              <w:rPr>
                <w:sz w:val="22"/>
                <w:szCs w:val="22"/>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25,121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25,179</w:t>
            </w:r>
          </w:p>
        </w:tc>
      </w:tr>
      <w:tr>
        <w:trPr>
          <w:trHeight w:val="280"/>
        </w:trPr>
        <w:tc>
          <w:tcPr>
            <w:tcW w:w="7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6,080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3,725</w:t>
            </w:r>
          </w:p>
        </w:tc>
      </w:tr>
      <w:tr>
        <w:trPr>
          <w:trHeight w:val="260"/>
        </w:trPr>
        <w:tc>
          <w:tcPr>
            <w:tcW w:w="7860" w:type="dxa"/>
            <w:vAlign w:val="bottom"/>
          </w:tcPr>
          <w:p>
            <w:pPr>
              <w:ind w:left="380"/>
              <w:spacing w:after="0"/>
              <w:rPr>
                <w:sz w:val="20"/>
                <w:szCs w:val="20"/>
                <w:color w:val="auto"/>
              </w:rPr>
            </w:pPr>
            <w:r>
              <w:rPr>
                <w:rFonts w:ascii="Arial" w:cs="Arial" w:eastAsia="Arial" w:hAnsi="Arial"/>
                <w:sz w:val="16"/>
                <w:szCs w:val="16"/>
                <w:color w:val="auto"/>
              </w:rPr>
              <w:t>Provision for (benefit from) income taxes</w:t>
            </w:r>
          </w:p>
        </w:tc>
        <w:tc>
          <w:tcPr>
            <w:tcW w:w="380" w:type="dxa"/>
            <w:vAlign w:val="bottom"/>
          </w:tcPr>
          <w:p>
            <w:pPr>
              <w:spacing w:after="0"/>
              <w:rPr>
                <w:sz w:val="22"/>
                <w:szCs w:val="22"/>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10,647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(1,836)</w:t>
            </w:r>
          </w:p>
        </w:tc>
      </w:tr>
      <w:tr>
        <w:trPr>
          <w:trHeight w:val="280"/>
        </w:trPr>
        <w:tc>
          <w:tcPr>
            <w:tcW w:w="7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34,892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30,090</w:t>
            </w:r>
          </w:p>
        </w:tc>
      </w:tr>
      <w:tr>
        <w:trPr>
          <w:trHeight w:val="260"/>
        </w:trPr>
        <w:tc>
          <w:tcPr>
            <w:tcW w:w="7860" w:type="dxa"/>
            <w:vAlign w:val="bottom"/>
          </w:tcPr>
          <w:p>
            <w:pPr>
              <w:ind w:left="380"/>
              <w:spacing w:after="0"/>
              <w:rPr>
                <w:sz w:val="20"/>
                <w:szCs w:val="20"/>
                <w:color w:val="auto"/>
              </w:rPr>
            </w:pPr>
            <w:r>
              <w:rPr>
                <w:rFonts w:ascii="Arial" w:cs="Arial" w:eastAsia="Arial" w:hAnsi="Arial"/>
                <w:sz w:val="16"/>
                <w:szCs w:val="16"/>
                <w:color w:val="auto"/>
              </w:rPr>
              <w:t>Other income (expense), net</w:t>
            </w:r>
          </w:p>
        </w:tc>
        <w:tc>
          <w:tcPr>
            <w:tcW w:w="38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(7,730)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(5,107)</w:t>
            </w:r>
          </w:p>
        </w:tc>
      </w:tr>
      <w:tr>
        <w:trPr>
          <w:trHeight w:val="280"/>
        </w:trPr>
        <w:tc>
          <w:tcPr>
            <w:tcW w:w="7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Acquisition-related expense</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2,439</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3,025</w:t>
            </w:r>
          </w:p>
        </w:tc>
      </w:tr>
      <w:tr>
        <w:trPr>
          <w:trHeight w:val="27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140,785</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112,380</w:t>
            </w:r>
          </w:p>
        </w:tc>
      </w:tr>
      <w:tr>
        <w:trPr>
          <w:trHeight w:val="227"/>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Percentage of revenues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51"/>
        </w:trPr>
        <w:tc>
          <w:tcPr>
            <w:tcW w:w="7860" w:type="dxa"/>
            <w:vAlign w:val="bottom"/>
          </w:tcPr>
          <w:p>
            <w:pPr>
              <w:spacing w:after="0"/>
              <w:rPr>
                <w:sz w:val="20"/>
                <w:szCs w:val="20"/>
                <w:color w:val="auto"/>
              </w:rPr>
            </w:pPr>
            <w:r>
              <w:rPr>
                <w:rFonts w:ascii="Arial" w:cs="Arial" w:eastAsia="Arial" w:hAnsi="Arial"/>
                <w:sz w:val="16"/>
                <w:szCs w:val="16"/>
                <w:color w:val="auto"/>
              </w:rPr>
              <w:t>(1) Relates to compensation expense from the acquisition of Adya, NetWatcher and Layered Insight.</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Limitations of Adjusted EBITDA</w:t>
      </w:r>
    </w:p>
    <w:p>
      <w:pPr>
        <w:spacing w:after="0" w:line="180"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Adjusted EBITDA, a non-GAAP financial measure, has limitations as an analytical tool, and should not be considered in isolation from or as a substitute for the measures presented in accordance with U.S. GAAP. Some of these limitations are:</w:t>
      </w:r>
    </w:p>
    <w:p>
      <w:pPr>
        <w:spacing w:after="0" w:line="88" w:lineRule="exact"/>
        <w:rPr>
          <w:sz w:val="20"/>
          <w:szCs w:val="20"/>
          <w:color w:val="auto"/>
        </w:rPr>
      </w:pPr>
    </w:p>
    <w:p>
      <w:pPr>
        <w:ind w:left="1360" w:hanging="299"/>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17" w:lineRule="exact"/>
        <w:rPr>
          <w:rFonts w:ascii="Arial" w:cs="Arial" w:eastAsia="Arial" w:hAnsi="Arial"/>
          <w:sz w:val="18"/>
          <w:szCs w:val="18"/>
          <w:color w:val="auto"/>
        </w:rPr>
      </w:pPr>
    </w:p>
    <w:p>
      <w:pPr>
        <w:ind w:left="1060" w:right="20" w:firstLine="1"/>
        <w:spacing w:after="0" w:line="262" w:lineRule="auto"/>
        <w:tabs>
          <w:tab w:leader="none" w:pos="13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excludes depreciation of property and equipment and amortization of intangible assets, although these are non-cash charges, the assets being depreciated and amortized may have to be replaced in the future; and</w:t>
      </w:r>
    </w:p>
    <w:p>
      <w:pPr>
        <w:spacing w:after="0" w:line="88" w:lineRule="exact"/>
        <w:rPr>
          <w:rFonts w:ascii="Arial" w:cs="Arial" w:eastAsia="Arial" w:hAnsi="Arial"/>
          <w:sz w:val="18"/>
          <w:szCs w:val="18"/>
          <w:color w:val="auto"/>
        </w:rPr>
      </w:pPr>
    </w:p>
    <w:p>
      <w:pPr>
        <w:ind w:left="1060" w:firstLine="1"/>
        <w:spacing w:after="0" w:line="262" w:lineRule="auto"/>
        <w:tabs>
          <w:tab w:leader="none" w:pos="13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8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2019</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$ 418.4</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w:t>
      </w:r>
      <w:r>
        <w:rPr>
          <w:rFonts w:ascii="Arial" w:cs="Arial" w:eastAsia="Arial" w:hAnsi="Arial"/>
          <w:sz w:val="18"/>
          <w:szCs w:val="18"/>
          <w:color w:val="000000"/>
        </w:rPr>
        <w:t xml:space="preserve"> $24.6 million </w:t>
      </w:r>
      <w:r>
        <w:rPr>
          <w:rFonts w:ascii="Arial" w:cs="Arial" w:eastAsia="Arial" w:hAnsi="Arial"/>
          <w:sz w:val="18"/>
          <w:szCs w:val="18"/>
          <w:color w:val="231F20"/>
        </w:rPr>
        <w:t>of cash held outside of the United States by our foreign subsidiaries. We do not anticipate that we will need</w:t>
      </w:r>
      <w:r>
        <w:rPr>
          <w:rFonts w:ascii="Arial" w:cs="Arial" w:eastAsia="Arial" w:hAnsi="Arial"/>
          <w:sz w:val="18"/>
          <w:szCs w:val="18"/>
          <w:color w:val="000000"/>
        </w:rPr>
        <w:t xml:space="preserve"> </w:t>
      </w:r>
      <w:r>
        <w:rPr>
          <w:rFonts w:ascii="Arial" w:cs="Arial" w:eastAsia="Arial" w:hAnsi="Arial"/>
          <w:sz w:val="18"/>
          <w:szCs w:val="18"/>
          <w:color w:val="231F20"/>
        </w:rPr>
        <w:t>funds generated from foreign operations to fund our domestic operations. However, if we repatriate these funds, we could be subject to foreign withholding taxes.</w:t>
      </w:r>
    </w:p>
    <w:p>
      <w:pPr>
        <w:spacing w:after="0" w:line="2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We have experienced positive cash flows from operations during the </w:t>
      </w:r>
      <w:r>
        <w:rPr>
          <w:rFonts w:ascii="Arial" w:cs="Arial" w:eastAsia="Arial" w:hAnsi="Arial"/>
          <w:sz w:val="18"/>
          <w:szCs w:val="18"/>
          <w:color w:val="000000"/>
        </w:rPr>
        <w:t>years ended December 31, 2019 and 2018</w:t>
      </w:r>
      <w:r>
        <w:rPr>
          <w:rFonts w:ascii="Arial" w:cs="Arial" w:eastAsia="Arial" w:hAnsi="Arial"/>
          <w:sz w:val="18"/>
          <w:szCs w:val="18"/>
          <w:color w:val="231F20"/>
        </w:rPr>
        <w:t>. We believe our existing cash, cash equivalents, short-term and long-term marketable securities, and cash from operations will be sufficient to fund our operations for at least the next twelve months. In 2020, we expect capital expenditures to be in a ran</w:t>
      </w:r>
      <w:r>
        <w:rPr>
          <w:rFonts w:ascii="Arial" w:cs="Arial" w:eastAsia="Arial" w:hAnsi="Arial"/>
          <w:sz w:val="18"/>
          <w:szCs w:val="18"/>
          <w:color w:val="000000"/>
        </w:rPr>
        <w:t>ge of $30.0 million to $35.0 million, which includes</w:t>
      </w:r>
      <w:r>
        <w:rPr>
          <w:rFonts w:ascii="Arial" w:cs="Arial" w:eastAsia="Arial" w:hAnsi="Arial"/>
          <w:sz w:val="18"/>
          <w:szCs w:val="18"/>
          <w:color w:val="231F20"/>
        </w:rPr>
        <w:t xml:space="preserve"> </w:t>
      </w:r>
      <w:r>
        <w:rPr>
          <w:rFonts w:ascii="Arial" w:cs="Arial" w:eastAsia="Arial" w:hAnsi="Arial"/>
          <w:sz w:val="18"/>
          <w:szCs w:val="18"/>
          <w:color w:val="000000"/>
        </w:rPr>
        <w:t>approximately $5.0 million of capital expenditures at our new offices in Pune, India.</w:t>
      </w:r>
    </w:p>
    <w:p>
      <w:pPr>
        <w:spacing w:after="0" w:line="2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consolidated financial statements included elsewhere in this report: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Year Ended December 31,</w:t>
            </w:r>
          </w:p>
        </w:tc>
      </w:tr>
      <w:tr>
        <w:trPr>
          <w:trHeight w:val="264"/>
        </w:trPr>
        <w:tc>
          <w:tcPr>
            <w:tcW w:w="8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r>
      <w:tr>
        <w:trPr>
          <w:trHeight w:val="247"/>
        </w:trPr>
        <w:tc>
          <w:tcPr>
            <w:tcW w:w="8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160,607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125,464</w:t>
            </w:r>
          </w:p>
        </w:tc>
      </w:tr>
      <w:tr>
        <w:trPr>
          <w:trHeight w:val="260"/>
        </w:trPr>
        <w:tc>
          <w:tcPr>
            <w:tcW w:w="838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(35,029)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(93,546)</w:t>
            </w:r>
          </w:p>
        </w:tc>
      </w:tr>
      <w:tr>
        <w:trPr>
          <w:trHeight w:val="273"/>
        </w:trPr>
        <w:tc>
          <w:tcPr>
            <w:tcW w:w="8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financing activities</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(79,045)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(77,483)</w:t>
            </w:r>
          </w:p>
        </w:tc>
      </w:tr>
      <w:tr>
        <w:trPr>
          <w:trHeight w:val="240"/>
        </w:trPr>
        <w:tc>
          <w:tcPr>
            <w:tcW w:w="838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46,533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(45,565)</w:t>
            </w:r>
          </w:p>
        </w:tc>
      </w:tr>
      <w:tr>
        <w:trPr>
          <w:trHeight w:val="20"/>
        </w:trPr>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In </w:t>
      </w:r>
      <w:r>
        <w:rPr>
          <w:rFonts w:ascii="Arial" w:cs="Arial" w:eastAsia="Arial" w:hAnsi="Arial"/>
          <w:sz w:val="18"/>
          <w:szCs w:val="18"/>
          <w:color w:val="000000"/>
        </w:rPr>
        <w:t>2019</w:t>
      </w:r>
      <w:r>
        <w:rPr>
          <w:rFonts w:ascii="Arial" w:cs="Arial" w:eastAsia="Arial" w:hAnsi="Arial"/>
          <w:sz w:val="18"/>
          <w:szCs w:val="18"/>
          <w:color w:val="231F20"/>
        </w:rPr>
        <w:t xml:space="preserve">, cash provided by operating activities of </w:t>
      </w:r>
      <w:r>
        <w:rPr>
          <w:rFonts w:ascii="Arial" w:cs="Arial" w:eastAsia="Arial" w:hAnsi="Arial"/>
          <w:sz w:val="18"/>
          <w:szCs w:val="18"/>
          <w:color w:val="000000"/>
        </w:rPr>
        <w:t>$160.6 million was primarily due to $69.3 million of net income, as adjusted by increases</w:t>
      </w:r>
      <w:r>
        <w:rPr>
          <w:rFonts w:ascii="Arial" w:cs="Arial" w:eastAsia="Arial" w:hAnsi="Arial"/>
          <w:sz w:val="18"/>
          <w:szCs w:val="18"/>
          <w:color w:val="231F20"/>
        </w:rPr>
        <w:t xml:space="preserve"> </w:t>
      </w:r>
      <w:r>
        <w:rPr>
          <w:rFonts w:ascii="Arial" w:cs="Arial" w:eastAsia="Arial" w:hAnsi="Arial"/>
          <w:sz w:val="18"/>
          <w:szCs w:val="18"/>
          <w:color w:val="000000"/>
        </w:rPr>
        <w:t xml:space="preserve">in </w:t>
      </w:r>
      <w:r>
        <w:rPr>
          <w:rFonts w:ascii="Arial" w:cs="Arial" w:eastAsia="Arial" w:hAnsi="Arial"/>
          <w:sz w:val="18"/>
          <w:szCs w:val="18"/>
          <w:color w:val="231F20"/>
        </w:rPr>
        <w:t>non-cash items including stock-based compensation expense of</w:t>
      </w:r>
      <w:r>
        <w:rPr>
          <w:rFonts w:ascii="Arial" w:cs="Arial" w:eastAsia="Arial" w:hAnsi="Arial"/>
          <w:sz w:val="18"/>
          <w:szCs w:val="18"/>
          <w:color w:val="000000"/>
        </w:rPr>
        <w:t xml:space="preserve"> $ 34.9 million</w:t>
      </w:r>
      <w:r>
        <w:rPr>
          <w:rFonts w:ascii="Arial" w:cs="Arial" w:eastAsia="Arial" w:hAnsi="Arial"/>
          <w:sz w:val="18"/>
          <w:szCs w:val="18"/>
          <w:color w:val="231F20"/>
        </w:rPr>
        <w:t>, depreciation and amortization expense of</w:t>
      </w:r>
      <w:r>
        <w:rPr>
          <w:rFonts w:ascii="Arial" w:cs="Arial" w:eastAsia="Arial" w:hAnsi="Arial"/>
          <w:sz w:val="18"/>
          <w:szCs w:val="18"/>
          <w:color w:val="000000"/>
        </w:rPr>
        <w:t xml:space="preserve"> $31.2 million, an increase in deferred income taxes of $7.1 million; and an increase in deferred revenues of $28.1 million </w:t>
      </w:r>
      <w:r>
        <w:rPr>
          <w:rFonts w:ascii="Arial" w:cs="Arial" w:eastAsia="Arial" w:hAnsi="Arial"/>
          <w:sz w:val="18"/>
          <w:szCs w:val="18"/>
          <w:color w:val="231F20"/>
        </w:rPr>
        <w:t>due to our continued growth in sales.</w:t>
      </w:r>
      <w:r>
        <w:rPr>
          <w:rFonts w:ascii="Arial" w:cs="Arial" w:eastAsia="Arial" w:hAnsi="Arial"/>
          <w:sz w:val="18"/>
          <w:szCs w:val="18"/>
          <w:color w:val="000000"/>
        </w:rPr>
        <w:t xml:space="preserve"> </w:t>
      </w:r>
      <w:r>
        <w:rPr>
          <w:rFonts w:ascii="Arial" w:cs="Arial" w:eastAsia="Arial" w:hAnsi="Arial"/>
          <w:sz w:val="18"/>
          <w:szCs w:val="18"/>
          <w:color w:val="231F20"/>
        </w:rPr>
        <w:t>These increases were partially offset by $6.0 million of increased prepayments primarily for computer hardware maintenance fees; a $2.5 million decrease in accounts receivable due to higher billings; and a $1.1 million decrease in accounts payable mainly due to timing of payments.</w:t>
      </w:r>
    </w:p>
    <w:p>
      <w:pPr>
        <w:spacing w:after="0" w:line="10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In 2018, cash provided by operating activities of $125.5 million was primarily due to $57.3 million of net income, as adjusted by increases in non-cash items including stock-based compensation expense of $30.1 million and depreciation and amortization expense of $ 28.9 million. There was also an increase in deferred revenues of $24.7 million which was attributable to our continued growth in sales and a $4.9 million increase in accounts payable and accrued liabilities due to more expenditures to support growing our business and higher accruals related to acquisitions in 2018. These increases were partially offset by a $11.5 million decrease in accounts receivable due to timing of customer payments and a $5.0 million decrease related to prepaid assets due to timing.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2019, cash used in investing activities of $35.0 million was primarily attributable to $27.6 million of cash used for capital expenditures, $4.1 million in aggregate payments made in connection with our acquisitions of Adya and holdback payments for our acquisitions in the prior years, net purchases of investments of $2.8 million, and $ 0.6 million for our purchase of an investment in a privately-held company. The $27.6 million increase in capital expenditures included leasehold improvements for a new office in India and computer hardware purchases to support our growth.</w:t>
      </w:r>
    </w:p>
    <w:p>
      <w:pPr>
        <w:spacing w:after="0" w:line="9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2018, cash used in investing activities of $93.5 million was primarily attributable to net purchases of investments of $ 54.6 million and $22.8 million of cash used for capital expenditures, including computer hardware and software for our data centers to support our growth, and $13.6 million used in connection with our acquisition of Layered Insight and the assets of 1Mobility in addition to $2.5 million for our purchase of an investment in a privately-held company.</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2019, cash used in financing activities of $79.0 million was primarily attributable to $ 86.4 million of common stock repurchases and $15.7 million of payments related to net share settlement of equity awards, offset by $24.8 million of proceeds from the exercise of stock options.</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2018, cash used in financing activities of $77.5 million was primarily attributable to $ 85.0 million of common stock repurchases and $14.9 million of payments related to net share settlement of equity awards, offset by $24.1 million of proceeds from the exercise of stock options.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principal commitments consist of obligations under our outstanding leases for office space, third-party data centers and office equipment. The following table summarizes our contractual cash obligations at December 31, 2019 and the effect such obligations are expected to have on our liquidity and cash flows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Payment Due by Period</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Less Than</w:t>
            </w:r>
          </w:p>
        </w:tc>
        <w:tc>
          <w:tcPr>
            <w:tcW w:w="280" w:type="dxa"/>
            <w:vAlign w:val="bottom"/>
          </w:tcPr>
          <w:p>
            <w:pPr>
              <w:spacing w:after="0"/>
              <w:rPr>
                <w:sz w:val="17"/>
                <w:szCs w:val="17"/>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rPr>
              <w:t>More than 5</w:t>
            </w:r>
          </w:p>
        </w:tc>
      </w:tr>
      <w:tr>
        <w:trPr>
          <w:trHeight w:val="22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2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1 Year</w:t>
            </w:r>
          </w:p>
        </w:tc>
        <w:tc>
          <w:tcPr>
            <w:tcW w:w="28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Years</w:t>
            </w:r>
          </w:p>
        </w:tc>
        <w:tc>
          <w:tcPr>
            <w:tcW w:w="30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19"/>
                <w:szCs w:val="19"/>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rPr>
              <w:t>Years</w:t>
            </w:r>
          </w:p>
        </w:tc>
      </w:tr>
      <w:tr>
        <w:trPr>
          <w:trHeight w:val="260"/>
        </w:trPr>
        <w:tc>
          <w:tcPr>
            <w:tcW w:w="4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740" w:type="dxa"/>
            <w:vAlign w:val="bottom"/>
            <w:tcBorders>
              <w:top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62,102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15,583</w:t>
            </w:r>
          </w:p>
        </w:tc>
      </w:tr>
      <w:tr>
        <w:trPr>
          <w:trHeight w:val="264"/>
        </w:trPr>
        <w:tc>
          <w:tcPr>
            <w:tcW w:w="4120" w:type="dxa"/>
            <w:vAlign w:val="bottom"/>
          </w:tcPr>
          <w:p>
            <w:pPr>
              <w:ind w:left="40"/>
              <w:spacing w:after="0"/>
              <w:rPr>
                <w:sz w:val="20"/>
                <w:szCs w:val="20"/>
                <w:color w:val="auto"/>
              </w:rPr>
            </w:pPr>
            <w:r>
              <w:rPr>
                <w:rFonts w:ascii="Arial" w:cs="Arial" w:eastAsia="Arial" w:hAnsi="Arial"/>
                <w:sz w:val="16"/>
                <w:szCs w:val="16"/>
                <w:color w:val="auto"/>
              </w:rPr>
              <w:t>Purchase order obligations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25,338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23,060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99"/>
              </w:rPr>
              <w:t>—</w:t>
            </w:r>
          </w:p>
        </w:tc>
      </w:tr>
      <w:tr>
        <w:trPr>
          <w:trHeight w:val="240"/>
        </w:trPr>
        <w:tc>
          <w:tcPr>
            <w:tcW w:w="41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87,440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20,676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15,583</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Operating lease obligations represent our obligations to make payments under the lease agreements for our facilities, data centers, and office equipment leases. During the year ended December 31, 2019, total payments for our operating lease obligations was $9.4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3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See Note 1 to the consolidated financial statements in Part II, Item 8 of this Annual Report on Form10-K for a discussion of recent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believe that of our significant accounting policies, which are described in the notes to our consolidated financial statements, the following accounting policies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For further information on all of our significant accounting policies, see Note 1 - The Company and Summary of Significant Accounting Policies in the accompanying notes to the consolidated financial statements included in Part II, Item 8, "Financial Statements and Supplementary Data" of this Annual Report on Form 10-K.</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one-year renewable subscriptions though some customers do enter into subscriptions with longer terms.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 xml:space="preserve">We recognize revenues on a usage basis for certain other limited scan arrangements, where expiration dates can be extended. Physical equipment (scanners and private cloud platforms) are accounted for as operating leases under ASC 842. The company used the practical expedient to combine lease and nonlease components as a combined component under ASC 606 due to the software subscription nonlease components being the predominant component of the combined component. Therefore, the Company recognizes revenue for the physical equipment ratably over the related subscription period. Costs of shipping and handling charges associated with physical scanner appliances and other computer equipment are included in cost </w:t>
      </w:r>
      <w:r>
        <w:rPr>
          <w:rFonts w:ascii="Arial" w:cs="Arial" w:eastAsia="Arial" w:hAnsi="Arial"/>
          <w:sz w:val="18"/>
          <w:szCs w:val="18"/>
          <w:color w:val="231F20"/>
        </w:rPr>
        <w:t>of revenues.</w:t>
      </w:r>
    </w:p>
    <w:p>
      <w:pPr>
        <w:spacing w:after="0" w:line="20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Deferred </w:t>
      </w:r>
      <w:r>
        <w:rPr>
          <w:rFonts w:ascii="Arial" w:cs="Arial" w:eastAsia="Arial" w:hAnsi="Arial"/>
          <w:sz w:val="18"/>
          <w:szCs w:val="18"/>
          <w:color w:val="231F20"/>
        </w:rPr>
        <w:t>r</w:t>
      </w:r>
      <w:r>
        <w:rPr>
          <w:rFonts w:ascii="Arial" w:cs="Arial" w:eastAsia="Arial" w:hAnsi="Arial"/>
          <w:sz w:val="18"/>
          <w:szCs w:val="18"/>
          <w:color w:val="auto"/>
        </w:rPr>
        <w:t>evenues consist of customer contracts billed or cash received that will be recognized in the future under subscriptions existing at the balance sheet date.</w:t>
      </w:r>
    </w:p>
    <w:p>
      <w:pPr>
        <w:spacing w:after="0" w:line="1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adopted ASC 606, "Revenue from Contracts with Customers" with a date of initial application of January 1, 2018. We adopted ASC 606 using the modified retrospective method and recognized the cumulative effect as an adjustment to the opening balance of equity at January 1, 2018. We previously expensed sales commission as incurred. Under ASC 606, sales commissions cost related to new business and upsells are recorded as an asset. We amortize the capitalized commission cost as a selling expense on a straight-line basis over a period of five years. Five years represents the estimated life of the customer relationship taking into account factors such as peer estimates of technology lives and customer lives as well as our own historical data. Applying the practical expedient in ASC 340-40-25-4, we expense commissions related to renewals with a contract term of one year or less. The current and noncurrent portions of deferred commissions are included in prepaid expenses and other current assets, and other noncurrent assets, respectively, in our consolidated balance sheets.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8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are subject to income taxes in the United States as well as other tax jurisdictions in which we conduct business. Earnings from our non-U.S. activities are subject to local income tax and may also be subject to U.S. income tax.</w:t>
      </w:r>
    </w:p>
    <w:p>
      <w:pPr>
        <w:spacing w:after="0" w:line="142"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We must make significant assumptions, judgments and estimates to determine our current provision for (benefit from) income taxes, our deferred tax assets and liabilities, and any valuation allowance to be recorded against our deferred tax assets. Our judgments, assumptions and estimates relating to the current provision for (benefit from) income taxes include the geographic mix and amount of income (loss), our interpretation of current tax laws, and possible outcomes of current and future audits conducted by foreign and domestic tax authorities. Our judgments also include anticipating the tax positions we will record in the financial statements before actually preparing and filing the tax returns. Our estimates and assumptions may differ from the actual results as reflected in our income tax returns and we record the required adjustments when they are identified or resolved. Changes in our business, tax laws or our interpretation of tax laws, and developments in current and future tax audits, could significantly impact the amounts provided for income taxes in our results of operations, financial position, or cash flows.</w:t>
      </w:r>
    </w:p>
    <w:p>
      <w:pPr>
        <w:spacing w:after="0" w:line="15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tax benefit carry-forwards and to differences between the financial statement amounts of assets and liabilities and their respective tax basis. We regularly review our deferred tax assets for recoverability and establish a valuation allowance if it is more likely than not that some portion or all of the deferred tax assets will not be realized. To make this assessment, we take into account predictions of the amount and category of taxable income from available positive and negative evidence about these possible sources of taxable income. The weight given to the potential effect of negative and positive evidence is commensurate with the extent to which the strength of the evidence can be objectively verified.</w:t>
      </w:r>
    </w:p>
    <w:p>
      <w:pPr>
        <w:spacing w:after="0" w:line="15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Based on the analysis of positive and negative factors noted above, we do not have a valuation allowance against U.S. federal and certain state deferred tax assets. We believe it is more likely than not that our California deferred tax assets will not be realized because the income attributed to California is not expected to be sufficient to recognize these deferred tax assets. Accordingly, we continue to record a valuation allowance as of December 31, 2019 for our California deferred tax assets. If, in the future, we determine that these deferred tax assets are more likely than not to be realized, a release of all or part, of the related valuation allowance could result in an income tax benefit in the period such determination is made.</w:t>
      </w:r>
    </w:p>
    <w:p>
      <w:pPr>
        <w:spacing w:after="0" w:line="15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recognize an income tax expense or benefit with respect to uncertain tax positions in our financial statements that we judge is more likely than not to be sustained solely on its technical merits in a tax audit, including resolution of any related appeals or litigation processes. To make this judgment, we must interpret complex and sometimes ambiguous tax laws, regulations and administrative practices. If an income tax position meets the more likely than not recognition threshold, then we must measure the amount of the tax benefit to be recognized by determining the largest amount of tax benefit that has a greater than a 50% likelihood of being realized upon effective settlement with a taxing authority that has full knowledge 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of the relevant facts. It is inherently difficult and subjective to estimate such amounts, as this requires us to determine the probability of various possible settlement outcomes. To determine if a tax position is effectively settled after a tax examination has been completed, we must also estimate the likelihood that another taxing authority could review the respective tax position. We must also determine when it is reasonably possible that the amount of unrecognized tax benefits will significantly increase or decrease in the 12 months after each fiscal year-end. These judgments are difficult because a taxing authority may change its behavior as a result of our disclosures in our financial statements. We must reevaluate our income tax positions on a quarterly basis to consider factors such as changes in facts or circumstances, effectively settled issues under audit, the potential for interest and penalties, and new audit activity. Such a change in recognition or measurement would result in recognition of a tax benefit or an additional charge to the tax provision.</w:t>
      </w:r>
    </w:p>
    <w:p>
      <w:pPr>
        <w:spacing w:after="0" w:line="15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December 22, 2017, the Tax Cuts and Jobs Act (the “2017 Tax Act”) was enacted into law. The new legislation contains several key tax provisions that impacted us, including the reduction of the corporate income tax rate from 35% to 21% effective January 1, 2018. The new legislation also includes a variety of other changes, such as a one-time repatriation tax on accumulated foreign earnings (transition tax), acceleration of business asset expensing, and a reduction in the amount of executive pay that could qualify as a tax deduction, among others. We recognized a provisional income tax expense of $10.4 million in the fourth quarter of 2017, from the re-measurement of certain deferred tax assets and liabilities as a result of the reduction of the federal tax rate, which was included as a component of the income tax provision on our consolidated statement of income. We completed our analysis of the impacts of the 2017 Tax Act in the fourth quarter of 2018 with no material change to our provisional estimate.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recognize the fair value of our employee stock options and restricted stock units over the requisite service period for those awards ultimately expected to vest. The fair value of each option is estimated on date of grant using the Black-Scholes-Merton option pricing model and the fair value of each restricted stock unit is based on the fair value of our stock on the date of grant. Forfeitures are estimated on the date of grant and revised if actual or expected forfeiture activity differs materially from original estimates.</w:t>
      </w:r>
    </w:p>
    <w:p>
      <w:pPr>
        <w:spacing w:after="0" w:line="15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Determining the appropriate fair value model and calculating the fair value of employee stock options requires the use of highly subjective assumptions, including the expected life of the stock option and stock price volatility. The assumptions used in calculating the fair value of employee stock options represent management’s best estimates, but the estimates involve inherent uncertainties and the application of management’s judgment. As a result, if factors change and we use different assumptions, our stock-based compensation expense could be materially different in the future.</w:t>
      </w:r>
    </w:p>
    <w:p>
      <w:pPr>
        <w:spacing w:after="0" w:line="97"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For performance-based non-qualified stock options and restricted stock units, we recognize compensation costs when it is probable that the performance conditions will be met. We assess these conditions on a quarterly basis.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our financial instruments, including cash and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measure and report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Our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 using observable</w:t>
      </w:r>
      <w:r>
        <w:rPr>
          <w:rFonts w:ascii="Arial" w:cs="Arial" w:eastAsia="Arial" w:hAnsi="Arial"/>
          <w:sz w:val="18"/>
          <w:szCs w:val="18"/>
          <w:color w:val="000000"/>
        </w:rPr>
        <w:t xml:space="preserve"> </w:t>
      </w:r>
      <w:r>
        <w:rPr>
          <w:rFonts w:ascii="Arial" w:cs="Arial" w:eastAsia="Arial" w:hAnsi="Arial"/>
          <w:sz w:val="18"/>
          <w:szCs w:val="18"/>
          <w:color w:val="231F20"/>
        </w:rPr>
        <w:t xml:space="preserve">inputs. </w:t>
      </w:r>
      <w:r>
        <w:rPr>
          <w:rFonts w:ascii="Arial" w:cs="Arial" w:eastAsia="Arial" w:hAnsi="Arial"/>
          <w:sz w:val="18"/>
          <w:szCs w:val="18"/>
          <w:color w:val="000000"/>
        </w:rPr>
        <w:t>The carrying amounts of other financial instruments including accounts receivable, the investments in a privately-held company, account</w:t>
      </w:r>
      <w:r>
        <w:rPr>
          <w:rFonts w:ascii="Arial" w:cs="Arial" w:eastAsia="Arial" w:hAnsi="Arial"/>
          <w:sz w:val="18"/>
          <w:szCs w:val="18"/>
          <w:color w:val="231F20"/>
        </w:rPr>
        <w:t xml:space="preserve"> </w:t>
      </w:r>
      <w:r>
        <w:rPr>
          <w:rFonts w:ascii="Arial" w:cs="Arial" w:eastAsia="Arial" w:hAnsi="Arial"/>
          <w:sz w:val="18"/>
          <w:szCs w:val="18"/>
          <w:color w:val="000000"/>
        </w:rPr>
        <w:t>payables, accrued liabilities in our consolidated balance sheets approximates fair value as of December 31, 2019 and 2018.</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For further details, see </w:t>
      </w:r>
      <w:r>
        <w:rPr>
          <w:rFonts w:ascii="Arial" w:cs="Arial" w:eastAsia="Arial" w:hAnsi="Arial"/>
          <w:sz w:val="18"/>
          <w:szCs w:val="18"/>
          <w:color w:val="231F20"/>
        </w:rPr>
        <w:t>Part II, Item 8 of this Annual Report on Form10-K</w:t>
      </w:r>
      <w:r>
        <w:rPr>
          <w:rFonts w:ascii="Arial" w:cs="Arial" w:eastAsia="Arial" w:hAnsi="Arial"/>
          <w:sz w:val="18"/>
          <w:szCs w:val="18"/>
          <w:color w:val="auto"/>
        </w:rPr>
        <w:t xml:space="preserve"> Note 2, Fair Value of Financial Instruments.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Derivative financial instruments are utilized by us to reduce foreign currency exchange risks. We use foreign currency forward contracts to mitigate the impact of foreign currency fluctuations of certain non-U.S. dollar denominated asset positions, to date primarily cash and accounts receivable (non-designated), as well as to manage foreign currency fluctuation risk related to forecasted transactions (designated). We account for these instruments as either non-designated or cash flow hedges, respectively. Open contracts are recorded within prepaid expenses and other current assets, other noncurrent assets, accrued liabilities or other noncurrent liabilities in the consolidated balance sheets. Gains and losses resulting from currency exchange rate movements on non-designated forward contracts are recognized in other income (expense). Any gains or losses from derivatives designated as cash flow hedges are first accumulated in accumulated other comprehensive income (AOCI) and then reclassified to revenue when the hedged item impacts the consolidated financial statements.</w:t>
      </w:r>
    </w:p>
    <w:p>
      <w:pPr>
        <w:spacing w:after="0" w:line="34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GBP and Indian Rupee, the currencies of countries where we currently have our most significant international operations. A portion of our invoicing is denominated in the Euro, GBP, Japanese Yen and Indian Rupee. Our expenses in international locations are generally denominated in the currencies of the countries in which our operations are located.</w:t>
      </w:r>
    </w:p>
    <w:p>
      <w:pPr>
        <w:spacing w:after="0" w:line="20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cash flow effects of our derivative contracts for the year ended December 31, 2019 and 2018 were included within net cash provided by operating activities on our consolidated statements of cash flows. At December 31, 2019, we had 26 open designated cash flow hedge forward contracts with notional amounts of € 24.2 million and £9.7 million. During the fiscal year ended December 31, 2019, we recorded $0.4 million of unrealized foreign exchange gains (net of realized gains and losses and tax) related to the designated cash flow hedge contracts in AOCI. At December 31, 2018, we had 12 open cash flow hedge contracts with notional amount of €12.9 million and £4.1 million. The unrealized foreign exchange losses on these contracts recorded in AOCI were insignificant.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For further details, see </w:t>
      </w:r>
      <w:r>
        <w:rPr>
          <w:rFonts w:ascii="Arial" w:cs="Arial" w:eastAsia="Arial" w:hAnsi="Arial"/>
          <w:sz w:val="18"/>
          <w:szCs w:val="18"/>
          <w:color w:val="231F20"/>
        </w:rPr>
        <w:t>Part II, Item 8 of this Annual Report on Form10-K</w:t>
      </w:r>
      <w:r>
        <w:rPr>
          <w:rFonts w:ascii="Arial" w:cs="Arial" w:eastAsia="Arial" w:hAnsi="Arial"/>
          <w:sz w:val="18"/>
          <w:szCs w:val="18"/>
          <w:color w:val="auto"/>
        </w:rPr>
        <w:t xml:space="preserve"> Note 2, Fair Value of Financial Instruments.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$418.4 million in cash, cash equivalents and short-term and long-term marketable securities at December 31, 2019. Cash and cash equivalents include cash held in banks, highly liquid money market funds and commercial paper. Marketable securities consist of fixed-income U.S. government agency securities, corporate bonds, asset-backed securities and commercial paper. We determine the appropriate balance sheet classification of our investments at the time of purchase and reevaluate such designation at each balance sheet date. We classify our marketable securities as either short-term or long-term based on each instrument's underlying contractual maturity date.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marketable securities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INDEX TO CONSOLIDATED FINANCIAL STATEMENTS</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39"/>
        </w:trPr>
        <w:tc>
          <w:tcPr>
            <w:tcW w:w="4400" w:type="dxa"/>
            <w:vAlign w:val="bottom"/>
          </w:tcPr>
          <w:p>
            <w:pPr>
              <w:spacing w:after="0"/>
              <w:rPr>
                <w:sz w:val="20"/>
                <w:szCs w:val="20"/>
                <w:color w:val="auto"/>
              </w:rPr>
            </w:pPr>
          </w:p>
        </w:tc>
        <w:tc>
          <w:tcPr>
            <w:tcW w:w="6300" w:type="dxa"/>
            <w:vAlign w:val="bottom"/>
            <w:gridSpan w:val="4"/>
          </w:tcPr>
          <w:p>
            <w:pPr>
              <w:jc w:val="center"/>
              <w:ind w:right="4440"/>
              <w:spacing w:after="0"/>
              <w:rPr>
                <w:sz w:val="20"/>
                <w:szCs w:val="20"/>
                <w:color w:val="auto"/>
              </w:rPr>
            </w:pPr>
            <w:r>
              <w:rPr>
                <w:rFonts w:ascii="Arial" w:cs="Arial" w:eastAsia="Arial" w:hAnsi="Arial"/>
                <w:sz w:val="18"/>
                <w:szCs w:val="18"/>
                <w:b w:val="1"/>
                <w:bCs w:val="1"/>
                <w:color w:val="auto"/>
                <w:w w:val="98"/>
              </w:rPr>
              <w:t>Table of Contents</w:t>
            </w:r>
          </w:p>
        </w:tc>
      </w:tr>
      <w:tr>
        <w:trPr>
          <w:trHeight w:val="588"/>
        </w:trPr>
        <w:tc>
          <w:tcPr>
            <w:tcW w:w="44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Page</w:t>
            </w: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Reports of Independent Registered Public Accounting Firm</w:t>
            </w:r>
          </w:p>
        </w:tc>
        <w:tc>
          <w:tcPr>
            <w:tcW w:w="5640" w:type="dxa"/>
            <w:vAlign w:val="bottom"/>
            <w:gridSpan w:val="3"/>
          </w:tcPr>
          <w:p>
            <w:pPr>
              <w:jc w:val="center"/>
              <w:ind w:left="5377"/>
              <w:spacing w:after="0"/>
              <w:rPr>
                <w:rFonts w:ascii="Arial" w:cs="Arial" w:eastAsia="Arial" w:hAnsi="Arial"/>
                <w:sz w:val="16"/>
                <w:szCs w:val="16"/>
                <w:color w:val="0000EE"/>
              </w:rPr>
            </w:pPr>
            <w:hyperlink w:anchor="page55">
              <w:r>
                <w:rPr>
                  <w:rFonts w:ascii="Arial" w:cs="Arial" w:eastAsia="Arial" w:hAnsi="Arial"/>
                  <w:sz w:val="16"/>
                  <w:szCs w:val="16"/>
                  <w:color w:val="0000EE"/>
                </w:rPr>
                <w:t>55</w:t>
              </w:r>
            </w:hyperlink>
          </w:p>
        </w:tc>
        <w:tc>
          <w:tcPr>
            <w:tcW w:w="660" w:type="dxa"/>
            <w:vAlign w:val="bottom"/>
          </w:tcPr>
          <w:p>
            <w:pPr>
              <w:spacing w:after="0"/>
              <w:rPr>
                <w:sz w:val="16"/>
                <w:szCs w:val="16"/>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Balance Sheets</w:t>
            </w:r>
          </w:p>
        </w:tc>
        <w:tc>
          <w:tcPr>
            <w:tcW w:w="5640" w:type="dxa"/>
            <w:vAlign w:val="bottom"/>
            <w:gridSpan w:val="3"/>
          </w:tcPr>
          <w:p>
            <w:pPr>
              <w:jc w:val="center"/>
              <w:ind w:left="5377"/>
              <w:spacing w:after="0"/>
              <w:rPr>
                <w:rFonts w:ascii="Arial" w:cs="Arial" w:eastAsia="Arial" w:hAnsi="Arial"/>
                <w:sz w:val="16"/>
                <w:szCs w:val="16"/>
                <w:color w:val="0000EE"/>
              </w:rPr>
            </w:pPr>
            <w:hyperlink w:anchor="page58">
              <w:r>
                <w:rPr>
                  <w:rFonts w:ascii="Arial" w:cs="Arial" w:eastAsia="Arial" w:hAnsi="Arial"/>
                  <w:sz w:val="16"/>
                  <w:szCs w:val="16"/>
                  <w:color w:val="0000EE"/>
                </w:rPr>
                <w:t>58</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Statements of Operations</w:t>
            </w:r>
          </w:p>
        </w:tc>
        <w:tc>
          <w:tcPr>
            <w:tcW w:w="5640" w:type="dxa"/>
            <w:vAlign w:val="bottom"/>
            <w:gridSpan w:val="3"/>
          </w:tcPr>
          <w:p>
            <w:pPr>
              <w:jc w:val="center"/>
              <w:ind w:left="5377"/>
              <w:spacing w:after="0"/>
              <w:rPr>
                <w:rFonts w:ascii="Arial" w:cs="Arial" w:eastAsia="Arial" w:hAnsi="Arial"/>
                <w:sz w:val="16"/>
                <w:szCs w:val="16"/>
                <w:color w:val="0000EE"/>
              </w:rPr>
            </w:pPr>
            <w:hyperlink w:anchor="page59">
              <w:r>
                <w:rPr>
                  <w:rFonts w:ascii="Arial" w:cs="Arial" w:eastAsia="Arial" w:hAnsi="Arial"/>
                  <w:sz w:val="16"/>
                  <w:szCs w:val="16"/>
                  <w:color w:val="0000EE"/>
                </w:rPr>
                <w:t>59</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Statements of Comprehensive Income</w:t>
            </w:r>
          </w:p>
        </w:tc>
        <w:tc>
          <w:tcPr>
            <w:tcW w:w="5640" w:type="dxa"/>
            <w:vAlign w:val="bottom"/>
            <w:gridSpan w:val="3"/>
          </w:tcPr>
          <w:p>
            <w:pPr>
              <w:jc w:val="center"/>
              <w:ind w:left="5377"/>
              <w:spacing w:after="0"/>
              <w:rPr>
                <w:rFonts w:ascii="Arial" w:cs="Arial" w:eastAsia="Arial" w:hAnsi="Arial"/>
                <w:sz w:val="16"/>
                <w:szCs w:val="16"/>
                <w:color w:val="0000EE"/>
              </w:rPr>
            </w:pPr>
            <w:hyperlink w:anchor="page60">
              <w:r>
                <w:rPr>
                  <w:rFonts w:ascii="Arial" w:cs="Arial" w:eastAsia="Arial" w:hAnsi="Arial"/>
                  <w:sz w:val="16"/>
                  <w:szCs w:val="16"/>
                  <w:color w:val="0000EE"/>
                </w:rPr>
                <w:t>60</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Statements of Cash Flows</w:t>
            </w:r>
          </w:p>
        </w:tc>
        <w:tc>
          <w:tcPr>
            <w:tcW w:w="5640" w:type="dxa"/>
            <w:vAlign w:val="bottom"/>
            <w:gridSpan w:val="3"/>
          </w:tcPr>
          <w:p>
            <w:pPr>
              <w:jc w:val="center"/>
              <w:ind w:left="5377"/>
              <w:spacing w:after="0"/>
              <w:rPr>
                <w:rFonts w:ascii="Arial" w:cs="Arial" w:eastAsia="Arial" w:hAnsi="Arial"/>
                <w:sz w:val="16"/>
                <w:szCs w:val="16"/>
                <w:color w:val="0000EE"/>
              </w:rPr>
            </w:pPr>
            <w:hyperlink w:anchor="page61">
              <w:r>
                <w:rPr>
                  <w:rFonts w:ascii="Arial" w:cs="Arial" w:eastAsia="Arial" w:hAnsi="Arial"/>
                  <w:sz w:val="16"/>
                  <w:szCs w:val="16"/>
                  <w:color w:val="0000EE"/>
                </w:rPr>
                <w:t>61</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Statements of Stockholders' Equity</w:t>
            </w:r>
          </w:p>
        </w:tc>
        <w:tc>
          <w:tcPr>
            <w:tcW w:w="5640" w:type="dxa"/>
            <w:vAlign w:val="bottom"/>
            <w:gridSpan w:val="3"/>
          </w:tcPr>
          <w:p>
            <w:pPr>
              <w:jc w:val="center"/>
              <w:ind w:left="5377"/>
              <w:spacing w:after="0"/>
              <w:rPr>
                <w:rFonts w:ascii="Arial" w:cs="Arial" w:eastAsia="Arial" w:hAnsi="Arial"/>
                <w:sz w:val="16"/>
                <w:szCs w:val="16"/>
                <w:color w:val="0000EE"/>
              </w:rPr>
            </w:pPr>
            <w:hyperlink w:anchor="page62">
              <w:r>
                <w:rPr>
                  <w:rFonts w:ascii="Arial" w:cs="Arial" w:eastAsia="Arial" w:hAnsi="Arial"/>
                  <w:sz w:val="16"/>
                  <w:szCs w:val="16"/>
                  <w:color w:val="0000EE"/>
                </w:rPr>
                <w:t>62</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Notes to Consolidated Financial Statements</w:t>
            </w:r>
          </w:p>
        </w:tc>
        <w:tc>
          <w:tcPr>
            <w:tcW w:w="5640" w:type="dxa"/>
            <w:vAlign w:val="bottom"/>
            <w:gridSpan w:val="3"/>
          </w:tcPr>
          <w:p>
            <w:pPr>
              <w:jc w:val="center"/>
              <w:ind w:left="5377"/>
              <w:spacing w:after="0"/>
              <w:rPr>
                <w:rFonts w:ascii="Arial" w:cs="Arial" w:eastAsia="Arial" w:hAnsi="Arial"/>
                <w:sz w:val="16"/>
                <w:szCs w:val="16"/>
                <w:color w:val="0000EE"/>
              </w:rPr>
            </w:pPr>
            <w:hyperlink w:anchor="page63">
              <w:r>
                <w:rPr>
                  <w:rFonts w:ascii="Arial" w:cs="Arial" w:eastAsia="Arial" w:hAnsi="Arial"/>
                  <w:sz w:val="16"/>
                  <w:szCs w:val="16"/>
                  <w:color w:val="0000EE"/>
                </w:rPr>
                <w:t>63</w:t>
              </w:r>
            </w:hyperlink>
          </w:p>
        </w:tc>
        <w:tc>
          <w:tcPr>
            <w:tcW w:w="660" w:type="dxa"/>
            <w:vAlign w:val="bottom"/>
          </w:tcPr>
          <w:p>
            <w:pPr>
              <w:spacing w:after="0"/>
              <w:rPr>
                <w:sz w:val="19"/>
                <w:szCs w:val="19"/>
                <w:color w:val="auto"/>
              </w:rPr>
            </w:pPr>
          </w:p>
        </w:tc>
      </w:tr>
      <w:tr>
        <w:trPr>
          <w:trHeight w:val="898"/>
        </w:trPr>
        <w:tc>
          <w:tcPr>
            <w:tcW w:w="4400" w:type="dxa"/>
            <w:vAlign w:val="bottom"/>
          </w:tcPr>
          <w:p>
            <w:pPr>
              <w:spacing w:after="0"/>
              <w:rPr>
                <w:sz w:val="24"/>
                <w:szCs w:val="24"/>
                <w:color w:val="auto"/>
              </w:rPr>
            </w:pPr>
          </w:p>
        </w:tc>
        <w:tc>
          <w:tcPr>
            <w:tcW w:w="4800" w:type="dxa"/>
            <w:vAlign w:val="bottom"/>
          </w:tcPr>
          <w:p>
            <w:pPr>
              <w:jc w:val="right"/>
              <w:ind w:right="3677"/>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080"/>
          </w:cols>
          <w:pgMar w:left="240" w:top="141" w:right="57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7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audited the accompanying consolidated balance sheets of Qualys, Inc. (a Delaware corporation) and subsidiaries (the “Company”) as of December 31, 2019 and 2018, the related consolidated statements of operations, comprehensive income, changes in stockholders’ equity, and cash flows for each of the three years in the period ended December 31, 2019, and the related notes and financial statement schedule included under Item 15(a)(2)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2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the 2013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21, 2020 expressed an unqualified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7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discussed in Note 1 to the financial statements, the Company has changed its method of accounting for leases in 2019 due to the adoption of the guidance in ASC Topic 842, Leases, using the current period adjustment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7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7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described further in Note 10 to the financial statements, the company records income taxes using the asset and liability method, under which deferred tax assets and liabilities are determined based on the difference between the financial statement and tax bases of assets and liabilities using enacted tax rates in effect for the year in which the differences are expected to affect taxable income. We identified the tax effects of temporary and permanent differences related to stock-based compensation as a critical audit matter.</w:t>
      </w:r>
    </w:p>
    <w:p>
      <w:pPr>
        <w:spacing w:after="0" w:line="2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principal considerations for our determination that the tax effects of temporary and permanent differences as a critical audit matter are that auditing the application of executive compensation rules requires significant technical expertise, the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41"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Company is generating excess tax deductions as a result of stock-based compensation and the stock-based compensation calculation is complex due to the required recordkeeping. Our audit procedures related to the tax effects of temporary and permanent differences related to stock-based compensation included the following, among others.</w:t>
      </w:r>
    </w:p>
    <w:p>
      <w:pPr>
        <w:spacing w:after="0" w:line="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Involved an employee compensation specialist to assess the application of executive compensation rules.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Obtained management’s permanent and temporary provision calculation and tied out inputs to supporting equity documentation.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Tested the completeness and accuracy of the calculation of permanent and temporary differences.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Determined that the ending gross temporary difference agreed to the supporting equity documentation.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141" w:right="41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audited the internal control over financial reporting of Qualys, Inc. (a Delaware corporation) and subsidiaries (the “Company”) as of December 31, 2019,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2019, and our report dated February 21, 2020 expressed an unqualified opinion on those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231F20"/>
        </w:rPr>
        <w:t>CONSOLIDATED BALANCE SHEETS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9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1"/>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0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87,559</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41,026</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marketable securities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211,331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248,140</w:t>
            </w:r>
          </w:p>
        </w:tc>
        <w:tc>
          <w:tcPr>
            <w:tcW w:w="0" w:type="dxa"/>
            <w:vAlign w:val="bottom"/>
          </w:tcPr>
          <w:p>
            <w:pPr>
              <w:spacing w:after="0"/>
              <w:rPr>
                <w:sz w:val="1"/>
                <w:szCs w:val="1"/>
                <w:color w:val="auto"/>
              </w:rPr>
            </w:pPr>
          </w:p>
        </w:tc>
      </w:tr>
      <w:tr>
        <w:trPr>
          <w:trHeight w:val="264"/>
        </w:trPr>
        <w:tc>
          <w:tcPr>
            <w:tcW w:w="7900" w:type="dxa"/>
            <w:vAlign w:val="bottom"/>
          </w:tcPr>
          <w:p>
            <w:pPr>
              <w:ind w:left="280"/>
              <w:spacing w:after="0"/>
              <w:rPr>
                <w:sz w:val="20"/>
                <w:szCs w:val="20"/>
                <w:color w:val="auto"/>
              </w:rPr>
            </w:pPr>
            <w:r>
              <w:rPr>
                <w:rFonts w:ascii="Arial" w:cs="Arial" w:eastAsia="Arial" w:hAnsi="Arial"/>
                <w:sz w:val="14"/>
                <w:szCs w:val="14"/>
                <w:color w:val="auto"/>
              </w:rPr>
              <w:t>Accounts receivable, net of allowance of $585 and $683 at December 31, 2019 and 2018, respectively</w:t>
            </w: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78,034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75,825</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18,692</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13,974</w:t>
            </w:r>
          </w:p>
        </w:tc>
        <w:tc>
          <w:tcPr>
            <w:tcW w:w="0" w:type="dxa"/>
            <w:vAlign w:val="bottom"/>
          </w:tcPr>
          <w:p>
            <w:pPr>
              <w:spacing w:after="0"/>
              <w:rPr>
                <w:sz w:val="1"/>
                <w:szCs w:val="1"/>
                <w:color w:val="auto"/>
              </w:rPr>
            </w:pPr>
          </w:p>
        </w:tc>
      </w:tr>
      <w:tr>
        <w:trPr>
          <w:trHeight w:val="250"/>
        </w:trPr>
        <w:tc>
          <w:tcPr>
            <w:tcW w:w="790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395,616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378,965</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marketable securities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119,508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76,710</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60,579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61,442</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leases - right of use asset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40,551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Deferred tax assets, net</w:t>
            </w: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18,830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26,387</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16,795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21,976</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7,447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7,225</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15,082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11,775</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675,608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585,680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0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5,588</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22,784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26,695</w:t>
            </w:r>
          </w:p>
        </w:tc>
        <w:tc>
          <w:tcPr>
            <w:tcW w:w="0" w:type="dxa"/>
            <w:vAlign w:val="bottom"/>
          </w:tcPr>
          <w:p>
            <w:pPr>
              <w:spacing w:after="0"/>
              <w:rPr>
                <w:sz w:val="1"/>
                <w:szCs w:val="1"/>
                <w:color w:val="auto"/>
              </w:rPr>
            </w:pPr>
          </w:p>
        </w:tc>
      </w:tr>
      <w:tr>
        <w:trPr>
          <w:trHeight w:val="264"/>
        </w:trPr>
        <w:tc>
          <w:tcPr>
            <w:tcW w:w="7900" w:type="dxa"/>
            <w:vAlign w:val="bottom"/>
          </w:tcPr>
          <w:p>
            <w:pPr>
              <w:ind w:left="280"/>
              <w:spacing w:after="0"/>
              <w:rPr>
                <w:sz w:val="20"/>
                <w:szCs w:val="20"/>
                <w:color w:val="auto"/>
              </w:rPr>
            </w:pPr>
            <w:r>
              <w:rPr>
                <w:rFonts w:ascii="Arial" w:cs="Arial" w:eastAsia="Arial" w:hAnsi="Arial"/>
                <w:sz w:val="14"/>
                <w:szCs w:val="14"/>
                <w:color w:val="auto"/>
              </w:rPr>
              <w:t>Deferred revenues, current</w:t>
            </w: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192,172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164,624</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 current</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7,663</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90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223,467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196,907</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20,935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20,423</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Operating lease liabilities, noncurrent</w:t>
            </w: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44,015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10,361</w:t>
            </w:r>
          </w:p>
        </w:tc>
        <w:tc>
          <w:tcPr>
            <w:tcW w:w="0" w:type="dxa"/>
            <w:vAlign w:val="bottom"/>
          </w:tcPr>
          <w:p>
            <w:pPr>
              <w:spacing w:after="0"/>
              <w:rPr>
                <w:sz w:val="1"/>
                <w:szCs w:val="1"/>
                <w:color w:val="auto"/>
              </w:rPr>
            </w:pPr>
          </w:p>
        </w:tc>
      </w:tr>
      <w:tr>
        <w:trPr>
          <w:trHeight w:val="250"/>
        </w:trPr>
        <w:tc>
          <w:tcPr>
            <w:tcW w:w="790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288,805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227,691</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7)</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December 31,</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9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2019 and 2018</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90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39,146,272 and 39,015,034 shares issued and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900" w:type="dxa"/>
            <w:vAlign w:val="bottom"/>
          </w:tcPr>
          <w:p>
            <w:pPr>
              <w:ind w:left="520"/>
              <w:spacing w:after="0"/>
              <w:rPr>
                <w:sz w:val="20"/>
                <w:szCs w:val="20"/>
                <w:color w:val="auto"/>
              </w:rPr>
            </w:pPr>
            <w:r>
              <w:rPr>
                <w:rFonts w:ascii="Arial" w:cs="Arial" w:eastAsia="Arial" w:hAnsi="Arial"/>
                <w:sz w:val="14"/>
                <w:szCs w:val="14"/>
                <w:color w:val="auto"/>
              </w:rPr>
              <w:t>outstanding at December 31, 2019 and 2018, respectively</w:t>
            </w:r>
          </w:p>
        </w:tc>
        <w:tc>
          <w:tcPr>
            <w:tcW w:w="3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362,408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330,572</w:t>
            </w:r>
          </w:p>
        </w:tc>
        <w:tc>
          <w:tcPr>
            <w:tcW w:w="0" w:type="dxa"/>
            <w:vAlign w:val="bottom"/>
          </w:tcPr>
          <w:p>
            <w:pPr>
              <w:spacing w:after="0"/>
              <w:rPr>
                <w:sz w:val="1"/>
                <w:szCs w:val="1"/>
                <w:color w:val="auto"/>
              </w:rPr>
            </w:pPr>
          </w:p>
        </w:tc>
      </w:tr>
      <w:tr>
        <w:trPr>
          <w:trHeight w:val="264"/>
        </w:trPr>
        <w:tc>
          <w:tcPr>
            <w:tcW w:w="7900" w:type="dxa"/>
            <w:vAlign w:val="bottom"/>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1,162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earnings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23,194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27,964</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386,803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357,989</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675,608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585,680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ind w:right="-5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820"/>
          </w:cols>
          <w:pgMar w:left="240" w:top="141" w:right="8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321,607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278,889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230,828</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0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69,517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66,185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51,580</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252,090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212,704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179,248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68,239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42,816</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70,833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70,039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63,855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231F20"/>
            </w:tcBorders>
            <w:shd w:val="clear" w:color="auto" w:fill="CCEEFF"/>
          </w:tcPr>
          <w:p>
            <w:pPr>
              <w:spacing w:after="0"/>
              <w:rPr>
                <w:sz w:val="23"/>
                <w:szCs w:val="23"/>
                <w:color w:val="auto"/>
              </w:rPr>
            </w:pPr>
          </w:p>
        </w:tc>
        <w:tc>
          <w:tcPr>
            <w:tcW w:w="98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40,765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39,049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35,334</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179,837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162,343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142,005</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72,253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50,361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37,243</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8,443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6,080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2,674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231F20"/>
            </w:tcBorders>
            <w:shd w:val="clear" w:color="auto" w:fill="CCEEFF"/>
          </w:tcPr>
          <w:p>
            <w:pPr>
              <w:spacing w:after="0"/>
              <w:rPr>
                <w:sz w:val="23"/>
                <w:szCs w:val="23"/>
                <w:color w:val="auto"/>
              </w:rPr>
            </w:pPr>
          </w:p>
        </w:tc>
        <w:tc>
          <w:tcPr>
            <w:tcW w:w="98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0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7,730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5,107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2,135</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39,378</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30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10,647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(1,836)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57,304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40,440</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39,075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38,876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37,443</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41,345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41,897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40,071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57,304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40,440</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Other comprehensive income (loss):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7440" w:type="dxa"/>
            <w:vAlign w:val="bottom"/>
            <w:shd w:val="clear" w:color="auto" w:fill="CCEEFF"/>
          </w:tcPr>
          <w:p>
            <w:pPr>
              <w:ind w:left="320"/>
              <w:spacing w:after="0"/>
              <w:rPr>
                <w:sz w:val="20"/>
                <w:szCs w:val="20"/>
                <w:color w:val="auto"/>
              </w:rPr>
            </w:pPr>
            <w:r>
              <w:rPr>
                <w:rFonts w:ascii="Arial" w:cs="Arial" w:eastAsia="Arial" w:hAnsi="Arial"/>
                <w:sz w:val="14"/>
                <w:szCs w:val="14"/>
                <w:color w:val="231F20"/>
              </w:rPr>
              <w:t>Available-for-sale marketable securities: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194"/>
        </w:trPr>
        <w:tc>
          <w:tcPr>
            <w:tcW w:w="7440" w:type="dxa"/>
            <w:vAlign w:val="bottom"/>
          </w:tcPr>
          <w:p>
            <w:pPr>
              <w:ind w:left="460"/>
              <w:spacing w:after="0"/>
              <w:rPr>
                <w:sz w:val="20"/>
                <w:szCs w:val="20"/>
                <w:color w:val="auto"/>
              </w:rPr>
            </w:pPr>
            <w:r>
              <w:rPr>
                <w:rFonts w:ascii="Arial" w:cs="Arial" w:eastAsia="Arial" w:hAnsi="Arial"/>
                <w:sz w:val="14"/>
                <w:szCs w:val="14"/>
                <w:color w:val="231F20"/>
              </w:rPr>
              <w:t>Change in net unrealized gain (loss), net of tax effect of ($243), $0 and $0 in fiscal years 2019, 2018 and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8"/>
        </w:trPr>
        <w:tc>
          <w:tcPr>
            <w:tcW w:w="7440" w:type="dxa"/>
            <w:vAlign w:val="bottom"/>
          </w:tcPr>
          <w:p>
            <w:pPr>
              <w:ind w:left="460"/>
              <w:spacing w:after="0"/>
              <w:rPr>
                <w:sz w:val="20"/>
                <w:szCs w:val="20"/>
                <w:color w:val="auto"/>
              </w:rPr>
            </w:pPr>
            <w:r>
              <w:rPr>
                <w:rFonts w:ascii="Arial" w:cs="Arial" w:eastAsia="Arial" w:hAnsi="Arial"/>
                <w:sz w:val="14"/>
                <w:szCs w:val="14"/>
                <w:color w:val="231F20"/>
              </w:rPr>
              <w:t>2017, respectively</w:t>
            </w:r>
          </w:p>
        </w:tc>
        <w:tc>
          <w:tcPr>
            <w:tcW w:w="30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(462)</w:t>
            </w:r>
          </w:p>
        </w:tc>
      </w:tr>
      <w:tr>
        <w:trPr>
          <w:trHeight w:val="200"/>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231F20"/>
              </w:rPr>
              <w:t>Reclassification adjustment for net loss realized and included in net income, net of tax effect of $0 in fiscal</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78"/>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231F20"/>
              </w:rPr>
              <w:t>years 2019, 2018 and 2017</w:t>
            </w: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r>
      <w:tr>
        <w:trPr>
          <w:trHeight w:val="250"/>
        </w:trPr>
        <w:tc>
          <w:tcPr>
            <w:tcW w:w="7440" w:type="dxa"/>
            <w:vAlign w:val="bottom"/>
          </w:tcPr>
          <w:p>
            <w:pPr>
              <w:ind w:left="660"/>
              <w:spacing w:after="0"/>
              <w:rPr>
                <w:sz w:val="20"/>
                <w:szCs w:val="20"/>
                <w:color w:val="auto"/>
              </w:rPr>
            </w:pPr>
            <w:r>
              <w:rPr>
                <w:rFonts w:ascii="Arial" w:cs="Arial" w:eastAsia="Arial" w:hAnsi="Arial"/>
                <w:sz w:val="14"/>
                <w:szCs w:val="14"/>
                <w:color w:val="auto"/>
              </w:rPr>
              <w:t>Total change in unrealized gain (loss) on marketable securities, net of tax</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1,367</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(418)</w:t>
            </w:r>
          </w:p>
        </w:tc>
      </w:tr>
      <w:tr>
        <w:trPr>
          <w:trHeight w:val="276"/>
        </w:trPr>
        <w:tc>
          <w:tcPr>
            <w:tcW w:w="74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Cash flow hedges: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194"/>
        </w:trPr>
        <w:tc>
          <w:tcPr>
            <w:tcW w:w="7440" w:type="dxa"/>
            <w:vAlign w:val="bottom"/>
          </w:tcPr>
          <w:p>
            <w:pPr>
              <w:ind w:left="500"/>
              <w:spacing w:after="0"/>
              <w:rPr>
                <w:sz w:val="20"/>
                <w:szCs w:val="20"/>
                <w:color w:val="auto"/>
              </w:rPr>
            </w:pPr>
            <w:r>
              <w:rPr>
                <w:rFonts w:ascii="Arial" w:cs="Arial" w:eastAsia="Arial" w:hAnsi="Arial"/>
                <w:sz w:val="14"/>
                <w:szCs w:val="14"/>
                <w:color w:val="auto"/>
              </w:rPr>
              <w:t>Change in net unrealized gain (loss), net of tax effect of ($136), $0 and $0 in fiscal years 2019, 2018 and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8"/>
        </w:trPr>
        <w:tc>
          <w:tcPr>
            <w:tcW w:w="7440" w:type="dxa"/>
            <w:vAlign w:val="bottom"/>
          </w:tcPr>
          <w:p>
            <w:pPr>
              <w:ind w:left="500"/>
              <w:spacing w:after="0"/>
              <w:rPr>
                <w:sz w:val="20"/>
                <w:szCs w:val="20"/>
                <w:color w:val="auto"/>
              </w:rPr>
            </w:pPr>
            <w:r>
              <w:rPr>
                <w:rFonts w:ascii="Arial" w:cs="Arial" w:eastAsia="Arial" w:hAnsi="Arial"/>
                <w:sz w:val="14"/>
                <w:szCs w:val="14"/>
                <w:color w:val="auto"/>
              </w:rPr>
              <w:t>2017, respectively</w:t>
            </w:r>
          </w:p>
        </w:tc>
        <w:tc>
          <w:tcPr>
            <w:tcW w:w="30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231F20"/>
              </w:rPr>
              <w:t>Reclassification adjustment for net gain realized and included in net income, net of tax effect of $35, $0</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78"/>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231F20"/>
              </w:rPr>
              <w:t>and $0 in fiscal years 2019, 2018 and 2017, respectively</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4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change in unrealized gain (loss) on cash flow hedges, net of tax</w:t>
            </w: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71,084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57,292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40,022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7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69,336</w:t>
            </w:r>
          </w:p>
        </w:tc>
        <w:tc>
          <w:tcPr>
            <w:tcW w:w="14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57,304</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40,440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31,201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28,904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20,636</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34,892</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26,961</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Amortization of premiums and (accretion) of discounts on marketable securities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(1,597)</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1,324</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7,095</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(2,718)</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(17,966)</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(6,012)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715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28,060</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29,830</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Other noncurrent liabilities</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7,343</w:t>
            </w:r>
          </w:p>
        </w:tc>
        <w:tc>
          <w:tcPr>
            <w:tcW w:w="0" w:type="dxa"/>
            <w:vAlign w:val="bottom"/>
          </w:tcPr>
          <w:p>
            <w:pPr>
              <w:spacing w:after="0"/>
              <w:rPr>
                <w:sz w:val="1"/>
                <w:szCs w:val="1"/>
                <w:color w:val="auto"/>
              </w:rPr>
            </w:pPr>
          </w:p>
        </w:tc>
      </w:tr>
      <w:tr>
        <w:trPr>
          <w:trHeight w:val="256"/>
        </w:trPr>
        <w:tc>
          <w:tcPr>
            <w:tcW w:w="778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160,607</w:t>
            </w:r>
          </w:p>
        </w:tc>
        <w:tc>
          <w:tcPr>
            <w:tcW w:w="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125,464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107,646</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marketable securities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(331,131)</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(339,862)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(299,891)</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Sales and maturities of marketable securities</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328,350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285,224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231,996</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(27,573)</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(37,818)</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Business combinations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(4,050)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(12,482)</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privately-held investment</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(35,029)</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(93,546)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(118,195)</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(86,424)</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(85,040)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24,831</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31,327</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(15,743)</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(20,924)</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payments under finance lease obligations</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(1,709)</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provided by financing activities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(79,045)</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(77,483)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10,403</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46,533</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(45,565)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42,226</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87,791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87,937</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88,759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42,226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87,791</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interest expense</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3,031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2,693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Business acquisitions recorded in accrued liabilities and deferred tax liability</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1,650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 recorded in accounts payable and accrued liabilities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420"/>
          </w:cols>
          <w:pgMar w:left="240" w:top="141" w:right="2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141" w:right="23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Qualys,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1280" w:type="dxa"/>
            <w:vAlign w:val="bottom"/>
            <w:gridSpan w:val="3"/>
            <w:vMerge w:val="restart"/>
          </w:tcPr>
          <w:p>
            <w:pPr>
              <w:ind w:left="340"/>
              <w:spacing w:after="0"/>
              <w:rPr>
                <w:sz w:val="20"/>
                <w:szCs w:val="20"/>
                <w:color w:val="auto"/>
              </w:rPr>
            </w:pPr>
            <w:r>
              <w:rPr>
                <w:rFonts w:ascii="Arial" w:cs="Arial" w:eastAsia="Arial" w:hAnsi="Arial"/>
                <w:sz w:val="13"/>
                <w:szCs w:val="13"/>
                <w:b w:val="1"/>
                <w:bCs w:val="1"/>
                <w:color w:val="auto"/>
                <w:w w:val="96"/>
              </w:rPr>
              <w:t>Common Stock</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380" w:type="dxa"/>
            <w:vAlign w:val="bottom"/>
          </w:tcPr>
          <w:p>
            <w:pPr>
              <w:spacing w:after="0"/>
              <w:rPr>
                <w:sz w:val="12"/>
                <w:szCs w:val="12"/>
                <w:color w:val="auto"/>
              </w:rPr>
            </w:pPr>
          </w:p>
        </w:tc>
        <w:tc>
          <w:tcPr>
            <w:tcW w:w="128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8"/>
              </w:rPr>
              <w:t>Retained</w:t>
            </w:r>
          </w:p>
        </w:tc>
        <w:tc>
          <w:tcPr>
            <w:tcW w:w="220" w:type="dxa"/>
            <w:vAlign w:val="bottom"/>
          </w:tcPr>
          <w:p>
            <w:pPr>
              <w:spacing w:after="0"/>
              <w:rPr>
                <w:sz w:val="12"/>
                <w:szCs w:val="12"/>
                <w:color w:val="auto"/>
              </w:rPr>
            </w:pPr>
          </w:p>
        </w:tc>
        <w:tc>
          <w:tcPr>
            <w:tcW w:w="800" w:type="dxa"/>
            <w:vAlign w:val="bottom"/>
          </w:tcPr>
          <w:p>
            <w:pPr>
              <w:jc w:val="center"/>
              <w:ind w:right="149"/>
              <w:spacing w:after="0" w:line="144"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7"/>
        </w:trPr>
        <w:tc>
          <w:tcPr>
            <w:tcW w:w="5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100"/>
              <w:spacing w:after="0" w:line="10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9"/>
                <w:szCs w:val="9"/>
                <w:color w:val="auto"/>
              </w:rPr>
            </w:pPr>
          </w:p>
        </w:tc>
        <w:tc>
          <w:tcPr>
            <w:tcW w:w="940" w:type="dxa"/>
            <w:vAlign w:val="bottom"/>
            <w:gridSpan w:val="2"/>
          </w:tcPr>
          <w:p>
            <w:pPr>
              <w:jc w:val="center"/>
              <w:ind w:right="280"/>
              <w:spacing w:after="0" w:line="107" w:lineRule="exact"/>
              <w:rPr>
                <w:sz w:val="20"/>
                <w:szCs w:val="20"/>
                <w:color w:val="auto"/>
              </w:rPr>
            </w:pPr>
            <w:r>
              <w:rPr>
                <w:rFonts w:ascii="Arial" w:cs="Arial" w:eastAsia="Arial" w:hAnsi="Arial"/>
                <w:sz w:val="12"/>
                <w:szCs w:val="12"/>
                <w:b w:val="1"/>
                <w:bCs w:val="1"/>
                <w:color w:val="auto"/>
              </w:rPr>
              <w:t>Earnings</w:t>
            </w:r>
          </w:p>
        </w:tc>
        <w:tc>
          <w:tcPr>
            <w:tcW w:w="10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Income (Loss)</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(deficit)</w:t>
            </w:r>
          </w:p>
        </w:tc>
        <w:tc>
          <w:tcPr>
            <w:tcW w:w="220" w:type="dxa"/>
            <w:vAlign w:val="bottom"/>
          </w:tcPr>
          <w:p>
            <w:pPr>
              <w:spacing w:after="0"/>
              <w:rPr>
                <w:sz w:val="15"/>
                <w:szCs w:val="15"/>
                <w:color w:val="auto"/>
              </w:rPr>
            </w:pPr>
          </w:p>
        </w:tc>
        <w:tc>
          <w:tcPr>
            <w:tcW w:w="800" w:type="dxa"/>
            <w:vAlign w:val="bottom"/>
          </w:tcPr>
          <w:p>
            <w:pPr>
              <w:jc w:val="center"/>
              <w:ind w:right="14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1"/>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2016</w:t>
            </w:r>
          </w:p>
        </w:tc>
        <w:tc>
          <w:tcPr>
            <w:tcW w:w="9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35,841,001</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36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266,794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(8,261)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258,413</w:t>
            </w:r>
          </w:p>
        </w:tc>
        <w:tc>
          <w:tcPr>
            <w:tcW w:w="0" w:type="dxa"/>
            <w:vAlign w:val="bottom"/>
          </w:tcPr>
          <w:p>
            <w:pPr>
              <w:spacing w:after="0"/>
              <w:rPr>
                <w:sz w:val="1"/>
                <w:szCs w:val="1"/>
                <w:color w:val="auto"/>
              </w:rPr>
            </w:pPr>
          </w:p>
        </w:tc>
      </w:tr>
      <w:tr>
        <w:trPr>
          <w:trHeight w:val="71"/>
        </w:trPr>
        <w:tc>
          <w:tcPr>
            <w:tcW w:w="5380" w:type="dxa"/>
            <w:vAlign w:val="bottom"/>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380" w:type="dxa"/>
            <w:vAlign w:val="bottom"/>
          </w:tcPr>
          <w:p>
            <w:pPr>
              <w:ind w:left="280"/>
              <w:spacing w:after="0"/>
              <w:rPr>
                <w:sz w:val="20"/>
                <w:szCs w:val="20"/>
                <w:color w:val="auto"/>
              </w:rPr>
            </w:pPr>
            <w:r>
              <w:rPr>
                <w:rFonts w:ascii="Arial" w:cs="Arial" w:eastAsia="Arial" w:hAnsi="Arial"/>
                <w:sz w:val="14"/>
                <w:szCs w:val="14"/>
                <w:color w:val="auto"/>
              </w:rPr>
              <w:t>Cumulative effect of a change in accounting principle related to stock-based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ind w:left="280"/>
              <w:spacing w:after="0"/>
              <w:rPr>
                <w:sz w:val="20"/>
                <w:szCs w:val="20"/>
                <w:color w:val="auto"/>
              </w:rPr>
            </w:pPr>
            <w:r>
              <w:rPr>
                <w:rFonts w:ascii="Arial" w:cs="Arial" w:eastAsia="Arial" w:hAnsi="Arial"/>
                <w:sz w:val="14"/>
                <w:szCs w:val="14"/>
                <w:color w:val="auto"/>
              </w:rPr>
              <w:t>compensation</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7,745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7,745</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40,440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40,440</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2,997,095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31,324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31,327</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368,367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related to net share settlement of equity awards and options</w:t>
            </w:r>
          </w:p>
        </w:tc>
        <w:tc>
          <w:tcPr>
            <w:tcW w:w="9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(608,346)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(20,924)</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26,961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26,961</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2017</w:t>
            </w:r>
          </w:p>
        </w:tc>
        <w:tc>
          <w:tcPr>
            <w:tcW w:w="9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38,598,117</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39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304,155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39,924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343,544</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380" w:type="dxa"/>
            <w:vAlign w:val="bottom"/>
          </w:tcPr>
          <w:p>
            <w:pPr>
              <w:ind w:left="280"/>
              <w:spacing w:after="0"/>
              <w:rPr>
                <w:sz w:val="20"/>
                <w:szCs w:val="20"/>
                <w:color w:val="auto"/>
              </w:rPr>
            </w:pPr>
            <w:r>
              <w:rPr>
                <w:rFonts w:ascii="Arial" w:cs="Arial" w:eastAsia="Arial" w:hAnsi="Arial"/>
                <w:sz w:val="14"/>
                <w:szCs w:val="14"/>
                <w:color w:val="auto"/>
              </w:rPr>
              <w:t>Adjustment to opening retained earnings on adoption of ASC 606</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2,711</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57,304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57,304</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1,183,235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24,052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24,053</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(1,088,899)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(13,064)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(71,975)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(85,040)</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525,375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(202,794)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(14,879)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(14,879)</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30,308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30,308</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Balances at December 31, 2018</w:t>
            </w:r>
          </w:p>
        </w:tc>
        <w:tc>
          <w:tcPr>
            <w:tcW w:w="9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39,015,034</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89"/>
              </w:rPr>
              <w:t>39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330,572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27,964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357,989</w:t>
            </w:r>
          </w:p>
        </w:tc>
        <w:tc>
          <w:tcPr>
            <w:tcW w:w="0" w:type="dxa"/>
            <w:vAlign w:val="bottom"/>
          </w:tcPr>
          <w:p>
            <w:pPr>
              <w:spacing w:after="0"/>
              <w:rPr>
                <w:sz w:val="1"/>
                <w:szCs w:val="1"/>
                <w:color w:val="auto"/>
              </w:rPr>
            </w:pPr>
          </w:p>
        </w:tc>
      </w:tr>
      <w:tr>
        <w:trPr>
          <w:trHeight w:val="60"/>
        </w:trPr>
        <w:tc>
          <w:tcPr>
            <w:tcW w:w="538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69,336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69,336</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Other comprehensive income, net of tax</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1,748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901,290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24,830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24,831</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(1,026,455)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(12,317)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(74,106)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(86,424)</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438,892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(182,489)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(15,743)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(15,743)</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35,066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35,066</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Balances at December 31, 2019</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39,146,272</w:t>
            </w:r>
          </w:p>
        </w:tc>
        <w:tc>
          <w:tcPr>
            <w:tcW w:w="100" w:type="dxa"/>
            <w:vAlign w:val="bottom"/>
            <w:tcBorders>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9"/>
              </w:rPr>
              <w:t>39</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362,408</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1,162</w:t>
            </w:r>
          </w:p>
        </w:tc>
        <w:tc>
          <w:tcPr>
            <w:tcW w:w="10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23,194</w:t>
            </w:r>
          </w:p>
        </w:tc>
        <w:tc>
          <w:tcPr>
            <w:tcW w:w="10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386,803</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Company and Summary of Significant Accounting Policies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Qualys, Inc. (the “Company”, "we", "us", "our") was incorporated in the state of Delaware on December 30, 1999. The Company is headquartered in Foster City, California and has wholly-owned subsidiaries throughout the world. The Company is a pioneer and leading provider of cloud-based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accompanying consolidated financial statements and footnotes have been prepared in accordance with U.S. GAAP as well as the instructions to Form 10-K and the rules and regulations of SEC. In the opinion of management, the accompanying consolidated financial statements reflect all adjustments, which include only normal recurring adjustments, necessary for the fair presentation of the Company’s consolidated financial position, results of operations and cash flows for the periods presented. The accompanying consolidated financial statements include the accounts of the Company and its wholly-owned subsidiaries. All intercompany transactions and balances have been eliminated upon consolidation.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certain estimates and assumptions that affect the reported amounts of assets and liabilities and disclosure of assets and liabilities at the date of the consolidated financial statements and the reported results of operations during the reporting period. The Company’s management regularly assesses these estimates, which primarily affect revenue recognition, the valuation of accounts receivable, goodwill and intangible assets, capitalization of internally developed software, stock-based compensation and the provision for income taxes. Actual results could differ from those estimates and such differences may be material to the accompanying consolidated financial statements.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Collateral is not required for accounts receivable. As of December 31, 2019 and 2018,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w:t>
      </w:r>
      <w:r>
        <w:rPr>
          <w:rFonts w:ascii="Arial" w:cs="Arial" w:eastAsia="Arial" w:hAnsi="Arial"/>
          <w:sz w:val="18"/>
          <w:szCs w:val="18"/>
          <w:color w:val="000000"/>
        </w:rPr>
        <w:t>10%</w:t>
      </w:r>
      <w:r>
        <w:rPr>
          <w:rFonts w:ascii="Arial" w:cs="Arial" w:eastAsia="Arial" w:hAnsi="Arial"/>
          <w:sz w:val="18"/>
          <w:szCs w:val="18"/>
          <w:color w:val="231F20"/>
        </w:rPr>
        <w:t xml:space="preserve"> of the Company's revenues and accounts receivable balance.</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Cash, Cash Equivalents, Short-Term and Long-Term Marketable Securities</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Cash and cash equivalents include cash held in banks, highly liquid money market funds and commercial paper, all with original maturities of three months or less when acquired. </w:t>
      </w:r>
      <w:r>
        <w:rPr>
          <w:rFonts w:ascii="Arial" w:cs="Arial" w:eastAsia="Arial" w:hAnsi="Arial"/>
          <w:sz w:val="18"/>
          <w:szCs w:val="18"/>
          <w:color w:val="000000"/>
        </w:rPr>
        <w:t>The Company’s short-term and long-term marketable securities consist of</w:t>
      </w:r>
      <w:r>
        <w:rPr>
          <w:rFonts w:ascii="Arial" w:cs="Arial" w:eastAsia="Arial" w:hAnsi="Arial"/>
          <w:sz w:val="18"/>
          <w:szCs w:val="18"/>
          <w:color w:val="231F20"/>
        </w:rPr>
        <w:t xml:space="preserve"> fixed-income U.S.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marketable securities as either short-term or long-term based on each instrument's underlying contractual maturity date.</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Cash equivalents are stated at cost, which approximates fair market value. Short-term and long-term marketable securities are classified as available-for-sale debt securities and are carried at fair value. Unrealized gains and losses in fair value of the available-for-sale debt securities are reported in other comprehensive income (loss). When the available-for-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33"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 xml:space="preserve">sale debt securities are sold, cost is based on the specific </w:t>
      </w:r>
      <w:r>
        <w:rPr>
          <w:rFonts w:ascii="Arial" w:cs="Arial" w:eastAsia="Arial" w:hAnsi="Arial"/>
          <w:sz w:val="18"/>
          <w:szCs w:val="18"/>
          <w:color w:val="000000"/>
        </w:rPr>
        <w:t>identification method, and the realized gains and losses are included in other income</w:t>
      </w:r>
      <w:r>
        <w:rPr>
          <w:rFonts w:ascii="Arial" w:cs="Arial" w:eastAsia="Arial" w:hAnsi="Arial"/>
          <w:sz w:val="18"/>
          <w:szCs w:val="18"/>
          <w:color w:val="231F20"/>
        </w:rPr>
        <w:t xml:space="preserve"> </w:t>
      </w:r>
      <w:r>
        <w:rPr>
          <w:rFonts w:ascii="Arial" w:cs="Arial" w:eastAsia="Arial" w:hAnsi="Arial"/>
          <w:sz w:val="18"/>
          <w:szCs w:val="18"/>
          <w:color w:val="000000"/>
        </w:rPr>
        <w:t>(expense), net in the consolidated statements of operations. Available-for-sale debt securities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are recorded in other income (expense), net. Adjustments to amortized cost for the amortization of premiums, the accretion of discounts and Interest and dividends are recorded in interest income as earned.</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Accounts receivable are recorded at the invoiced amount and do not bear interest. The allowance for doubtful accounts represents the Company’s best estimate of the amount of probable credit losses and is determined based on a review of existing accounts receivable by aging category to identify significant customers or invoices with collectability issues. For those invoices not specifically reviewed, the reserve is calculated based on the age of the receivable and historical write-offs.</w:t>
      </w:r>
    </w:p>
    <w:p>
      <w:pPr>
        <w:spacing w:after="0" w:line="9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Any change in the assumptions used in analyzing a specific account receivable may result in an additional provision for doubtful accounts being recognized in the period in which the change occurs. When the Company ultimately concludes that a receivable is uncollectible, the balance is written off against the allowance for doubtful accounts. Payments subsequently received on such receivables are credited back to the allowance for doubtful accounts.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Non-marketable securities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During the fiscal year ended December 31, 2018, the Company invested $2.5 million in preferred stock of a privately-held company. The fair value of the investment is not readily available, and there are no quoted market prices for the investment. The investment is included in other noncurrent assets on the consolidated balance sheets and measured at cost less impairment, adjusted for observable price changes. The investment is assessed for impairment annually or whenever events or changes in circumstances indicate that the carrying amount may not be recoverable. The Company has not received any dividends or other-than-temporary impairment charges related to the investment. </w:t>
      </w:r>
      <w:r>
        <w:rPr>
          <w:rFonts w:ascii="Arial" w:cs="Arial" w:eastAsia="Arial" w:hAnsi="Arial"/>
          <w:sz w:val="18"/>
          <w:szCs w:val="18"/>
          <w:color w:val="212529"/>
        </w:rPr>
        <w:t>During the</w:t>
      </w:r>
      <w:r>
        <w:rPr>
          <w:rFonts w:ascii="Arial" w:cs="Arial" w:eastAsia="Arial" w:hAnsi="Arial"/>
          <w:sz w:val="18"/>
          <w:szCs w:val="18"/>
          <w:color w:val="231F20"/>
        </w:rPr>
        <w:t xml:space="preserve"> </w:t>
      </w:r>
      <w:r>
        <w:rPr>
          <w:rFonts w:ascii="Arial" w:cs="Arial" w:eastAsia="Arial" w:hAnsi="Arial"/>
          <w:sz w:val="18"/>
          <w:szCs w:val="18"/>
          <w:color w:val="212529"/>
        </w:rPr>
        <w:t>second quarter ended June 30, 2019, the Company made an advance payment of $0.6 million to the investee for certain development work, which is recorded in other noncurrent assets on the consolidated balance sheet. During the third quarter ended September 30, 2019, the Company made an additional investment of $0.6 million in a convertible security issued by this investee and recorded it in other current assets on the consolidated balance sheet.</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Property and equipment are stated at cost less accumulated depreciation and amortization. Depreciation is computed using the straight-line method over the estimated useful lives of the assets, which range fr</w:t>
      </w:r>
      <w:r>
        <w:rPr>
          <w:rFonts w:ascii="Arial" w:cs="Arial" w:eastAsia="Arial" w:hAnsi="Arial"/>
          <w:sz w:val="18"/>
          <w:szCs w:val="18"/>
          <w:color w:val="000000"/>
        </w:rPr>
        <w:t>om three to five years. Leasehold improvements are amortized on a</w:t>
      </w:r>
      <w:r>
        <w:rPr>
          <w:rFonts w:ascii="Arial" w:cs="Arial" w:eastAsia="Arial" w:hAnsi="Arial"/>
          <w:sz w:val="18"/>
          <w:szCs w:val="18"/>
          <w:color w:val="231F20"/>
        </w:rPr>
        <w:t xml:space="preserve"> </w:t>
      </w:r>
      <w:r>
        <w:rPr>
          <w:rFonts w:ascii="Arial" w:cs="Arial" w:eastAsia="Arial" w:hAnsi="Arial"/>
          <w:sz w:val="18"/>
          <w:szCs w:val="18"/>
          <w:color w:val="000000"/>
        </w:rPr>
        <w:t>straight-line basis over the lesser of the estimated useful life of the asset or the remaining lease term.</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The Company purchases physical scanner appliances and other computer equipment that are provided to customers on a subscription basis. This equipment is recorded within property and equipment </w:t>
      </w:r>
      <w:r>
        <w:rPr>
          <w:rFonts w:ascii="Arial" w:cs="Arial" w:eastAsia="Arial" w:hAnsi="Arial"/>
          <w:sz w:val="18"/>
          <w:szCs w:val="18"/>
          <w:color w:val="000000"/>
        </w:rPr>
        <w:t>and the depreciation is recorded in cost of revenues over an estimated useful</w:t>
      </w:r>
      <w:r>
        <w:rPr>
          <w:rFonts w:ascii="Arial" w:cs="Arial" w:eastAsia="Arial" w:hAnsi="Arial"/>
          <w:sz w:val="18"/>
          <w:szCs w:val="18"/>
          <w:color w:val="231F20"/>
        </w:rPr>
        <w:t xml:space="preserve"> </w:t>
      </w:r>
      <w:r>
        <w:rPr>
          <w:rFonts w:ascii="Arial" w:cs="Arial" w:eastAsia="Arial" w:hAnsi="Arial"/>
          <w:sz w:val="18"/>
          <w:szCs w:val="18"/>
          <w:color w:val="000000"/>
        </w:rPr>
        <w:t>life of three years</w:t>
      </w:r>
      <w:r>
        <w:rPr>
          <w:rFonts w:ascii="Arial" w:cs="Arial" w:eastAsia="Arial" w:hAnsi="Arial"/>
          <w:sz w:val="18"/>
          <w:szCs w:val="18"/>
          <w:color w:val="231F20"/>
        </w:rPr>
        <w:t>.</w:t>
      </w:r>
    </w:p>
    <w:p>
      <w:pPr>
        <w:spacing w:after="0" w:line="20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Impairment of Long-Lived Assets</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In each of 2019, 2018 and 2017, the Company had no impairment of long-lived assets.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33"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Goodwill and Intangible Assets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Goodwill represents the excess of the purchase price over the fair value of the net tangible and identifiable intangible assets acquired in a business combination and is not subject to amortization. Goodwill and other intangible assets with indefinite lives are not amortized, but tested for impairment at least annually or more frequently if certain circumstances indicate a possible impairment may exist. These tests are performed at the reporting unit level. The Company’s operations are organized as one reporting unit.</w:t>
      </w:r>
    </w:p>
    <w:p>
      <w:pPr>
        <w:spacing w:after="0" w:line="9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In testing for a potential impairment of goodwill, the Company first performs a qualitative assessment of its reporting unit to determine if it is more likely than not (a more than 50% likelihood) that the fair value of the reporting unit is less than its carrying amount. If the fair value is not considered to be less than the carrying amount, no further evaluation is necessary. The Company performed the annual assessment on </w:t>
      </w:r>
      <w:r>
        <w:rPr>
          <w:rFonts w:ascii="Arial" w:cs="Arial" w:eastAsia="Arial" w:hAnsi="Arial"/>
          <w:sz w:val="18"/>
          <w:szCs w:val="18"/>
          <w:color w:val="000000"/>
        </w:rPr>
        <w:t xml:space="preserve">December 1, 2019 and 2018 </w:t>
      </w:r>
      <w:r>
        <w:rPr>
          <w:rFonts w:ascii="Arial" w:cs="Arial" w:eastAsia="Arial" w:hAnsi="Arial"/>
          <w:sz w:val="18"/>
          <w:szCs w:val="18"/>
          <w:color w:val="231F20"/>
        </w:rPr>
        <w:t>and concluded there was no potential impairment of goodwill.</w:t>
      </w:r>
    </w:p>
    <w:p>
      <w:pPr>
        <w:spacing w:after="0" w:line="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testing for a potential impairment of intangible assets with indefinite lives that are not subject to amortization, the Company first performs a qualitative assessment to determine if it is more likely than not (a more than 50% likelihood) that the fair value of the indefinite-lived intangible assets is less than the carrying amount. If the fair value is not considered to be less than the carrying amount, no further evaluation is necessary. The Company performs the annual qualitative assessment in the fourth quarter each fiscal year. There were no such impairment losses during 2019, 2018 and 2017.</w:t>
      </w:r>
    </w:p>
    <w:p>
      <w:pPr>
        <w:spacing w:after="0" w:line="9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If the qualitative assessment indicates there is more than a 50% likelihood that the fair value is less than the carrying amount of the reporting unit or the intangible asset, the Company would perform a quantitative test. Goodwill impairment is measured as the amount by which a reporting unit’s carrying value exceeds its fair value. </w:t>
      </w:r>
      <w:r>
        <w:rPr>
          <w:rFonts w:ascii="Arial" w:cs="Arial" w:eastAsia="Arial" w:hAnsi="Arial"/>
          <w:sz w:val="18"/>
          <w:szCs w:val="18"/>
          <w:color w:val="231F20"/>
        </w:rPr>
        <w:t>For indefinite-lived intangible assets, the Company would perform the quantitative</w:t>
      </w:r>
      <w:r>
        <w:rPr>
          <w:rFonts w:ascii="Arial" w:cs="Arial" w:eastAsia="Arial" w:hAnsi="Arial"/>
          <w:sz w:val="18"/>
          <w:szCs w:val="18"/>
          <w:color w:val="auto"/>
        </w:rPr>
        <w:t xml:space="preserve"> </w:t>
      </w:r>
      <w:r>
        <w:rPr>
          <w:rFonts w:ascii="Arial" w:cs="Arial" w:eastAsia="Arial" w:hAnsi="Arial"/>
          <w:sz w:val="18"/>
          <w:szCs w:val="18"/>
          <w:color w:val="231F20"/>
        </w:rPr>
        <w:t>impairment test by comparing the fair value of the indefinite-lived intangible asset with its carrying value.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Internally Developed Software</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Costs incurred in the development phase are capitalized and amortized over the product’s estimated useful life, which is three years. </w:t>
      </w:r>
      <w:r>
        <w:rPr>
          <w:rFonts w:ascii="Arial" w:cs="Arial" w:eastAsia="Arial" w:hAnsi="Arial"/>
          <w:sz w:val="18"/>
          <w:szCs w:val="18"/>
          <w:color w:val="000000"/>
        </w:rPr>
        <w:t xml:space="preserve">Capitalized costs include salaries, benefits and stock-based compensation charges for employees that are directly involved in developing its cloud security platform during the post </w:t>
      </w:r>
      <w:r>
        <w:rPr>
          <w:rFonts w:ascii="Arial" w:cs="Arial" w:eastAsia="Arial" w:hAnsi="Arial"/>
          <w:sz w:val="18"/>
          <w:szCs w:val="18"/>
          <w:color w:val="231F20"/>
        </w:rPr>
        <w:t>planning and implementation phases. Capitalized costs related to inter</w:t>
      </w:r>
      <w:r>
        <w:rPr>
          <w:rFonts w:ascii="Arial" w:cs="Arial" w:eastAsia="Arial" w:hAnsi="Arial"/>
          <w:sz w:val="18"/>
          <w:szCs w:val="18"/>
          <w:color w:val="000000"/>
        </w:rPr>
        <w:t>nally developed software under development are treated as construction in progress until the program, feature or functionality is ready for its intended use, at which time amortization commences. These capitalized costs are included in other noncurrent assets on the consolidated balance sheets. For the fiscal years 2019, 2018 and 2017, the Company capitalized $1.0 million, $1.3 million and $0.4 million of costs related to internally developed software (of which $0.2 million, $0.2 million and zero, respectively, were stock-based compensation), respectively. As of December 31, 2019 and 2018, unamortized internally developed software costs totaled $2.0 million and $1.2 million, respectively. Amortization of internally developed software is recorded in cost of revenues. Costs associated with minor enhancements and maintenance are expensed as incurred. Management evaluates the useful lives of these assets on an annual basis and tests for impairment whenever events or changes in circumstances occur that could impact the recoverability of these assets.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Company applies the provisions of ASC 805, Business Combinations, in accounting for its acquisitions. It requires the Company to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the Company uses its best estimates and assumptions to accurately value assets acquired and liabilities assumed at the acquisition date as well as any contingent consideration, where applicable,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its consolidated statements of operations.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3"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The Company uses foreign currency forward contracts to mitigate the impact of foreign currency fluctuations of certain non-U.S. dollar denominated asset positions, to date primarily cash and accounts receivable (non-designated forward contracts), as well as to manage foreign currency fluctuation risk related to forecasted transactions (designated cash flow hedges). Open contracts are recorded within prepaid expenses and other current assets, other noncurrent assets, accrued liabilities, or other noncurrent liabilities in the consolidated balance sheets. Gains and losses resulting from currency exchange rate movements on non-designated forward contracts are recognized in other income (expense), net. Any gains or losses from derivatives designated as cash flow hedges are first accumulated in AOCI and then reclassified to revenue when the hedged item impacts the consolidated statements of operations.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recognizes the fair value of its employee stock options and restricted stock units (RSUs) over the requisite service periods for those awards ultimately expected to vest. The fair value of each option is estimated on date of grant using the Black-Scholes-Merton option pricing model and the fair value of each RSU is based on the fair value of the Company's stock on the date of grant. Forfeitures are estimated on the date of grant and revised if actual or expected forfeiture activity differs materially from original estimates.</w:t>
      </w:r>
    </w:p>
    <w:p>
      <w:pPr>
        <w:spacing w:after="0" w:line="9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Company recognizes compensation costs for performance-based non-qualified stock options and restricted stock units when it is probable that the performance conditions will be met. The Company assesses these conditions on a quarterly basis.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Company derives revenues from subscriptions that require customers to pay a fee in order to access the Company’s cloud solutions. Customers generally enter into one-year renewable subscriptions though some customers do enter into subscriptions with longer terms. The subscription fee entitles the customer to an unlimited number of scans for a specified number of networked devices or web applications and, if requested by a customer as part of their subscription, a specified number of physical or virtual scanner appliances. Revenue is recognized when control of these subscription services is transferred to its customers, in an amount that reflects the consideration the Company expects to be entitled to in exchange for those services.</w:t>
      </w:r>
    </w:p>
    <w:p>
      <w:pPr>
        <w:spacing w:after="0" w:line="101"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w:t>
      </w:r>
      <w:r>
        <w:rPr>
          <w:rFonts w:ascii="Arial" w:cs="Arial" w:eastAsia="Arial" w:hAnsi="Arial"/>
          <w:sz w:val="18"/>
          <w:szCs w:val="18"/>
          <w:color w:val="000000"/>
        </w:rPr>
        <w:t xml:space="preserve">In some limited cases, the Company also provides certain computer equipment used to extend its Qualys Cloud Platform into its customers’ private cloud environment. </w:t>
      </w:r>
      <w:r>
        <w:rPr>
          <w:rFonts w:ascii="Arial" w:cs="Arial" w:eastAsia="Arial" w:hAnsi="Arial"/>
          <w:sz w:val="18"/>
          <w:szCs w:val="18"/>
          <w:color w:val="231F20"/>
        </w:rPr>
        <w:t>Customers are required to return physical scanner appliances and computer equipment if they do not renew their</w:t>
      </w:r>
      <w:r>
        <w:rPr>
          <w:rFonts w:ascii="Arial" w:cs="Arial" w:eastAsia="Arial" w:hAnsi="Arial"/>
          <w:sz w:val="18"/>
          <w:szCs w:val="18"/>
          <w:color w:val="000000"/>
        </w:rPr>
        <w:t xml:space="preserve"> </w:t>
      </w:r>
      <w:r>
        <w:rPr>
          <w:rFonts w:ascii="Arial" w:cs="Arial" w:eastAsia="Arial" w:hAnsi="Arial"/>
          <w:sz w:val="18"/>
          <w:szCs w:val="18"/>
          <w:color w:val="231F20"/>
        </w:rPr>
        <w:t>subscriptions. Physical equipment (scanners and private cloud platforms) are accounted for as operating leases under ASC 842. The company used the practical expedient to combine lease and nonlease components as a combined component under ASC 606 due to the software subscription nonlease components being the predominant component of the combined component. Therefore, the Company recognizes revenue for the physical equipment ratably over the related subscription period.</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 determines revenue recognition through the following steps:</w:t>
      </w:r>
    </w:p>
    <w:p>
      <w:pPr>
        <w:spacing w:after="0" w:line="117" w:lineRule="exact"/>
        <w:rPr>
          <w:sz w:val="20"/>
          <w:szCs w:val="20"/>
          <w:color w:val="auto"/>
        </w:rPr>
      </w:pPr>
    </w:p>
    <w:p>
      <w:pPr>
        <w:ind w:left="720" w:hanging="307"/>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Identification of the contract, or contracts, with a customer;</w:t>
      </w:r>
    </w:p>
    <w:p>
      <w:pPr>
        <w:spacing w:after="0" w:line="117" w:lineRule="exact"/>
        <w:rPr>
          <w:rFonts w:ascii="Arial" w:cs="Arial" w:eastAsia="Arial" w:hAnsi="Arial"/>
          <w:sz w:val="18"/>
          <w:szCs w:val="18"/>
          <w:color w:val="auto"/>
        </w:rPr>
      </w:pPr>
    </w:p>
    <w:p>
      <w:pPr>
        <w:ind w:left="720" w:hanging="307"/>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Identification of the performance obligations in the contract;</w:t>
      </w:r>
    </w:p>
    <w:p>
      <w:pPr>
        <w:spacing w:after="0" w:line="117" w:lineRule="exact"/>
        <w:rPr>
          <w:rFonts w:ascii="Arial" w:cs="Arial" w:eastAsia="Arial" w:hAnsi="Arial"/>
          <w:sz w:val="18"/>
          <w:szCs w:val="18"/>
          <w:color w:val="auto"/>
        </w:rPr>
      </w:pPr>
    </w:p>
    <w:p>
      <w:pPr>
        <w:ind w:left="720" w:hanging="307"/>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Determination of the transaction price</w:t>
      </w:r>
    </w:p>
    <w:p>
      <w:pPr>
        <w:spacing w:after="0" w:line="117" w:lineRule="exact"/>
        <w:rPr>
          <w:rFonts w:ascii="Arial" w:cs="Arial" w:eastAsia="Arial" w:hAnsi="Arial"/>
          <w:sz w:val="18"/>
          <w:szCs w:val="18"/>
          <w:color w:val="auto"/>
        </w:rPr>
      </w:pPr>
    </w:p>
    <w:p>
      <w:pPr>
        <w:ind w:left="720" w:hanging="307"/>
        <w:spacing w:after="0"/>
        <w:tabs>
          <w:tab w:leader="none" w:pos="72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Allocation of the transaction price to the performance obligations in the contract; and</w:t>
      </w:r>
    </w:p>
    <w:p>
      <w:pPr>
        <w:spacing w:after="0" w:line="117" w:lineRule="exact"/>
        <w:rPr>
          <w:rFonts w:ascii="Arial" w:cs="Arial" w:eastAsia="Arial" w:hAnsi="Arial"/>
          <w:sz w:val="18"/>
          <w:szCs w:val="18"/>
          <w:color w:val="231F20"/>
        </w:rPr>
      </w:pPr>
    </w:p>
    <w:p>
      <w:pPr>
        <w:ind w:left="720" w:hanging="307"/>
        <w:spacing w:after="0"/>
        <w:tabs>
          <w:tab w:leader="none" w:pos="72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Recognition of revenue when, or as, the Company satisfies a performance obligation.</w:t>
      </w:r>
    </w:p>
    <w:p>
      <w:pPr>
        <w:spacing w:after="0" w:line="11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At the inception of a customer contract, the Company makes an assessment as to that customer's ability to pay for the services provided. The Company assesses collectability based on a number of factors, including credit worthiness of the customer along with past transaction history. In addition, the Company performs periodic evaluations of its customers’ financial condition.</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Deferred revenues consist of customer contracts billed or cash received that will be recognized in the future under subscriptions existing at the balance sheet date. The current portion of deferred revenues represents amounts that are expected to be recognized within one year of the balance sheet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33"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Costs of shipping and handling charges incurred by the Company associated with physical scanner appliances and other computer equipment are included in cost of revenues.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Sales taxes and other taxes collected from customers to be remitted to government authorities are excluded from revenues.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Advertising Expenses</w:t>
      </w:r>
    </w:p>
    <w:p>
      <w:pPr>
        <w:spacing w:after="0" w:line="13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 xml:space="preserve">Advertising costs are expensed as incurred and include costs of advertising and </w:t>
      </w:r>
      <w:r>
        <w:rPr>
          <w:rFonts w:ascii="Arial" w:cs="Arial" w:eastAsia="Arial" w:hAnsi="Arial"/>
          <w:sz w:val="18"/>
          <w:szCs w:val="18"/>
          <w:color w:val="000000"/>
        </w:rPr>
        <w:t>promotional</w:t>
      </w:r>
      <w:r>
        <w:rPr>
          <w:rFonts w:ascii="Arial" w:cs="Arial" w:eastAsia="Arial" w:hAnsi="Arial"/>
          <w:sz w:val="18"/>
          <w:szCs w:val="18"/>
          <w:color w:val="231F20"/>
        </w:rPr>
        <w:t xml:space="preserve"> materials. The Company incurred advertising costs of </w:t>
      </w:r>
      <w:r>
        <w:rPr>
          <w:rFonts w:ascii="Arial" w:cs="Arial" w:eastAsia="Arial" w:hAnsi="Arial"/>
          <w:sz w:val="18"/>
          <w:szCs w:val="18"/>
          <w:color w:val="000000"/>
        </w:rPr>
        <w:t>$74 thousand, $87 thousand and $482 thousand</w:t>
      </w:r>
      <w:r>
        <w:rPr>
          <w:rFonts w:ascii="Arial" w:cs="Arial" w:eastAsia="Arial" w:hAnsi="Arial"/>
          <w:sz w:val="18"/>
          <w:szCs w:val="18"/>
          <w:color w:val="231F20"/>
        </w:rPr>
        <w:t xml:space="preserve"> for </w:t>
      </w:r>
      <w:r>
        <w:rPr>
          <w:rFonts w:ascii="Arial" w:cs="Arial" w:eastAsia="Arial" w:hAnsi="Arial"/>
          <w:sz w:val="18"/>
          <w:szCs w:val="18"/>
          <w:color w:val="000000"/>
        </w:rPr>
        <w:t>2019, 2018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 respectively.</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Income Taxes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Company provides for the effect of income taxes in its consolidated financial statements using the asset and liability method which requires the recognition of deferred tax assets and liabilities for the expected future tax consequences of events that have been included in the consolidated financial statements. Under this method, deferred tax assets and liabilities are recognized for the future tax consequences attributable to differences between the financial statement carrying amounts of existing assets and liabilities and their respective tax bases, net operating loss carryovers,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w:t>
      </w:r>
    </w:p>
    <w:p>
      <w:pPr>
        <w:spacing w:after="0" w:line="9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Income tax expense or benefit is recognized for the amount of taxes payable or refundable for the current year and for deferred tax assets and liabilities for the tax consequences of events that have been recognized in an entity’s financial statements or tax returns. The Company must make significant assumptions, judgments and estimates to determine its current provision for (benefit from) income taxes, its deferred tax assets and liabilities, and any valuation allowance to be recorded against its deferred tax assets. The Company's judgments, assumptions and estimates relating to the current provision for (benefit from) income taxes include the geographic mix and amount of income (loss), its interpretation of current tax laws, and possible outcomes of current and future audits conducted by foreign and domestic tax authorities. The Company's judgments also include anticipating the tax positions the Company will record in the consolidated financial statements before actually preparing and filing the tax returns. The Company's estimates and assumptions may differ from the actual results as reflected on its income tax returns and will record the required adjustments when they are identified or resolved. Changes in the Company's business, tax laws or interpretation of tax laws, and developments in current and future tax audits, could significantly impact the amounts provided for income taxes in the Company's results of operations, financial position, or cash flows.</w:t>
      </w:r>
    </w:p>
    <w:p>
      <w:pPr>
        <w:spacing w:after="0" w:line="1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Deferred tax assets and liabilities are recognized for the estimated future tax consequences attributable to tax benefit carry-forwards and to differences between the financial statement amounts of assets and liabilities and their respective tax basis. The Company regularly reviews its deferred tax assets for recoverability and establishes a valuation allowance if it is more likely than not that some portion or all of the deferred tax assets will not be realized. To make this assessment, the Company takes into account predictions of the 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w:t>
      </w:r>
    </w:p>
    <w:p>
      <w:pPr>
        <w:spacing w:after="0" w:line="9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The Company applies a two-step approach to determining </w:t>
      </w:r>
      <w:r>
        <w:rPr>
          <w:rFonts w:ascii="Arial" w:cs="Arial" w:eastAsia="Arial" w:hAnsi="Arial"/>
          <w:sz w:val="18"/>
          <w:szCs w:val="18"/>
          <w:color w:val="231F20"/>
        </w:rPr>
        <w:t>the financial statement recognition and measurement of uncertain tax positions.</w:t>
      </w:r>
      <w:r>
        <w:rPr>
          <w:rFonts w:ascii="Arial" w:cs="Arial" w:eastAsia="Arial" w:hAnsi="Arial"/>
          <w:sz w:val="18"/>
          <w:szCs w:val="18"/>
          <w:color w:val="auto"/>
        </w:rPr>
        <w:t xml:space="preserve"> </w:t>
      </w:r>
      <w:r>
        <w:rPr>
          <w:rFonts w:ascii="Arial" w:cs="Arial" w:eastAsia="Arial" w:hAnsi="Arial"/>
          <w:sz w:val="18"/>
          <w:szCs w:val="18"/>
          <w:color w:val="231F20"/>
        </w:rPr>
        <w:t>The Company only recognizes an income tax expense or benefit with respect to uncertain tax positions in its financial statements that the Company judges is more likely than not to be sustained solely on its technical merits in a tax audit, including resolution of any related appeals or litigation processes. To make this judgment, the Company must interpret complex and sometimes ambiguous tax laws, regulations and administrative practices. If an income tax position meets the more likely than not recognition threshold, then the Company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the Company to determine the probability of various possible settlement outcomes. To determine if a tax position is effectively settled after a tax examination has been completed, the Company must also estimate the likelihood that another taxing authority could review the respective tax position. The Company must also determine when it is reasonably possible that the amount of unrecognized tax benefits will significantly increase or decrease in the 12 months after each fiscal year-end. These judgments are difficult because a taxing authority may change its behavior as a result of the Company's disclosures in its financial statements. The Company must reevaluate its income tax positions on a quarterly basis to consider factors such as changes in facts or circumstances, changes in tax law, effectively settled issues under audit, and new audit activity. Such a change in recognition or measurement would result in recognition of a tax</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3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benefit or an additional charge to the tax provision. The Company's policy is to recognize interest and penalties related to unrecognized tax benefits as a component of the provision for income taxes.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Comprehensive Income (Loss)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Other comprehensive income (loss) consists of unrealized gains (losses) on marketable securities, net of tax, and derivative financial instruments designated as cash flow hedges which are not included in the Company’s net income. Total comprehensive income includes net income and other comprehensive income (loss) and is included in the consolidated statements of comprehensive income.</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Foreign Currency Transactions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Company’s operations are conducted in various countries around the world and the financial statements of its foreign subsidiaries are reported in the U.S. dollar as their respective functional currency. Monetary assets and liabilities denominated in foreign currencies have been re-measured into U.S. dollars using the exchange rates in effect at the balance sheet date, and income and expenses are re-measured at average exchange rates during the period. Foreign currency re-measurem</w:t>
      </w:r>
      <w:r>
        <w:rPr>
          <w:rFonts w:ascii="Arial" w:cs="Arial" w:eastAsia="Arial" w:hAnsi="Arial"/>
          <w:sz w:val="18"/>
          <w:szCs w:val="18"/>
          <w:color w:val="000000"/>
        </w:rPr>
        <w:t>ent gains and losses and foreign currency transaction gains and</w:t>
      </w:r>
      <w:r>
        <w:rPr>
          <w:rFonts w:ascii="Arial" w:cs="Arial" w:eastAsia="Arial" w:hAnsi="Arial"/>
          <w:sz w:val="18"/>
          <w:szCs w:val="18"/>
          <w:color w:val="231F20"/>
        </w:rPr>
        <w:t xml:space="preserve"> </w:t>
      </w:r>
      <w:r>
        <w:rPr>
          <w:rFonts w:ascii="Arial" w:cs="Arial" w:eastAsia="Arial" w:hAnsi="Arial"/>
          <w:sz w:val="18"/>
          <w:szCs w:val="18"/>
          <w:color w:val="000000"/>
        </w:rPr>
        <w:t>losses are recognized in other income (expense), net. The Company recorded total foreign currency transaction losses of $0.4 million, $0.6 million and $0.4 million during 2019, 2018 and 2017, respectively.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Net Income Per Share</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Basic net income per share is computed by dividing net income by the weighted-average number of common shares outstanding during the period. All participating securities are excluded from basic weighted average common shares outstanding. Diluted net income per share is computed by dividing net income by the weighted-average number of shares of common stock outstanding during the period, adjusted for the effects of potentially dilutive common shares, which are comprised of outstanding stock options and RSUs. The dilutive potential common shares are computed using the treasury stock method or the as-if converted method, as applicable. The outstanding stock options and RSUs which would be anti-dilutive are excluded from the computation of diluted net income per common share.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Reclassification</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Reclassification has been made to the shares issued for RSUs and taxes related to net share settlement of equity awards and options in the consolidated statement of stockholders' equity for the fiscal year 2017. The reclassification had no effect on the total number of shares outstanding at the end of each period presented in the consolidated statements of stockholders' equity.</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139"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In August 2018, the Financial Accounting Standards Board (FASB) issued Accounting Standards Updates (ASU) 2018-13, Disclosure Framework - Changes to the Disclosure requirements for Fair Value Measurement, which adds, modifies and removes certain fair value measurement disclosure requirements. The ASU is effective for the Company for fiscal years beginning after December 15, 2019, including interim periods therein. The Company early adopted the guidance in the fiscal year 2019. The adoption of this ASU did not have a material impact on the Company's consolidated financial statements.</w:t>
      </w:r>
    </w:p>
    <w:p>
      <w:pPr>
        <w:spacing w:after="0" w:line="9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In June 2018, the FASB issued ASU 2018-07, Compensation - Stock Compensation (Topic 718): Improvements to Nonemployee Share-Based Payment Accounting. This ASU expands the scope of Topic 718 to include share-based payment transactions for acquiring goods and services from nonemployees. The Company adopted this guidance as of January 1, 2019. The adoption of this ASU did not have a material impact on the Company's consolidated financial statements.</w:t>
      </w:r>
    </w:p>
    <w:p>
      <w:pPr>
        <w:spacing w:after="0" w:line="9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In January 2017, the FASB issued ASU 2017-04, Simplifying the Test for Goodwill Impairment (Topic 350). This standard eliminates Step 2 from the goodwill impairment test, instead requiring an entity to recognize a goodwill impairment charge for the amount by which the goodwill carrying amount exceeds the reporting unit’s fair value. This ASU is effective for interim and annual goodwill impairment tests in fiscal years beginning after December 15, 2019 with early adoption permitted. The Company adopted this ASU on a prospective basis during the first quarter of fiscal 2019 and the adoption did not have a material impact on the Company's consolidated financial statements.</w:t>
      </w:r>
    </w:p>
    <w:p>
      <w:pPr>
        <w:spacing w:after="0" w:line="9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In February 2016, the FASB issued ASU 2016-02, Leases (Topic 842), which requires lessees to recognize all leases, including operating leases, on the balance sheet as a lease asset and lease liability, unless the lease is a short-term lease. ASU 2016-02 also requires additional disclosures regarding leasing arrangements. ASU 2016-02 is effective for the Company beginning in the first quarter of fiscal 2019 and early adoption is permitted. In July 2018, the FASB issued ASU 2018-11,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3"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Targeted Improvements - Leases (Topic 842). This update provides an optional transition method that allows entities to elect to apply the standard prospectively at its effective date, versus recasting the prior periods presented. If elected, an entity would recognize a cumulative-effect adjustment to the opening balance of retained earnings in the period of adoption. Pursuant to the leasing criteria, most of the Company's leased space and equipment leases will be required to be accounted for as right-of-use assets (ROU) on the balance sheet with offsetting financing obligations. In the statement of operations, what was formerly rent expense for operating leases will be lease expense; and finance leases will be bifurcated into amortization of right-of-use assets and interest on lease liabilities. The Company adopted the ASU utilizing the current period adjustment method on January 1, 2019, and recognized a ROU asset of $30.8 million and a lease liability of $41.6 million on its consolidated financial statements. As of January 1, 2019, $3.9 million of deferred rent and $ 6.9 million related to tenant improvement allowance was removed upon adoption. As part of this adoption, the Company elected the package of transitional practical expedients to not reassess (1) whether any contracts that existed prior to adoption have or contain leases, (2) the classification of existing leases or (3) initial direct costs for existing leases. The Company also elected to make the accounting policy election for short-term leases, permitting the Company to not apply the recognition requirements of this standard to short-term leases with terms of 12 months or less.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Recently Issued Accounting Pronouncements Not Yet Adopted</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December 2019, the FASB issued ASU No. 2019-12, Simplifying the Accounting for Income Taxes (ASU 2019-12), which simplifies the accounting for income taxes, eliminates certain exceptions within ASC 740, Income Taxes, and clarifies certain aspects of the current guidance to promote consistency among reporting entities. ASU 2019-12 is effective for the Company for fiscal years beginning after December 15, 2020. Most amendments within the standard are required to be applied on a prospective basis, while certain amendments must be applied on a retrospective or modified retrospective basis. The Company is currently evaluating the impacts of the provisions of ASU 2019-12 on its consolidated financial statements.</w:t>
      </w:r>
    </w:p>
    <w:p>
      <w:pPr>
        <w:spacing w:after="0" w:line="10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August 2018, the FASB issued ASU 2018-15, Intangibles - Goodwill and Other - Internal-Use Software (Subtopic 350-40): Customer's Accounting for Implementation Costs Incurred in a Cloud Computing Arrangement That Is a Service Contract. This ASU aligns the requirements for capitalizing implementation costs incurred in a hosting arrangement that is a service contract with the requirements for capitalizing implementation costs related to internal -use software. ASU 2018-15 is effective for the Company beginning in the first quarter of fiscal 2020 and early adoption is permitted. The Company is currently evaluating the impact of this ASU on its consolidated financial statements.</w:t>
      </w:r>
    </w:p>
    <w:p>
      <w:pPr>
        <w:spacing w:after="0" w:line="10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June 2016, the FASB issued ASU No. 2016-13, Financial Instruments-Credit Losses (Topic 326) as modified by subsequently issued ASU No. 2018-19, 2019-04 and 2019-05, which introduces a new accounting model, Current Expected Credit Losses (CECL). CECL requires earlier recognition of credit losses, while also providing additional transparency about credit risk. CECL utilizes a lifetime expected credit loss measurement objective for the recognition of credit losses at the time the financial asset is originated or acquired. The expected credit losses are adjusted each period for changes in expected lifetime credit losses. The ASUs are effective for the Company beginning in the first quarter of fiscal 2020. The adoption of the ASUs is not expected to have a material impact on the Company's consolidated financial statements.</w:t>
      </w: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Fair Value of Financial Instruments</w:t>
      </w:r>
    </w:p>
    <w:p>
      <w:pPr>
        <w:spacing w:after="0" w:line="15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marketable securities, derivative foreign currency forward contracts and commitments associated with prior business combinations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63" w:lineRule="exact"/>
        <w:rPr>
          <w:sz w:val="20"/>
          <w:szCs w:val="20"/>
          <w:color w:val="auto"/>
        </w:rPr>
      </w:pPr>
    </w:p>
    <w:p>
      <w:pPr>
        <w:jc w:val="both"/>
        <w:ind w:left="420" w:firstLine="405"/>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w:t>
      </w:r>
      <w:r>
        <w:rPr>
          <w:rFonts w:ascii="Arial" w:cs="Arial" w:eastAsia="Arial" w:hAnsi="Arial"/>
          <w:sz w:val="18"/>
          <w:szCs w:val="18"/>
          <w:i w:val="1"/>
          <w:iCs w:val="1"/>
          <w:color w:val="231F20"/>
        </w:rPr>
        <w:t xml:space="preserve"> </w:t>
      </w:r>
      <w:r>
        <w:rPr>
          <w:rFonts w:ascii="Arial" w:cs="Arial" w:eastAsia="Arial" w:hAnsi="Arial"/>
          <w:sz w:val="18"/>
          <w:szCs w:val="18"/>
          <w:color w:val="231F20"/>
        </w:rPr>
        <w:t>or similar assets or liabilities in inactive markets, or other inputs that are observable or can be corroborated by observable market data for substantially the full term of the assets or liabilities.</w:t>
      </w:r>
    </w:p>
    <w:p>
      <w:pPr>
        <w:spacing w:after="0" w:line="14" w:lineRule="exact"/>
        <w:rPr>
          <w:sz w:val="20"/>
          <w:szCs w:val="20"/>
          <w:color w:val="auto"/>
        </w:rPr>
      </w:pPr>
    </w:p>
    <w:p>
      <w:pPr>
        <w:jc w:val="both"/>
        <w:ind w:left="420" w:firstLine="405"/>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ectPr>
          <w:pgSz w:w="11900" w:h="16838" w:orient="portrait"/>
          <w:cols w:equalWidth="0" w:num="1">
            <w:col w:w="11420"/>
          </w:cols>
          <w:pgMar w:left="240" w:top="333" w:right="2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333"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 The fair value of</w:t>
      </w:r>
      <w:r>
        <w:rPr>
          <w:rFonts w:ascii="Arial" w:cs="Arial" w:eastAsia="Arial" w:hAnsi="Arial"/>
          <w:sz w:val="18"/>
          <w:szCs w:val="18"/>
          <w:color w:val="231F20"/>
        </w:rPr>
        <w:t xml:space="preserve"> </w:t>
      </w:r>
      <w:r>
        <w:rPr>
          <w:rFonts w:ascii="Arial" w:cs="Arial" w:eastAsia="Arial" w:hAnsi="Arial"/>
          <w:sz w:val="18"/>
          <w:szCs w:val="18"/>
          <w:color w:val="000000"/>
        </w:rPr>
        <w:t>commitments from prior acquisitions was determined based on management’s estimate of fair value using a Monte Carlo simulation model, which uses Level 3 inputs for fair value measurements. As of December 31, 2019, management estimated the fair value of such commitments to be zero. During the fiscal year ended December 31, 2019 and 2018, the Company made investments of $0.6 million and $2.5 million in a convertible security and preferred stock issued by a privately-held company. The estimated fair value of the investments was determined based on Level 3 inputs. As of December 31, 2019, management estimated that the fair value of the investments equaled its carrying value.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marketable securities, and long-term marketable securities consist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98"/>
        </w:trPr>
        <w:tc>
          <w:tcPr>
            <w:tcW w:w="5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5580" w:type="dxa"/>
            <w:vAlign w:val="bottom"/>
          </w:tcPr>
          <w:p>
            <w:pPr>
              <w:spacing w:after="0"/>
              <w:rPr>
                <w:sz w:val="19"/>
                <w:szCs w:val="19"/>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Gains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5580" w:type="dxa"/>
            <w:vAlign w:val="bottom"/>
          </w:tcPr>
          <w:p>
            <w:pPr>
              <w:ind w:left="280"/>
              <w:spacing w:after="0"/>
              <w:rPr>
                <w:sz w:val="20"/>
                <w:szCs w:val="20"/>
                <w:color w:val="auto"/>
              </w:rPr>
            </w:pPr>
            <w:r>
              <w:rPr>
                <w:rFonts w:ascii="Arial" w:cs="Arial" w:eastAsia="Arial" w:hAnsi="Arial"/>
                <w:sz w:val="16"/>
                <w:szCs w:val="16"/>
                <w:color w:val="auto"/>
              </w:rPr>
              <w:t>Cash</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84,102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84,102</w:t>
            </w:r>
          </w:p>
        </w:tc>
      </w:tr>
      <w:tr>
        <w:trPr>
          <w:trHeight w:val="280"/>
        </w:trPr>
        <w:tc>
          <w:tcPr>
            <w:tcW w:w="5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64"/>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3,399</w:t>
            </w:r>
          </w:p>
        </w:tc>
      </w:tr>
      <w:tr>
        <w:trPr>
          <w:trHeight w:val="257"/>
        </w:trPr>
        <w:tc>
          <w:tcPr>
            <w:tcW w:w="5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87,559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87,559</w:t>
            </w:r>
          </w:p>
        </w:tc>
      </w:tr>
      <w:tr>
        <w:trPr>
          <w:trHeight w:val="254"/>
        </w:trPr>
        <w:tc>
          <w:tcPr>
            <w:tcW w:w="5580" w:type="dxa"/>
            <w:vAlign w:val="bottom"/>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80"/>
        </w:trPr>
        <w:tc>
          <w:tcPr>
            <w:tcW w:w="5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2,239</w:t>
            </w:r>
          </w:p>
        </w:tc>
      </w:tr>
      <w:tr>
        <w:trPr>
          <w:trHeight w:val="260"/>
        </w:trPr>
        <w:tc>
          <w:tcPr>
            <w:tcW w:w="558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33,048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33,098</w:t>
            </w:r>
          </w:p>
        </w:tc>
      </w:tr>
      <w:tr>
        <w:trPr>
          <w:trHeight w:val="280"/>
        </w:trPr>
        <w:tc>
          <w:tcPr>
            <w:tcW w:w="5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2,449</w:t>
            </w:r>
          </w:p>
        </w:tc>
      </w:tr>
      <w:tr>
        <w:trPr>
          <w:trHeight w:val="264"/>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173,364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173,545</w:t>
            </w:r>
          </w:p>
        </w:tc>
      </w:tr>
      <w:tr>
        <w:trPr>
          <w:trHeight w:val="250"/>
        </w:trPr>
        <w:tc>
          <w:tcPr>
            <w:tcW w:w="5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211,089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211,331</w:t>
            </w:r>
          </w:p>
        </w:tc>
      </w:tr>
      <w:tr>
        <w:trPr>
          <w:trHeight w:val="297"/>
        </w:trPr>
        <w:tc>
          <w:tcPr>
            <w:tcW w:w="5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0"/>
        </w:trPr>
        <w:tc>
          <w:tcPr>
            <w:tcW w:w="558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40,001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40,193</w:t>
            </w:r>
          </w:p>
        </w:tc>
      </w:tr>
      <w:tr>
        <w:trPr>
          <w:trHeight w:val="280"/>
        </w:trPr>
        <w:tc>
          <w:tcPr>
            <w:tcW w:w="5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46,817</w:t>
            </w:r>
          </w:p>
        </w:tc>
      </w:tr>
      <w:tr>
        <w:trPr>
          <w:trHeight w:val="264"/>
        </w:trPr>
        <w:tc>
          <w:tcPr>
            <w:tcW w:w="558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32,236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32,498</w:t>
            </w:r>
          </w:p>
        </w:tc>
      </w:tr>
      <w:tr>
        <w:trPr>
          <w:trHeight w:val="250"/>
        </w:trPr>
        <w:tc>
          <w:tcPr>
            <w:tcW w:w="558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118,684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119,508</w:t>
            </w:r>
          </w:p>
        </w:tc>
      </w:tr>
      <w:tr>
        <w:trPr>
          <w:trHeight w:val="240"/>
        </w:trPr>
        <w:tc>
          <w:tcPr>
            <w:tcW w:w="5580" w:type="dxa"/>
            <w:vAlign w:val="bottom"/>
          </w:tcPr>
          <w:p>
            <w:pPr>
              <w:ind w:left="4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417,332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418,398</w:t>
            </w:r>
          </w:p>
        </w:tc>
      </w:tr>
      <w:tr>
        <w:trPr>
          <w:trHeight w:val="20"/>
        </w:trPr>
        <w:tc>
          <w:tcPr>
            <w:tcW w:w="5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3" w:right="239" w:bottom="1440" w:gutter="0" w:footer="0" w:header="0"/>
        </w:sectPr>
      </w:pPr>
    </w:p>
    <w:bookmarkStart w:id="70" w:name="page71"/>
    <w:bookmarkEnd w:id="70"/>
    <w:p>
      <w:pPr>
        <w:jc w:val="center"/>
        <w:ind w:right="-9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98"/>
        </w:trPr>
        <w:tc>
          <w:tcPr>
            <w:tcW w:w="5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5580" w:type="dxa"/>
            <w:vAlign w:val="bottom"/>
          </w:tcPr>
          <w:p>
            <w:pPr>
              <w:spacing w:after="0"/>
              <w:rPr>
                <w:sz w:val="19"/>
                <w:szCs w:val="19"/>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Gains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5580" w:type="dxa"/>
            <w:vAlign w:val="bottom"/>
          </w:tcPr>
          <w:p>
            <w:pPr>
              <w:ind w:left="280"/>
              <w:spacing w:after="0"/>
              <w:rPr>
                <w:sz w:val="20"/>
                <w:szCs w:val="20"/>
                <w:color w:val="auto"/>
              </w:rPr>
            </w:pPr>
            <w:r>
              <w:rPr>
                <w:rFonts w:ascii="Arial" w:cs="Arial" w:eastAsia="Arial" w:hAnsi="Arial"/>
                <w:sz w:val="16"/>
                <w:szCs w:val="16"/>
                <w:color w:val="auto"/>
              </w:rPr>
              <w:t>Cash</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40,913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40,913</w:t>
            </w:r>
          </w:p>
        </w:tc>
      </w:tr>
      <w:tr>
        <w:trPr>
          <w:trHeight w:val="273"/>
        </w:trPr>
        <w:tc>
          <w:tcPr>
            <w:tcW w:w="5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50"/>
        </w:trPr>
        <w:tc>
          <w:tcPr>
            <w:tcW w:w="5580" w:type="dxa"/>
            <w:vAlign w:val="bottom"/>
          </w:tcPr>
          <w:p>
            <w:pPr>
              <w:ind w:left="600"/>
              <w:spacing w:after="0"/>
              <w:rPr>
                <w:sz w:val="20"/>
                <w:szCs w:val="20"/>
                <w:color w:val="auto"/>
              </w:rPr>
            </w:pPr>
            <w:r>
              <w:rPr>
                <w:rFonts w:ascii="Arial" w:cs="Arial" w:eastAsia="Arial" w:hAnsi="Arial"/>
                <w:sz w:val="16"/>
                <w:szCs w:val="16"/>
                <w:color w:val="auto"/>
              </w:rPr>
              <w:t>Total</w:t>
            </w:r>
          </w:p>
        </w:tc>
        <w:tc>
          <w:tcPr>
            <w:tcW w:w="4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41,026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41,026</w:t>
            </w:r>
          </w:p>
        </w:tc>
      </w:tr>
      <w:tr>
        <w:trPr>
          <w:trHeight w:val="270"/>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4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0"/>
        </w:trPr>
        <w:tc>
          <w:tcPr>
            <w:tcW w:w="558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3,237</w:t>
            </w:r>
          </w:p>
        </w:tc>
      </w:tr>
      <w:tr>
        <w:trPr>
          <w:trHeight w:val="280"/>
        </w:trPr>
        <w:tc>
          <w:tcPr>
            <w:tcW w:w="5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30,822</w:t>
            </w:r>
          </w:p>
        </w:tc>
      </w:tr>
      <w:tr>
        <w:trPr>
          <w:trHeight w:val="260"/>
        </w:trPr>
        <w:tc>
          <w:tcPr>
            <w:tcW w:w="558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10,447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10,432</w:t>
            </w:r>
          </w:p>
        </w:tc>
      </w:tr>
      <w:tr>
        <w:trPr>
          <w:trHeight w:val="273"/>
        </w:trPr>
        <w:tc>
          <w:tcPr>
            <w:tcW w:w="5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203,734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203,649</w:t>
            </w:r>
          </w:p>
        </w:tc>
      </w:tr>
      <w:tr>
        <w:trPr>
          <w:trHeight w:val="250"/>
        </w:trPr>
        <w:tc>
          <w:tcPr>
            <w:tcW w:w="55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248,324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248,140</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0"/>
        </w:trPr>
        <w:tc>
          <w:tcPr>
            <w:tcW w:w="558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22,945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22,927</w:t>
            </w:r>
          </w:p>
        </w:tc>
      </w:tr>
      <w:tr>
        <w:trPr>
          <w:trHeight w:val="280"/>
        </w:trPr>
        <w:tc>
          <w:tcPr>
            <w:tcW w:w="5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18,751</w:t>
            </w:r>
          </w:p>
        </w:tc>
      </w:tr>
      <w:tr>
        <w:trPr>
          <w:trHeight w:val="264"/>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35,322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35,032</w:t>
            </w:r>
          </w:p>
        </w:tc>
      </w:tr>
      <w:tr>
        <w:trPr>
          <w:trHeight w:val="250"/>
        </w:trPr>
        <w:tc>
          <w:tcPr>
            <w:tcW w:w="5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77,071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76,710</w:t>
            </w:r>
          </w:p>
        </w:tc>
      </w:tr>
      <w:tr>
        <w:trPr>
          <w:trHeight w:val="240"/>
        </w:trPr>
        <w:tc>
          <w:tcPr>
            <w:tcW w:w="5580" w:type="dxa"/>
            <w:vAlign w:val="bottom"/>
          </w:tcPr>
          <w:p>
            <w:pPr>
              <w:ind w:left="4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366,421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365,876</w:t>
            </w:r>
          </w:p>
        </w:tc>
      </w:tr>
      <w:tr>
        <w:trPr>
          <w:trHeight w:val="20"/>
        </w:trPr>
        <w:tc>
          <w:tcPr>
            <w:tcW w:w="5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As of December 31, 2019 and 2018, the Company had no investments utilizing level 3 inputs, other than the aforementioned investments in the privately-held company.</w:t>
      </w:r>
    </w:p>
    <w:p>
      <w:pPr>
        <w:spacing w:after="0" w:line="88" w:lineRule="exact"/>
        <w:rPr>
          <w:sz w:val="20"/>
          <w:szCs w:val="20"/>
          <w:color w:val="auto"/>
        </w:rPr>
      </w:pPr>
    </w:p>
    <w:p>
      <w:pPr>
        <w:ind w:right="3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cash equivalents and marketable securities measured on a recurring basis: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64"/>
        </w:trPr>
        <w:tc>
          <w:tcPr>
            <w:tcW w:w="5660" w:type="dxa"/>
            <w:vAlign w:val="bottom"/>
          </w:tcPr>
          <w:p>
            <w:pPr>
              <w:spacing w:after="0"/>
              <w:rPr>
                <w:sz w:val="22"/>
                <w:szCs w:val="22"/>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Level 1</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Level 2</w:t>
            </w: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80"/>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Money market funds</w:t>
            </w:r>
          </w:p>
        </w:tc>
        <w:tc>
          <w:tcPr>
            <w:tcW w:w="134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r>
      <w:tr>
        <w:trPr>
          <w:trHeight w:val="260"/>
        </w:trPr>
        <w:tc>
          <w:tcPr>
            <w:tcW w:w="5660" w:type="dxa"/>
            <w:vAlign w:val="bottom"/>
          </w:tcPr>
          <w:p>
            <w:pPr>
              <w:ind w:left="40"/>
              <w:spacing w:after="0"/>
              <w:rPr>
                <w:sz w:val="20"/>
                <w:szCs w:val="20"/>
                <w:color w:val="auto"/>
              </w:rPr>
            </w:pPr>
            <w:r>
              <w:rPr>
                <w:rFonts w:ascii="Arial" w:cs="Arial" w:eastAsia="Arial" w:hAnsi="Arial"/>
                <w:sz w:val="16"/>
                <w:szCs w:val="16"/>
                <w:color w:val="auto"/>
              </w:rPr>
              <w:t>Commercial paper</w:t>
            </w:r>
          </w:p>
        </w:tc>
        <w:tc>
          <w:tcPr>
            <w:tcW w:w="134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5,638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5,638</w:t>
            </w:r>
          </w:p>
        </w:tc>
      </w:tr>
      <w:tr>
        <w:trPr>
          <w:trHeight w:val="280"/>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13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220,362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220,362</w:t>
            </w:r>
          </w:p>
        </w:tc>
      </w:tr>
      <w:tr>
        <w:trPr>
          <w:trHeight w:val="260"/>
        </w:trPr>
        <w:tc>
          <w:tcPr>
            <w:tcW w:w="566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34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65,596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65,596</w:t>
            </w:r>
          </w:p>
        </w:tc>
      </w:tr>
      <w:tr>
        <w:trPr>
          <w:trHeight w:val="273"/>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3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42,642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42,642</w:t>
            </w:r>
          </w:p>
        </w:tc>
      </w:tr>
      <w:tr>
        <w:trPr>
          <w:trHeight w:val="240"/>
        </w:trPr>
        <w:tc>
          <w:tcPr>
            <w:tcW w:w="5660" w:type="dxa"/>
            <w:vAlign w:val="bottom"/>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top w:val="single" w:sz="8" w:color="auto"/>
              <w:bottom w:val="single" w:sz="8" w:color="auto"/>
            </w:tcBorders>
          </w:tcPr>
          <w:p>
            <w:pPr>
              <w:jc w:val="right"/>
              <w:ind w:right="113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334,238</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334,296</w:t>
            </w:r>
          </w:p>
        </w:tc>
      </w:tr>
      <w:tr>
        <w:trPr>
          <w:trHeight w:val="20"/>
        </w:trPr>
        <w:tc>
          <w:tcPr>
            <w:tcW w:w="5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December 31, 2018</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64"/>
        </w:trPr>
        <w:tc>
          <w:tcPr>
            <w:tcW w:w="5660" w:type="dxa"/>
            <w:vAlign w:val="bottom"/>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Level 2</w:t>
            </w: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80"/>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Money market funds</w:t>
            </w: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r>
      <w:tr>
        <w:trPr>
          <w:trHeight w:val="260"/>
        </w:trPr>
        <w:tc>
          <w:tcPr>
            <w:tcW w:w="5660" w:type="dxa"/>
            <w:vAlign w:val="bottom"/>
          </w:tcPr>
          <w:p>
            <w:pPr>
              <w:ind w:left="40"/>
              <w:spacing w:after="0"/>
              <w:rPr>
                <w:sz w:val="20"/>
                <w:szCs w:val="20"/>
                <w:color w:val="auto"/>
              </w:rPr>
            </w:pPr>
            <w:r>
              <w:rPr>
                <w:rFonts w:ascii="Arial" w:cs="Arial" w:eastAsia="Arial" w:hAnsi="Arial"/>
                <w:sz w:val="16"/>
                <w:szCs w:val="16"/>
                <w:color w:val="auto"/>
              </w:rPr>
              <w:t>Commercial paper</w:t>
            </w:r>
          </w:p>
        </w:tc>
        <w:tc>
          <w:tcPr>
            <w:tcW w:w="13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3,237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3,237</w:t>
            </w:r>
          </w:p>
        </w:tc>
      </w:tr>
      <w:tr>
        <w:trPr>
          <w:trHeight w:val="280"/>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13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222,400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222,400</w:t>
            </w:r>
          </w:p>
        </w:tc>
      </w:tr>
      <w:tr>
        <w:trPr>
          <w:trHeight w:val="260"/>
        </w:trPr>
        <w:tc>
          <w:tcPr>
            <w:tcW w:w="566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3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65,854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65,854</w:t>
            </w:r>
          </w:p>
        </w:tc>
      </w:tr>
      <w:tr>
        <w:trPr>
          <w:trHeight w:val="273"/>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3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33,359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33,359</w:t>
            </w:r>
          </w:p>
        </w:tc>
      </w:tr>
      <w:tr>
        <w:trPr>
          <w:trHeight w:val="240"/>
        </w:trPr>
        <w:tc>
          <w:tcPr>
            <w:tcW w:w="5660" w:type="dxa"/>
            <w:vAlign w:val="bottom"/>
          </w:tcPr>
          <w:p>
            <w:pPr>
              <w:ind w:left="40"/>
              <w:spacing w:after="0"/>
              <w:rPr>
                <w:sz w:val="20"/>
                <w:szCs w:val="20"/>
                <w:color w:val="auto"/>
              </w:rPr>
            </w:pPr>
            <w:r>
              <w:rPr>
                <w:rFonts w:ascii="Arial" w:cs="Arial" w:eastAsia="Arial" w:hAnsi="Arial"/>
                <w:sz w:val="16"/>
                <w:szCs w:val="16"/>
                <w:color w:val="auto"/>
              </w:rPr>
              <w:t>Total</w:t>
            </w:r>
          </w:p>
        </w:tc>
        <w:tc>
          <w:tcPr>
            <w:tcW w:w="1300" w:type="dxa"/>
            <w:vAlign w:val="bottom"/>
            <w:tcBorders>
              <w:top w:val="single" w:sz="8" w:color="auto"/>
              <w:bottom w:val="single" w:sz="8" w:color="auto"/>
            </w:tcBorders>
          </w:tcPr>
          <w:p>
            <w:pPr>
              <w:jc w:val="right"/>
              <w:ind w:right="109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324,850</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324,963</w:t>
            </w:r>
          </w:p>
        </w:tc>
      </w:tr>
      <w:tr>
        <w:trPr>
          <w:trHeight w:val="20"/>
        </w:trPr>
        <w:tc>
          <w:tcPr>
            <w:tcW w:w="5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333"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320"/>
          </w:cols>
          <w:pgMar w:left="240" w:top="333" w:right="3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marketable securities classified as available-for-sale debt securities by contractual maturity: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 2019</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98"/>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After One Year</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9"/>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Mature within</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through Two</w:t>
            </w: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5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One Year</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6"/>
              </w:rPr>
              <w:t>Years</w:t>
            </w: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Over Two Years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5,638</w:t>
            </w:r>
          </w:p>
        </w:tc>
      </w:tr>
      <w:tr>
        <w:trPr>
          <w:trHeight w:val="260"/>
        </w:trPr>
        <w:tc>
          <w:tcPr>
            <w:tcW w:w="558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173,546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46,816</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220,362</w:t>
            </w:r>
          </w:p>
        </w:tc>
      </w:tr>
      <w:tr>
        <w:trPr>
          <w:trHeight w:val="28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23,251</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65,596</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15,550</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24,643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42,642</w:t>
            </w:r>
          </w:p>
        </w:tc>
      </w:tr>
      <w:tr>
        <w:trPr>
          <w:trHeight w:val="24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214,731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85,617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33,890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334,238</w:t>
            </w: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The Company uses a hedging strategy to reduce its exposure to foreign currency exchange rate fluctuations for forecasted subscription renewals and new orders in both GBP and Euro. </w:t>
      </w:r>
      <w:r>
        <w:rPr>
          <w:rFonts w:ascii="Arial" w:cs="Arial" w:eastAsia="Arial" w:hAnsi="Arial"/>
          <w:sz w:val="18"/>
          <w:szCs w:val="18"/>
          <w:color w:val="231F20"/>
        </w:rPr>
        <w:t>The Company uses forward currency contracts accounted for as cash flow hedges against a</w:t>
      </w:r>
      <w:r>
        <w:rPr>
          <w:rFonts w:ascii="Arial" w:cs="Arial" w:eastAsia="Arial" w:hAnsi="Arial"/>
          <w:sz w:val="18"/>
          <w:szCs w:val="18"/>
          <w:color w:val="auto"/>
        </w:rPr>
        <w:t xml:space="preserve"> </w:t>
      </w:r>
      <w:r>
        <w:rPr>
          <w:rFonts w:ascii="Arial" w:cs="Arial" w:eastAsia="Arial" w:hAnsi="Arial"/>
          <w:sz w:val="18"/>
          <w:szCs w:val="18"/>
          <w:color w:val="231F20"/>
        </w:rPr>
        <w:t xml:space="preserve">designated portion of forecasted </w:t>
      </w:r>
      <w:r>
        <w:rPr>
          <w:rFonts w:ascii="Arial" w:cs="Arial" w:eastAsia="Arial" w:hAnsi="Arial"/>
          <w:sz w:val="18"/>
          <w:szCs w:val="18"/>
          <w:color w:val="000000"/>
        </w:rPr>
        <w:t>subscription renewals and new orders</w:t>
      </w:r>
      <w:r>
        <w:rPr>
          <w:rFonts w:ascii="Arial" w:cs="Arial" w:eastAsia="Arial" w:hAnsi="Arial"/>
          <w:sz w:val="18"/>
          <w:szCs w:val="18"/>
          <w:color w:val="231F20"/>
        </w:rPr>
        <w:t xml:space="preserve">. </w:t>
      </w:r>
      <w:r>
        <w:rPr>
          <w:rFonts w:ascii="Arial" w:cs="Arial" w:eastAsia="Arial" w:hAnsi="Arial"/>
          <w:sz w:val="18"/>
          <w:szCs w:val="18"/>
          <w:color w:val="000000"/>
        </w:rPr>
        <w:t>Upon executing a hedging contract and periodically thereafter, the</w:t>
      </w:r>
      <w:r>
        <w:rPr>
          <w:rFonts w:ascii="Arial" w:cs="Arial" w:eastAsia="Arial" w:hAnsi="Arial"/>
          <w:sz w:val="18"/>
          <w:szCs w:val="18"/>
          <w:color w:val="231F20"/>
        </w:rPr>
        <w:t xml:space="preserve"> </w:t>
      </w:r>
      <w:r>
        <w:rPr>
          <w:rFonts w:ascii="Arial" w:cs="Arial" w:eastAsia="Arial" w:hAnsi="Arial"/>
          <w:sz w:val="18"/>
          <w:szCs w:val="18"/>
          <w:color w:val="000000"/>
        </w:rPr>
        <w:t>Company assesses hedge effectiveness using regression analysis. The Company includes time value in its effectiveness testing and the changes in the value of hedge contracts is recorded as unrealized gains or losses in AOCI within stockholders’ equity on the Company's consolidated balance sheet as of December 31, 2019. The unrealized gains or losses in AOCI will be reclassified into revenue when the respective hedged transactions affect earnings. As of December 31, 2019, the net amount of unrealized gains and losses related to the hedged forecasted transactions reported in AOCI that is expected to be reclassified into revenue within the next 12 months was $0.7 million gains, net of losses (before taxes).</w:t>
      </w:r>
    </w:p>
    <w:p>
      <w:pPr>
        <w:spacing w:after="0" w:line="10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At December 31, 2019, the Company had 26 open designated cash flow hedge forward contracts with notional amounts of €24.2 million and £9.7 million. During the fiscal year ended December 31, 2019, the Company recorded $0.7 million of unrealized foreign exchange gains, net of losses (before taxes) related to the designated cash flow hedge contracts in AOCI. During the fiscal year ended December 31, 2019, $0.2 million of gains, net of losses (before tax) were realized and reclassified into revenue.</w:t>
      </w:r>
    </w:p>
    <w:p>
      <w:pPr>
        <w:spacing w:after="0" w:line="9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At December 31, 2018, the Company had 12 open cash flow hedge contracts with notional amount of €12.9 million and £4.1 million. The unrealized foreign exchange losses on these contracts recorded in AOCI were insignificant.</w:t>
      </w:r>
    </w:p>
    <w:p>
      <w:pPr>
        <w:spacing w:after="0" w:line="8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2019</w:t>
      </w:r>
      <w:r>
        <w:rPr>
          <w:rFonts w:ascii="Arial" w:cs="Arial" w:eastAsia="Arial" w:hAnsi="Arial"/>
          <w:sz w:val="18"/>
          <w:szCs w:val="18"/>
          <w:color w:val="231F20"/>
        </w:rPr>
        <w:t>, the Company had 15 outstanding non-designated forward contracts with notional amounts of €20.0 million</w:t>
      </w:r>
      <w:r>
        <w:rPr>
          <w:rFonts w:ascii="Arial" w:cs="Arial" w:eastAsia="Arial" w:hAnsi="Arial"/>
          <w:sz w:val="18"/>
          <w:szCs w:val="18"/>
          <w:color w:val="000000"/>
        </w:rPr>
        <w:t>,</w:t>
      </w:r>
      <w:r>
        <w:rPr>
          <w:rFonts w:ascii="Arial" w:cs="Arial" w:eastAsia="Arial" w:hAnsi="Arial"/>
          <w:sz w:val="18"/>
          <w:szCs w:val="18"/>
          <w:color w:val="231F20"/>
        </w:rPr>
        <w:t xml:space="preserve"> £5.6 million and ₨756.0 million which will mature at various dates through January 2021. At </w:t>
      </w:r>
      <w:r>
        <w:rPr>
          <w:rFonts w:ascii="Arial" w:cs="Arial" w:eastAsia="Arial" w:hAnsi="Arial"/>
          <w:sz w:val="18"/>
          <w:szCs w:val="18"/>
          <w:color w:val="000000"/>
        </w:rPr>
        <w:t>December 31, 2018</w:t>
      </w:r>
      <w:r>
        <w:rPr>
          <w:rFonts w:ascii="Arial" w:cs="Arial" w:eastAsia="Arial" w:hAnsi="Arial"/>
          <w:sz w:val="18"/>
          <w:szCs w:val="18"/>
          <w:color w:val="231F20"/>
        </w:rPr>
        <w:t xml:space="preserve">, the Company had </w:t>
      </w:r>
      <w:r>
        <w:rPr>
          <w:rFonts w:ascii="Arial" w:cs="Arial" w:eastAsia="Arial" w:hAnsi="Arial"/>
          <w:sz w:val="18"/>
          <w:szCs w:val="18"/>
          <w:color w:val="000000"/>
        </w:rPr>
        <w:t xml:space="preserve">two non-designated </w:t>
      </w:r>
      <w:r>
        <w:rPr>
          <w:rFonts w:ascii="Arial" w:cs="Arial" w:eastAsia="Arial" w:hAnsi="Arial"/>
          <w:sz w:val="18"/>
          <w:szCs w:val="18"/>
          <w:color w:val="231F20"/>
        </w:rPr>
        <w:t>outstanding forward contracts with notional amounts of €16.0 million and £6.3 million</w:t>
      </w:r>
      <w:r>
        <w:rPr>
          <w:rFonts w:ascii="Arial" w:cs="Arial" w:eastAsia="Arial" w:hAnsi="Arial"/>
          <w:sz w:val="18"/>
          <w:szCs w:val="18"/>
          <w:color w:val="000000"/>
        </w:rPr>
        <w: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derivative financial instruments as of December 31, 2019 and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64"/>
        </w:trPr>
        <w:tc>
          <w:tcPr>
            <w:tcW w:w="7960" w:type="dxa"/>
            <w:vAlign w:val="bottom"/>
            <w:tcBorders>
              <w:bottom w:val="single" w:sz="8" w:color="BFE4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r>
      <w:tr>
        <w:trPr>
          <w:trHeight w:val="257"/>
        </w:trPr>
        <w:tc>
          <w:tcPr>
            <w:tcW w:w="7960" w:type="dxa"/>
            <w:vAlign w:val="bottom"/>
            <w:shd w:val="clear" w:color="auto" w:fill="BFE4FF"/>
          </w:tcPr>
          <w:p>
            <w:pPr>
              <w:ind w:left="40"/>
              <w:spacing w:after="0"/>
              <w:rPr>
                <w:sz w:val="20"/>
                <w:szCs w:val="20"/>
                <w:color w:val="auto"/>
              </w:rPr>
            </w:pPr>
            <w:r>
              <w:rPr>
                <w:rFonts w:ascii="Arial" w:cs="Arial" w:eastAsia="Arial" w:hAnsi="Arial"/>
                <w:sz w:val="16"/>
                <w:szCs w:val="16"/>
                <w:b w:val="1"/>
                <w:bCs w:val="1"/>
                <w:color w:val="auto"/>
              </w:rPr>
              <w:t>Assets:</w:t>
            </w:r>
          </w:p>
        </w:tc>
        <w:tc>
          <w:tcPr>
            <w:tcW w:w="1000" w:type="dxa"/>
            <w:vAlign w:val="bottom"/>
            <w:shd w:val="clear" w:color="auto" w:fill="BFE4FF"/>
          </w:tcPr>
          <w:p>
            <w:pPr>
              <w:spacing w:after="0"/>
              <w:rPr>
                <w:sz w:val="22"/>
                <w:szCs w:val="22"/>
                <w:color w:val="auto"/>
              </w:rPr>
            </w:pPr>
          </w:p>
        </w:tc>
        <w:tc>
          <w:tcPr>
            <w:tcW w:w="1300" w:type="dxa"/>
            <w:vAlign w:val="bottom"/>
            <w:gridSpan w:val="3"/>
            <w:shd w:val="clear" w:color="auto" w:fill="BFE4FF"/>
          </w:tcPr>
          <w:p>
            <w:pPr>
              <w:jc w:val="right"/>
              <w:spacing w:after="0"/>
              <w:rPr>
                <w:sz w:val="20"/>
                <w:szCs w:val="20"/>
                <w:color w:val="auto"/>
              </w:rPr>
            </w:pPr>
            <w:r>
              <w:rPr>
                <w:rFonts w:ascii="Arial" w:cs="Arial" w:eastAsia="Arial" w:hAnsi="Arial"/>
                <w:sz w:val="16"/>
                <w:szCs w:val="16"/>
                <w:b w:val="1"/>
                <w:bCs w:val="1"/>
                <w:color w:val="auto"/>
              </w:rPr>
              <w:t>(in thousands)</w:t>
            </w:r>
          </w:p>
        </w:tc>
        <w:tc>
          <w:tcPr>
            <w:tcW w:w="98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r>
      <w:tr>
        <w:trPr>
          <w:trHeight w:val="260"/>
        </w:trPr>
        <w:tc>
          <w:tcPr>
            <w:tcW w:w="7960" w:type="dxa"/>
            <w:vAlign w:val="bottom"/>
          </w:tcPr>
          <w:p>
            <w:pPr>
              <w:ind w:left="40"/>
              <w:spacing w:after="0"/>
              <w:rPr>
                <w:sz w:val="20"/>
                <w:szCs w:val="20"/>
                <w:color w:val="auto"/>
              </w:rPr>
            </w:pPr>
            <w:r>
              <w:rPr>
                <w:rFonts w:ascii="Arial" w:cs="Arial" w:eastAsia="Arial" w:hAnsi="Arial"/>
                <w:sz w:val="16"/>
                <w:szCs w:val="16"/>
                <w:color w:val="auto"/>
              </w:rPr>
              <w:t>Foreign currency forward contracts designated as cash flow hedge</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2"/>
                <w:szCs w:val="22"/>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r>
      <w:tr>
        <w:trPr>
          <w:trHeight w:val="280"/>
        </w:trPr>
        <w:tc>
          <w:tcPr>
            <w:tcW w:w="7960" w:type="dxa"/>
            <w:vAlign w:val="bottom"/>
            <w:shd w:val="clear" w:color="auto" w:fill="BFE4FF"/>
          </w:tcPr>
          <w:p>
            <w:pPr>
              <w:ind w:left="40"/>
              <w:spacing w:after="0"/>
              <w:rPr>
                <w:sz w:val="20"/>
                <w:szCs w:val="20"/>
                <w:color w:val="auto"/>
              </w:rPr>
            </w:pPr>
            <w:r>
              <w:rPr>
                <w:rFonts w:ascii="Arial" w:cs="Arial" w:eastAsia="Arial" w:hAnsi="Arial"/>
                <w:sz w:val="16"/>
                <w:szCs w:val="16"/>
                <w:color w:val="auto"/>
              </w:rPr>
              <w:t>Foreign currency forward contracts not designated as hedging instruments</w:t>
            </w:r>
          </w:p>
        </w:tc>
        <w:tc>
          <w:tcPr>
            <w:tcW w:w="1000" w:type="dxa"/>
            <w:vAlign w:val="bottom"/>
            <w:shd w:val="clear" w:color="auto" w:fill="BFE4FF"/>
          </w:tcPr>
          <w:p>
            <w:pPr>
              <w:spacing w:after="0"/>
              <w:rPr>
                <w:sz w:val="24"/>
                <w:szCs w:val="24"/>
                <w:color w:val="auto"/>
              </w:rPr>
            </w:pPr>
          </w:p>
        </w:tc>
        <w:tc>
          <w:tcPr>
            <w:tcW w:w="6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BFE4FF"/>
          </w:tcPr>
          <w:p>
            <w:pPr>
              <w:spacing w:after="0"/>
              <w:rPr>
                <w:sz w:val="24"/>
                <w:szCs w:val="24"/>
                <w:color w:val="auto"/>
              </w:rPr>
            </w:pPr>
          </w:p>
        </w:tc>
        <w:tc>
          <w:tcPr>
            <w:tcW w:w="600" w:type="dxa"/>
            <w:vAlign w:val="bottom"/>
            <w:shd w:val="clear" w:color="auto" w:fill="BFE4FF"/>
          </w:tcPr>
          <w:p>
            <w:pPr>
              <w:spacing w:after="0"/>
              <w:rPr>
                <w:sz w:val="24"/>
                <w:szCs w:val="24"/>
                <w:color w:val="auto"/>
              </w:rPr>
            </w:pPr>
          </w:p>
        </w:tc>
        <w:tc>
          <w:tcPr>
            <w:tcW w:w="110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r>
      <w:tr>
        <w:trPr>
          <w:trHeight w:val="274"/>
        </w:trPr>
        <w:tc>
          <w:tcPr>
            <w:tcW w:w="7960" w:type="dxa"/>
            <w:vAlign w:val="bottom"/>
            <w:tcBorders>
              <w:bottom w:val="single" w:sz="8" w:color="BFE4FF"/>
            </w:tcBorders>
          </w:tcPr>
          <w:p>
            <w:pPr>
              <w:ind w:left="260"/>
              <w:spacing w:after="0"/>
              <w:rPr>
                <w:sz w:val="20"/>
                <w:szCs w:val="20"/>
                <w:color w:val="auto"/>
              </w:rPr>
            </w:pPr>
            <w:r>
              <w:rPr>
                <w:rFonts w:ascii="Arial" w:cs="Arial" w:eastAsia="Arial" w:hAnsi="Arial"/>
                <w:sz w:val="16"/>
                <w:szCs w:val="16"/>
                <w:b w:val="1"/>
                <w:bCs w:val="1"/>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942</w:t>
            </w:r>
          </w:p>
        </w:tc>
        <w:tc>
          <w:tcPr>
            <w:tcW w:w="100" w:type="dxa"/>
            <w:vAlign w:val="bottom"/>
            <w:tcBorders>
              <w:bottom w:val="single" w:sz="8" w:color="BFE4FF"/>
            </w:tcBorders>
          </w:tcPr>
          <w:p>
            <w:pPr>
              <w:spacing w:after="0"/>
              <w:rPr>
                <w:sz w:val="23"/>
                <w:szCs w:val="23"/>
                <w:color w:val="auto"/>
              </w:rPr>
            </w:pP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BFE4FF"/>
            </w:tcBorders>
          </w:tcPr>
          <w:p>
            <w:pPr>
              <w:spacing w:after="0"/>
              <w:rPr>
                <w:sz w:val="23"/>
                <w:szCs w:val="23"/>
                <w:color w:val="auto"/>
              </w:rPr>
            </w:pPr>
          </w:p>
        </w:tc>
      </w:tr>
      <w:tr>
        <w:trPr>
          <w:trHeight w:val="254"/>
        </w:trPr>
        <w:tc>
          <w:tcPr>
            <w:tcW w:w="7960" w:type="dxa"/>
            <w:vAlign w:val="bottom"/>
            <w:shd w:val="clear" w:color="auto" w:fill="BFE4FF"/>
          </w:tcPr>
          <w:p>
            <w:pPr>
              <w:ind w:left="40"/>
              <w:spacing w:after="0"/>
              <w:rPr>
                <w:sz w:val="20"/>
                <w:szCs w:val="20"/>
                <w:color w:val="auto"/>
              </w:rPr>
            </w:pPr>
            <w:r>
              <w:rPr>
                <w:rFonts w:ascii="Arial" w:cs="Arial" w:eastAsia="Arial" w:hAnsi="Arial"/>
                <w:sz w:val="16"/>
                <w:szCs w:val="16"/>
                <w:b w:val="1"/>
                <w:bCs w:val="1"/>
                <w:color w:val="auto"/>
              </w:rPr>
              <w:t>Liabilities:</w:t>
            </w:r>
          </w:p>
        </w:tc>
        <w:tc>
          <w:tcPr>
            <w:tcW w:w="1000" w:type="dxa"/>
            <w:vAlign w:val="bottom"/>
            <w:shd w:val="clear" w:color="auto" w:fill="BFE4FF"/>
          </w:tcPr>
          <w:p>
            <w:pPr>
              <w:spacing w:after="0"/>
              <w:rPr>
                <w:sz w:val="22"/>
                <w:szCs w:val="22"/>
                <w:color w:val="auto"/>
              </w:rPr>
            </w:pPr>
          </w:p>
        </w:tc>
        <w:tc>
          <w:tcPr>
            <w:tcW w:w="60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600" w:type="dxa"/>
            <w:vAlign w:val="bottom"/>
            <w:shd w:val="clear" w:color="auto" w:fill="BFE4FF"/>
          </w:tcPr>
          <w:p>
            <w:pPr>
              <w:spacing w:after="0"/>
              <w:rPr>
                <w:sz w:val="22"/>
                <w:szCs w:val="22"/>
                <w:color w:val="auto"/>
              </w:rPr>
            </w:pPr>
          </w:p>
        </w:tc>
        <w:tc>
          <w:tcPr>
            <w:tcW w:w="98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r>
      <w:tr>
        <w:trPr>
          <w:trHeight w:val="260"/>
        </w:trPr>
        <w:tc>
          <w:tcPr>
            <w:tcW w:w="7960" w:type="dxa"/>
            <w:vAlign w:val="bottom"/>
          </w:tcPr>
          <w:p>
            <w:pPr>
              <w:ind w:left="40"/>
              <w:spacing w:after="0"/>
              <w:rPr>
                <w:sz w:val="20"/>
                <w:szCs w:val="20"/>
                <w:color w:val="auto"/>
              </w:rPr>
            </w:pPr>
            <w:r>
              <w:rPr>
                <w:rFonts w:ascii="Arial" w:cs="Arial" w:eastAsia="Arial" w:hAnsi="Arial"/>
                <w:sz w:val="16"/>
                <w:szCs w:val="16"/>
                <w:color w:val="auto"/>
              </w:rPr>
              <w:t>Foreign currency forward contracts designated as cash flow hedge</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2"/>
                <w:szCs w:val="22"/>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r>
      <w:tr>
        <w:trPr>
          <w:trHeight w:val="280"/>
        </w:trPr>
        <w:tc>
          <w:tcPr>
            <w:tcW w:w="7960" w:type="dxa"/>
            <w:vAlign w:val="bottom"/>
            <w:shd w:val="clear" w:color="auto" w:fill="BFE4FF"/>
          </w:tcPr>
          <w:p>
            <w:pPr>
              <w:ind w:left="40"/>
              <w:spacing w:after="0"/>
              <w:rPr>
                <w:sz w:val="20"/>
                <w:szCs w:val="20"/>
                <w:color w:val="auto"/>
              </w:rPr>
            </w:pPr>
            <w:r>
              <w:rPr>
                <w:rFonts w:ascii="Arial" w:cs="Arial" w:eastAsia="Arial" w:hAnsi="Arial"/>
                <w:sz w:val="16"/>
                <w:szCs w:val="16"/>
                <w:color w:val="auto"/>
              </w:rPr>
              <w:t>Foreign currency forward contracts not designated as hedging instruments</w:t>
            </w:r>
          </w:p>
        </w:tc>
        <w:tc>
          <w:tcPr>
            <w:tcW w:w="1000" w:type="dxa"/>
            <w:vAlign w:val="bottom"/>
            <w:tcBorders>
              <w:bottom w:val="single" w:sz="8" w:color="auto"/>
            </w:tcBorders>
            <w:shd w:val="clear" w:color="auto" w:fill="BFE4FF"/>
          </w:tcPr>
          <w:p>
            <w:pPr>
              <w:spacing w:after="0"/>
              <w:rPr>
                <w:sz w:val="24"/>
                <w:szCs w:val="24"/>
                <w:color w:val="auto"/>
              </w:rPr>
            </w:pPr>
          </w:p>
        </w:tc>
        <w:tc>
          <w:tcPr>
            <w:tcW w:w="6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BFE4FF"/>
          </w:tcPr>
          <w:p>
            <w:pPr>
              <w:spacing w:after="0"/>
              <w:rPr>
                <w:sz w:val="24"/>
                <w:szCs w:val="24"/>
                <w:color w:val="auto"/>
              </w:rPr>
            </w:pPr>
          </w:p>
        </w:tc>
        <w:tc>
          <w:tcPr>
            <w:tcW w:w="600" w:type="dxa"/>
            <w:vAlign w:val="bottom"/>
            <w:tcBorders>
              <w:bottom w:val="single" w:sz="8" w:color="auto"/>
            </w:tcBorders>
            <w:shd w:val="clear" w:color="auto" w:fill="BFE4FF"/>
          </w:tcPr>
          <w:p>
            <w:pPr>
              <w:spacing w:after="0"/>
              <w:rPr>
                <w:sz w:val="24"/>
                <w:szCs w:val="24"/>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BFE4FF"/>
          </w:tcPr>
          <w:p>
            <w:pPr>
              <w:spacing w:after="0"/>
              <w:rPr>
                <w:sz w:val="24"/>
                <w:szCs w:val="24"/>
                <w:color w:val="auto"/>
              </w:rPr>
            </w:pPr>
          </w:p>
        </w:tc>
      </w:tr>
      <w:tr>
        <w:trPr>
          <w:trHeight w:val="234"/>
        </w:trPr>
        <w:tc>
          <w:tcPr>
            <w:tcW w:w="796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r>
      <w:tr>
        <w:trPr>
          <w:trHeight w:val="20"/>
        </w:trPr>
        <w:tc>
          <w:tcPr>
            <w:tcW w:w="7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All foreign currency forward contracts were valued at fair value using level 2 inputs.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3" w:right="239" w:bottom="1440" w:gutter="0" w:footer="0" w:header="0"/>
        </w:sectPr>
      </w:pPr>
    </w:p>
    <w:bookmarkStart w:id="72" w:name="page73"/>
    <w:bookmarkEnd w:id="72"/>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The following summarizes the gains (losses) recognized in other income (expense), net, on the consolidated statements of operations, from forward contracts and other foreign currency transactions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64"/>
        </w:trPr>
        <w:tc>
          <w:tcPr>
            <w:tcW w:w="5660" w:type="dxa"/>
            <w:vAlign w:val="bottom"/>
            <w:tcBorders>
              <w:bottom w:val="single" w:sz="8" w:color="BFE4FF"/>
            </w:tcBorders>
          </w:tcPr>
          <w:p>
            <w:pPr>
              <w:spacing w:after="0"/>
              <w:rPr>
                <w:sz w:val="22"/>
                <w:szCs w:val="22"/>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BFE4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r>
      <w:tr>
        <w:trPr>
          <w:trHeight w:val="256"/>
        </w:trPr>
        <w:tc>
          <w:tcPr>
            <w:tcW w:w="5660" w:type="dxa"/>
            <w:vAlign w:val="bottom"/>
            <w:shd w:val="clear" w:color="auto" w:fill="BFE4FF"/>
          </w:tcPr>
          <w:p>
            <w:pPr>
              <w:ind w:left="40"/>
              <w:spacing w:after="0"/>
              <w:rPr>
                <w:sz w:val="20"/>
                <w:szCs w:val="20"/>
                <w:color w:val="auto"/>
              </w:rPr>
            </w:pPr>
            <w:r>
              <w:rPr>
                <w:rFonts w:ascii="Arial" w:cs="Arial" w:eastAsia="Arial" w:hAnsi="Arial"/>
                <w:sz w:val="16"/>
                <w:szCs w:val="16"/>
                <w:color w:val="auto"/>
              </w:rPr>
              <w:t>Net gains (losses) from forward contracts</w:t>
            </w:r>
          </w:p>
        </w:tc>
        <w:tc>
          <w:tcPr>
            <w:tcW w:w="1240" w:type="dxa"/>
            <w:vAlign w:val="bottom"/>
            <w:shd w:val="clear" w:color="auto" w:fill="BFE4FF"/>
          </w:tcPr>
          <w:p>
            <w:pPr>
              <w:jc w:val="right"/>
              <w:ind w:right="1068"/>
              <w:spacing w:after="0"/>
              <w:rPr>
                <w:sz w:val="20"/>
                <w:szCs w:val="20"/>
                <w:color w:val="auto"/>
              </w:rPr>
            </w:pPr>
            <w:r>
              <w:rPr>
                <w:rFonts w:ascii="Arial" w:cs="Arial" w:eastAsia="Arial" w:hAnsi="Arial"/>
                <w:sz w:val="14"/>
                <w:szCs w:val="14"/>
                <w:color w:val="auto"/>
              </w:rPr>
              <w:t>$</w:t>
            </w:r>
          </w:p>
        </w:tc>
        <w:tc>
          <w:tcPr>
            <w:tcW w:w="5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438</w:t>
            </w:r>
          </w:p>
        </w:tc>
        <w:tc>
          <w:tcPr>
            <w:tcW w:w="540" w:type="dxa"/>
            <w:vAlign w:val="bottom"/>
            <w:gridSpan w:val="2"/>
            <w:shd w:val="clear" w:color="auto" w:fill="BFE4FF"/>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BFE4FF"/>
          </w:tcPr>
          <w:p>
            <w:pPr>
              <w:spacing w:after="0"/>
              <w:rPr>
                <w:sz w:val="22"/>
                <w:szCs w:val="22"/>
                <w:color w:val="auto"/>
              </w:rPr>
            </w:pPr>
          </w:p>
        </w:tc>
        <w:tc>
          <w:tcPr>
            <w:tcW w:w="420" w:type="dxa"/>
            <w:vAlign w:val="bottom"/>
            <w:shd w:val="clear" w:color="auto" w:fill="BFE4FF"/>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(1,665)</w:t>
            </w:r>
          </w:p>
        </w:tc>
      </w:tr>
      <w:tr>
        <w:trPr>
          <w:trHeight w:val="264"/>
        </w:trPr>
        <w:tc>
          <w:tcPr>
            <w:tcW w:w="5660" w:type="dxa"/>
            <w:vAlign w:val="bottom"/>
            <w:tcBorders>
              <w:bottom w:val="single" w:sz="8" w:color="BFE4FF"/>
            </w:tcBorders>
          </w:tcPr>
          <w:p>
            <w:pPr>
              <w:ind w:left="40"/>
              <w:spacing w:after="0"/>
              <w:rPr>
                <w:sz w:val="20"/>
                <w:szCs w:val="20"/>
                <w:color w:val="auto"/>
              </w:rPr>
            </w:pPr>
            <w:r>
              <w:rPr>
                <w:rFonts w:ascii="Arial" w:cs="Arial" w:eastAsia="Arial" w:hAnsi="Arial"/>
                <w:sz w:val="16"/>
                <w:szCs w:val="16"/>
                <w:color w:val="auto"/>
              </w:rPr>
              <w:t>Other foreign currency transaction (losses) gains</w:t>
            </w:r>
          </w:p>
        </w:tc>
        <w:tc>
          <w:tcPr>
            <w:tcW w:w="1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(792)</w:t>
            </w:r>
          </w:p>
        </w:tc>
        <w:tc>
          <w:tcPr>
            <w:tcW w:w="120" w:type="dxa"/>
            <w:vAlign w:val="bottom"/>
            <w:tcBorders>
              <w:bottom w:val="single" w:sz="8" w:color="BFE4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Borders>
              <w:bottom w:val="single" w:sz="8" w:color="BFE4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1,310</w:t>
            </w:r>
          </w:p>
        </w:tc>
      </w:tr>
      <w:tr>
        <w:trPr>
          <w:trHeight w:val="256"/>
        </w:trPr>
        <w:tc>
          <w:tcPr>
            <w:tcW w:w="5660" w:type="dxa"/>
            <w:vAlign w:val="bottom"/>
            <w:shd w:val="clear" w:color="auto" w:fill="BFE4FF"/>
          </w:tcPr>
          <w:p>
            <w:pPr>
              <w:ind w:left="260"/>
              <w:spacing w:after="0"/>
              <w:rPr>
                <w:sz w:val="20"/>
                <w:szCs w:val="20"/>
                <w:color w:val="auto"/>
              </w:rPr>
            </w:pPr>
            <w:r>
              <w:rPr>
                <w:rFonts w:ascii="Arial" w:cs="Arial" w:eastAsia="Arial" w:hAnsi="Arial"/>
                <w:sz w:val="16"/>
                <w:szCs w:val="16"/>
                <w:color w:val="auto"/>
              </w:rPr>
              <w:t>Total foreign exchange loss, net</w:t>
            </w:r>
          </w:p>
        </w:tc>
        <w:tc>
          <w:tcPr>
            <w:tcW w:w="1240" w:type="dxa"/>
            <w:vAlign w:val="bottom"/>
            <w:tcBorders>
              <w:bottom w:val="single" w:sz="8" w:color="auto"/>
            </w:tcBorders>
            <w:shd w:val="clear" w:color="auto" w:fill="BFE4FF"/>
          </w:tcPr>
          <w:p>
            <w:pPr>
              <w:spacing w:after="0"/>
              <w:rPr>
                <w:sz w:val="22"/>
                <w:szCs w:val="22"/>
                <w:color w:val="auto"/>
              </w:rPr>
            </w:pPr>
          </w:p>
        </w:tc>
        <w:tc>
          <w:tcPr>
            <w:tcW w:w="58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BFE4FF"/>
          </w:tcPr>
          <w:p>
            <w:pPr>
              <w:spacing w:after="0"/>
              <w:rPr>
                <w:sz w:val="22"/>
                <w:szCs w:val="22"/>
                <w:color w:val="auto"/>
              </w:rPr>
            </w:pPr>
          </w:p>
        </w:tc>
        <w:tc>
          <w:tcPr>
            <w:tcW w:w="420" w:type="dxa"/>
            <w:vAlign w:val="bottom"/>
            <w:tcBorders>
              <w:bottom w:val="single" w:sz="8" w:color="auto"/>
            </w:tcBorders>
            <w:shd w:val="clear" w:color="auto" w:fill="BFE4FF"/>
          </w:tcPr>
          <w:p>
            <w:pPr>
              <w:spacing w:after="0"/>
              <w:rPr>
                <w:sz w:val="22"/>
                <w:szCs w:val="22"/>
                <w:color w:val="auto"/>
              </w:rPr>
            </w:pPr>
          </w:p>
        </w:tc>
        <w:tc>
          <w:tcPr>
            <w:tcW w:w="13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(577)</w:t>
            </w:r>
          </w:p>
        </w:tc>
        <w:tc>
          <w:tcPr>
            <w:tcW w:w="100" w:type="dxa"/>
            <w:vAlign w:val="bottom"/>
            <w:shd w:val="clear" w:color="auto" w:fill="BFE4FF"/>
          </w:tcPr>
          <w:p>
            <w:pPr>
              <w:spacing w:after="0"/>
              <w:rPr>
                <w:sz w:val="22"/>
                <w:szCs w:val="22"/>
                <w:color w:val="auto"/>
              </w:rPr>
            </w:pPr>
          </w:p>
        </w:tc>
        <w:tc>
          <w:tcPr>
            <w:tcW w:w="420" w:type="dxa"/>
            <w:vAlign w:val="bottom"/>
            <w:tcBorders>
              <w:bottom w:val="single" w:sz="8" w:color="auto"/>
            </w:tcBorders>
            <w:shd w:val="clear" w:color="auto" w:fill="BFE4FF"/>
          </w:tcPr>
          <w:p>
            <w:pPr>
              <w:spacing w:after="0"/>
              <w:rPr>
                <w:sz w:val="22"/>
                <w:szCs w:val="22"/>
                <w:color w:val="auto"/>
              </w:rPr>
            </w:pPr>
          </w:p>
        </w:tc>
        <w:tc>
          <w:tcPr>
            <w:tcW w:w="13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(355)</w:t>
            </w:r>
          </w:p>
        </w:tc>
      </w:tr>
      <w:tr>
        <w:trPr>
          <w:trHeight w:val="244"/>
        </w:trPr>
        <w:tc>
          <w:tcPr>
            <w:tcW w:w="5660" w:type="dxa"/>
            <w:vAlign w:val="bottom"/>
            <w:tcBorders>
              <w:bottom w:val="single" w:sz="8" w:color="BFE4FF"/>
            </w:tcBorders>
          </w:tcPr>
          <w:p>
            <w:pPr>
              <w:ind w:left="40"/>
              <w:spacing w:after="0"/>
              <w:rPr>
                <w:sz w:val="20"/>
                <w:szCs w:val="20"/>
                <w:color w:val="auto"/>
              </w:rPr>
            </w:pPr>
            <w:r>
              <w:rPr>
                <w:rFonts w:ascii="Arial" w:cs="Arial" w:eastAsia="Arial" w:hAnsi="Arial"/>
                <w:sz w:val="16"/>
                <w:szCs w:val="16"/>
                <w:color w:val="auto"/>
              </w:rPr>
              <w:t>Other expenses</w:t>
            </w:r>
          </w:p>
        </w:tc>
        <w:tc>
          <w:tcPr>
            <w:tcW w:w="1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BFE4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BFE4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r>
      <w:tr>
        <w:trPr>
          <w:trHeight w:val="240"/>
        </w:trPr>
        <w:tc>
          <w:tcPr>
            <w:tcW w:w="5660" w:type="dxa"/>
            <w:vAlign w:val="bottom"/>
            <w:shd w:val="clear" w:color="auto" w:fill="BFE4FF"/>
          </w:tcPr>
          <w:p>
            <w:pPr>
              <w:ind w:left="220"/>
              <w:spacing w:after="0"/>
              <w:rPr>
                <w:sz w:val="20"/>
                <w:szCs w:val="20"/>
                <w:color w:val="auto"/>
              </w:rPr>
            </w:pPr>
            <w:r>
              <w:rPr>
                <w:rFonts w:ascii="Arial" w:cs="Arial" w:eastAsia="Arial" w:hAnsi="Arial"/>
                <w:sz w:val="16"/>
                <w:szCs w:val="16"/>
                <w:color w:val="auto"/>
              </w:rPr>
              <w:t>Other income (expense), net</w:t>
            </w:r>
          </w:p>
        </w:tc>
        <w:tc>
          <w:tcPr>
            <w:tcW w:w="1240" w:type="dxa"/>
            <w:vAlign w:val="bottom"/>
            <w:shd w:val="clear" w:color="auto" w:fill="BFE4FF"/>
          </w:tcPr>
          <w:p>
            <w:pPr>
              <w:jc w:val="right"/>
              <w:ind w:right="1068"/>
              <w:spacing w:after="0"/>
              <w:rPr>
                <w:sz w:val="20"/>
                <w:szCs w:val="20"/>
                <w:color w:val="auto"/>
              </w:rPr>
            </w:pPr>
            <w:r>
              <w:rPr>
                <w:rFonts w:ascii="Arial" w:cs="Arial" w:eastAsia="Arial" w:hAnsi="Arial"/>
                <w:sz w:val="14"/>
                <w:szCs w:val="14"/>
                <w:color w:val="auto"/>
              </w:rPr>
              <w:t>$</w:t>
            </w:r>
          </w:p>
        </w:tc>
        <w:tc>
          <w:tcPr>
            <w:tcW w:w="5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(607)</w:t>
            </w:r>
          </w:p>
        </w:tc>
        <w:tc>
          <w:tcPr>
            <w:tcW w:w="540" w:type="dxa"/>
            <w:vAlign w:val="bottom"/>
            <w:gridSpan w:val="2"/>
            <w:shd w:val="clear" w:color="auto" w:fill="BFE4FF"/>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BFE4FF"/>
          </w:tcPr>
          <w:p>
            <w:pPr>
              <w:spacing w:after="0"/>
              <w:rPr>
                <w:sz w:val="20"/>
                <w:szCs w:val="20"/>
                <w:color w:val="auto"/>
              </w:rPr>
            </w:pPr>
          </w:p>
        </w:tc>
        <w:tc>
          <w:tcPr>
            <w:tcW w:w="420" w:type="dxa"/>
            <w:vAlign w:val="bottom"/>
            <w:shd w:val="clear" w:color="auto" w:fill="BFE4FF"/>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(536)</w:t>
            </w:r>
          </w:p>
        </w:tc>
      </w:tr>
      <w:tr>
        <w:trPr>
          <w:trHeight w:val="20"/>
        </w:trPr>
        <w:tc>
          <w:tcPr>
            <w:tcW w:w="5660" w:type="dxa"/>
            <w:vAlign w:val="bottom"/>
            <w:tcBorders>
              <w:top w:val="single" w:sz="8" w:color="BFE4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Property and Equipment, Net</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which includes assets under finance lease,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9"/>
                <w:szCs w:val="19"/>
                <w:color w:val="auto"/>
              </w:rPr>
            </w:pPr>
          </w:p>
        </w:tc>
      </w:tr>
      <w:tr>
        <w:trPr>
          <w:trHeight w:val="264"/>
        </w:trPr>
        <w:tc>
          <w:tcPr>
            <w:tcW w:w="8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47"/>
        </w:trPr>
        <w:tc>
          <w:tcPr>
            <w:tcW w:w="8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spacing w:after="0"/>
              <w:rPr>
                <w:sz w:val="21"/>
                <w:szCs w:val="21"/>
                <w:color w:val="auto"/>
              </w:rPr>
            </w:pPr>
          </w:p>
        </w:tc>
      </w:tr>
      <w:tr>
        <w:trPr>
          <w:trHeight w:val="280"/>
        </w:trPr>
        <w:tc>
          <w:tcPr>
            <w:tcW w:w="8000" w:type="dxa"/>
            <w:vAlign w:val="bottom"/>
            <w:shd w:val="clear" w:color="auto" w:fill="BFE4FF"/>
          </w:tcPr>
          <w:p>
            <w:pPr>
              <w:ind w:left="40"/>
              <w:spacing w:after="0"/>
              <w:rPr>
                <w:sz w:val="20"/>
                <w:szCs w:val="20"/>
                <w:color w:val="auto"/>
              </w:rPr>
            </w:pPr>
            <w:r>
              <w:rPr>
                <w:rFonts w:ascii="Arial" w:cs="Arial" w:eastAsia="Arial" w:hAnsi="Arial"/>
                <w:sz w:val="16"/>
                <w:szCs w:val="16"/>
                <w:color w:val="auto"/>
              </w:rPr>
              <w:t>Computer equipment</w:t>
            </w:r>
          </w:p>
        </w:tc>
        <w:tc>
          <w:tcPr>
            <w:tcW w:w="36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112,599</w:t>
            </w:r>
          </w:p>
        </w:tc>
        <w:tc>
          <w:tcPr>
            <w:tcW w:w="120" w:type="dxa"/>
            <w:vAlign w:val="bottom"/>
            <w:shd w:val="clear" w:color="auto" w:fill="BFE4FF"/>
          </w:tcPr>
          <w:p>
            <w:pPr>
              <w:spacing w:after="0"/>
              <w:rPr>
                <w:sz w:val="24"/>
                <w:szCs w:val="24"/>
                <w:color w:val="auto"/>
              </w:rPr>
            </w:pPr>
          </w:p>
        </w:tc>
        <w:tc>
          <w:tcPr>
            <w:tcW w:w="560" w:type="dxa"/>
            <w:vAlign w:val="bottom"/>
            <w:shd w:val="clear" w:color="auto" w:fill="BFE4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93,530</w:t>
            </w: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26,137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26,030</w:t>
            </w:r>
          </w:p>
        </w:tc>
      </w:tr>
      <w:tr>
        <w:trPr>
          <w:trHeight w:val="280"/>
        </w:trPr>
        <w:tc>
          <w:tcPr>
            <w:tcW w:w="8000" w:type="dxa"/>
            <w:vAlign w:val="bottom"/>
            <w:shd w:val="clear" w:color="auto" w:fill="BFE4FF"/>
          </w:tcPr>
          <w:p>
            <w:pPr>
              <w:ind w:left="40"/>
              <w:spacing w:after="0"/>
              <w:rPr>
                <w:sz w:val="20"/>
                <w:szCs w:val="20"/>
                <w:color w:val="auto"/>
              </w:rPr>
            </w:pPr>
            <w:r>
              <w:rPr>
                <w:rFonts w:ascii="Arial" w:cs="Arial" w:eastAsia="Arial" w:hAnsi="Arial"/>
                <w:sz w:val="16"/>
                <w:szCs w:val="16"/>
                <w:color w:val="auto"/>
              </w:rPr>
              <w:t>Scanner appliances</w:t>
            </w:r>
          </w:p>
        </w:tc>
        <w:tc>
          <w:tcPr>
            <w:tcW w:w="360" w:type="dxa"/>
            <w:vAlign w:val="bottom"/>
            <w:shd w:val="clear" w:color="auto" w:fill="BFE4FF"/>
          </w:tcPr>
          <w:p>
            <w:pPr>
              <w:spacing w:after="0"/>
              <w:rPr>
                <w:sz w:val="24"/>
                <w:szCs w:val="24"/>
                <w:color w:val="auto"/>
              </w:rPr>
            </w:pPr>
          </w:p>
        </w:tc>
        <w:tc>
          <w:tcPr>
            <w:tcW w:w="12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15,864</w:t>
            </w:r>
          </w:p>
        </w:tc>
        <w:tc>
          <w:tcPr>
            <w:tcW w:w="120" w:type="dxa"/>
            <w:vAlign w:val="bottom"/>
            <w:shd w:val="clear" w:color="auto" w:fill="BFE4FF"/>
          </w:tcPr>
          <w:p>
            <w:pPr>
              <w:spacing w:after="0"/>
              <w:rPr>
                <w:sz w:val="24"/>
                <w:szCs w:val="24"/>
                <w:color w:val="auto"/>
              </w:rPr>
            </w:pPr>
          </w:p>
        </w:tc>
        <w:tc>
          <w:tcPr>
            <w:tcW w:w="560" w:type="dxa"/>
            <w:vAlign w:val="bottom"/>
            <w:shd w:val="clear" w:color="auto" w:fill="BFE4FF"/>
          </w:tcPr>
          <w:p>
            <w:pPr>
              <w:spacing w:after="0"/>
              <w:rPr>
                <w:sz w:val="24"/>
                <w:szCs w:val="24"/>
                <w:color w:val="auto"/>
              </w:rPr>
            </w:pPr>
          </w:p>
        </w:tc>
        <w:tc>
          <w:tcPr>
            <w:tcW w:w="10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15,356</w:t>
            </w: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Furniture, fixtures and equipment</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6,973</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5,814</w:t>
            </w:r>
          </w:p>
        </w:tc>
      </w:tr>
      <w:tr>
        <w:trPr>
          <w:trHeight w:val="280"/>
        </w:trPr>
        <w:tc>
          <w:tcPr>
            <w:tcW w:w="8000" w:type="dxa"/>
            <w:vAlign w:val="bottom"/>
            <w:shd w:val="clear" w:color="auto" w:fill="BFE4FF"/>
          </w:tcPr>
          <w:p>
            <w:pPr>
              <w:ind w:left="40"/>
              <w:spacing w:after="0"/>
              <w:rPr>
                <w:sz w:val="20"/>
                <w:szCs w:val="20"/>
                <w:color w:val="auto"/>
              </w:rPr>
            </w:pPr>
            <w:r>
              <w:rPr>
                <w:rFonts w:ascii="Arial" w:cs="Arial" w:eastAsia="Arial" w:hAnsi="Arial"/>
                <w:sz w:val="16"/>
                <w:szCs w:val="16"/>
                <w:color w:val="auto"/>
              </w:rPr>
              <w:t>Equipment under capital lease</w:t>
            </w:r>
          </w:p>
        </w:tc>
        <w:tc>
          <w:tcPr>
            <w:tcW w:w="360" w:type="dxa"/>
            <w:vAlign w:val="bottom"/>
            <w:shd w:val="clear" w:color="auto" w:fill="BFE4FF"/>
          </w:tcPr>
          <w:p>
            <w:pPr>
              <w:spacing w:after="0"/>
              <w:rPr>
                <w:sz w:val="24"/>
                <w:szCs w:val="24"/>
                <w:color w:val="auto"/>
              </w:rPr>
            </w:pPr>
          </w:p>
        </w:tc>
        <w:tc>
          <w:tcPr>
            <w:tcW w:w="12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3,503</w:t>
            </w:r>
          </w:p>
        </w:tc>
        <w:tc>
          <w:tcPr>
            <w:tcW w:w="120" w:type="dxa"/>
            <w:vAlign w:val="bottom"/>
            <w:shd w:val="clear" w:color="auto" w:fill="BFE4FF"/>
          </w:tcPr>
          <w:p>
            <w:pPr>
              <w:spacing w:after="0"/>
              <w:rPr>
                <w:sz w:val="24"/>
                <w:szCs w:val="24"/>
                <w:color w:val="auto"/>
              </w:rPr>
            </w:pPr>
          </w:p>
        </w:tc>
        <w:tc>
          <w:tcPr>
            <w:tcW w:w="560" w:type="dxa"/>
            <w:vAlign w:val="bottom"/>
            <w:shd w:val="clear" w:color="auto" w:fill="BFE4FF"/>
          </w:tcPr>
          <w:p>
            <w:pPr>
              <w:spacing w:after="0"/>
              <w:rPr>
                <w:sz w:val="24"/>
                <w:szCs w:val="24"/>
                <w:color w:val="auto"/>
              </w:rPr>
            </w:pPr>
          </w:p>
        </w:tc>
        <w:tc>
          <w:tcPr>
            <w:tcW w:w="10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3,503</w:t>
            </w:r>
          </w:p>
        </w:tc>
      </w:tr>
      <w:tr>
        <w:trPr>
          <w:trHeight w:val="264"/>
        </w:trPr>
        <w:tc>
          <w:tcPr>
            <w:tcW w:w="8000" w:type="dxa"/>
            <w:vAlign w:val="bottom"/>
            <w:tcBorders>
              <w:bottom w:val="single" w:sz="8" w:color="BFE4FF"/>
            </w:tcBorders>
          </w:tcPr>
          <w:p>
            <w:pPr>
              <w:ind w:left="40"/>
              <w:spacing w:after="0"/>
              <w:rPr>
                <w:sz w:val="20"/>
                <w:szCs w:val="20"/>
                <w:color w:val="auto"/>
              </w:rPr>
            </w:pPr>
            <w:r>
              <w:rPr>
                <w:rFonts w:ascii="Arial" w:cs="Arial" w:eastAsia="Arial" w:hAnsi="Arial"/>
                <w:sz w:val="16"/>
                <w:szCs w:val="16"/>
                <w:color w:val="auto"/>
              </w:rPr>
              <w:t>Leasehold improvements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18,817</w:t>
            </w:r>
          </w:p>
        </w:tc>
        <w:tc>
          <w:tcPr>
            <w:tcW w:w="120" w:type="dxa"/>
            <w:vAlign w:val="bottom"/>
            <w:tcBorders>
              <w:bottom w:val="single" w:sz="8" w:color="BFE4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16,439</w:t>
            </w:r>
          </w:p>
        </w:tc>
      </w:tr>
      <w:tr>
        <w:trPr>
          <w:trHeight w:val="257"/>
        </w:trPr>
        <w:tc>
          <w:tcPr>
            <w:tcW w:w="8000" w:type="dxa"/>
            <w:vAlign w:val="bottom"/>
            <w:shd w:val="clear" w:color="auto" w:fill="BFE4FF"/>
          </w:tcPr>
          <w:p>
            <w:pPr>
              <w:ind w:left="280"/>
              <w:spacing w:after="0"/>
              <w:rPr>
                <w:sz w:val="20"/>
                <w:szCs w:val="20"/>
                <w:color w:val="auto"/>
              </w:rPr>
            </w:pPr>
            <w:r>
              <w:rPr>
                <w:rFonts w:ascii="Arial" w:cs="Arial" w:eastAsia="Arial" w:hAnsi="Arial"/>
                <w:sz w:val="16"/>
                <w:szCs w:val="16"/>
                <w:color w:val="auto"/>
              </w:rPr>
              <w:t>Total property and equipment</w:t>
            </w:r>
          </w:p>
        </w:tc>
        <w:tc>
          <w:tcPr>
            <w:tcW w:w="360" w:type="dxa"/>
            <w:vAlign w:val="bottom"/>
            <w:shd w:val="clear" w:color="auto" w:fill="BFE4FF"/>
          </w:tcPr>
          <w:p>
            <w:pPr>
              <w:spacing w:after="0"/>
              <w:rPr>
                <w:sz w:val="22"/>
                <w:szCs w:val="22"/>
                <w:color w:val="auto"/>
              </w:rPr>
            </w:pPr>
          </w:p>
        </w:tc>
        <w:tc>
          <w:tcPr>
            <w:tcW w:w="12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183,893</w:t>
            </w:r>
          </w:p>
        </w:tc>
        <w:tc>
          <w:tcPr>
            <w:tcW w:w="120" w:type="dxa"/>
            <w:vAlign w:val="bottom"/>
            <w:shd w:val="clear" w:color="auto" w:fill="BFE4FF"/>
          </w:tcPr>
          <w:p>
            <w:pPr>
              <w:spacing w:after="0"/>
              <w:rPr>
                <w:sz w:val="22"/>
                <w:szCs w:val="22"/>
                <w:color w:val="auto"/>
              </w:rPr>
            </w:pPr>
          </w:p>
        </w:tc>
        <w:tc>
          <w:tcPr>
            <w:tcW w:w="560" w:type="dxa"/>
            <w:vAlign w:val="bottom"/>
            <w:shd w:val="clear" w:color="auto" w:fill="BFE4FF"/>
          </w:tcPr>
          <w:p>
            <w:pPr>
              <w:spacing w:after="0"/>
              <w:rPr>
                <w:sz w:val="22"/>
                <w:szCs w:val="22"/>
                <w:color w:val="auto"/>
              </w:rPr>
            </w:pPr>
          </w:p>
        </w:tc>
        <w:tc>
          <w:tcPr>
            <w:tcW w:w="10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160,672</w:t>
            </w:r>
          </w:p>
        </w:tc>
      </w:tr>
      <w:tr>
        <w:trPr>
          <w:trHeight w:val="264"/>
        </w:trPr>
        <w:tc>
          <w:tcPr>
            <w:tcW w:w="8000" w:type="dxa"/>
            <w:vAlign w:val="bottom"/>
            <w:tcBorders>
              <w:bottom w:val="single" w:sz="8" w:color="BFE4FF"/>
            </w:tcBorders>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(123,314)</w:t>
            </w:r>
          </w:p>
        </w:tc>
        <w:tc>
          <w:tcPr>
            <w:tcW w:w="120" w:type="dxa"/>
            <w:vAlign w:val="bottom"/>
            <w:tcBorders>
              <w:bottom w:val="single" w:sz="8" w:color="BFE4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(99,230)</w:t>
            </w:r>
          </w:p>
        </w:tc>
      </w:tr>
      <w:tr>
        <w:trPr>
          <w:trHeight w:val="240"/>
        </w:trPr>
        <w:tc>
          <w:tcPr>
            <w:tcW w:w="80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auto"/>
            </w:tcBorders>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60,579</w:t>
            </w:r>
          </w:p>
        </w:tc>
        <w:tc>
          <w:tcPr>
            <w:tcW w:w="120" w:type="dxa"/>
            <w:vAlign w:val="bottom"/>
            <w:tcBorders>
              <w:bottom w:val="single" w:sz="8" w:color="BFE4FF"/>
            </w:tcBorders>
            <w:shd w:val="clear" w:color="auto" w:fill="BFE4FF"/>
          </w:tcPr>
          <w:p>
            <w:pPr>
              <w:spacing w:after="0"/>
              <w:rPr>
                <w:sz w:val="20"/>
                <w:szCs w:val="20"/>
                <w:color w:val="auto"/>
              </w:rPr>
            </w:pPr>
          </w:p>
        </w:tc>
        <w:tc>
          <w:tcPr>
            <w:tcW w:w="560" w:type="dxa"/>
            <w:vAlign w:val="bottom"/>
            <w:tcBorders>
              <w:bottom w:val="single" w:sz="8" w:color="auto"/>
            </w:tcBorders>
            <w:shd w:val="clear" w:color="auto" w:fill="BFE4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rPr>
              <w:t>61,442</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Physical scanner appliances and other computer equipment that are or will be subject to leases by customers have a net carrying value of $4.9 million and $7.9 million, respectively, including assets that have not been placed in service of $0.9 million and $1.8 million, respectively, as of December 31, 2019 and 2018. Depreciation and amortization expenses relating to property and equipment were $24.9 million, $25.1 million and $19.9 million for 2019, 2018 and 2017,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Revenue from Contracts with Customers</w:t>
      </w:r>
    </w:p>
    <w:p>
      <w:pPr>
        <w:spacing w:after="0" w:line="139" w:lineRule="exact"/>
        <w:rPr>
          <w:sz w:val="20"/>
          <w:szCs w:val="20"/>
          <w:color w:val="auto"/>
        </w:rPr>
      </w:pPr>
    </w:p>
    <w:p>
      <w:pPr>
        <w:jc w:val="both"/>
        <w:ind w:right="20" w:firstLine="405"/>
        <w:spacing w:after="0" w:line="254" w:lineRule="auto"/>
        <w:rPr>
          <w:sz w:val="20"/>
          <w:szCs w:val="20"/>
          <w:color w:val="auto"/>
        </w:rPr>
      </w:pPr>
      <w:r>
        <w:rPr>
          <w:rFonts w:ascii="Arial" w:cs="Arial" w:eastAsia="Arial" w:hAnsi="Arial"/>
          <w:sz w:val="18"/>
          <w:szCs w:val="18"/>
          <w:color w:val="auto"/>
        </w:rPr>
        <w:t>The Company's subscription contracts are typically satisfied ratably over the subscription term as its cloud-based offerings are delivered to customers electronically and over time. In addition, the Company recognizes revenues for certain limited scan arrangements on an as-used basis. The Company recognizes revenue related to professional services based on time and materials or completion of milestones stated in the contracts.</w:t>
      </w:r>
    </w:p>
    <w:p>
      <w:pPr>
        <w:spacing w:after="0" w:line="9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As the vast majority of the Company’s offerings are subscription based, the Company rarely needs to allocate the transaction price to separate performance obligations. In the rare case that allocation of the transaction price is needed, the Company recognizes revenue in proportion to the standalone selling prices (SSP) of the underlying services at contract inception. If an SSP is not directly observable, the Company determines the SSP using information that may include market conditions and other observable inputs. The Company's transaction prices typically do not include variable consideration and are a fixed amount for a specific period of time, and the majority of contracts are twelve months with certain customers signing longer term deals. In general, the Company does not offer rights of return, performance bonuses, customer loyalty programs, payments via non-cash methods, refunds, volume rebates, incentive payments, penalties, price concessions or payments or discounts contingent on future events and the Company does not grant its customers any material rights. For contracts that include leased scanners and PCPs, the Company applies the lease and non-lease component practical expedient under ASC 842 to account for non-lease components and lease components as combined components under the revenue recognition guidance in ASU 2014-09, "Revenue from Contracts with Customers" (Topic 606) as the subscriptions are the predominant components in the arrangements.</w:t>
      </w:r>
    </w:p>
    <w:p>
      <w:pPr>
        <w:spacing w:after="0" w:line="104"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Costs of shipping and handling charges associated with physical scanner appliances and other computer equipment are included in cost of revenues. Sales taxes and other taxes collected from customers to be remitted to government authorities are excluded from revenues.</w:t>
      </w:r>
    </w:p>
    <w:p>
      <w:pPr>
        <w:spacing w:after="0" w:line="8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12529"/>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consolidated balance sheets.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Capitalized costs to obtain contracts, current and noncurrent are as follows (in thousands):</w:t>
      </w:r>
    </w:p>
    <w:p>
      <w:pPr>
        <w:sectPr>
          <w:pgSz w:w="11900" w:h="16861" w:orient="portrait"/>
          <w:cols w:equalWidth="0" w:num="1">
            <w:col w:w="11420"/>
          </w:cols>
          <w:pgMar w:left="240" w:top="333" w:right="239" w:bottom="0" w:gutter="0" w:footer="0" w:header="0"/>
        </w:sectPr>
      </w:pPr>
    </w:p>
    <w:p>
      <w:pPr>
        <w:spacing w:after="0" w:line="154" w:lineRule="exact"/>
        <w:rPr>
          <w:sz w:val="20"/>
          <w:szCs w:val="20"/>
          <w:color w:val="auto"/>
        </w:rPr>
      </w:pPr>
    </w:p>
    <w:p>
      <w:pPr>
        <w:ind w:left="7680"/>
        <w:spacing w:after="0"/>
        <w:tabs>
          <w:tab w:leader="none" w:pos="9500" w:val="left"/>
        </w:tabs>
        <w:rPr>
          <w:sz w:val="20"/>
          <w:szCs w:val="20"/>
          <w:color w:val="auto"/>
        </w:rPr>
      </w:pPr>
      <w:r>
        <w:rPr>
          <w:rFonts w:ascii="Arial" w:cs="Arial" w:eastAsia="Arial" w:hAnsi="Arial"/>
          <w:sz w:val="16"/>
          <w:szCs w:val="16"/>
          <w:b w:val="1"/>
          <w:bCs w:val="1"/>
          <w:color w:val="auto"/>
        </w:rPr>
        <w:t>December 31, 2019</w:t>
      </w:r>
      <w:r>
        <w:rPr>
          <w:sz w:val="20"/>
          <w:szCs w:val="20"/>
          <w:color w:val="auto"/>
        </w:rPr>
        <w:tab/>
      </w:r>
      <w:r>
        <w:rPr>
          <w:rFonts w:ascii="Arial" w:cs="Arial" w:eastAsia="Arial" w:hAnsi="Arial"/>
          <w:sz w:val="16"/>
          <w:szCs w:val="16"/>
          <w:b w:val="1"/>
          <w:bCs w:val="1"/>
          <w:color w:val="auto"/>
        </w:rPr>
        <w:t>December 31, 2018</w:t>
      </w:r>
    </w:p>
    <w:p>
      <w:pPr>
        <w:sectPr>
          <w:pgSz w:w="11900" w:h="16861" w:orient="portrait"/>
          <w:cols w:equalWidth="0" w:num="1">
            <w:col w:w="11420"/>
          </w:cols>
          <w:pgMar w:left="240" w:top="333" w:right="239" w:bottom="0" w:gutter="0" w:footer="0" w:header="0"/>
          <w:type w:val="continuous"/>
        </w:sectPr>
      </w:pPr>
    </w:p>
    <w:bookmarkStart w:id="73" w:name="page74"/>
    <w:bookmarkEnd w:id="73"/>
    <w:tbl>
      <w:tblPr>
        <w:tblLayout w:type="fixed"/>
        <w:tblInd w:w="340" w:type="dxa"/>
        <w:tblCellMar>
          <w:top w:w="0" w:type="dxa"/>
          <w:left w:w="0" w:type="dxa"/>
          <w:bottom w:w="0" w:type="dxa"/>
          <w:right w:w="0" w:type="dxa"/>
        </w:tblCellMar>
      </w:tblPr>
      <w:tr>
        <w:trPr>
          <w:trHeight w:val="284"/>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Commission asset, current</w:t>
            </w: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2,568</w:t>
            </w:r>
          </w:p>
        </w:tc>
        <w:tc>
          <w:tcPr>
            <w:tcW w:w="76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1,480</w:t>
            </w:r>
          </w:p>
        </w:tc>
      </w:tr>
      <w:tr>
        <w:trPr>
          <w:trHeight w:val="251"/>
        </w:trPr>
        <w:tc>
          <w:tcPr>
            <w:tcW w:w="7220" w:type="dxa"/>
            <w:vAlign w:val="bottom"/>
          </w:tcPr>
          <w:p>
            <w:pPr>
              <w:ind w:left="20"/>
              <w:spacing w:after="0"/>
              <w:rPr>
                <w:sz w:val="20"/>
                <w:szCs w:val="20"/>
                <w:color w:val="auto"/>
              </w:rPr>
            </w:pPr>
            <w:r>
              <w:rPr>
                <w:rFonts w:ascii="Arial" w:cs="Arial" w:eastAsia="Arial" w:hAnsi="Arial"/>
                <w:sz w:val="16"/>
                <w:szCs w:val="16"/>
                <w:color w:val="auto"/>
              </w:rPr>
              <w:t>Commission asset, noncurrent</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6,454</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4,692</w:t>
            </w:r>
          </w:p>
        </w:tc>
      </w:tr>
    </w:tbl>
    <w:p>
      <w:pPr>
        <w:spacing w:after="0" w:line="343"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For the year ended December 31, 2019 and 2018, the Company recognized $2.0 million and $1.2 million of commission expense from amortization of its commission assets. During the same periods, there was no impairment loss related to the capitalized costs.</w:t>
      </w:r>
    </w:p>
    <w:p>
      <w:pPr>
        <w:spacing w:after="0" w:line="8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12529"/>
        </w:rPr>
        <w:t xml:space="preserve">The Company records deferred revenue when cash payments are received or due in advance of its performance offset by revenue recognized in the period. Revenues of </w:t>
      </w:r>
      <w:r>
        <w:rPr>
          <w:rFonts w:ascii="Arial" w:cs="Arial" w:eastAsia="Arial" w:hAnsi="Arial"/>
          <w:sz w:val="18"/>
          <w:szCs w:val="18"/>
          <w:color w:val="000000"/>
        </w:rPr>
        <w:t>$160.8 million and $141.3 million were recognized during the years ended December 31, 2019 and</w:t>
      </w:r>
      <w:r>
        <w:rPr>
          <w:rFonts w:ascii="Arial" w:cs="Arial" w:eastAsia="Arial" w:hAnsi="Arial"/>
          <w:sz w:val="18"/>
          <w:szCs w:val="18"/>
          <w:color w:val="212529"/>
        </w:rPr>
        <w:t xml:space="preserve"> </w:t>
      </w:r>
      <w:r>
        <w:rPr>
          <w:rFonts w:ascii="Arial" w:cs="Arial" w:eastAsia="Arial" w:hAnsi="Arial"/>
          <w:sz w:val="18"/>
          <w:szCs w:val="18"/>
          <w:color w:val="000000"/>
        </w:rPr>
        <w:t>December 31, 2018, respectively, which amounts were included in the deferred revenue balances as of December 31, 2018 and December 31, 2017, respectively.</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The term between invoicing and when payment is due is not significant. For certain products or services and customer types, the Company requires payment before the products or services are delivered to the customer.</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expected revenue from all remaining performance obligations as of December 31, 2019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 Expected Revenue</w:t>
            </w:r>
          </w:p>
        </w:tc>
      </w:tr>
      <w:tr>
        <w:trPr>
          <w:trHeight w:val="257"/>
        </w:trPr>
        <w:tc>
          <w:tcPr>
            <w:tcW w:w="8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67,055</w:t>
            </w:r>
          </w:p>
        </w:tc>
        <w:tc>
          <w:tcPr>
            <w:tcW w:w="100" w:type="dxa"/>
            <w:vAlign w:val="bottom"/>
            <w:tcBorders>
              <w:top w:val="single" w:sz="8" w:color="CCEEFF"/>
            </w:tcBorders>
            <w:shd w:val="clear" w:color="auto" w:fill="CCEEFF"/>
          </w:tcPr>
          <w:p>
            <w:pPr>
              <w:spacing w:after="0"/>
              <w:rPr>
                <w:sz w:val="22"/>
                <w:szCs w:val="22"/>
                <w:color w:val="auto"/>
              </w:rPr>
            </w:pPr>
          </w:p>
        </w:tc>
      </w:tr>
      <w:tr>
        <w:trPr>
          <w:trHeight w:val="260"/>
        </w:trPr>
        <w:tc>
          <w:tcPr>
            <w:tcW w:w="8480" w:type="dxa"/>
            <w:vAlign w:val="bottom"/>
          </w:tcPr>
          <w:p>
            <w:pPr>
              <w:ind w:left="40"/>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22"/>
                <w:szCs w:val="22"/>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35,437</w:t>
            </w:r>
          </w:p>
        </w:tc>
        <w:tc>
          <w:tcPr>
            <w:tcW w:w="100" w:type="dxa"/>
            <w:vAlign w:val="bottom"/>
          </w:tcPr>
          <w:p>
            <w:pPr>
              <w:spacing w:after="0"/>
              <w:rPr>
                <w:sz w:val="22"/>
                <w:szCs w:val="22"/>
                <w:color w:val="auto"/>
              </w:rPr>
            </w:pPr>
          </w:p>
        </w:tc>
      </w:tr>
      <w:tr>
        <w:trPr>
          <w:trHeight w:val="280"/>
        </w:trPr>
        <w:tc>
          <w:tcPr>
            <w:tcW w:w="8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60" w:type="dxa"/>
            <w:vAlign w:val="bottom"/>
            <w:shd w:val="clear" w:color="auto" w:fill="CCEEFF"/>
          </w:tcPr>
          <w:p>
            <w:pPr>
              <w:spacing w:after="0"/>
              <w:rPr>
                <w:sz w:val="24"/>
                <w:szCs w:val="24"/>
                <w:color w:val="auto"/>
              </w:rPr>
            </w:pPr>
          </w:p>
        </w:tc>
        <w:tc>
          <w:tcPr>
            <w:tcW w:w="2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13,027</w:t>
            </w:r>
          </w:p>
        </w:tc>
        <w:tc>
          <w:tcPr>
            <w:tcW w:w="100" w:type="dxa"/>
            <w:vAlign w:val="bottom"/>
            <w:shd w:val="clear" w:color="auto" w:fill="CCEEFF"/>
          </w:tcPr>
          <w:p>
            <w:pPr>
              <w:spacing w:after="0"/>
              <w:rPr>
                <w:sz w:val="24"/>
                <w:szCs w:val="24"/>
                <w:color w:val="auto"/>
              </w:rPr>
            </w:pPr>
          </w:p>
        </w:tc>
      </w:tr>
      <w:tr>
        <w:trPr>
          <w:trHeight w:val="260"/>
        </w:trPr>
        <w:tc>
          <w:tcPr>
            <w:tcW w:w="8480" w:type="dxa"/>
            <w:vAlign w:val="bottom"/>
          </w:tcPr>
          <w:p>
            <w:pPr>
              <w:ind w:left="4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2"/>
                <w:szCs w:val="22"/>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1,454</w:t>
            </w:r>
          </w:p>
        </w:tc>
        <w:tc>
          <w:tcPr>
            <w:tcW w:w="100" w:type="dxa"/>
            <w:vAlign w:val="bottom"/>
          </w:tcPr>
          <w:p>
            <w:pPr>
              <w:spacing w:after="0"/>
              <w:rPr>
                <w:sz w:val="22"/>
                <w:szCs w:val="22"/>
                <w:color w:val="auto"/>
              </w:rPr>
            </w:pPr>
          </w:p>
        </w:tc>
      </w:tr>
      <w:tr>
        <w:trPr>
          <w:trHeight w:val="280"/>
        </w:trPr>
        <w:tc>
          <w:tcPr>
            <w:tcW w:w="8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60" w:type="dxa"/>
            <w:vAlign w:val="bottom"/>
            <w:shd w:val="clear" w:color="auto" w:fill="CCEEFF"/>
          </w:tcPr>
          <w:p>
            <w:pPr>
              <w:spacing w:after="0"/>
              <w:rPr>
                <w:sz w:val="24"/>
                <w:szCs w:val="24"/>
                <w:color w:val="auto"/>
              </w:rPr>
            </w:pPr>
          </w:p>
        </w:tc>
        <w:tc>
          <w:tcPr>
            <w:tcW w:w="2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24"/>
                <w:szCs w:val="24"/>
                <w:color w:val="auto"/>
              </w:rPr>
            </w:pPr>
          </w:p>
        </w:tc>
      </w:tr>
      <w:tr>
        <w:trPr>
          <w:trHeight w:val="264"/>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2025 and thereafter</w:t>
            </w:r>
          </w:p>
        </w:tc>
        <w:tc>
          <w:tcPr>
            <w:tcW w:w="2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22"/>
                <w:szCs w:val="22"/>
                <w:color w:val="auto"/>
              </w:rPr>
            </w:pPr>
          </w:p>
        </w:tc>
      </w:tr>
      <w:tr>
        <w:trPr>
          <w:trHeight w:val="24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117,454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Revenues allocated to remaining performance obligations represents contracted revenues that have not yet been recognized, which include deferred revenue and the amounts that will be invoiced and recognized as revenues in future periods from open contracts. Remaining performance obligations represent the transaction price of noncancelable orders for which service has not been performed and excludes unexercised renewals. The Company applied the short-term contract exemption to exclude the remaining performance obligations that are part of a contract that has an original expected duration of one year or less.</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concluded its contracts did not contain a financing component.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Revenues by sales channel are as follows (in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6"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70"/>
        </w:trPr>
        <w:tc>
          <w:tcPr>
            <w:tcW w:w="566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(1)</w:t>
            </w:r>
          </w:p>
        </w:tc>
      </w:tr>
      <w:tr>
        <w:trPr>
          <w:trHeight w:val="250"/>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186,130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164,084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139,908</w:t>
            </w:r>
          </w:p>
        </w:tc>
      </w:tr>
      <w:tr>
        <w:trPr>
          <w:trHeight w:val="264"/>
        </w:trPr>
        <w:tc>
          <w:tcPr>
            <w:tcW w:w="5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Partner</w:t>
            </w:r>
          </w:p>
        </w:tc>
        <w:tc>
          <w:tcPr>
            <w:tcW w:w="1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135,477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114,805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90,920</w:t>
            </w:r>
          </w:p>
        </w:tc>
      </w:tr>
      <w:tr>
        <w:trPr>
          <w:trHeight w:val="240"/>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321,607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278,889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230,828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(1) Revenue has not been adjusted under the modified retrospective method.</w:t>
      </w:r>
    </w:p>
    <w:p>
      <w:pPr>
        <w:spacing w:after="0" w:line="110"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11, "Segment Information and Information about Geographic Area" for disaggregation of revenue by geographic area.</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Business Combinations</w:t>
      </w:r>
    </w:p>
    <w:p>
      <w:pPr>
        <w:spacing w:after="0" w:line="139" w:lineRule="exact"/>
        <w:rPr>
          <w:sz w:val="20"/>
          <w:szCs w:val="20"/>
          <w:color w:val="auto"/>
        </w:rPr>
      </w:pPr>
    </w:p>
    <w:p>
      <w:pPr>
        <w:ind w:right="340" w:firstLine="405"/>
        <w:spacing w:after="0" w:line="262" w:lineRule="auto"/>
        <w:rPr>
          <w:sz w:val="20"/>
          <w:szCs w:val="20"/>
          <w:color w:val="auto"/>
        </w:rPr>
      </w:pPr>
      <w:r>
        <w:rPr>
          <w:rFonts w:ascii="Arial" w:cs="Arial" w:eastAsia="Arial" w:hAnsi="Arial"/>
          <w:sz w:val="18"/>
          <w:szCs w:val="18"/>
          <w:color w:val="auto"/>
        </w:rPr>
        <w:t>The following table summarizes the purchase price allocation of the business acquisitions during the fiscal years 2019, 2018 and 2017 based on estimated fair values of the acquired assets as of the acquisition date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Net Tangible</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Assets Acquired/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auto"/>
              </w:rPr>
              <w:t>Purchase</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Purchased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Deferred Tax</w:t>
            </w:r>
          </w:p>
        </w:tc>
      </w:tr>
      <w:tr>
        <w:trPr>
          <w:trHeight w:val="228"/>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Acquiree</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Acquisition Date</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Consideration</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assumed)</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Goodwill</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Liability</w:t>
            </w:r>
          </w:p>
        </w:tc>
      </w:tr>
      <w:tr>
        <w:trPr>
          <w:trHeight w:val="270"/>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Adya</w:t>
            </w:r>
          </w:p>
        </w:tc>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10,2019</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Layered Insight</w:t>
            </w:r>
          </w:p>
        </w:tc>
        <w:tc>
          <w:tcPr>
            <w:tcW w:w="1760" w:type="dxa"/>
            <w:vAlign w:val="bottom"/>
          </w:tcPr>
          <w:p>
            <w:pPr>
              <w:ind w:left="20"/>
              <w:spacing w:after="0"/>
              <w:rPr>
                <w:sz w:val="20"/>
                <w:szCs w:val="20"/>
                <w:color w:val="auto"/>
              </w:rPr>
            </w:pPr>
            <w:r>
              <w:rPr>
                <w:rFonts w:ascii="Arial" w:cs="Arial" w:eastAsia="Arial" w:hAnsi="Arial"/>
                <w:sz w:val="16"/>
                <w:szCs w:val="16"/>
                <w:color w:val="auto"/>
              </w:rPr>
              <w:t>October 16, 2018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13,434</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9,600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5,498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1,500</w:t>
            </w:r>
          </w:p>
        </w:tc>
      </w:tr>
      <w:tr>
        <w:trPr>
          <w:trHeight w:val="280"/>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1Mobility</w:t>
            </w:r>
          </w:p>
        </w:tc>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2018</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NetWatcher</w:t>
            </w:r>
          </w:p>
        </w:tc>
        <w:tc>
          <w:tcPr>
            <w:tcW w:w="1760" w:type="dxa"/>
            <w:vAlign w:val="bottom"/>
          </w:tcPr>
          <w:p>
            <w:pPr>
              <w:ind w:left="20"/>
              <w:spacing w:after="0"/>
              <w:rPr>
                <w:sz w:val="20"/>
                <w:szCs w:val="20"/>
                <w:color w:val="auto"/>
              </w:rPr>
            </w:pPr>
            <w:r>
              <w:rPr>
                <w:rFonts w:ascii="Arial" w:cs="Arial" w:eastAsia="Arial" w:hAnsi="Arial"/>
                <w:sz w:val="16"/>
                <w:szCs w:val="16"/>
                <w:color w:val="auto"/>
              </w:rPr>
              <w:t>November 28, 2017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7,729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Nevis</w:t>
            </w:r>
          </w:p>
        </w:tc>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August 29, 2017</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32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January 10, 2019, the Company acquired the assets of Adya, an India-based company. The acquisition included a cloud application management platform, which enables security and compliance audits of SaaS applications. Total purchase consideration included $0.2 million of deferred consideration due 18 months from the closing date of the acquisition, subject to potential adjustment from possible indemnity claims. The acquired intangible assets relating to Adya's developed technology are being amortized over the estimated useful lives of approximately four years. Goodwill arising from the Adya acquisition is deductible for tax purposes over 15 years.</w:t>
      </w:r>
    </w:p>
    <w:p>
      <w:pPr>
        <w:spacing w:after="0" w:line="9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On October 16, 2018, the Company completed the acquisition of Layered Insight, a pioneer and global leader in container native application protection, providing accurate insight into container images, adaptive analysis of running containers, and automated enforcement of the container environment. Of the total consideration, $1.6 million was paid during the fiscal year ended December 31, 2019 based on the terms and conditions of the purchase agreement. All consideration was paid in cash. The Company also paid additional $4.0 million as the acquired business had achieved certain integration milestones for the annual period ending December 31, 2019. In addition, the Company initially recorded $1.5 million of the contingent consideration related to revenue milestone payments in accrued liabilities of the consolidated balance sheet as of December 31, 2018. The entire amount was reversed during the fiscal year 2019 as the revenue milestone was not met. The acquired intangible asset relating to Layered Insight's developed technology is amortized over the estimated useful life of approximately four years. Goodwill arising from the Layered Insight acquisition is not deductible for tax purposes.</w:t>
      </w:r>
    </w:p>
    <w:p>
      <w:pPr>
        <w:spacing w:after="0" w:line="10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April 1, 2018, the Company acquired the assets of 1Mobility, a Singapore-based company. The acquisition allowed the Company to provide enterprises of all sizes with the ability to create and continuously update an inventory of mobile devices on all versions of Android, iOS and Windows Mobile in their environment; and to continuously assess their security and</w:t>
      </w:r>
    </w:p>
    <w:p>
      <w:pPr>
        <w:sectPr>
          <w:pgSz w:w="11900" w:h="16838" w:orient="portrait"/>
          <w:cols w:equalWidth="0" w:num="1">
            <w:col w:w="11420"/>
          </w:cols>
          <w:pgMar w:left="240" w:top="333"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333"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compliance posture, while quarantining devices that were compromised or out-of-compliance. Of the total purchase consideration, $0.6 million was paid during the fiscal year ended December 31, 2019 based on the terms and conditions of the purchase agreement. The acquired intangible assets relating to 1Mobility's developed technology is being amortized over the estimated useful lives of approximately four years. Goodwill arising from the 1Mobility acquisition is deductible for tax purposes over 15 years.</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In 2017, the Company purchased certain assets of Nevis Networks (India) Private Limited (Nevis) and Defensative, LLC (NetWatcher). The Nevis acquisition accelerated the Company's development of network security solutions for detection and awareness of external intrusions to computer networks. The NetWatcher acquisition expanded the Company's threat protection and management capabilities and added new offerings to managed security service providers. Of the total consideration, $1.0 million was paid during the fiscal year ended December 31, 2019 based on the terms and conditions of the purchase agreement. Purchased intangible assets represented the fair value of purchased technology from the Company's acquisitions of Nevis and NetWatcher. Goodwill generated from these acquisitions was primarily related to the acquired workforce, expected improvements in technology performance and additional product functionality. The intangible assets have a useful life of 5 years. Goodwill is deductible for tax purposes over 15 years.</w:t>
      </w:r>
    </w:p>
    <w:p>
      <w:pPr>
        <w:spacing w:after="0" w:line="9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Pro forma financial information for these acquisitions in the fiscal years 2019, 2018 and 2017 was not presented because the acquisitions were not material to the Company's consolidated financial statements, either individually or in aggregate.</w:t>
      </w: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Goodwill and Intangible Assets, Net</w:t>
      </w:r>
    </w:p>
    <w:p>
      <w:pPr>
        <w:spacing w:after="0" w:line="153"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Intangible assets consist primarily of developed technology and patent licenses in business combinations. Acquired intangibles are amortized on a straight-line basis over the respective estimated useful lives of the assets.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carrying values of intangible assets as of December 31, 2019 are as follows (in thousands, except for years):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5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27" w:lineRule="exact"/>
              <w:rPr>
                <w:sz w:val="20"/>
                <w:szCs w:val="20"/>
                <w:color w:val="auto"/>
              </w:rPr>
            </w:pPr>
            <w:r>
              <w:rPr>
                <w:rFonts w:ascii="Arial" w:cs="Arial" w:eastAsia="Arial" w:hAnsi="Arial"/>
                <w:sz w:val="13"/>
                <w:szCs w:val="13"/>
                <w:b w:val="1"/>
                <w:bCs w:val="1"/>
                <w:color w:val="auto"/>
                <w:w w:val="99"/>
              </w:rPr>
              <w:t>Weighted</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Weighted</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Remaining</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Average Lives</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Average Lives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(Years)</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(Years)</w:t>
            </w:r>
          </w:p>
        </w:tc>
        <w:tc>
          <w:tcPr>
            <w:tcW w:w="26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2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rPr>
              <w:t>Net Book Value</w:t>
            </w:r>
          </w:p>
        </w:tc>
        <w:tc>
          <w:tcPr>
            <w:tcW w:w="0" w:type="dxa"/>
            <w:vAlign w:val="bottom"/>
          </w:tcPr>
          <w:p>
            <w:pPr>
              <w:spacing w:after="0"/>
              <w:rPr>
                <w:sz w:val="1"/>
                <w:szCs w:val="1"/>
                <w:color w:val="auto"/>
              </w:rPr>
            </w:pP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26,356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(10,066)</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16,290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4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intangibles subject to amortization</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27,743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16,755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vMerge w:val="restart"/>
          </w:tcPr>
          <w:p>
            <w:pPr>
              <w:jc w:val="right"/>
              <w:ind w:right="3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20"/>
        </w:trPr>
        <w:tc>
          <w:tcPr>
            <w:tcW w:w="5160" w:type="dxa"/>
            <w:vAlign w:val="bottom"/>
            <w:tcBorders>
              <w:bottom w:val="single" w:sz="8" w:color="CCEEFF"/>
            </w:tcBorders>
            <w:vMerge w:val="continue"/>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intangible assets, net</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16,795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5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27" w:lineRule="exact"/>
              <w:rPr>
                <w:sz w:val="20"/>
                <w:szCs w:val="20"/>
                <w:color w:val="auto"/>
              </w:rPr>
            </w:pPr>
            <w:r>
              <w:rPr>
                <w:rFonts w:ascii="Arial" w:cs="Arial" w:eastAsia="Arial" w:hAnsi="Arial"/>
                <w:sz w:val="13"/>
                <w:szCs w:val="13"/>
                <w:b w:val="1"/>
                <w:bCs w:val="1"/>
                <w:color w:val="auto"/>
                <w:w w:val="99"/>
              </w:rPr>
              <w:t>Weighted</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Weighted</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Remaining</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Average Lives</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Average Lives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(Years)</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(Years)</w:t>
            </w:r>
          </w:p>
        </w:tc>
        <w:tc>
          <w:tcPr>
            <w:tcW w:w="26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2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rPr>
              <w:t>Net Book Value</w:t>
            </w:r>
          </w:p>
        </w:tc>
        <w:tc>
          <w:tcPr>
            <w:tcW w:w="0" w:type="dxa"/>
            <w:vAlign w:val="bottom"/>
          </w:tcPr>
          <w:p>
            <w:pPr>
              <w:spacing w:after="0"/>
              <w:rPr>
                <w:sz w:val="1"/>
                <w:szCs w:val="1"/>
                <w:color w:val="auto"/>
              </w:rPr>
            </w:pP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25,456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21,371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4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intangibles subject to amortization</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26,844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21,936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vMerge w:val="restart"/>
          </w:tcPr>
          <w:p>
            <w:pPr>
              <w:jc w:val="right"/>
              <w:ind w:right="3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20"/>
        </w:trPr>
        <w:tc>
          <w:tcPr>
            <w:tcW w:w="5160" w:type="dxa"/>
            <w:vAlign w:val="bottom"/>
            <w:tcBorders>
              <w:bottom w:val="single" w:sz="8" w:color="CCEEFF"/>
            </w:tcBorders>
            <w:vMerge w:val="continue"/>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intangible assets, net</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21,976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231F20"/>
        </w:rPr>
        <w:t xml:space="preserve">Intangible assets amortization expenses were </w:t>
      </w:r>
      <w:r>
        <w:rPr>
          <w:rFonts w:ascii="Arial" w:cs="Arial" w:eastAsia="Arial" w:hAnsi="Arial"/>
          <w:sz w:val="18"/>
          <w:szCs w:val="18"/>
          <w:color w:val="000000"/>
        </w:rPr>
        <w:t>$6.1 million,</w:t>
      </w:r>
      <w:r>
        <w:rPr>
          <w:rFonts w:ascii="Arial" w:cs="Arial" w:eastAsia="Arial" w:hAnsi="Arial"/>
          <w:sz w:val="18"/>
          <w:szCs w:val="18"/>
          <w:color w:val="231F20"/>
        </w:rPr>
        <w:t xml:space="preserve"> </w:t>
      </w:r>
      <w:r>
        <w:rPr>
          <w:rFonts w:ascii="Arial" w:cs="Arial" w:eastAsia="Arial" w:hAnsi="Arial"/>
          <w:sz w:val="18"/>
          <w:szCs w:val="18"/>
          <w:color w:val="000000"/>
        </w:rPr>
        <w:t>$3.7 million and $0.7 million for 2019, 2018 and 2017 respectively,</w:t>
      </w:r>
      <w:r>
        <w:rPr>
          <w:rFonts w:ascii="Arial" w:cs="Arial" w:eastAsia="Arial" w:hAnsi="Arial"/>
          <w:sz w:val="18"/>
          <w:szCs w:val="18"/>
          <w:color w:val="231F20"/>
        </w:rPr>
        <w:t xml:space="preserve"> which were recorded in cost of revenues in the consolidated statements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2019</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6,081</w:t>
            </w:r>
          </w:p>
        </w:tc>
      </w:tr>
      <w:tr>
        <w:trPr>
          <w:trHeight w:val="233"/>
        </w:trPr>
        <w:tc>
          <w:tcPr>
            <w:tcW w:w="8400" w:type="dxa"/>
            <w:vAlign w:val="bottom"/>
          </w:tcPr>
          <w:p>
            <w:pPr>
              <w:ind w:left="40"/>
              <w:spacing w:after="0"/>
              <w:rPr>
                <w:sz w:val="20"/>
                <w:szCs w:val="20"/>
                <w:color w:val="auto"/>
              </w:rPr>
            </w:pPr>
            <w:r>
              <w:rPr>
                <w:rFonts w:ascii="Arial" w:cs="Arial" w:eastAsia="Arial" w:hAnsi="Arial"/>
                <w:sz w:val="16"/>
                <w:szCs w:val="16"/>
                <w:color w:val="auto"/>
              </w:rPr>
              <w:t>2021</w:t>
            </w:r>
          </w:p>
        </w:tc>
        <w:tc>
          <w:tcPr>
            <w:tcW w:w="1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6,081</w:t>
            </w:r>
          </w:p>
        </w:tc>
      </w:tr>
      <w:tr>
        <w:trPr>
          <w:trHeight w:val="253"/>
        </w:trPr>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4,427</w:t>
            </w:r>
          </w:p>
        </w:tc>
      </w:tr>
      <w:tr>
        <w:trPr>
          <w:trHeight w:val="233"/>
        </w:trPr>
        <w:tc>
          <w:tcPr>
            <w:tcW w:w="8400" w:type="dxa"/>
            <w:vAlign w:val="bottom"/>
          </w:tcPr>
          <w:p>
            <w:pPr>
              <w:ind w:left="40"/>
              <w:spacing w:after="0"/>
              <w:rPr>
                <w:sz w:val="20"/>
                <w:szCs w:val="20"/>
                <w:color w:val="auto"/>
              </w:rPr>
            </w:pPr>
            <w:r>
              <w:rPr>
                <w:rFonts w:ascii="Arial" w:cs="Arial" w:eastAsia="Arial" w:hAnsi="Arial"/>
                <w:sz w:val="16"/>
                <w:szCs w:val="16"/>
                <w:color w:val="auto"/>
              </w:rPr>
              <w:t>2023</w:t>
            </w:r>
          </w:p>
        </w:tc>
        <w:tc>
          <w:tcPr>
            <w:tcW w:w="1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53"/>
        </w:trPr>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r>
      <w:tr>
        <w:trPr>
          <w:trHeight w:val="237"/>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2025 and thereafter</w:t>
            </w: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8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expected future amortization expense</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16,755</w:t>
            </w:r>
          </w:p>
        </w:tc>
      </w:tr>
      <w:tr>
        <w:trPr>
          <w:trHeight w:val="20"/>
        </w:trPr>
        <w:tc>
          <w:tcPr>
            <w:tcW w:w="8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$7.4 million and $7.2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 2019,</w:t>
      </w:r>
      <w:r>
        <w:rPr>
          <w:rFonts w:ascii="Arial" w:cs="Arial" w:eastAsia="Arial" w:hAnsi="Arial"/>
          <w:sz w:val="18"/>
          <w:szCs w:val="18"/>
          <w:color w:val="231F20"/>
        </w:rPr>
        <w:t xml:space="preserve"> and </w:t>
      </w:r>
      <w:r>
        <w:rPr>
          <w:rFonts w:ascii="Arial" w:cs="Arial" w:eastAsia="Arial" w:hAnsi="Arial"/>
          <w:sz w:val="18"/>
          <w:szCs w:val="18"/>
          <w:color w:val="000000"/>
        </w:rPr>
        <w:t>2018</w:t>
      </w:r>
      <w:r>
        <w:rPr>
          <w:rFonts w:ascii="Arial" w:cs="Arial" w:eastAsia="Arial" w:hAnsi="Arial"/>
          <w:sz w:val="18"/>
          <w:szCs w:val="18"/>
          <w:color w:val="231F20"/>
        </w:rPr>
        <w:t>, respectively.</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the carrying amount of goodwill for the years ended December 31, 2019, 2018 and 2017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92075</wp:posOffset>
            </wp:positionV>
            <wp:extent cx="1775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Amount</w:t>
            </w:r>
          </w:p>
        </w:tc>
      </w:tr>
      <w:tr>
        <w:trPr>
          <w:trHeight w:val="243"/>
        </w:trPr>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1,549</w:t>
            </w:r>
          </w:p>
        </w:tc>
      </w:tr>
      <w:tr>
        <w:trPr>
          <w:trHeight w:val="237"/>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Goodwill acquired</w:t>
            </w:r>
          </w:p>
        </w:tc>
        <w:tc>
          <w:tcPr>
            <w:tcW w:w="6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5,676</w:t>
            </w:r>
          </w:p>
        </w:tc>
      </w:tr>
      <w:tr>
        <w:trPr>
          <w:trHeight w:val="243"/>
        </w:trPr>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62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7,225</w:t>
            </w:r>
          </w:p>
        </w:tc>
      </w:tr>
      <w:tr>
        <w:trPr>
          <w:trHeight w:val="233"/>
        </w:trPr>
        <w:tc>
          <w:tcPr>
            <w:tcW w:w="8400" w:type="dxa"/>
            <w:vAlign w:val="bottom"/>
          </w:tcPr>
          <w:p>
            <w:pPr>
              <w:ind w:left="40"/>
              <w:spacing w:after="0"/>
              <w:rPr>
                <w:sz w:val="20"/>
                <w:szCs w:val="20"/>
                <w:color w:val="auto"/>
              </w:rPr>
            </w:pPr>
            <w:r>
              <w:rPr>
                <w:rFonts w:ascii="Arial" w:cs="Arial" w:eastAsia="Arial" w:hAnsi="Arial"/>
                <w:sz w:val="16"/>
                <w:szCs w:val="16"/>
                <w:color w:val="auto"/>
              </w:rPr>
              <w:t>Goodwill acquired</w:t>
            </w:r>
          </w:p>
        </w:tc>
        <w:tc>
          <w:tcPr>
            <w:tcW w:w="620" w:type="dxa"/>
            <w:vAlign w:val="bottom"/>
          </w:tcPr>
          <w:p>
            <w:pPr>
              <w:spacing w:after="0"/>
              <w:rPr>
                <w:sz w:val="20"/>
                <w:szCs w:val="20"/>
                <w:color w:val="auto"/>
              </w:rPr>
            </w:pPr>
          </w:p>
        </w:tc>
        <w:tc>
          <w:tcPr>
            <w:tcW w:w="218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46"/>
        </w:trPr>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w:t>
            </w:r>
          </w:p>
        </w:tc>
        <w:tc>
          <w:tcPr>
            <w:tcW w:w="620" w:type="dxa"/>
            <w:vAlign w:val="bottom"/>
            <w:tcBorders>
              <w:bottom w:val="single" w:sz="8" w:color="auto"/>
            </w:tcBorders>
            <w:shd w:val="clear" w:color="auto" w:fill="CCEEFF"/>
          </w:tcPr>
          <w:p>
            <w:pPr>
              <w:spacing w:after="0"/>
              <w:rPr>
                <w:sz w:val="21"/>
                <w:szCs w:val="21"/>
                <w:color w:val="auto"/>
              </w:rPr>
            </w:pPr>
          </w:p>
        </w:tc>
        <w:tc>
          <w:tcPr>
            <w:tcW w:w="2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40"/>
        </w:trPr>
        <w:tc>
          <w:tcPr>
            <w:tcW w:w="8400" w:type="dxa"/>
            <w:vAlign w:val="bottom"/>
          </w:tcPr>
          <w:p>
            <w:pPr>
              <w:ind w:left="40"/>
              <w:spacing w:after="0"/>
              <w:rPr>
                <w:sz w:val="20"/>
                <w:szCs w:val="20"/>
                <w:color w:val="auto"/>
              </w:rPr>
            </w:pPr>
            <w:r>
              <w:rPr>
                <w:rFonts w:ascii="Arial" w:cs="Arial" w:eastAsia="Arial" w:hAnsi="Arial"/>
                <w:sz w:val="16"/>
                <w:szCs w:val="16"/>
                <w:color w:val="auto"/>
              </w:rPr>
              <w:t>Balance as of December 31, 2019</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7,447</w:t>
            </w:r>
          </w:p>
        </w:tc>
      </w:tr>
      <w:tr>
        <w:trPr>
          <w:trHeight w:val="20"/>
        </w:trPr>
        <w:tc>
          <w:tcPr>
            <w:tcW w:w="8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Commitments and Contingencies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Leases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January 1, 2019, the Company adopted ASU No. 2016-02, “Leases (Topic 842),” which requires leases with durations greater than twelve months to be recognized on the balance sheet. The Company adopted the standard using the current period adjustment method with an effective date of January 1, 2019. Prior year financial statements were not restated under the new standard and, therefore, those amounts are not presented below. For both operating and finance leases, the Company recognizes a right-of-use asset, which represents its right to use the underlying asset for the lease term, and a lease liability, which represents the present value of its obligation to make payments arising over the lease term. The present value of the lease payments is calculated using the incremental borrowing rate for operating and finance leases. The incremental borrowing rate is determined using a portfolio approach based on the rate of interest that the Company would have to pay to borrow an amount equal to the lease payments on a collateralized basis over a similar term.</w:t>
      </w:r>
    </w:p>
    <w:p>
      <w:pPr>
        <w:spacing w:after="0" w:line="20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Where the Company is the lessee, the Company elected to account for non-lease components associated with its leases (e.g., common area maintenance costs) and lease components separately for substantially all of the asset classes. In arrangements where the Company is the lessor, the Company applies the lease and non-lease component practical expedient and the Company accounts for lease components (e.g., customer premise equipment) and non-lease components (e.g., service revenue) as combined components and account for the combined components under the revenue recognition guidance in Topic 606 as the service revenues are the predominant components in the arrangements.</w:t>
      </w:r>
    </w:p>
    <w:p>
      <w:pPr>
        <w:spacing w:after="0" w:line="20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over the term. Many of its leases include rental escalation clauses, renewal options and/or termination options that are factored into the determination of lease payments when appropriate.</w:t>
      </w:r>
    </w:p>
    <w:p>
      <w:pPr>
        <w:spacing w:after="0" w:line="20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When available, the Company uses the rate implicit in the lease to discount lease payments to present value; however, most of the leases do not provide a readily determinable implicit rate. Therefore, the Company must estimate an incremental borrowing rate to discount the lease payments based on information available at lease commencement.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3"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table below presents the lease-related assets and liabilities recorded on the balance sheet.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00"/>
              <w:spacing w:after="0"/>
              <w:rPr>
                <w:sz w:val="20"/>
                <w:szCs w:val="20"/>
                <w:color w:val="auto"/>
              </w:rPr>
            </w:pPr>
            <w:r>
              <w:rPr>
                <w:rFonts w:ascii="Arial" w:cs="Arial" w:eastAsia="Arial" w:hAnsi="Arial"/>
                <w:sz w:val="16"/>
                <w:szCs w:val="16"/>
                <w:b w:val="1"/>
                <w:bCs w:val="1"/>
                <w:color w:val="auto"/>
              </w:rPr>
              <w:t>December 31</w:t>
            </w:r>
          </w:p>
        </w:tc>
      </w:tr>
      <w:tr>
        <w:trPr>
          <w:trHeight w:val="256"/>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688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Classification on the Balance Sheet</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2019</w:t>
            </w:r>
          </w:p>
        </w:tc>
      </w:tr>
      <w:tr>
        <w:trPr>
          <w:trHeight w:val="260"/>
        </w:trPr>
        <w:tc>
          <w:tcPr>
            <w:tcW w:w="28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6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3"/>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assets</w:t>
            </w:r>
          </w:p>
        </w:tc>
        <w:tc>
          <w:tcPr>
            <w:tcW w:w="68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Operating lease - right of use asset</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4"/>
                <w:szCs w:val="14"/>
                <w:color w:val="auto"/>
              </w:rPr>
              <w:t>40,551</w:t>
            </w:r>
          </w:p>
        </w:tc>
      </w:tr>
      <w:tr>
        <w:trPr>
          <w:trHeight w:val="237"/>
        </w:trPr>
        <w:tc>
          <w:tcPr>
            <w:tcW w:w="2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Finance lease assets</w:t>
            </w:r>
          </w:p>
        </w:tc>
        <w:tc>
          <w:tcPr>
            <w:tcW w:w="6880" w:type="dxa"/>
            <w:vAlign w:val="bottom"/>
            <w:tcBorders>
              <w:bottom w:val="single" w:sz="8" w:color="CCEEFF"/>
            </w:tcBorders>
          </w:tcPr>
          <w:p>
            <w:pPr>
              <w:ind w:left="102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1,299</w:t>
            </w:r>
          </w:p>
        </w:tc>
      </w:tr>
      <w:tr>
        <w:trPr>
          <w:trHeight w:val="240"/>
        </w:trPr>
        <w:tc>
          <w:tcPr>
            <w:tcW w:w="2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 lease assets</w:t>
            </w:r>
          </w:p>
        </w:tc>
        <w:tc>
          <w:tcPr>
            <w:tcW w:w="6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41,850</w:t>
            </w:r>
          </w:p>
        </w:tc>
      </w:tr>
      <w:tr>
        <w:trPr>
          <w:trHeight w:val="20"/>
        </w:trPr>
        <w:tc>
          <w:tcPr>
            <w:tcW w:w="28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4"/>
        </w:trPr>
        <w:tc>
          <w:tcPr>
            <w:tcW w:w="2860" w:type="dxa"/>
            <w:vAlign w:val="bottom"/>
          </w:tcPr>
          <w:p>
            <w:pPr>
              <w:spacing w:after="0"/>
              <w:rPr>
                <w:sz w:val="22"/>
                <w:szCs w:val="22"/>
                <w:color w:val="auto"/>
              </w:rPr>
            </w:pPr>
          </w:p>
        </w:tc>
        <w:tc>
          <w:tcPr>
            <w:tcW w:w="6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6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2860" w:type="dxa"/>
            <w:vAlign w:val="bottom"/>
          </w:tcPr>
          <w:p>
            <w:pPr>
              <w:ind w:left="40"/>
              <w:spacing w:after="0"/>
              <w:rPr>
                <w:sz w:val="20"/>
                <w:szCs w:val="20"/>
                <w:color w:val="auto"/>
              </w:rPr>
            </w:pPr>
            <w:r>
              <w:rPr>
                <w:rFonts w:ascii="Arial" w:cs="Arial" w:eastAsia="Arial" w:hAnsi="Arial"/>
                <w:sz w:val="16"/>
                <w:szCs w:val="16"/>
                <w:color w:val="auto"/>
              </w:rPr>
              <w:t>Current</w:t>
            </w:r>
          </w:p>
        </w:tc>
        <w:tc>
          <w:tcPr>
            <w:tcW w:w="6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3"/>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w:t>
            </w:r>
          </w:p>
        </w:tc>
        <w:tc>
          <w:tcPr>
            <w:tcW w:w="68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Operating lease liabilities, current</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7,663</w:t>
            </w:r>
          </w:p>
        </w:tc>
      </w:tr>
      <w:tr>
        <w:trPr>
          <w:trHeight w:val="233"/>
        </w:trPr>
        <w:tc>
          <w:tcPr>
            <w:tcW w:w="2860" w:type="dxa"/>
            <w:vAlign w:val="bottom"/>
          </w:tcPr>
          <w:p>
            <w:pPr>
              <w:ind w:left="180"/>
              <w:spacing w:after="0"/>
              <w:rPr>
                <w:sz w:val="20"/>
                <w:szCs w:val="20"/>
                <w:color w:val="auto"/>
              </w:rPr>
            </w:pPr>
            <w:r>
              <w:rPr>
                <w:rFonts w:ascii="Arial" w:cs="Arial" w:eastAsia="Arial" w:hAnsi="Arial"/>
                <w:sz w:val="16"/>
                <w:szCs w:val="16"/>
                <w:color w:val="auto"/>
              </w:rPr>
              <w:t>Finance</w:t>
            </w:r>
          </w:p>
        </w:tc>
        <w:tc>
          <w:tcPr>
            <w:tcW w:w="6880" w:type="dxa"/>
            <w:vAlign w:val="bottom"/>
          </w:tcPr>
          <w:p>
            <w:pPr>
              <w:ind w:left="102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124</w:t>
            </w:r>
          </w:p>
        </w:tc>
      </w:tr>
      <w:tr>
        <w:trPr>
          <w:trHeight w:val="28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6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33"/>
        </w:trPr>
        <w:tc>
          <w:tcPr>
            <w:tcW w:w="286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6880" w:type="dxa"/>
            <w:vAlign w:val="bottom"/>
          </w:tcPr>
          <w:p>
            <w:pPr>
              <w:ind w:left="1020"/>
              <w:spacing w:after="0"/>
              <w:rPr>
                <w:sz w:val="20"/>
                <w:szCs w:val="20"/>
                <w:color w:val="auto"/>
              </w:rPr>
            </w:pPr>
            <w:r>
              <w:rPr>
                <w:rFonts w:ascii="Arial" w:cs="Arial" w:eastAsia="Arial" w:hAnsi="Arial"/>
                <w:sz w:val="16"/>
                <w:szCs w:val="16"/>
                <w:color w:val="auto"/>
              </w:rPr>
              <w:t>Operating lease liabilities, noncurrent</w:t>
            </w:r>
          </w:p>
        </w:tc>
        <w:tc>
          <w:tcPr>
            <w:tcW w:w="2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44,015</w:t>
            </w:r>
          </w:p>
        </w:tc>
      </w:tr>
      <w:tr>
        <w:trPr>
          <w:trHeight w:val="253"/>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w:t>
            </w:r>
          </w:p>
        </w:tc>
        <w:tc>
          <w:tcPr>
            <w:tcW w:w="68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r>
      <w:tr>
        <w:trPr>
          <w:trHeight w:val="234"/>
        </w:trPr>
        <w:tc>
          <w:tcPr>
            <w:tcW w:w="2860" w:type="dxa"/>
            <w:vAlign w:val="bottom"/>
          </w:tcPr>
          <w:p>
            <w:pPr>
              <w:ind w:left="280"/>
              <w:spacing w:after="0"/>
              <w:rPr>
                <w:sz w:val="20"/>
                <w:szCs w:val="20"/>
                <w:color w:val="auto"/>
              </w:rPr>
            </w:pPr>
            <w:r>
              <w:rPr>
                <w:rFonts w:ascii="Arial" w:cs="Arial" w:eastAsia="Arial" w:hAnsi="Arial"/>
                <w:sz w:val="16"/>
                <w:szCs w:val="16"/>
                <w:b w:val="1"/>
                <w:bCs w:val="1"/>
                <w:color w:val="auto"/>
              </w:rPr>
              <w:t>Total lease liabilities</w:t>
            </w:r>
          </w:p>
        </w:tc>
        <w:tc>
          <w:tcPr>
            <w:tcW w:w="6880" w:type="dxa"/>
            <w:vAlign w:val="bottom"/>
          </w:tcPr>
          <w:p>
            <w:pPr>
              <w:spacing w:after="0"/>
              <w:rPr>
                <w:sz w:val="20"/>
                <w:szCs w:val="20"/>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51,856</w:t>
            </w:r>
          </w:p>
        </w:tc>
      </w:tr>
      <w:tr>
        <w:trPr>
          <w:trHeight w:val="20"/>
        </w:trPr>
        <w:tc>
          <w:tcPr>
            <w:tcW w:w="28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The Company leases certain offices, computer equipment and its data center facilities under non-cancelable operating leases for varying periods through 2028. In January 2018, the Company entered into a $3.5 million financing arrangement for data center storage equipment, accounted for as a finance lease, with an implied interest rate of 5%.</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the fourth quarter ended December 31, 2019, the Company entered into a new lease agreement (included in the table above) for a total of approximately 282,000 square feet of office space in Pune, India. On the lease inception date of October 1, 2019, the Company recognized $14.7 million of lease liability and ROU assets, which will be amortized over the non-cancellable lease term through February 2025.</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December 31, 2019</w:t>
      </w:r>
      <w:r>
        <w:rPr>
          <w:rFonts w:ascii="Arial" w:cs="Arial" w:eastAsia="Arial" w:hAnsi="Arial"/>
          <w:sz w:val="18"/>
          <w:szCs w:val="18"/>
          <w:color w:val="231F20"/>
        </w:rPr>
        <w:t xml:space="preserve">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Operating</w:t>
            </w:r>
          </w:p>
        </w:tc>
        <w:tc>
          <w:tcPr>
            <w:tcW w:w="300" w:type="dxa"/>
            <w:vAlign w:val="bottom"/>
          </w:tcPr>
          <w:p>
            <w:pPr>
              <w:spacing w:after="0"/>
              <w:rPr>
                <w:sz w:val="16"/>
                <w:szCs w:val="16"/>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Finance</w:t>
            </w:r>
          </w:p>
        </w:tc>
      </w:tr>
      <w:tr>
        <w:trPr>
          <w:trHeight w:val="228"/>
        </w:trPr>
        <w:tc>
          <w:tcPr>
            <w:tcW w:w="8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Leases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Leases</w:t>
            </w:r>
          </w:p>
        </w:tc>
      </w:tr>
      <w:tr>
        <w:trPr>
          <w:trHeight w:val="247"/>
        </w:trPr>
        <w:tc>
          <w:tcPr>
            <w:tcW w:w="8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gridSpan w:val="4"/>
          </w:tcPr>
          <w:p>
            <w:pPr>
              <w:jc w:val="right"/>
              <w:ind w:right="9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10,603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60"/>
        </w:trPr>
        <w:tc>
          <w:tcPr>
            <w:tcW w:w="8020" w:type="dxa"/>
            <w:vAlign w:val="bottom"/>
          </w:tcPr>
          <w:p>
            <w:pPr>
              <w:ind w:left="40"/>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9,859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80"/>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020" w:type="dxa"/>
            <w:vAlign w:val="bottom"/>
          </w:tcPr>
          <w:p>
            <w:pPr>
              <w:ind w:left="4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8,652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2025 and thereafter</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15,583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minimum lease payments</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62,102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r>
      <w:tr>
        <w:trPr>
          <w:trHeight w:val="264"/>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Less: amount representing interest</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57"/>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Present value of minimum payments</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51,678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64"/>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Less: lease obligations, current</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40"/>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Lease obligations, noncurrent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44,015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Rent expense was $13.9 million, $9.9 million and $9.6 million for 2019, 2018 </w:t>
      </w:r>
      <w:r>
        <w:rPr>
          <w:rFonts w:ascii="Arial" w:cs="Arial" w:eastAsia="Arial" w:hAnsi="Arial"/>
          <w:sz w:val="18"/>
          <w:szCs w:val="18"/>
          <w:color w:val="231F20"/>
        </w:rPr>
        <w:t>and</w:t>
      </w:r>
      <w:r>
        <w:rPr>
          <w:rFonts w:ascii="Arial" w:cs="Arial" w:eastAsia="Arial" w:hAnsi="Arial"/>
          <w:sz w:val="18"/>
          <w:szCs w:val="18"/>
          <w:color w:val="auto"/>
        </w:rPr>
        <w:t xml:space="preserve"> 2017</w:t>
      </w:r>
      <w:r>
        <w:rPr>
          <w:rFonts w:ascii="Arial" w:cs="Arial" w:eastAsia="Arial" w:hAnsi="Arial"/>
          <w:sz w:val="18"/>
          <w:szCs w:val="18"/>
          <w:color w:val="231F20"/>
        </w:rPr>
        <w:t>, respectively.</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33"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remaining lease term and the weighted average discount rate of the Company's leases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tcBorders>
              <w:bottom w:val="single" w:sz="8" w:color="CCEEFF"/>
            </w:tcBorders>
          </w:tcPr>
          <w:p>
            <w:pPr>
              <w:spacing w:after="0"/>
              <w:rPr>
                <w:sz w:val="19"/>
                <w:szCs w:val="19"/>
                <w:color w:val="auto"/>
              </w:rPr>
            </w:pPr>
          </w:p>
        </w:tc>
        <w:tc>
          <w:tcPr>
            <w:tcW w:w="28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December 31, 2019</w:t>
            </w: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remaining lease term (years)</w:t>
            </w:r>
          </w:p>
        </w:tc>
        <w:tc>
          <w:tcPr>
            <w:tcW w:w="2800" w:type="dxa"/>
            <w:vAlign w:val="bottom"/>
            <w:shd w:val="clear" w:color="auto" w:fill="CCEEFF"/>
          </w:tcPr>
          <w:p>
            <w:pPr>
              <w:spacing w:after="0"/>
              <w:rPr>
                <w:sz w:val="23"/>
                <w:szCs w:val="23"/>
                <w:color w:val="auto"/>
              </w:rPr>
            </w:pPr>
          </w:p>
        </w:tc>
      </w:tr>
      <w:tr>
        <w:trPr>
          <w:trHeight w:val="233"/>
        </w:trPr>
        <w:tc>
          <w:tcPr>
            <w:tcW w:w="862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2800" w:type="dxa"/>
            <w:vAlign w:val="bottom"/>
          </w:tcPr>
          <w:p>
            <w:pPr>
              <w:jc w:val="right"/>
              <w:ind w:right="99"/>
              <w:spacing w:after="0"/>
              <w:rPr>
                <w:sz w:val="20"/>
                <w:szCs w:val="20"/>
                <w:color w:val="auto"/>
              </w:rPr>
            </w:pPr>
            <w:r>
              <w:rPr>
                <w:rFonts w:ascii="Arial" w:cs="Arial" w:eastAsia="Arial" w:hAnsi="Arial"/>
                <w:sz w:val="16"/>
                <w:szCs w:val="16"/>
                <w:color w:val="auto"/>
              </w:rPr>
              <w:t>6.5</w:t>
            </w:r>
          </w:p>
        </w:tc>
      </w:tr>
      <w:tr>
        <w:trPr>
          <w:trHeight w:val="253"/>
        </w:trPr>
        <w:tc>
          <w:tcPr>
            <w:tcW w:w="8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2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1.25</w:t>
            </w:r>
          </w:p>
        </w:tc>
      </w:tr>
      <w:tr>
        <w:trPr>
          <w:trHeight w:val="260"/>
        </w:trPr>
        <w:tc>
          <w:tcPr>
            <w:tcW w:w="8620" w:type="dxa"/>
            <w:vAlign w:val="bottom"/>
          </w:tcPr>
          <w:p>
            <w:pPr>
              <w:ind w:left="40"/>
              <w:spacing w:after="0"/>
              <w:rPr>
                <w:sz w:val="20"/>
                <w:szCs w:val="20"/>
                <w:color w:val="auto"/>
              </w:rPr>
            </w:pPr>
            <w:r>
              <w:rPr>
                <w:rFonts w:ascii="Arial" w:cs="Arial" w:eastAsia="Arial" w:hAnsi="Arial"/>
                <w:sz w:val="16"/>
                <w:szCs w:val="16"/>
                <w:b w:val="1"/>
                <w:bCs w:val="1"/>
                <w:color w:val="auto"/>
              </w:rPr>
              <w:t>Weighted average discount rates</w:t>
            </w:r>
          </w:p>
        </w:tc>
        <w:tc>
          <w:tcPr>
            <w:tcW w:w="2800" w:type="dxa"/>
            <w:vAlign w:val="bottom"/>
          </w:tcPr>
          <w:p>
            <w:pPr>
              <w:spacing w:after="0"/>
              <w:rPr>
                <w:sz w:val="22"/>
                <w:szCs w:val="22"/>
                <w:color w:val="auto"/>
              </w:rPr>
            </w:pPr>
          </w:p>
        </w:tc>
      </w:tr>
      <w:tr>
        <w:trPr>
          <w:trHeight w:val="253"/>
        </w:trPr>
        <w:tc>
          <w:tcPr>
            <w:tcW w:w="8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2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24"/>
        </w:trPr>
        <w:tc>
          <w:tcPr>
            <w:tcW w:w="862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2800" w:type="dxa"/>
            <w:vAlign w:val="bottom"/>
          </w:tcPr>
          <w:p>
            <w:pPr>
              <w:jc w:val="right"/>
              <w:spacing w:after="0"/>
              <w:rPr>
                <w:sz w:val="20"/>
                <w:szCs w:val="20"/>
                <w:color w:val="auto"/>
              </w:rPr>
            </w:pPr>
            <w:r>
              <w:rPr>
                <w:rFonts w:ascii="Arial" w:cs="Arial" w:eastAsia="Arial" w:hAnsi="Arial"/>
                <w:sz w:val="16"/>
                <w:szCs w:val="16"/>
                <w:color w:val="auto"/>
              </w:rPr>
              <w:t>5.0%</w:t>
            </w:r>
          </w:p>
        </w:tc>
      </w:tr>
    </w:tbl>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Purchase Obligation</w:t>
      </w:r>
    </w:p>
    <w:p>
      <w:pPr>
        <w:spacing w:after="0" w:line="139"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The Company has entered into agreements to purchase goods and services in the ordinary course of business, primarily through the next 12 months. As of December 31, 2019, these remaining commitments were $25.3 million.</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9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NOTE 8.</w:t>
            </w:r>
          </w:p>
        </w:tc>
        <w:tc>
          <w:tcPr>
            <w:tcW w:w="8780" w:type="dxa"/>
            <w:vAlign w:val="bottom"/>
            <w:gridSpan w:val="2"/>
          </w:tcPr>
          <w:p>
            <w:pPr>
              <w:ind w:left="280"/>
              <w:spacing w:after="0"/>
              <w:rPr>
                <w:sz w:val="20"/>
                <w:szCs w:val="20"/>
                <w:color w:val="auto"/>
              </w:rPr>
            </w:pPr>
            <w:r>
              <w:rPr>
                <w:rFonts w:ascii="Arial" w:cs="Arial" w:eastAsia="Arial" w:hAnsi="Arial"/>
                <w:sz w:val="18"/>
                <w:szCs w:val="18"/>
                <w:b w:val="1"/>
                <w:bCs w:val="1"/>
                <w:color w:val="auto"/>
              </w:rPr>
              <w:t>Stockholders' Equity and Stock-based Compensation</w:t>
            </w:r>
          </w:p>
        </w:tc>
        <w:tc>
          <w:tcPr>
            <w:tcW w:w="1480" w:type="dxa"/>
            <w:vAlign w:val="bottom"/>
          </w:tcPr>
          <w:p>
            <w:pPr>
              <w:spacing w:after="0"/>
              <w:rPr>
                <w:sz w:val="20"/>
                <w:szCs w:val="20"/>
                <w:color w:val="auto"/>
              </w:rPr>
            </w:pPr>
          </w:p>
        </w:tc>
      </w:tr>
      <w:tr>
        <w:trPr>
          <w:trHeight w:val="446"/>
        </w:trPr>
        <w:tc>
          <w:tcPr>
            <w:tcW w:w="980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231F20"/>
              </w:rPr>
              <w:t>Common Stock</w:t>
            </w:r>
          </w:p>
        </w:tc>
        <w:tc>
          <w:tcPr>
            <w:tcW w:w="1480" w:type="dxa"/>
            <w:vAlign w:val="bottom"/>
          </w:tcPr>
          <w:p>
            <w:pPr>
              <w:spacing w:after="0"/>
              <w:rPr>
                <w:sz w:val="24"/>
                <w:szCs w:val="24"/>
                <w:color w:val="auto"/>
              </w:rPr>
            </w:pPr>
          </w:p>
        </w:tc>
      </w:tr>
      <w:tr>
        <w:trPr>
          <w:trHeight w:val="324"/>
        </w:trPr>
        <w:tc>
          <w:tcPr>
            <w:tcW w:w="9800" w:type="dxa"/>
            <w:vAlign w:val="bottom"/>
            <w:gridSpan w:val="3"/>
          </w:tcPr>
          <w:p>
            <w:pPr>
              <w:ind w:left="420"/>
              <w:spacing w:after="0"/>
              <w:rPr>
                <w:sz w:val="20"/>
                <w:szCs w:val="20"/>
                <w:color w:val="auto"/>
              </w:rPr>
            </w:pPr>
            <w:r>
              <w:rPr>
                <w:rFonts w:ascii="Arial" w:cs="Arial" w:eastAsia="Arial" w:hAnsi="Arial"/>
                <w:sz w:val="18"/>
                <w:szCs w:val="18"/>
                <w:color w:val="231F20"/>
              </w:rPr>
              <w:t xml:space="preserve">The Company had reserved shares of common stock for future issuance as of </w:t>
            </w:r>
            <w:r>
              <w:rPr>
                <w:rFonts w:ascii="Arial" w:cs="Arial" w:eastAsia="Arial" w:hAnsi="Arial"/>
                <w:sz w:val="18"/>
                <w:szCs w:val="18"/>
                <w:color w:val="000000"/>
              </w:rPr>
              <w:t>December 31, 2019</w:t>
            </w:r>
            <w:r>
              <w:rPr>
                <w:rFonts w:ascii="Arial" w:cs="Arial" w:eastAsia="Arial" w:hAnsi="Arial"/>
                <w:sz w:val="18"/>
                <w:szCs w:val="18"/>
                <w:color w:val="231F20"/>
              </w:rPr>
              <w:t xml:space="preserve"> as follows:</w:t>
            </w:r>
          </w:p>
        </w:tc>
        <w:tc>
          <w:tcPr>
            <w:tcW w:w="1480" w:type="dxa"/>
            <w:vAlign w:val="bottom"/>
          </w:tcPr>
          <w:p>
            <w:pPr>
              <w:spacing w:after="0"/>
              <w:rPr>
                <w:sz w:val="24"/>
                <w:szCs w:val="24"/>
                <w:color w:val="auto"/>
              </w:rPr>
            </w:pPr>
          </w:p>
        </w:tc>
      </w:tr>
      <w:tr>
        <w:trPr>
          <w:trHeight w:val="395"/>
        </w:trPr>
        <w:tc>
          <w:tcPr>
            <w:tcW w:w="9800" w:type="dxa"/>
            <w:vAlign w:val="bottom"/>
            <w:gridSpan w:val="3"/>
          </w:tcPr>
          <w:p>
            <w:pPr>
              <w:ind w:left="40"/>
              <w:spacing w:after="0"/>
              <w:rPr>
                <w:sz w:val="20"/>
                <w:szCs w:val="20"/>
                <w:color w:val="auto"/>
              </w:rPr>
            </w:pPr>
            <w:r>
              <w:rPr>
                <w:rFonts w:ascii="Arial" w:cs="Arial" w:eastAsia="Arial" w:hAnsi="Arial"/>
                <w:sz w:val="16"/>
                <w:szCs w:val="16"/>
                <w:color w:val="auto"/>
              </w:rPr>
              <w:t>Options and RSUs outstanding under equity incentive plans</w:t>
            </w:r>
          </w:p>
        </w:tc>
        <w:tc>
          <w:tcPr>
            <w:tcW w:w="1480" w:type="dxa"/>
            <w:vAlign w:val="bottom"/>
          </w:tcPr>
          <w:p>
            <w:pPr>
              <w:spacing w:after="0"/>
              <w:rPr>
                <w:sz w:val="24"/>
                <w:szCs w:val="24"/>
                <w:color w:val="auto"/>
              </w:rPr>
            </w:pPr>
          </w:p>
        </w:tc>
      </w:tr>
      <w:tr>
        <w:trPr>
          <w:trHeight w:val="280"/>
        </w:trPr>
        <w:tc>
          <w:tcPr>
            <w:tcW w:w="98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2000 Equity Incentive Plan</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157,385</w:t>
            </w:r>
          </w:p>
        </w:tc>
      </w:tr>
      <w:tr>
        <w:trPr>
          <w:trHeight w:val="260"/>
        </w:trPr>
        <w:tc>
          <w:tcPr>
            <w:tcW w:w="9800" w:type="dxa"/>
            <w:vAlign w:val="bottom"/>
            <w:gridSpan w:val="3"/>
          </w:tcPr>
          <w:p>
            <w:pPr>
              <w:ind w:left="280"/>
              <w:spacing w:after="0"/>
              <w:rPr>
                <w:sz w:val="20"/>
                <w:szCs w:val="20"/>
                <w:color w:val="auto"/>
              </w:rPr>
            </w:pPr>
            <w:r>
              <w:rPr>
                <w:rFonts w:ascii="Arial" w:cs="Arial" w:eastAsia="Arial" w:hAnsi="Arial"/>
                <w:sz w:val="16"/>
                <w:szCs w:val="16"/>
                <w:color w:val="auto"/>
              </w:rPr>
              <w:t>2012 Equity Incentive Plan</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3,924,108</w:t>
            </w:r>
          </w:p>
        </w:tc>
      </w:tr>
      <w:tr>
        <w:trPr>
          <w:trHeight w:val="280"/>
        </w:trPr>
        <w:tc>
          <w:tcPr>
            <w:tcW w:w="98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under an equity incentive plan</w:t>
            </w:r>
          </w:p>
        </w:tc>
        <w:tc>
          <w:tcPr>
            <w:tcW w:w="1480" w:type="dxa"/>
            <w:vAlign w:val="bottom"/>
            <w:shd w:val="clear" w:color="auto" w:fill="CCEEFF"/>
          </w:tcPr>
          <w:p>
            <w:pPr>
              <w:spacing w:after="0"/>
              <w:rPr>
                <w:sz w:val="24"/>
                <w:szCs w:val="24"/>
                <w:color w:val="auto"/>
              </w:rPr>
            </w:pPr>
          </w:p>
        </w:tc>
      </w:tr>
      <w:tr>
        <w:trPr>
          <w:trHeight w:val="264"/>
        </w:trPr>
        <w:tc>
          <w:tcPr>
            <w:tcW w:w="85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2012 Equity Incentive Plan</w:t>
            </w:r>
          </w:p>
        </w:tc>
        <w:tc>
          <w:tcPr>
            <w:tcW w:w="1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5,243,730</w:t>
            </w:r>
          </w:p>
        </w:tc>
      </w:tr>
      <w:tr>
        <w:trPr>
          <w:trHeight w:val="240"/>
        </w:trPr>
        <w:tc>
          <w:tcPr>
            <w:tcW w:w="98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shares reserved for future issuance</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9,325,223</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Effective October 3, 2012, the Company is authorized to issue </w:t>
      </w:r>
      <w:r>
        <w:rPr>
          <w:rFonts w:ascii="Arial" w:cs="Arial" w:eastAsia="Arial" w:hAnsi="Arial"/>
          <w:sz w:val="18"/>
          <w:szCs w:val="18"/>
          <w:color w:val="000000"/>
        </w:rPr>
        <w:t>20,000,000</w:t>
      </w:r>
      <w:r>
        <w:rPr>
          <w:rFonts w:ascii="Arial" w:cs="Arial" w:eastAsia="Arial" w:hAnsi="Arial"/>
          <w:sz w:val="18"/>
          <w:szCs w:val="18"/>
          <w:color w:val="231F20"/>
        </w:rPr>
        <w:t xml:space="preserve"> shares of undesignated preferred stock with a par value of $0.001 per share. Each series of preferred stock will have such </w:t>
      </w:r>
      <w:r>
        <w:rPr>
          <w:rFonts w:ascii="Arial" w:cs="Arial" w:eastAsia="Arial" w:hAnsi="Arial"/>
          <w:sz w:val="18"/>
          <w:szCs w:val="18"/>
          <w:color w:val="000000"/>
        </w:rPr>
        <w:t>rights and preferences including dividend rights, dividend rate, conversion</w:t>
      </w:r>
      <w:r>
        <w:rPr>
          <w:rFonts w:ascii="Arial" w:cs="Arial" w:eastAsia="Arial" w:hAnsi="Arial"/>
          <w:sz w:val="18"/>
          <w:szCs w:val="18"/>
          <w:color w:val="231F20"/>
        </w:rPr>
        <w:t xml:space="preserve"> </w:t>
      </w:r>
      <w:r>
        <w:rPr>
          <w:rFonts w:ascii="Arial" w:cs="Arial" w:eastAsia="Arial" w:hAnsi="Arial"/>
          <w:sz w:val="18"/>
          <w:szCs w:val="18"/>
          <w:color w:val="000000"/>
        </w:rPr>
        <w:t xml:space="preserve">rights, voting rights, rights and terms of redemption (including sinking fund provisions), redemption price, and liquidation preferences as determined by the Board. </w:t>
      </w:r>
      <w:r>
        <w:rPr>
          <w:rFonts w:ascii="Arial" w:cs="Arial" w:eastAsia="Arial" w:hAnsi="Arial"/>
          <w:sz w:val="18"/>
          <w:szCs w:val="18"/>
          <w:color w:val="231F20"/>
        </w:rPr>
        <w:t>As of December 31, 2019, and 2018, there were no issued or outstanding shares of preferred stock.</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2012 Equity Incentive Plan</w:t>
      </w:r>
    </w:p>
    <w:p>
      <w:pPr>
        <w:spacing w:after="0" w:line="1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The 2012 Equity Incentive Plan was </w:t>
      </w:r>
      <w:r>
        <w:rPr>
          <w:rFonts w:ascii="Arial" w:cs="Arial" w:eastAsia="Arial" w:hAnsi="Arial"/>
          <w:sz w:val="18"/>
          <w:szCs w:val="18"/>
          <w:color w:val="000000"/>
        </w:rPr>
        <w:t>adopted and approved in September 2012 and became effective on September 26, 2012. Under the</w:t>
      </w:r>
      <w:r>
        <w:rPr>
          <w:rFonts w:ascii="Arial" w:cs="Arial" w:eastAsia="Arial" w:hAnsi="Arial"/>
          <w:sz w:val="18"/>
          <w:szCs w:val="18"/>
          <w:color w:val="231F20"/>
        </w:rPr>
        <w:t xml:space="preserve"> </w:t>
      </w:r>
      <w:r>
        <w:rPr>
          <w:rFonts w:ascii="Arial" w:cs="Arial" w:eastAsia="Arial" w:hAnsi="Arial"/>
          <w:sz w:val="18"/>
          <w:szCs w:val="18"/>
          <w:color w:val="000000"/>
        </w:rPr>
        <w:t>2012 Plan, the Company is authorized to grant to eligible participant's incentive stock options (ISOs), non-statutory stock options (NSOs), stock appreciation rights (SARs), restricted stock awards (RSAs), RSUs, performance</w:t>
      </w:r>
    </w:p>
    <w:p>
      <w:pPr>
        <w:sectPr>
          <w:pgSz w:w="11900" w:h="16838" w:orient="portrait"/>
          <w:cols w:equalWidth="0" w:num="1">
            <w:col w:w="11420"/>
          </w:cols>
          <w:pgMar w:left="240" w:top="333"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333"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units and performance shares equivalent to up to 13,741,931 shares of common stock as </w:t>
      </w:r>
      <w:r>
        <w:rPr>
          <w:rFonts w:ascii="Arial" w:cs="Arial" w:eastAsia="Arial" w:hAnsi="Arial"/>
          <w:sz w:val="18"/>
          <w:szCs w:val="18"/>
          <w:color w:val="231F20"/>
        </w:rPr>
        <w:t>of December 31, 2019. The number of shares of</w:t>
      </w:r>
      <w:r>
        <w:rPr>
          <w:rFonts w:ascii="Arial" w:cs="Arial" w:eastAsia="Arial" w:hAnsi="Arial"/>
          <w:sz w:val="18"/>
          <w:szCs w:val="18"/>
          <w:color w:val="auto"/>
        </w:rPr>
        <w:t xml:space="preserve"> </w:t>
      </w:r>
      <w:r>
        <w:rPr>
          <w:rFonts w:ascii="Arial" w:cs="Arial" w:eastAsia="Arial" w:hAnsi="Arial"/>
          <w:sz w:val="18"/>
          <w:szCs w:val="18"/>
          <w:color w:val="231F20"/>
        </w:rPr>
        <w:t xml:space="preserve">common stock available for issuance under the 2012 Plan includes an annual increase on January 1 of each year by an amount equal to the least of </w:t>
      </w:r>
      <w:r>
        <w:rPr>
          <w:rFonts w:ascii="Arial" w:cs="Arial" w:eastAsia="Arial" w:hAnsi="Arial"/>
          <w:sz w:val="18"/>
          <w:szCs w:val="18"/>
          <w:color w:val="000000"/>
        </w:rPr>
        <w:t>3,050,000</w:t>
      </w:r>
      <w:r>
        <w:rPr>
          <w:rFonts w:ascii="Arial" w:cs="Arial" w:eastAsia="Arial" w:hAnsi="Arial"/>
          <w:sz w:val="18"/>
          <w:szCs w:val="18"/>
          <w:color w:val="231F20"/>
        </w:rPr>
        <w:t xml:space="preserve"> shares; </w:t>
      </w:r>
      <w:r>
        <w:rPr>
          <w:rFonts w:ascii="Arial" w:cs="Arial" w:eastAsia="Arial" w:hAnsi="Arial"/>
          <w:sz w:val="18"/>
          <w:szCs w:val="18"/>
          <w:color w:val="000000"/>
        </w:rPr>
        <w:t>5%</w:t>
      </w:r>
      <w:r>
        <w:rPr>
          <w:rFonts w:ascii="Arial" w:cs="Arial" w:eastAsia="Arial" w:hAnsi="Arial"/>
          <w:sz w:val="18"/>
          <w:szCs w:val="18"/>
          <w:color w:val="231F20"/>
        </w:rPr>
        <w:t xml:space="preserve"> of the outstanding shares of stock as of the last day of the immediately preceding fiscal year; or an amount determined by the Board of Directors. Options may be granted with an exercise price that is at least equal to the fair market value of the Company's stock at the date of grant and are exercisable when vested. Options granted generally vest over a period of up to </w:t>
      </w:r>
      <w:r>
        <w:rPr>
          <w:rFonts w:ascii="Arial" w:cs="Arial" w:eastAsia="Arial" w:hAnsi="Arial"/>
          <w:sz w:val="18"/>
          <w:szCs w:val="18"/>
          <w:color w:val="000000"/>
        </w:rPr>
        <w:t>four years</w:t>
      </w:r>
      <w:r>
        <w:rPr>
          <w:rFonts w:ascii="Arial" w:cs="Arial" w:eastAsia="Arial" w:hAnsi="Arial"/>
          <w:sz w:val="18"/>
          <w:szCs w:val="18"/>
          <w:color w:val="231F20"/>
        </w:rPr>
        <w:t xml:space="preserve">, with a maximum term of </w:t>
      </w:r>
      <w:r>
        <w:rPr>
          <w:rFonts w:ascii="Arial" w:cs="Arial" w:eastAsia="Arial" w:hAnsi="Arial"/>
          <w:sz w:val="18"/>
          <w:szCs w:val="18"/>
          <w:color w:val="000000"/>
        </w:rPr>
        <w:t>ten years</w:t>
      </w:r>
      <w:r>
        <w:rPr>
          <w:rFonts w:ascii="Arial" w:cs="Arial" w:eastAsia="Arial" w:hAnsi="Arial"/>
          <w:sz w:val="18"/>
          <w:szCs w:val="18"/>
          <w:color w:val="231F20"/>
        </w:rPr>
        <w:t xml:space="preserve">. ISOs may only be granted to employees and any subsidiary corporations' employees. All other awards may be granted to employees, directors and consultants and subsidiary corporations' employees and consultants. </w:t>
      </w:r>
      <w:r>
        <w:rPr>
          <w:rFonts w:ascii="Arial" w:cs="Arial" w:eastAsia="Arial" w:hAnsi="Arial"/>
          <w:sz w:val="18"/>
          <w:szCs w:val="18"/>
          <w:color w:val="000000"/>
        </w:rPr>
        <w:t>Options, SARs, RSUs, performance</w:t>
      </w:r>
      <w:r>
        <w:rPr>
          <w:rFonts w:ascii="Arial" w:cs="Arial" w:eastAsia="Arial" w:hAnsi="Arial"/>
          <w:sz w:val="18"/>
          <w:szCs w:val="18"/>
          <w:color w:val="231F20"/>
        </w:rPr>
        <w:t xml:space="preserve"> </w:t>
      </w:r>
      <w:r>
        <w:rPr>
          <w:rFonts w:ascii="Arial" w:cs="Arial" w:eastAsia="Arial" w:hAnsi="Arial"/>
          <w:sz w:val="18"/>
          <w:szCs w:val="18"/>
          <w:color w:val="000000"/>
        </w:rPr>
        <w:t>units and performance awards may be granted with vesting terms as determined by the Board of Directors and expire no more than ten years after the date of grant or earlier if employment or service is terminated.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2000 Equity Incentive Plan</w:t>
      </w:r>
    </w:p>
    <w:p>
      <w:pPr>
        <w:spacing w:after="0" w:line="13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Under the 2000 Equity Incentive Plan (2000 Plan), the Company was authorized to grant to eligible participants either ISOs or NSOs. The ISOs were granted at a price per share not less than the fair market value at the date of grant. The NSOs were granted at a price per share not less than </w:t>
      </w:r>
      <w:r>
        <w:rPr>
          <w:rFonts w:ascii="Arial" w:cs="Arial" w:eastAsia="Arial" w:hAnsi="Arial"/>
          <w:sz w:val="18"/>
          <w:szCs w:val="18"/>
          <w:color w:val="000000"/>
        </w:rPr>
        <w:t>85%</w:t>
      </w:r>
      <w:r>
        <w:rPr>
          <w:rFonts w:ascii="Arial" w:cs="Arial" w:eastAsia="Arial" w:hAnsi="Arial"/>
          <w:sz w:val="18"/>
          <w:szCs w:val="18"/>
          <w:color w:val="231F20"/>
        </w:rPr>
        <w:t xml:space="preserve"> of the fair market value at the date of grant. Options granted generally vest over a period of up to </w:t>
      </w:r>
      <w:r>
        <w:rPr>
          <w:rFonts w:ascii="Arial" w:cs="Arial" w:eastAsia="Arial" w:hAnsi="Arial"/>
          <w:sz w:val="18"/>
          <w:szCs w:val="18"/>
          <w:color w:val="000000"/>
        </w:rPr>
        <w:t>four years</w:t>
      </w:r>
      <w:r>
        <w:rPr>
          <w:rFonts w:ascii="Arial" w:cs="Arial" w:eastAsia="Arial" w:hAnsi="Arial"/>
          <w:sz w:val="18"/>
          <w:szCs w:val="18"/>
          <w:color w:val="231F20"/>
        </w:rPr>
        <w:t xml:space="preserve">, with a maximum term of </w:t>
      </w:r>
      <w:r>
        <w:rPr>
          <w:rFonts w:ascii="Arial" w:cs="Arial" w:eastAsia="Arial" w:hAnsi="Arial"/>
          <w:sz w:val="18"/>
          <w:szCs w:val="18"/>
          <w:color w:val="000000"/>
        </w:rPr>
        <w:t>ten years</w:t>
      </w:r>
      <w:r>
        <w:rPr>
          <w:rFonts w:ascii="Arial" w:cs="Arial" w:eastAsia="Arial" w:hAnsi="Arial"/>
          <w:sz w:val="18"/>
          <w:szCs w:val="18"/>
          <w:color w:val="231F20"/>
        </w:rPr>
        <w:t xml:space="preserve">. The 2000 Plan was terminated in connection with the closing of the Company's initial public offering, and accordingly, </w:t>
      </w:r>
      <w:r>
        <w:rPr>
          <w:rFonts w:ascii="Arial" w:cs="Arial" w:eastAsia="Arial" w:hAnsi="Arial"/>
          <w:sz w:val="18"/>
          <w:szCs w:val="18"/>
          <w:color w:val="000000"/>
        </w:rPr>
        <w:t>no</w:t>
      </w:r>
      <w:r>
        <w:rPr>
          <w:rFonts w:ascii="Arial" w:cs="Arial" w:eastAsia="Arial" w:hAnsi="Arial"/>
          <w:sz w:val="18"/>
          <w:szCs w:val="18"/>
          <w:color w:val="231F20"/>
        </w:rPr>
        <w:t xml:space="preserve"> shares are currently available for grant under the 2000 Plan. The 2000 Plan continues to govern outstanding awards granted thereunder.</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Options granted under the 2000 Plan were immediately exercisable, </w:t>
      </w:r>
      <w:r>
        <w:rPr>
          <w:rFonts w:ascii="Arial" w:cs="Arial" w:eastAsia="Arial" w:hAnsi="Arial"/>
          <w:sz w:val="18"/>
          <w:szCs w:val="18"/>
          <w:color w:val="000000"/>
        </w:rPr>
        <w:t>and unvested shares are subject to repurchase by the Company.</w:t>
      </w:r>
      <w:r>
        <w:rPr>
          <w:rFonts w:ascii="Arial" w:cs="Arial" w:eastAsia="Arial" w:hAnsi="Arial"/>
          <w:sz w:val="18"/>
          <w:szCs w:val="18"/>
          <w:color w:val="231F20"/>
        </w:rPr>
        <w:t xml:space="preserve"> </w:t>
      </w:r>
      <w:r>
        <w:rPr>
          <w:rFonts w:ascii="Arial" w:cs="Arial" w:eastAsia="Arial" w:hAnsi="Arial"/>
          <w:sz w:val="18"/>
          <w:szCs w:val="18"/>
          <w:color w:val="000000"/>
        </w:rPr>
        <w:t>Upon termination of employment of an option holder, the Company has the right to repurchase at the original purchase price any issued but unvested common shares. The amount</w:t>
      </w:r>
      <w:r>
        <w:rPr>
          <w:rFonts w:ascii="Arial" w:cs="Arial" w:eastAsia="Arial" w:hAnsi="Arial"/>
          <w:sz w:val="18"/>
          <w:szCs w:val="18"/>
          <w:color w:val="231F20"/>
        </w:rPr>
        <w:t>s paid for shares purchased under an early exercise of stock options and subject to repurchase by the</w:t>
      </w:r>
      <w:r>
        <w:rPr>
          <w:rFonts w:ascii="Arial" w:cs="Arial" w:eastAsia="Arial" w:hAnsi="Arial"/>
          <w:sz w:val="18"/>
          <w:szCs w:val="18"/>
          <w:color w:val="000000"/>
        </w:rPr>
        <w:t xml:space="preserve"> </w:t>
      </w:r>
      <w:r>
        <w:rPr>
          <w:rFonts w:ascii="Arial" w:cs="Arial" w:eastAsia="Arial" w:hAnsi="Arial"/>
          <w:sz w:val="18"/>
          <w:szCs w:val="18"/>
          <w:color w:val="231F20"/>
        </w:rPr>
        <w:t xml:space="preserve">Company are not reported as a component of </w:t>
      </w:r>
      <w:r>
        <w:rPr>
          <w:rFonts w:ascii="Arial" w:cs="Arial" w:eastAsia="Arial" w:hAnsi="Arial"/>
          <w:sz w:val="18"/>
          <w:szCs w:val="18"/>
          <w:color w:val="000000"/>
        </w:rPr>
        <w:t>stockholders</w:t>
      </w:r>
      <w:r>
        <w:rPr>
          <w:rFonts w:ascii="Arial" w:cs="Arial" w:eastAsia="Arial" w:hAnsi="Arial"/>
          <w:sz w:val="18"/>
          <w:szCs w:val="18"/>
          <w:color w:val="231F20"/>
        </w:rPr>
        <w:t>’ equity (deficit) until those shares vest. The amounts received in exchange for these shares are recorded as an accrued liability in the accompanying consolidated balance sheets and will be reclassified to common stock and additional paid-in capital as the shares vest.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Stock-based Compensation</w:t>
      </w:r>
    </w:p>
    <w:p>
      <w:pPr>
        <w:spacing w:after="0" w:line="13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following table shows a summary of the stock-based compensation expense included in the condensed consolidated statements of operations for the fiscal years ended December 31, 2019, 2018 and 2017</w:t>
      </w:r>
      <w:r>
        <w:rPr>
          <w:rFonts w:ascii="Arial" w:cs="Arial" w:eastAsia="Arial" w:hAnsi="Arial"/>
          <w:sz w:val="18"/>
          <w:szCs w:val="18"/>
          <w:color w:val="000000"/>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64"/>
        </w:trPr>
        <w:tc>
          <w:tcPr>
            <w:tcW w:w="5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r>
      <w:tr>
        <w:trPr>
          <w:trHeight w:val="247"/>
        </w:trPr>
        <w:tc>
          <w:tcPr>
            <w:tcW w:w="5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0"/>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2,159</w:t>
            </w:r>
          </w:p>
        </w:tc>
      </w:tr>
      <w:tr>
        <w:trPr>
          <w:trHeight w:val="260"/>
        </w:trPr>
        <w:tc>
          <w:tcPr>
            <w:tcW w:w="56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14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11,151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7,961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5,944</w:t>
            </w:r>
          </w:p>
        </w:tc>
      </w:tr>
      <w:tr>
        <w:trPr>
          <w:trHeight w:val="280"/>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4,755</w:t>
            </w:r>
          </w:p>
        </w:tc>
      </w:tr>
      <w:tr>
        <w:trPr>
          <w:trHeight w:val="264"/>
        </w:trPr>
        <w:tc>
          <w:tcPr>
            <w:tcW w:w="5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1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16,495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14,990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14,103</w:t>
            </w:r>
          </w:p>
        </w:tc>
      </w:tr>
      <w:tr>
        <w:trPr>
          <w:trHeight w:val="240"/>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stock-based employee compensation</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34,892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30,090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26,961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60" w:firstLine="405"/>
        <w:spacing w:after="0" w:line="262" w:lineRule="auto"/>
        <w:rPr>
          <w:sz w:val="20"/>
          <w:szCs w:val="20"/>
          <w:color w:val="auto"/>
        </w:rPr>
      </w:pPr>
      <w:r>
        <w:rPr>
          <w:rFonts w:ascii="Arial" w:cs="Arial" w:eastAsia="Arial" w:hAnsi="Arial"/>
          <w:sz w:val="18"/>
          <w:szCs w:val="18"/>
          <w:color w:val="231F20"/>
        </w:rPr>
        <w:t>Stock-based compensation cost is recognized over the service period. Forfeitures are estimated at the time of grant and revised, if necessary, in subsequent periods if actual forfeitures materially differ from those estimates.</w:t>
      </w:r>
    </w:p>
    <w:p>
      <w:pPr>
        <w:spacing w:after="0" w:line="196"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2019</w:t>
      </w:r>
      <w:r>
        <w:rPr>
          <w:rFonts w:ascii="Arial" w:cs="Arial" w:eastAsia="Arial" w:hAnsi="Arial"/>
          <w:sz w:val="18"/>
          <w:szCs w:val="18"/>
          <w:color w:val="231F20"/>
        </w:rPr>
        <w:t>, the Company ha</w:t>
      </w:r>
      <w:r>
        <w:rPr>
          <w:rFonts w:ascii="Arial" w:cs="Arial" w:eastAsia="Arial" w:hAnsi="Arial"/>
          <w:sz w:val="18"/>
          <w:szCs w:val="18"/>
          <w:color w:val="000000"/>
        </w:rPr>
        <w:t>d $17.5 million o</w:t>
      </w:r>
      <w:r>
        <w:rPr>
          <w:rFonts w:ascii="Arial" w:cs="Arial" w:eastAsia="Arial" w:hAnsi="Arial"/>
          <w:sz w:val="18"/>
          <w:szCs w:val="18"/>
          <w:color w:val="231F20"/>
        </w:rPr>
        <w:t xml:space="preserve">f total unrecognized employee compensation cost related to unvested options that it expects to recognize over a weighted-average period of </w:t>
      </w:r>
      <w:r>
        <w:rPr>
          <w:rFonts w:ascii="Arial" w:cs="Arial" w:eastAsia="Arial" w:hAnsi="Arial"/>
          <w:sz w:val="18"/>
          <w:szCs w:val="18"/>
          <w:color w:val="000000"/>
        </w:rPr>
        <w:t>2.5</w:t>
      </w:r>
      <w:r>
        <w:rPr>
          <w:rFonts w:ascii="Arial" w:cs="Arial" w:eastAsia="Arial" w:hAnsi="Arial"/>
          <w:sz w:val="18"/>
          <w:szCs w:val="18"/>
          <w:color w:val="231F20"/>
        </w:rPr>
        <w:t xml:space="preserve"> years.</w:t>
      </w:r>
    </w:p>
    <w:p>
      <w:pPr>
        <w:spacing w:after="0" w:line="142"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The fair value of each option granted to employees is estimated on the date of grant using the Black-Scholes-Merton option-pricing model based on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64"/>
        </w:trPr>
        <w:tc>
          <w:tcPr>
            <w:tcW w:w="5660" w:type="dxa"/>
            <w:vAlign w:val="bottom"/>
          </w:tcPr>
          <w:p>
            <w:pPr>
              <w:spacing w:after="0"/>
              <w:rPr>
                <w:sz w:val="22"/>
                <w:szCs w:val="22"/>
                <w:color w:val="auto"/>
              </w:rPr>
            </w:pPr>
          </w:p>
        </w:tc>
        <w:tc>
          <w:tcPr>
            <w:tcW w:w="180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90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180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2017</w:t>
            </w:r>
          </w:p>
        </w:tc>
      </w:tr>
      <w:tr>
        <w:trPr>
          <w:trHeight w:val="257"/>
        </w:trPr>
        <w:tc>
          <w:tcPr>
            <w:tcW w:w="5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 to</w:t>
            </w: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6.6</w:t>
            </w:r>
          </w:p>
        </w:tc>
        <w:tc>
          <w:tcPr>
            <w:tcW w:w="1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to</w:t>
            </w: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 to</w:t>
            </w: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5.5</w:t>
            </w:r>
          </w:p>
        </w:tc>
      </w:tr>
      <w:tr>
        <w:trPr>
          <w:trHeight w:val="260"/>
        </w:trPr>
        <w:tc>
          <w:tcPr>
            <w:tcW w:w="56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1000" w:type="dxa"/>
            <w:vAlign w:val="bottom"/>
          </w:tcPr>
          <w:p>
            <w:pPr>
              <w:jc w:val="right"/>
              <w:spacing w:after="0"/>
              <w:rPr>
                <w:sz w:val="20"/>
                <w:szCs w:val="20"/>
                <w:color w:val="auto"/>
              </w:rPr>
            </w:pPr>
            <w:r>
              <w:rPr>
                <w:rFonts w:ascii="Arial" w:cs="Arial" w:eastAsia="Arial" w:hAnsi="Arial"/>
                <w:sz w:val="16"/>
                <w:szCs w:val="16"/>
                <w:color w:val="auto"/>
              </w:rPr>
              <w:t>40% to</w:t>
            </w:r>
          </w:p>
        </w:tc>
        <w:tc>
          <w:tcPr>
            <w:tcW w:w="800" w:type="dxa"/>
            <w:vAlign w:val="bottom"/>
          </w:tcPr>
          <w:p>
            <w:pPr>
              <w:ind w:left="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 to</w:t>
            </w:r>
          </w:p>
        </w:tc>
        <w:tc>
          <w:tcPr>
            <w:tcW w:w="800" w:type="dxa"/>
            <w:vAlign w:val="bottom"/>
          </w:tcPr>
          <w:p>
            <w:pPr>
              <w:ind w:left="2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 to</w:t>
            </w:r>
          </w:p>
        </w:tc>
        <w:tc>
          <w:tcPr>
            <w:tcW w:w="800" w:type="dxa"/>
            <w:vAlign w:val="bottom"/>
          </w:tcPr>
          <w:p>
            <w:pPr>
              <w:spacing w:after="0"/>
              <w:rPr>
                <w:sz w:val="20"/>
                <w:szCs w:val="20"/>
                <w:color w:val="auto"/>
              </w:rPr>
            </w:pPr>
            <w:r>
              <w:rPr>
                <w:rFonts w:ascii="Arial" w:cs="Arial" w:eastAsia="Arial" w:hAnsi="Arial"/>
                <w:sz w:val="16"/>
                <w:szCs w:val="16"/>
                <w:color w:val="auto"/>
              </w:rPr>
              <w:t>49%</w:t>
            </w:r>
          </w:p>
        </w:tc>
      </w:tr>
      <w:tr>
        <w:trPr>
          <w:trHeight w:val="280"/>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to</w:t>
            </w: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to</w:t>
            </w: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to</w:t>
            </w: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2.0%</w:t>
            </w:r>
          </w:p>
        </w:tc>
      </w:tr>
      <w:tr>
        <w:trPr>
          <w:trHeight w:val="251"/>
        </w:trPr>
        <w:tc>
          <w:tcPr>
            <w:tcW w:w="56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000" w:type="dxa"/>
            <w:vAlign w:val="bottom"/>
          </w:tcPr>
          <w:p>
            <w:pPr>
              <w:jc w:val="center"/>
              <w:ind w:left="719"/>
              <w:spacing w:after="0"/>
              <w:rPr>
                <w:sz w:val="20"/>
                <w:szCs w:val="20"/>
                <w:color w:val="auto"/>
              </w:rPr>
            </w:pPr>
            <w:r>
              <w:rPr>
                <w:rFonts w:ascii="Arial" w:cs="Arial" w:eastAsia="Arial" w:hAnsi="Arial"/>
                <w:sz w:val="16"/>
                <w:szCs w:val="16"/>
                <w:color w:val="auto"/>
                <w:w w:val="99"/>
              </w:rPr>
              <w:t>—</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left="719"/>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left="719"/>
              <w:spacing w:after="0"/>
              <w:rPr>
                <w:sz w:val="20"/>
                <w:szCs w:val="20"/>
                <w:color w:val="auto"/>
              </w:rPr>
            </w:pPr>
            <w:r>
              <w:rPr>
                <w:rFonts w:ascii="Arial" w:cs="Arial" w:eastAsia="Arial" w:hAnsi="Arial"/>
                <w:sz w:val="16"/>
                <w:szCs w:val="16"/>
                <w:color w:val="auto"/>
                <w:w w:val="99"/>
              </w:rPr>
              <w:t>—</w:t>
            </w:r>
          </w:p>
        </w:tc>
        <w:tc>
          <w:tcPr>
            <w:tcW w:w="8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333"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Prior to the third quarter of 2017, volatility was based on a combination of the historical volatility of the Company and of several public entities that are similar to the Company. The Company based volatility on this combination because it did not have sufficient historical transactions in its own shares on which to solely base expected volatility. Beginning in the third quarter of 2017, the volatility was estimated using the historical volatility derived from the Company's common stock. The Company has not historically declared any dividends and does not expect to in the future.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Stock Option Plan Activity</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320" w:type="dxa"/>
            <w:vAlign w:val="bottom"/>
          </w:tcPr>
          <w:p>
            <w:pPr>
              <w:spacing w:after="0"/>
              <w:rPr>
                <w:sz w:val="16"/>
                <w:szCs w:val="16"/>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6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228"/>
        </w:trPr>
        <w:tc>
          <w:tcPr>
            <w:tcW w:w="5320" w:type="dxa"/>
            <w:vAlign w:val="bottom"/>
          </w:tcPr>
          <w:p>
            <w:pPr>
              <w:spacing w:after="0"/>
              <w:rPr>
                <w:sz w:val="19"/>
                <w:szCs w:val="19"/>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Life (Years)</w:t>
            </w:r>
          </w:p>
        </w:tc>
        <w:tc>
          <w:tcPr>
            <w:tcW w:w="160" w:type="dxa"/>
            <w:vAlign w:val="bottom"/>
          </w:tcPr>
          <w:p>
            <w:pPr>
              <w:spacing w:after="0"/>
              <w:rPr>
                <w:sz w:val="19"/>
                <w:szCs w:val="19"/>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Value</w:t>
            </w:r>
          </w:p>
        </w:tc>
      </w:tr>
      <w:tr>
        <w:trPr>
          <w:trHeight w:val="247"/>
        </w:trPr>
        <w:tc>
          <w:tcPr>
            <w:tcW w:w="53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7,527,680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101,717</w:t>
            </w:r>
          </w:p>
        </w:tc>
      </w:tr>
      <w:tr>
        <w:trPr>
          <w:trHeight w:val="260"/>
        </w:trPr>
        <w:tc>
          <w:tcPr>
            <w:tcW w:w="532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408,225</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40.82</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(2,997,095)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(442,919)</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33.29</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4,495,891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25.29</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153,129</w:t>
            </w:r>
          </w:p>
        </w:tc>
      </w:tr>
      <w:tr>
        <w:trPr>
          <w:trHeight w:val="260"/>
        </w:trPr>
        <w:tc>
          <w:tcPr>
            <w:tcW w:w="532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366,786</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79.79</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(1,183,235)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(250,133)</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39.61</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3,429,309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31.79</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149,935</w:t>
            </w:r>
          </w:p>
        </w:tc>
      </w:tr>
      <w:tr>
        <w:trPr>
          <w:trHeight w:val="260"/>
        </w:trPr>
        <w:tc>
          <w:tcPr>
            <w:tcW w:w="532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496,145</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87.10</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(901,290)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(157,489)</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71.04</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2019</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2,866,675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40.54</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125,647</w:t>
            </w:r>
          </w:p>
        </w:tc>
      </w:tr>
      <w:tr>
        <w:trPr>
          <w:trHeight w:val="20"/>
        </w:trPr>
        <w:tc>
          <w:tcPr>
            <w:tcW w:w="5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320" w:type="dxa"/>
            <w:vAlign w:val="bottom"/>
          </w:tcPr>
          <w:p>
            <w:pPr>
              <w:ind w:left="40"/>
              <w:spacing w:after="0"/>
              <w:rPr>
                <w:sz w:val="20"/>
                <w:szCs w:val="20"/>
                <w:color w:val="auto"/>
              </w:rPr>
            </w:pPr>
            <w:r>
              <w:rPr>
                <w:rFonts w:ascii="Arial" w:cs="Arial" w:eastAsia="Arial" w:hAnsi="Arial"/>
                <w:sz w:val="16"/>
                <w:szCs w:val="16"/>
                <w:color w:val="auto"/>
              </w:rPr>
              <w:t>Vested and expected to vest—December 31, 2019</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2,655,987</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37.27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124,592</w:t>
            </w: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Exercisable—December 31, 2019</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2,099,200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115,916</w:t>
            </w: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outstanding and vested stock options at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4"/>
                <w:szCs w:val="14"/>
                <w:b w:val="1"/>
                <w:bCs w:val="1"/>
                <w:color w:val="auto"/>
              </w:rPr>
              <w:t>Exercisable</w:t>
            </w:r>
          </w:p>
        </w:tc>
      </w:tr>
      <w:tr>
        <w:trPr>
          <w:trHeight w:val="197"/>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Exercise</w:t>
            </w:r>
          </w:p>
        </w:tc>
      </w:tr>
      <w:tr>
        <w:trPr>
          <w:trHeight w:val="189"/>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Price Per</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36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rPr>
              <w:t>Price Per</w:t>
            </w:r>
          </w:p>
        </w:tc>
      </w:tr>
      <w:tr>
        <w:trPr>
          <w:trHeight w:val="228"/>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8"/>
              </w:rPr>
              <w:t>Share</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 (Years)</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Share</w:t>
            </w:r>
          </w:p>
        </w:tc>
      </w:tr>
      <w:tr>
        <w:trPr>
          <w:trHeight w:val="257"/>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$4.10 - $13.50</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297,913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9.75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297,913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9.75</w:t>
            </w:r>
          </w:p>
        </w:tc>
      </w:tr>
      <w:tr>
        <w:trPr>
          <w:trHeight w:val="260"/>
        </w:trPr>
        <w:tc>
          <w:tcPr>
            <w:tcW w:w="3960" w:type="dxa"/>
            <w:vAlign w:val="bottom"/>
          </w:tcPr>
          <w:p>
            <w:pPr>
              <w:ind w:left="40"/>
              <w:spacing w:after="0"/>
              <w:rPr>
                <w:sz w:val="20"/>
                <w:szCs w:val="20"/>
                <w:color w:val="auto"/>
              </w:rPr>
            </w:pPr>
            <w:r>
              <w:rPr>
                <w:rFonts w:ascii="Arial" w:cs="Arial" w:eastAsia="Arial" w:hAnsi="Arial"/>
                <w:sz w:val="16"/>
                <w:szCs w:val="16"/>
                <w:color w:val="auto"/>
              </w:rPr>
              <w:t>$13.60 - $25.17</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351,255</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22.22</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347,391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22.19</w:t>
            </w: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$25.56 - $25.56</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836,635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764,382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25.56</w:t>
            </w:r>
          </w:p>
        </w:tc>
      </w:tr>
      <w:tr>
        <w:trPr>
          <w:trHeight w:val="260"/>
        </w:trPr>
        <w:tc>
          <w:tcPr>
            <w:tcW w:w="3960" w:type="dxa"/>
            <w:vAlign w:val="bottom"/>
          </w:tcPr>
          <w:p>
            <w:pPr>
              <w:ind w:left="40"/>
              <w:spacing w:after="0"/>
              <w:rPr>
                <w:sz w:val="20"/>
                <w:szCs w:val="20"/>
                <w:color w:val="auto"/>
              </w:rPr>
            </w:pPr>
            <w:r>
              <w:rPr>
                <w:rFonts w:ascii="Arial" w:cs="Arial" w:eastAsia="Arial" w:hAnsi="Arial"/>
                <w:sz w:val="16"/>
                <w:szCs w:val="16"/>
                <w:color w:val="auto"/>
              </w:rPr>
              <w:t>$26.86 - $34.97</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297,207</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30.98</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287,277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30.96</w:t>
            </w: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$36.25 - $40.68</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301,532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38.19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244,236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38.17</w:t>
            </w:r>
          </w:p>
        </w:tc>
      </w:tr>
      <w:tr>
        <w:trPr>
          <w:trHeight w:val="260"/>
        </w:trPr>
        <w:tc>
          <w:tcPr>
            <w:tcW w:w="3960" w:type="dxa"/>
            <w:vAlign w:val="bottom"/>
          </w:tcPr>
          <w:p>
            <w:pPr>
              <w:ind w:left="40"/>
              <w:spacing w:after="0"/>
              <w:rPr>
                <w:sz w:val="20"/>
                <w:szCs w:val="20"/>
                <w:color w:val="auto"/>
              </w:rPr>
            </w:pPr>
            <w:r>
              <w:rPr>
                <w:rFonts w:ascii="Arial" w:cs="Arial" w:eastAsia="Arial" w:hAnsi="Arial"/>
                <w:sz w:val="16"/>
                <w:szCs w:val="16"/>
                <w:color w:val="auto"/>
              </w:rPr>
              <w:t>$40.89 - $79.51</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363,278</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70.50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2"/>
                <w:szCs w:val="22"/>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113,388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61.81</w:t>
            </w: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$86.35 - $87.26</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196,706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86.69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2,770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87.26</w:t>
            </w:r>
          </w:p>
        </w:tc>
      </w:tr>
      <w:tr>
        <w:trPr>
          <w:trHeight w:val="260"/>
        </w:trPr>
        <w:tc>
          <w:tcPr>
            <w:tcW w:w="3960" w:type="dxa"/>
            <w:vAlign w:val="bottom"/>
          </w:tcPr>
          <w:p>
            <w:pPr>
              <w:ind w:left="40"/>
              <w:spacing w:after="0"/>
              <w:rPr>
                <w:sz w:val="20"/>
                <w:szCs w:val="20"/>
                <w:color w:val="auto"/>
              </w:rPr>
            </w:pPr>
            <w:r>
              <w:rPr>
                <w:rFonts w:ascii="Arial" w:cs="Arial" w:eastAsia="Arial" w:hAnsi="Arial"/>
                <w:sz w:val="16"/>
                <w:szCs w:val="16"/>
                <w:color w:val="auto"/>
              </w:rPr>
              <w:t>$89.55 - $89.55</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63,300</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89.55</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2"/>
                <w:szCs w:val="22"/>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499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89.55</w:t>
            </w: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$94.45 - $94.45</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77,425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94.45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10,458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94.45</w:t>
            </w:r>
          </w:p>
        </w:tc>
      </w:tr>
      <w:tr>
        <w:trPr>
          <w:trHeight w:val="264"/>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$95.10 - $95.10</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81,424</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95.10</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30,886</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95.10</w:t>
            </w:r>
          </w:p>
        </w:tc>
      </w:tr>
      <w:tr>
        <w:trPr>
          <w:trHeight w:val="240"/>
        </w:trPr>
        <w:tc>
          <w:tcPr>
            <w:tcW w:w="3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2,866,675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40.54</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2,099,200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28.39</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weighted-average grant date fair value of the Company’s stock options granted during 2019, 2018 and 2017 was $34.02, $33.05 and $18.03, respectively. The aggregate grant date fair value of the Company’s stock options granted during 2019, 2018 and 2017 was $12.2 million, $12.1 million and $7.4 million, respectively.</w:t>
      </w:r>
    </w:p>
    <w:p>
      <w:pPr>
        <w:sectPr>
          <w:pgSz w:w="11900" w:h="16838" w:orient="portrait"/>
          <w:cols w:equalWidth="0" w:num="1">
            <w:col w:w="11420"/>
          </w:cols>
          <w:pgMar w:left="240" w:top="333" w:right="239" w:bottom="557"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333" w:right="239" w:bottom="557"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intrinsic value of options exercised was $52.1 million, $ 71.7 million and $ 92.1 million during 2019</w:t>
      </w:r>
      <w:r>
        <w:rPr>
          <w:rFonts w:ascii="Arial" w:cs="Arial" w:eastAsia="Arial" w:hAnsi="Arial"/>
          <w:sz w:val="18"/>
          <w:szCs w:val="18"/>
          <w:color w:val="231F20"/>
        </w:rPr>
        <w:t>, 2018 and</w:t>
      </w:r>
      <w:r>
        <w:rPr>
          <w:rFonts w:ascii="Arial" w:cs="Arial" w:eastAsia="Arial" w:hAnsi="Arial"/>
          <w:sz w:val="18"/>
          <w:szCs w:val="18"/>
          <w:color w:val="auto"/>
        </w:rPr>
        <w:t xml:space="preserve"> 2017, respectively. Intrinsic value of an option is the difference between the fair value of the Company’s common stock at the time of exercise and the exercise price paid.</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terms and conditions of RSUs include vesting criteria and timing are set by the Board of Directors. The cost of RSUs is determined using the fair value of the Company’s common stock on the date of the grant. Compensation cost is recognized on a straight-line basis over the requisite service period of each grant adjusted for estimated forfeitures.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RSU activity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Average Grant</w:t>
            </w: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rPr>
              <w:t>Date Fair Value Per</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Share</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587,333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260"/>
        </w:trPr>
        <w:tc>
          <w:tcPr>
            <w:tcW w:w="80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1,326,849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42.69</w:t>
            </w:r>
          </w:p>
        </w:tc>
        <w:tc>
          <w:tcPr>
            <w:tcW w:w="0" w:type="dxa"/>
            <w:vAlign w:val="bottom"/>
          </w:tcPr>
          <w:p>
            <w:pPr>
              <w:spacing w:after="0"/>
              <w:rPr>
                <w:sz w:val="1"/>
                <w:szCs w:val="1"/>
                <w:color w:val="auto"/>
              </w:rPr>
            </w:pPr>
          </w:p>
        </w:tc>
      </w:tr>
      <w:tr>
        <w:trPr>
          <w:trHeight w:val="280"/>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33.52</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(135,227)</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1,410,588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40.34</w:t>
            </w:r>
          </w:p>
        </w:tc>
        <w:tc>
          <w:tcPr>
            <w:tcW w:w="0" w:type="dxa"/>
            <w:vAlign w:val="bottom"/>
          </w:tcPr>
          <w:p>
            <w:pPr>
              <w:spacing w:after="0"/>
              <w:rPr>
                <w:sz w:val="1"/>
                <w:szCs w:val="1"/>
                <w:color w:val="auto"/>
              </w:rPr>
            </w:pPr>
          </w:p>
        </w:tc>
      </w:tr>
      <w:tr>
        <w:trPr>
          <w:trHeight w:val="260"/>
        </w:trPr>
        <w:tc>
          <w:tcPr>
            <w:tcW w:w="80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548,245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75.44</w:t>
            </w:r>
          </w:p>
        </w:tc>
        <w:tc>
          <w:tcPr>
            <w:tcW w:w="0" w:type="dxa"/>
            <w:vAlign w:val="bottom"/>
          </w:tcPr>
          <w:p>
            <w:pPr>
              <w:spacing w:after="0"/>
              <w:rPr>
                <w:sz w:val="1"/>
                <w:szCs w:val="1"/>
                <w:color w:val="auto"/>
              </w:rPr>
            </w:pPr>
          </w:p>
        </w:tc>
      </w:tr>
      <w:tr>
        <w:trPr>
          <w:trHeight w:val="280"/>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39.87</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(206,575)</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43.43</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1,226,883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55.71</w:t>
            </w:r>
          </w:p>
        </w:tc>
        <w:tc>
          <w:tcPr>
            <w:tcW w:w="0" w:type="dxa"/>
            <w:vAlign w:val="bottom"/>
          </w:tcPr>
          <w:p>
            <w:pPr>
              <w:spacing w:after="0"/>
              <w:rPr>
                <w:sz w:val="1"/>
                <w:szCs w:val="1"/>
                <w:color w:val="auto"/>
              </w:rPr>
            </w:pPr>
          </w:p>
        </w:tc>
      </w:tr>
      <w:tr>
        <w:trPr>
          <w:trHeight w:val="260"/>
        </w:trPr>
        <w:tc>
          <w:tcPr>
            <w:tcW w:w="80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595,985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81.59</w:t>
            </w:r>
          </w:p>
        </w:tc>
        <w:tc>
          <w:tcPr>
            <w:tcW w:w="0" w:type="dxa"/>
            <w:vAlign w:val="bottom"/>
          </w:tcPr>
          <w:p>
            <w:pPr>
              <w:spacing w:after="0"/>
              <w:rPr>
                <w:sz w:val="1"/>
                <w:szCs w:val="1"/>
                <w:color w:val="auto"/>
              </w:rPr>
            </w:pPr>
          </w:p>
        </w:tc>
      </w:tr>
      <w:tr>
        <w:trPr>
          <w:trHeight w:val="280"/>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(438,892)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53.17</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(169,158)</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65.51</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2019</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1,214,818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67.99</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40"/>
              <w:spacing w:after="0"/>
              <w:rPr>
                <w:sz w:val="20"/>
                <w:szCs w:val="20"/>
                <w:color w:val="auto"/>
              </w:rPr>
            </w:pPr>
            <w:r>
              <w:rPr>
                <w:rFonts w:ascii="Arial" w:cs="Arial" w:eastAsia="Arial" w:hAnsi="Arial"/>
                <w:sz w:val="16"/>
                <w:szCs w:val="16"/>
                <w:color w:val="auto"/>
              </w:rPr>
              <w:t>Expected to vest as of December 31, 2019</w:t>
            </w: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20" w:type="dxa"/>
            <w:vAlign w:val="bottom"/>
            <w:vMerge w:val="continue"/>
          </w:tcPr>
          <w:p>
            <w:pPr>
              <w:spacing w:after="0"/>
              <w:rPr>
                <w:sz w:val="19"/>
                <w:szCs w:val="19"/>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902,794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66.37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140" w:firstLine="405"/>
        <w:spacing w:after="0" w:line="262" w:lineRule="auto"/>
        <w:rPr>
          <w:sz w:val="20"/>
          <w:szCs w:val="20"/>
          <w:color w:val="auto"/>
        </w:rPr>
      </w:pPr>
      <w:r>
        <w:rPr>
          <w:rFonts w:ascii="Arial" w:cs="Arial" w:eastAsia="Arial" w:hAnsi="Arial"/>
          <w:sz w:val="18"/>
          <w:szCs w:val="18"/>
          <w:color w:val="auto"/>
        </w:rPr>
        <w:t>As of December 31, 2019, the Company had $66.0 million of unrecognized compensation cost related to unvested awards that it expects to recognize over a weighted-average period of 2.6 years.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Performance-Based Stock Options and Restricted Stock Units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November 2, 2019, the Board of Directors granted an award of time-based RSUs and performance-based NSOs to the Company’s Chairman and Chief Executive Officer, Philippe Courtot. The Compensation Committee of the Board, in consultation with its independent compensation consultant, designed these awards so that greater than 50% of this compensation was based on the achievement of performance goals linked to metrics designed to drive the creation of shareholder value.</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first portion of the award consists of 48,683 time-based RSUs that will vest in quarterly installments beginning on December 1, 2019, assuming continued service through each applicable vesting date. The second portion of the award consists of 123,856 NSOs that will vest at the end of the performance period based on achievement of goals related to revenue growth and free cash flow per share growth during the three-year period from January 2020 through December 2022, generally conditioned on Mr. Courtot’s continued status as a service provider through the date that performance is certified. If Mr. Courtot’s employment (a) is terminated by reason of death or disability or (b) is terminated by the Company for reasons other than cause within 12 months following a change in control (a “double trigger” termination), then 100% of any unvested portions of the award will vest, with any vesting in connection with change in control terminations conditioned upon the effectiveness of a release of claims in favor of the Company (2019 performance-based NSOs).</w:t>
      </w:r>
    </w:p>
    <w:p>
      <w:pPr>
        <w:spacing w:after="0" w:line="9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December 21, 2018, the Board of Directors granted an award of time-based and performance-based restricted stock units to Mr. Courtot. The compensation committee of the Board, in consultation with its independent compensation consultant, designed these awards so that greater than 50% of this compensation was based on the achievement of performance goals linked to metrics designed to drive the creation of shareholder value.</w:t>
      </w:r>
    </w:p>
    <w:p>
      <w:pPr>
        <w:sectPr>
          <w:pgSz w:w="11900" w:h="16838" w:orient="portrait"/>
          <w:cols w:equalWidth="0" w:num="1">
            <w:col w:w="11420"/>
          </w:cols>
          <w:pgMar w:left="240" w:top="333"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333"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first portion of the award consists of 56,250 time-based RSUs that will vest in 16 quarterly increments beginning on January 1, 2019, assuming continued service through each applicable vesting date. The second portion of the award consists of 33,089 performance-based RSUs that will vest based on achievement of goals related to revenue growth for a three-year period from January 2019 through December 2021 and adjusted EBITDA margin for the 2021 fiscal year, generally conditioned on Mr. Courtot’s continued status as a service provider through the date that performance is certified. The third portion of the award consists of 33,088 performance-based RSUs that will vest in three increments based on the achievement of goals related to revenue growth and adjusted EBITDA margin for each of the 2019, 2020 and 2021 fiscal years, generally conditioned on Mr. Courtot’s continued status as a service provider through the date that performance is certified for the relevant increment. If Mr. Courtot’s employment (a) is terminated by reason of death or disability or (b) is terminated by the Company for reasons other than cause or good reason within 12 months following a change in control (a “double trigger” termination), then 100% of any unvested portions of the award will vest, with any vesting in connection with change in control terminations conditioned upon the effectiveness of a release of claims in favor of the Company (2018 performance-based RSUs).</w:t>
      </w:r>
    </w:p>
    <w:p>
      <w:pPr>
        <w:spacing w:after="0" w:line="1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accounts for these awards as share-based compensation with multiple performance conditions and recognizes compensation costs when it is probable that the performance conditions are met. The Company assesses these conditions on a quarterly basis. During the year ended December 31, 2019, stock-based compensation costs of $0.3 million and $0.9 million were recognized for the 2019 performance-based NSOs and the 2018 performance-based RSUs, respectively.</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Share Repurchase Program</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February 5, 2018, the Company's board of directors authorized a $100.0 million two-year share repurchase program, which was announced on February 12, 2018. On October 30, 2018, the Company announced that the board of directors had authorized an increase of $100.0 million to the original share repurchase program authorization. Shares may be repurchased from time to time on the open market in accordance with Rule 10b-18 of the Exchange Act of 1934. On October 24, 2019, the Company's board of directors authorized another increase of $100.0 million, which allows the Company to repurchase shares pursuant to a pre-set trading plan adopted in accordance with Rule 10b5-1 under the Exchange Act until October 30, 2020.</w:t>
      </w:r>
    </w:p>
    <w:p>
      <w:pPr>
        <w:spacing w:after="0" w:line="10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w:t>
      </w:r>
      <w:r>
        <w:rPr>
          <w:rFonts w:ascii="Arial" w:cs="Arial" w:eastAsia="Arial" w:hAnsi="Arial"/>
          <w:sz w:val="18"/>
          <w:szCs w:val="18"/>
          <w:color w:val="212529"/>
        </w:rPr>
        <w:t>capital based on the initial public offering price of the stock,</w:t>
      </w:r>
      <w:r>
        <w:rPr>
          <w:rFonts w:ascii="Arial" w:cs="Arial" w:eastAsia="Arial" w:hAnsi="Arial"/>
          <w:sz w:val="18"/>
          <w:szCs w:val="18"/>
          <w:color w:val="auto"/>
        </w:rPr>
        <w:t xml:space="preserve"> </w:t>
      </w:r>
      <w:r>
        <w:rPr>
          <w:rFonts w:ascii="Arial" w:cs="Arial" w:eastAsia="Arial" w:hAnsi="Arial"/>
          <w:sz w:val="18"/>
          <w:szCs w:val="18"/>
          <w:color w:val="212529"/>
        </w:rPr>
        <w:t>with the remaining excess to retained earnings.</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the year ended December 31, 2019, the Company repurchased 1,026,455 shares of its common stock for approximately $86.4 million. All share repurchases were made using cash resources. As of December 31, 2019, approximately $128.5 million remained available for share repurchases pursuant to the Company's share repurchase program.</w:t>
      </w: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Employee Benefits Plan</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401(k) Plan</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The Company’s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During the fiscal years ended December 31, 2019, 2018 and 2017, the Company made contributions to the 401(k) Plan of $1.3 million, $1.2 million and $1.1 million, respectively.</w:t>
      </w:r>
    </w:p>
    <w:p>
      <w:pPr>
        <w:spacing w:after="0" w:line="96"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The Company contributes to a Provident Fund Plan for its employees in India, which is defined contribution plan set up in accordance with local labor and tax laws. Gratuity is also paid by the Company to eligible employees in India in accordance with Payment of Gratuity Act, 1972. During the fiscal years ended December 31, 2019, 2018 and 2017, the Company contributed $1.1 million, $0.7 million and $0.4 million, respectively, to those plans.</w:t>
      </w:r>
    </w:p>
    <w:p>
      <w:pPr>
        <w:spacing w:after="0" w:line="200" w:lineRule="exact"/>
        <w:rPr>
          <w:sz w:val="20"/>
          <w:szCs w:val="20"/>
          <w:color w:val="auto"/>
        </w:rPr>
      </w:pPr>
    </w:p>
    <w:p>
      <w:pPr>
        <w:spacing w:after="0" w:line="25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Income Taxes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33"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geographical breakdown of income before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64"/>
        </w:trPr>
        <w:tc>
          <w:tcPr>
            <w:tcW w:w="5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r>
      <w:tr>
        <w:trPr>
          <w:trHeight w:val="247"/>
        </w:trPr>
        <w:tc>
          <w:tcPr>
            <w:tcW w:w="5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0"/>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72,124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50,010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34,914</w:t>
            </w:r>
          </w:p>
        </w:tc>
      </w:tr>
      <w:tr>
        <w:trPr>
          <w:trHeight w:val="264"/>
        </w:trPr>
        <w:tc>
          <w:tcPr>
            <w:tcW w:w="5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1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7,859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5,458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4,464</w:t>
            </w:r>
          </w:p>
        </w:tc>
      </w:tr>
      <w:tr>
        <w:trPr>
          <w:trHeight w:val="240"/>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79,983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55,468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39,378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provision for (benefit from) income taxes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47"/>
        </w:trPr>
        <w:tc>
          <w:tcPr>
            <w:tcW w:w="6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(in thousands)</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840" w:type="dxa"/>
            <w:vAlign w:val="bottom"/>
          </w:tcPr>
          <w:p>
            <w:pPr>
              <w:ind w:left="380"/>
              <w:spacing w:after="0"/>
              <w:rPr>
                <w:sz w:val="20"/>
                <w:szCs w:val="20"/>
                <w:color w:val="auto"/>
              </w:rPr>
            </w:pPr>
            <w:r>
              <w:rPr>
                <w:rFonts w:ascii="Arial" w:cs="Arial" w:eastAsia="Arial" w:hAnsi="Arial"/>
                <w:sz w:val="16"/>
                <w:szCs w:val="16"/>
                <w:color w:val="auto"/>
              </w:rPr>
              <w:t>Federal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80"/>
        </w:trPr>
        <w:tc>
          <w:tcPr>
            <w:tcW w:w="6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State</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4"/>
        </w:trPr>
        <w:tc>
          <w:tcPr>
            <w:tcW w:w="68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current provision</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3,556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1,960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254"/>
        </w:trPr>
        <w:tc>
          <w:tcPr>
            <w:tcW w:w="6840" w:type="dxa"/>
            <w:vAlign w:val="bottom"/>
          </w:tcPr>
          <w:p>
            <w:pPr>
              <w:ind w:left="40"/>
              <w:spacing w:after="0"/>
              <w:rPr>
                <w:sz w:val="20"/>
                <w:szCs w:val="20"/>
                <w:color w:val="auto"/>
              </w:rPr>
            </w:pPr>
            <w:r>
              <w:rPr>
                <w:rFonts w:ascii="Arial" w:cs="Arial" w:eastAsia="Arial" w:hAnsi="Arial"/>
                <w:sz w:val="16"/>
                <w:szCs w:val="16"/>
                <w:color w:val="auto"/>
              </w:rPr>
              <w:t>Deferred</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60"/>
        </w:trPr>
        <w:tc>
          <w:tcPr>
            <w:tcW w:w="6840" w:type="dxa"/>
            <w:vAlign w:val="bottom"/>
          </w:tcPr>
          <w:p>
            <w:pPr>
              <w:ind w:left="380"/>
              <w:spacing w:after="0"/>
              <w:rPr>
                <w:sz w:val="20"/>
                <w:szCs w:val="20"/>
                <w:color w:val="auto"/>
              </w:rPr>
            </w:pPr>
            <w:r>
              <w:rPr>
                <w:rFonts w:ascii="Arial" w:cs="Arial" w:eastAsia="Arial" w:hAnsi="Arial"/>
                <w:sz w:val="16"/>
                <w:szCs w:val="16"/>
                <w:color w:val="auto"/>
              </w:rPr>
              <w:t>State</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73"/>
        </w:trPr>
        <w:tc>
          <w:tcPr>
            <w:tcW w:w="6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deferred (benefit) provision</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7,091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w:t>
            </w: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ind w:left="3180"/>
              <w:spacing w:after="0"/>
              <w:rPr>
                <w:sz w:val="20"/>
                <w:szCs w:val="20"/>
                <w:color w:val="auto"/>
              </w:rPr>
            </w:pPr>
            <w:r>
              <w:rPr>
                <w:rFonts w:ascii="Arial" w:cs="Arial" w:eastAsia="Arial" w:hAnsi="Arial"/>
                <w:sz w:val="16"/>
                <w:szCs w:val="16"/>
                <w:color w:val="auto"/>
              </w:rPr>
              <w:t>Total provision for (benefit from) provision for</w:t>
            </w: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10,647</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198"/>
        </w:trPr>
        <w:tc>
          <w:tcPr>
            <w:tcW w:w="684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spacing w:after="0"/>
              <w:rPr>
                <w:sz w:val="19"/>
                <w:szCs w:val="19"/>
                <w:color w:val="auto"/>
              </w:rPr>
            </w:pPr>
          </w:p>
        </w:tc>
        <w:tc>
          <w:tcPr>
            <w:tcW w:w="3380" w:type="dxa"/>
            <w:vAlign w:val="bottom"/>
            <w:tcBorders>
              <w:bottom w:val="single" w:sz="8" w:color="auto"/>
            </w:tcBorders>
            <w:gridSpan w:val="5"/>
          </w:tcPr>
          <w:p>
            <w:pPr>
              <w:ind w:left="124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r>
      <w:tr>
        <w:trPr>
          <w:trHeight w:val="264"/>
        </w:trPr>
        <w:tc>
          <w:tcPr>
            <w:tcW w:w="66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432"/>
        </w:trPr>
        <w:tc>
          <w:tcPr>
            <w:tcW w:w="6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statutory rate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60"/>
        </w:trPr>
        <w:tc>
          <w:tcPr>
            <w:tcW w:w="6600" w:type="dxa"/>
            <w:vAlign w:val="bottom"/>
          </w:tcPr>
          <w:p>
            <w:pPr>
              <w:ind w:left="40"/>
              <w:spacing w:after="0"/>
              <w:rPr>
                <w:sz w:val="20"/>
                <w:szCs w:val="20"/>
                <w:color w:val="auto"/>
              </w:rPr>
            </w:pPr>
            <w:r>
              <w:rPr>
                <w:rFonts w:ascii="Arial" w:cs="Arial" w:eastAsia="Arial" w:hAnsi="Arial"/>
                <w:sz w:val="16"/>
                <w:szCs w:val="16"/>
                <w:color w:val="auto"/>
              </w:rPr>
              <w:t>State taxes</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(2.1)</w:t>
            </w:r>
          </w:p>
        </w:tc>
      </w:tr>
      <w:tr>
        <w:trPr>
          <w:trHeight w:val="280"/>
        </w:trPr>
        <w:tc>
          <w:tcPr>
            <w:tcW w:w="6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(58.1)</w:t>
            </w:r>
          </w:p>
        </w:tc>
      </w:tr>
      <w:tr>
        <w:trPr>
          <w:trHeight w:val="260"/>
        </w:trPr>
        <w:tc>
          <w:tcPr>
            <w:tcW w:w="6600" w:type="dxa"/>
            <w:vAlign w:val="bottom"/>
          </w:tcPr>
          <w:p>
            <w:pPr>
              <w:ind w:left="40"/>
              <w:spacing w:after="0"/>
              <w:rPr>
                <w:sz w:val="20"/>
                <w:szCs w:val="20"/>
                <w:color w:val="auto"/>
              </w:rPr>
            </w:pPr>
            <w:r>
              <w:rPr>
                <w:rFonts w:ascii="Arial" w:cs="Arial" w:eastAsia="Arial" w:hAnsi="Arial"/>
                <w:sz w:val="16"/>
                <w:szCs w:val="16"/>
                <w:color w:val="auto"/>
              </w:rPr>
              <w:t>Foreign source income</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(0.2)</w:t>
            </w:r>
          </w:p>
        </w:tc>
      </w:tr>
      <w:tr>
        <w:trPr>
          <w:trHeight w:val="280"/>
        </w:trPr>
        <w:tc>
          <w:tcPr>
            <w:tcW w:w="6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r>
      <w:tr>
        <w:trPr>
          <w:trHeight w:val="260"/>
        </w:trPr>
        <w:tc>
          <w:tcPr>
            <w:tcW w:w="6600" w:type="dxa"/>
            <w:vAlign w:val="bottom"/>
          </w:tcPr>
          <w:p>
            <w:pPr>
              <w:ind w:left="40"/>
              <w:spacing w:after="0"/>
              <w:rPr>
                <w:sz w:val="20"/>
                <w:szCs w:val="20"/>
                <w:color w:val="auto"/>
              </w:rPr>
            </w:pPr>
            <w:r>
              <w:rPr>
                <w:rFonts w:ascii="Arial" w:cs="Arial" w:eastAsia="Arial" w:hAnsi="Arial"/>
                <w:sz w:val="16"/>
                <w:szCs w:val="16"/>
                <w:color w:val="auto"/>
              </w:rPr>
              <w:t>Federal rate adjustment (due to 2017 Tax Act)</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6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26.4</w:t>
            </w:r>
          </w:p>
        </w:tc>
      </w:tr>
      <w:tr>
        <w:trPr>
          <w:trHeight w:val="280"/>
        </w:trPr>
        <w:tc>
          <w:tcPr>
            <w:tcW w:w="6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and state research and development credit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r>
      <w:tr>
        <w:trPr>
          <w:trHeight w:val="264"/>
        </w:trPr>
        <w:tc>
          <w:tcPr>
            <w:tcW w:w="6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r>
      <w:tr>
        <w:trPr>
          <w:trHeight w:val="24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66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December 22, 2017, the Tax Cuts and Jobs Act (the “2017 Tax Act”) was enacted into law. The new legislation contains several key tax provisions that impact the Company, including the reduction of the corporate income tax rate from 35% to 21% effective January 1, 2018. The new legislation also includes a variety of other changes, such as a one-time repatriation tax on accumulated foreign earnings (transition tax), acceleration of business asset expensing, and reduction in the amount of executive pay that could qualify as a tax deduction, among others. The Company recognized a provisional income tax expense of $10.4 million in the fourth quarter of 2017, from the re-measurement of certain deferred tax assets and liabilities as a result of the reduction of the federal tax rate, which was included as a component of the income tax provision on its consolidated statement of income. The Company completed its analysis of the impacts of the 2017 Tax Act in the fourth quarter of 2018 with no material change to its provisional estimate.</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333"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9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264"/>
        </w:trPr>
        <w:tc>
          <w:tcPr>
            <w:tcW w:w="79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47"/>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0"/>
        </w:trPr>
        <w:tc>
          <w:tcPr>
            <w:tcW w:w="790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11,250</w:t>
            </w:r>
          </w:p>
        </w:tc>
      </w:tr>
      <w:tr>
        <w:trPr>
          <w:trHeight w:val="28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 credit carryforwards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20,182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16,901</w:t>
            </w:r>
          </w:p>
        </w:tc>
      </w:tr>
      <w:tr>
        <w:trPr>
          <w:trHeight w:val="260"/>
        </w:trPr>
        <w:tc>
          <w:tcPr>
            <w:tcW w:w="7900" w:type="dxa"/>
            <w:vAlign w:val="bottom"/>
          </w:tcPr>
          <w:p>
            <w:pPr>
              <w:ind w:left="380"/>
              <w:spacing w:after="0"/>
              <w:rPr>
                <w:sz w:val="20"/>
                <w:szCs w:val="20"/>
                <w:color w:val="auto"/>
              </w:rPr>
            </w:pPr>
            <w:r>
              <w:rPr>
                <w:rFonts w:ascii="Arial" w:cs="Arial" w:eastAsia="Arial" w:hAnsi="Arial"/>
                <w:sz w:val="16"/>
                <w:szCs w:val="16"/>
                <w:color w:val="auto"/>
              </w:rPr>
              <w:t>Foreign tax credit carryforwards</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2,209</w:t>
            </w:r>
          </w:p>
        </w:tc>
      </w:tr>
      <w:tr>
        <w:trPr>
          <w:trHeight w:val="28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4,180</w:t>
            </w:r>
          </w:p>
        </w:tc>
      </w:tr>
      <w:tr>
        <w:trPr>
          <w:trHeight w:val="260"/>
        </w:trPr>
        <w:tc>
          <w:tcPr>
            <w:tcW w:w="7900" w:type="dxa"/>
            <w:vAlign w:val="bottom"/>
          </w:tcPr>
          <w:p>
            <w:pPr>
              <w:ind w:left="380"/>
              <w:spacing w:after="0"/>
              <w:rPr>
                <w:sz w:val="20"/>
                <w:szCs w:val="20"/>
                <w:color w:val="auto"/>
              </w:rPr>
            </w:pPr>
            <w:r>
              <w:rPr>
                <w:rFonts w:ascii="Arial" w:cs="Arial" w:eastAsia="Arial" w:hAnsi="Arial"/>
                <w:sz w:val="16"/>
                <w:szCs w:val="16"/>
                <w:color w:val="auto"/>
              </w:rPr>
              <w:t>Deferred revenues</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4,843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4,200</w:t>
            </w:r>
          </w:p>
        </w:tc>
      </w:tr>
      <w:tr>
        <w:trPr>
          <w:trHeight w:val="28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Lease Liability</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13,187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900" w:type="dxa"/>
            <w:vAlign w:val="bottom"/>
          </w:tcPr>
          <w:p>
            <w:pPr>
              <w:ind w:left="38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5,942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6,975</w:t>
            </w:r>
          </w:p>
        </w:tc>
      </w:tr>
      <w:tr>
        <w:trPr>
          <w:trHeight w:val="264"/>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w:t>
            </w:r>
          </w:p>
        </w:tc>
      </w:tr>
      <w:tr>
        <w:trPr>
          <w:trHeight w:val="257"/>
        </w:trPr>
        <w:tc>
          <w:tcPr>
            <w:tcW w:w="79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Gross deferred tax assets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49,659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45,889</w:t>
            </w:r>
          </w:p>
        </w:tc>
      </w:tr>
      <w:tr>
        <w:trPr>
          <w:trHeight w:val="264"/>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Valuation allowance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(9,100)</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deferred tax assets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39,565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36,789</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Fixed assets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(8,160)</w:t>
            </w:r>
          </w:p>
        </w:tc>
      </w:tr>
      <w:tr>
        <w:trPr>
          <w:trHeight w:val="260"/>
        </w:trPr>
        <w:tc>
          <w:tcPr>
            <w:tcW w:w="7900" w:type="dxa"/>
            <w:vAlign w:val="bottom"/>
          </w:tcPr>
          <w:p>
            <w:pPr>
              <w:ind w:left="380"/>
              <w:spacing w:after="0"/>
              <w:rPr>
                <w:sz w:val="20"/>
                <w:szCs w:val="20"/>
                <w:color w:val="auto"/>
              </w:rPr>
            </w:pPr>
            <w:r>
              <w:rPr>
                <w:rFonts w:ascii="Arial" w:cs="Arial" w:eastAsia="Arial" w:hAnsi="Arial"/>
                <w:sz w:val="16"/>
                <w:szCs w:val="16"/>
                <w:color w:val="auto"/>
              </w:rPr>
              <w:t>ROU Asset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(10,496)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commissions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r>
      <w:tr>
        <w:trPr>
          <w:trHeight w:val="264"/>
        </w:trPr>
        <w:tc>
          <w:tcPr>
            <w:tcW w:w="7900" w:type="dxa"/>
            <w:vAlign w:val="bottom"/>
          </w:tcPr>
          <w:p>
            <w:pPr>
              <w:ind w:left="38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250"/>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tax liabilities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(20,735)</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(10,402)</w:t>
            </w:r>
          </w:p>
        </w:tc>
      </w:tr>
      <w:tr>
        <w:trPr>
          <w:trHeight w:val="240"/>
        </w:trPr>
        <w:tc>
          <w:tcPr>
            <w:tcW w:w="7900" w:type="dxa"/>
            <w:vAlign w:val="bottom"/>
          </w:tcPr>
          <w:p>
            <w:pPr>
              <w:ind w:left="40"/>
              <w:spacing w:after="0"/>
              <w:rPr>
                <w:sz w:val="20"/>
                <w:szCs w:val="20"/>
                <w:color w:val="auto"/>
              </w:rPr>
            </w:pPr>
            <w:r>
              <w:rPr>
                <w:rFonts w:ascii="Arial" w:cs="Arial" w:eastAsia="Arial" w:hAnsi="Arial"/>
                <w:sz w:val="16"/>
                <w:szCs w:val="16"/>
                <w:color w:val="auto"/>
              </w:rPr>
              <w:t>Net deferred tax assets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18,830</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26,387</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realization of deferred tax assets is dependent upon the generation of sufficient taxable income of the appropriate character in future periods. The Company regularly assesses the ability to realize its deferred tax assets and establishes a valuation allowance if it is more-likely than-not that some portion, or all, of the deferred tax assets will not be realized. The Company weighs all available positive and negative evidence, including its earnings history and results of recent operations, scheduled reversals of deferred tax liabilities, projected future taxable income, and tax planning strategies. Due to the weight of objectively verifiable negative evidence, it is more-likely-than-not that its California deferred tax assets will not be realized as of December 31, 2019. Additionally, due to a lack of sufficient future income of the appropriate character, certain U.S. federal and state deferred tax assets are not more-likely-than-not to be realized. Accordingly, the Company has recorded a valuation allowanc</w:t>
      </w:r>
      <w:r>
        <w:rPr>
          <w:rFonts w:ascii="Arial" w:cs="Arial" w:eastAsia="Arial" w:hAnsi="Arial"/>
          <w:sz w:val="18"/>
          <w:szCs w:val="18"/>
          <w:color w:val="000000"/>
        </w:rPr>
        <w:t>e of $10.1 million against such deferred tax assets. The valuation allowance increased by $1.0 million and $3.3</w:t>
      </w:r>
      <w:r>
        <w:rPr>
          <w:rFonts w:ascii="Arial" w:cs="Arial" w:eastAsia="Arial" w:hAnsi="Arial"/>
          <w:sz w:val="18"/>
          <w:szCs w:val="18"/>
          <w:color w:val="231F20"/>
        </w:rPr>
        <w:t xml:space="preserve"> </w:t>
      </w:r>
      <w:r>
        <w:rPr>
          <w:rFonts w:ascii="Arial" w:cs="Arial" w:eastAsia="Arial" w:hAnsi="Arial"/>
          <w:sz w:val="18"/>
          <w:szCs w:val="18"/>
          <w:color w:val="000000"/>
        </w:rPr>
        <w:t>million during the years ended December 31, 2019 and 2018, respectively.</w:t>
      </w:r>
    </w:p>
    <w:p>
      <w:pPr>
        <w:spacing w:after="0" w:line="15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At December 31, 2019, the Company had federal and state net operating loss carryforwards of approximately $5.0 million and $2.1 million, respectively, available to reduce federal and state taxable income. Federal net operating losses do not expire but the net operating loss deduction is limited to 80% of taxable income. The state net operating losses begin to expire in 2030. Utilization of the Company’s net operating loss carryforwards may be subject to an annual limitation due to the ownership change limitations provided by the Internal Revenue Code and similar state provisions. Such an annual limitation could result in the expiration of the net operating loss carryforwards before utilization. As of December 31, 2019, the Company had $14.6 million of federal and $13.2 million of state research and development credit carryforwards, respectively. Federal research and development credits begin to expire in 2022. State research and development credits do not expire. As of December 31, 2019, the Company had foreign tax credit carryforwards of $2.6 million which begin to expire in 2024.</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333"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297"/>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Unrecognized tax benefits beginning balance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6,406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5,112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4,071</w:t>
            </w:r>
          </w:p>
        </w:tc>
      </w:tr>
      <w:tr>
        <w:trPr>
          <w:trHeight w:val="260"/>
        </w:trPr>
        <w:tc>
          <w:tcPr>
            <w:tcW w:w="6840" w:type="dxa"/>
            <w:vAlign w:val="bottom"/>
            <w:gridSpan w:val="2"/>
          </w:tcPr>
          <w:p>
            <w:pPr>
              <w:ind w:left="40"/>
              <w:spacing w:after="0"/>
              <w:rPr>
                <w:sz w:val="20"/>
                <w:szCs w:val="20"/>
                <w:color w:val="auto"/>
              </w:rPr>
            </w:pPr>
            <w:r>
              <w:rPr>
                <w:rFonts w:ascii="Arial" w:cs="Arial" w:eastAsia="Arial" w:hAnsi="Arial"/>
                <w:sz w:val="16"/>
                <w:szCs w:val="16"/>
                <w:color w:val="auto"/>
              </w:rPr>
              <w:t>Gross increase for tax positions of prior years</w:t>
            </w:r>
          </w:p>
        </w:tc>
        <w:tc>
          <w:tcPr>
            <w:tcW w:w="3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280"/>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decrease for tax positions of prior years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840" w:type="dxa"/>
            <w:vAlign w:val="bottom"/>
            <w:gridSpan w:val="2"/>
          </w:tcPr>
          <w:p>
            <w:pPr>
              <w:ind w:left="40"/>
              <w:spacing w:after="0"/>
              <w:rPr>
                <w:sz w:val="20"/>
                <w:szCs w:val="20"/>
                <w:color w:val="auto"/>
              </w:rPr>
            </w:pPr>
            <w:r>
              <w:rPr>
                <w:rFonts w:ascii="Arial" w:cs="Arial" w:eastAsia="Arial" w:hAnsi="Arial"/>
                <w:sz w:val="16"/>
                <w:szCs w:val="16"/>
                <w:color w:val="auto"/>
              </w:rPr>
              <w:t>Gross increase for tax positions of current year</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1,101</w:t>
            </w:r>
          </w:p>
        </w:tc>
      </w:tr>
      <w:tr>
        <w:trPr>
          <w:trHeight w:val="273"/>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Lapse of statute of limitations</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40"/>
        </w:trPr>
        <w:tc>
          <w:tcPr>
            <w:tcW w:w="6840" w:type="dxa"/>
            <w:vAlign w:val="bottom"/>
            <w:gridSpan w:val="2"/>
          </w:tcPr>
          <w:p>
            <w:pPr>
              <w:ind w:left="380"/>
              <w:spacing w:after="0"/>
              <w:rPr>
                <w:sz w:val="20"/>
                <w:szCs w:val="20"/>
                <w:color w:val="auto"/>
              </w:rPr>
            </w:pPr>
            <w:r>
              <w:rPr>
                <w:rFonts w:ascii="Arial" w:cs="Arial" w:eastAsia="Arial" w:hAnsi="Arial"/>
                <w:sz w:val="16"/>
                <w:szCs w:val="16"/>
                <w:color w:val="auto"/>
              </w:rPr>
              <w:t>Total unrecognized tax benefits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7,778</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6,406</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5,112</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unrecognized tax benefits, if recognized, would impact the income tax provision by $4.2 million, $3.5 million and $2.8 million as of December 31, 2019, 2018 and 2017, respectively. The remaining amount would be offset by the reversal of related deferred tax assets which are subject to a full valuation allowance. As of December 31, 2019, the Company does not believe that its estimates, as otherwise provided for, on such tax positions will significantly increase or decrease within the next twelve months. The Company has elected to include interest and penalties as a component of income tax expense. The amounts were not material for 2019, 2018 and 2017.</w:t>
      </w:r>
    </w:p>
    <w:p>
      <w:pPr>
        <w:spacing w:after="0" w:line="20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Company files income tax returns in the United States, including various state jurisdictions. The Company’s subsidiaries file tax returns in various foreign jurisdictions. The tax years 2001 through 2018 remain open to examination by the major taxing jurisdictions in which the Company is subject to tax. The Company is also currently subject to tax audits in various jurisdictions. The Company believes that an adequate provision has been made for any adjustments that may result from tax examinations. However, the outcome of tax audits cannot be predicted with certainty. If any issues addressed in the Company's tax audits are resolved in a manner inconsistent with its expectations, the Company could be required to adjust its provision for income taxes in the period such resolution occurs. Although timing of resolution and/or closure of audits is not certain, the Company believes it is reasonably possible that its gross unrecognized tax benefits could increase or decrease in the next 12 months.</w:t>
      </w:r>
    </w:p>
    <w:p>
      <w:pPr>
        <w:spacing w:after="0" w:line="20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U.S. income tax has not been recognized on the excess of the amount for financial reporting over the tax basis of investments in foreign subsidiaries that is indefinitely reinvested outside the United States. A determination of the unrecognized deferred tax liability related to this basis difference is not practicable because of the complexities of the calculation.</w:t>
      </w:r>
    </w:p>
    <w:p>
      <w:pPr>
        <w:spacing w:after="0" w:line="34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Segment Information and Information about Geographic Area</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 </w:t>
      </w:r>
      <w:r>
        <w:rPr>
          <w:rFonts w:ascii="Arial" w:cs="Arial" w:eastAsia="Arial" w:hAnsi="Arial"/>
          <w:sz w:val="18"/>
          <w:szCs w:val="18"/>
          <w:color w:val="212529"/>
        </w:rPr>
        <w:t>determines its reportable operating segments in accordance with the provisions in</w:t>
      </w:r>
      <w:r>
        <w:rPr>
          <w:rFonts w:ascii="Arial" w:cs="Arial" w:eastAsia="Arial" w:hAnsi="Arial"/>
          <w:sz w:val="18"/>
          <w:szCs w:val="18"/>
          <w:color w:val="231F20"/>
        </w:rPr>
        <w:t xml:space="preserve"> </w:t>
      </w:r>
      <w:r>
        <w:rPr>
          <w:rFonts w:ascii="Arial" w:cs="Arial" w:eastAsia="Arial" w:hAnsi="Arial"/>
          <w:sz w:val="18"/>
          <w:szCs w:val="18"/>
          <w:color w:val="212529"/>
        </w:rPr>
        <w:t xml:space="preserve">the FASB guidance on segment reporting, which establishes standards for, and requires disclosure of, certain financial information related to reportable operating segments and geographic regions. </w:t>
      </w:r>
      <w:r>
        <w:rPr>
          <w:rFonts w:ascii="Arial" w:cs="Arial" w:eastAsia="Arial" w:hAnsi="Arial"/>
          <w:sz w:val="18"/>
          <w:szCs w:val="18"/>
          <w:color w:val="231F20"/>
        </w:rPr>
        <w:t>The Company’s chief operating decision maker is the Chairman, President and Chief</w:t>
      </w:r>
      <w:r>
        <w:rPr>
          <w:rFonts w:ascii="Arial" w:cs="Arial" w:eastAsia="Arial" w:hAnsi="Arial"/>
          <w:sz w:val="18"/>
          <w:szCs w:val="18"/>
          <w:color w:val="212529"/>
        </w:rPr>
        <w:t xml:space="preserve"> </w:t>
      </w:r>
      <w:r>
        <w:rPr>
          <w:rFonts w:ascii="Arial" w:cs="Arial" w:eastAsia="Arial" w:hAnsi="Arial"/>
          <w:sz w:val="18"/>
          <w:szCs w:val="18"/>
          <w:color w:val="231F20"/>
        </w:rPr>
        <w:t>Executive Officer, who makes operating decisions, assesses performance and allocates resources on a consolidated basis. All of the Company’s principal operations and decision-making functions are located in the United States.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Revenue by geographic area, based on the customers billing address,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r>
      <w:tr>
        <w:trPr>
          <w:trHeight w:val="264"/>
        </w:trPr>
        <w:tc>
          <w:tcPr>
            <w:tcW w:w="6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247"/>
        </w:trPr>
        <w:tc>
          <w:tcPr>
            <w:tcW w:w="6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(in thousands)</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0"/>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206,555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185,887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162,681</w:t>
            </w:r>
          </w:p>
        </w:tc>
      </w:tr>
      <w:tr>
        <w:trPr>
          <w:trHeight w:val="264"/>
        </w:trPr>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115,052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93,002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68,147</w:t>
            </w:r>
          </w:p>
        </w:tc>
      </w:tr>
      <w:tr>
        <w:trPr>
          <w:trHeight w:val="24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321,607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278,889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230,828</w:t>
            </w:r>
          </w:p>
        </w:tc>
      </w:tr>
      <w:tr>
        <w:trPr>
          <w:trHeight w:val="20"/>
        </w:trPr>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333"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9"/>
                <w:szCs w:val="19"/>
                <w:color w:val="auto"/>
              </w:rPr>
            </w:pPr>
          </w:p>
        </w:tc>
      </w:tr>
      <w:tr>
        <w:trPr>
          <w:trHeight w:val="264"/>
        </w:trPr>
        <w:tc>
          <w:tcPr>
            <w:tcW w:w="79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247"/>
        </w:trPr>
        <w:tc>
          <w:tcPr>
            <w:tcW w:w="7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21"/>
                <w:szCs w:val="21"/>
                <w:color w:val="auto"/>
              </w:rPr>
            </w:pPr>
          </w:p>
        </w:tc>
      </w:tr>
      <w:tr>
        <w:trPr>
          <w:trHeight w:val="280"/>
        </w:trPr>
        <w:tc>
          <w:tcPr>
            <w:tcW w:w="7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46,100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51,587</w:t>
            </w:r>
          </w:p>
        </w:tc>
      </w:tr>
      <w:tr>
        <w:trPr>
          <w:trHeight w:val="260"/>
        </w:trPr>
        <w:tc>
          <w:tcPr>
            <w:tcW w:w="7920" w:type="dxa"/>
            <w:vAlign w:val="bottom"/>
          </w:tcPr>
          <w:p>
            <w:pPr>
              <w:ind w:left="40"/>
              <w:spacing w:after="0"/>
              <w:rPr>
                <w:sz w:val="20"/>
                <w:szCs w:val="20"/>
                <w:color w:val="auto"/>
              </w:rPr>
            </w:pPr>
            <w:r>
              <w:rPr>
                <w:rFonts w:ascii="Arial" w:cs="Arial" w:eastAsia="Arial" w:hAnsi="Arial"/>
                <w:sz w:val="16"/>
                <w:szCs w:val="16"/>
                <w:color w:val="auto"/>
              </w:rPr>
              <w:t>India</w:t>
            </w:r>
          </w:p>
        </w:tc>
        <w:tc>
          <w:tcPr>
            <w:tcW w:w="96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9,221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5,774</w:t>
            </w:r>
          </w:p>
        </w:tc>
      </w:tr>
      <w:tr>
        <w:trPr>
          <w:trHeight w:val="273"/>
        </w:trPr>
        <w:tc>
          <w:tcPr>
            <w:tcW w:w="7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 of world</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5,258</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4,081</w:t>
            </w:r>
          </w:p>
        </w:tc>
      </w:tr>
      <w:tr>
        <w:trPr>
          <w:trHeight w:val="240"/>
        </w:trPr>
        <w:tc>
          <w:tcPr>
            <w:tcW w:w="792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60,579</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61,442</w:t>
            </w:r>
          </w:p>
        </w:tc>
      </w:tr>
      <w:tr>
        <w:trPr>
          <w:trHeight w:val="20"/>
        </w:trPr>
        <w:tc>
          <w:tcPr>
            <w:tcW w:w="7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NOTE 12.</w:t>
            </w:r>
          </w:p>
        </w:tc>
        <w:tc>
          <w:tcPr>
            <w:tcW w:w="532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8"/>
        </w:trPr>
        <w:tc>
          <w:tcPr>
            <w:tcW w:w="6460" w:type="dxa"/>
            <w:vAlign w:val="bottom"/>
            <w:gridSpan w:val="3"/>
          </w:tcPr>
          <w:p>
            <w:pPr>
              <w:ind w:left="420"/>
              <w:spacing w:after="0"/>
              <w:rPr>
                <w:sz w:val="20"/>
                <w:szCs w:val="20"/>
                <w:color w:val="auto"/>
              </w:rPr>
            </w:pPr>
            <w:r>
              <w:rPr>
                <w:rFonts w:ascii="Arial" w:cs="Arial" w:eastAsia="Arial" w:hAnsi="Arial"/>
                <w:sz w:val="18"/>
                <w:szCs w:val="18"/>
                <w:color w:val="231F20"/>
                <w:w w:val="99"/>
              </w:rPr>
              <w:t>The computations for basic and diluted net income per share are as follows: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r>
      <w:tr>
        <w:trPr>
          <w:trHeight w:val="264"/>
        </w:trPr>
        <w:tc>
          <w:tcPr>
            <w:tcW w:w="114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247"/>
        </w:trPr>
        <w:tc>
          <w:tcPr>
            <w:tcW w:w="114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80" w:type="dxa"/>
            <w:vAlign w:val="bottom"/>
            <w:gridSpan w:val="7"/>
          </w:tcPr>
          <w:p>
            <w:pPr>
              <w:jc w:val="center"/>
              <w:ind w:right="219"/>
              <w:spacing w:after="0"/>
              <w:rPr>
                <w:sz w:val="20"/>
                <w:szCs w:val="20"/>
                <w:color w:val="auto"/>
              </w:rPr>
            </w:pPr>
            <w:r>
              <w:rPr>
                <w:rFonts w:ascii="Arial" w:cs="Arial" w:eastAsia="Arial" w:hAnsi="Arial"/>
                <w:sz w:val="16"/>
                <w:szCs w:val="16"/>
                <w:b w:val="1"/>
                <w:bCs w:val="1"/>
                <w:color w:val="auto"/>
              </w:rPr>
              <w:t>(in thousands, except per share data)</w:t>
            </w:r>
          </w:p>
        </w:tc>
      </w:tr>
      <w:tr>
        <w:trPr>
          <w:trHeight w:val="260"/>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5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60"/>
        </w:trPr>
        <w:tc>
          <w:tcPr>
            <w:tcW w:w="11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5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69,336</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57,304</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40,440</w:t>
            </w:r>
          </w:p>
        </w:tc>
      </w:tr>
      <w:tr>
        <w:trPr>
          <w:trHeight w:val="280"/>
        </w:trPr>
        <w:tc>
          <w:tcPr>
            <w:tcW w:w="1140" w:type="dxa"/>
            <w:vAlign w:val="bottom"/>
            <w:shd w:val="clear" w:color="auto" w:fill="CCEEFF"/>
          </w:tcPr>
          <w:p>
            <w:pPr>
              <w:spacing w:after="0"/>
              <w:rPr>
                <w:sz w:val="24"/>
                <w:szCs w:val="24"/>
                <w:color w:val="auto"/>
              </w:rPr>
            </w:pPr>
          </w:p>
        </w:tc>
        <w:tc>
          <w:tcPr>
            <w:tcW w:w="5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114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5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646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Weighted-average shares used in computing net income per share - basic</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38,876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37,443</w:t>
            </w:r>
          </w:p>
        </w:tc>
      </w:tr>
      <w:tr>
        <w:trPr>
          <w:trHeight w:val="260"/>
        </w:trPr>
        <w:tc>
          <w:tcPr>
            <w:tcW w:w="6460" w:type="dxa"/>
            <w:vAlign w:val="bottom"/>
            <w:gridSpan w:val="3"/>
          </w:tcPr>
          <w:p>
            <w:pPr>
              <w:ind w:left="360"/>
              <w:spacing w:after="0"/>
              <w:rPr>
                <w:sz w:val="20"/>
                <w:szCs w:val="20"/>
                <w:color w:val="auto"/>
              </w:rPr>
            </w:pPr>
            <w:r>
              <w:rPr>
                <w:rFonts w:ascii="Arial" w:cs="Arial" w:eastAsia="Arial" w:hAnsi="Arial"/>
                <w:sz w:val="16"/>
                <w:szCs w:val="16"/>
                <w:color w:val="auto"/>
              </w:rPr>
              <w:t>Effect of potentially dilutive securities:</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646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2,262</w:t>
            </w:r>
          </w:p>
        </w:tc>
      </w:tr>
      <w:tr>
        <w:trPr>
          <w:trHeight w:val="264"/>
        </w:trPr>
        <w:tc>
          <w:tcPr>
            <w:tcW w:w="644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Restricted stock units</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w:t>
            </w:r>
          </w:p>
        </w:tc>
      </w:tr>
      <w:tr>
        <w:trPr>
          <w:trHeight w:val="240"/>
        </w:trPr>
        <w:tc>
          <w:tcPr>
            <w:tcW w:w="6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Weighted-average shares used in computing net income per share - diluted</w:t>
            </w: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41,345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41,897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40,071</w:t>
            </w:r>
          </w:p>
        </w:tc>
      </w:tr>
      <w:tr>
        <w:trPr>
          <w:trHeight w:val="20"/>
        </w:trPr>
        <w:tc>
          <w:tcPr>
            <w:tcW w:w="64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6460" w:type="dxa"/>
            <w:vAlign w:val="bottom"/>
            <w:gridSpan w:val="3"/>
          </w:tcPr>
          <w:p>
            <w:pPr>
              <w:ind w:left="40"/>
              <w:spacing w:after="0"/>
              <w:rPr>
                <w:sz w:val="20"/>
                <w:szCs w:val="20"/>
                <w:color w:val="auto"/>
              </w:rPr>
            </w:pPr>
            <w:r>
              <w:rPr>
                <w:rFonts w:ascii="Arial" w:cs="Arial" w:eastAsia="Arial" w:hAnsi="Arial"/>
                <w:sz w:val="16"/>
                <w:szCs w:val="16"/>
                <w:color w:val="auto"/>
              </w:rPr>
              <w:t>Net income per share:</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1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5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1140" w:type="dxa"/>
            <w:vAlign w:val="bottom"/>
          </w:tcPr>
          <w:p>
            <w:pPr>
              <w:ind w:left="360"/>
              <w:spacing w:after="0"/>
              <w:rPr>
                <w:sz w:val="20"/>
                <w:szCs w:val="20"/>
                <w:color w:val="auto"/>
              </w:rPr>
            </w:pPr>
            <w:r>
              <w:rPr>
                <w:rFonts w:ascii="Arial" w:cs="Arial" w:eastAsia="Arial" w:hAnsi="Arial"/>
                <w:sz w:val="16"/>
                <w:szCs w:val="16"/>
                <w:color w:val="auto"/>
              </w:rPr>
              <w:t>Diluted</w:t>
            </w:r>
          </w:p>
        </w:tc>
        <w:tc>
          <w:tcPr>
            <w:tcW w:w="5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1.01</w:t>
            </w: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52"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3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47"/>
        </w:trPr>
        <w:tc>
          <w:tcPr>
            <w:tcW w:w="71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Borders>
              <w:top w:val="single" w:sz="8" w:color="auto"/>
            </w:tcBorders>
          </w:tcPr>
          <w:p>
            <w:pPr>
              <w:spacing w:after="0"/>
              <w:rPr>
                <w:sz w:val="21"/>
                <w:szCs w:val="21"/>
                <w:color w:val="auto"/>
              </w:rPr>
            </w:pP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r>
      <w:tr>
        <w:trPr>
          <w:trHeight w:val="264"/>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stock units</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r>
      <w:tr>
        <w:trPr>
          <w:trHeight w:val="240"/>
        </w:trPr>
        <w:tc>
          <w:tcPr>
            <w:tcW w:w="8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 anti-dilutive shares</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3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Selected Quarterly Financial Information (Unaudited)</w:t>
      </w:r>
    </w:p>
    <w:p>
      <w:pPr>
        <w:spacing w:after="0" w:line="26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 shows a summary of the Company's quarterly financial information for each of the quarters in the two-year period ended December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right="10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75"/>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 31,</w:t>
            </w:r>
          </w:p>
        </w:tc>
        <w:tc>
          <w:tcPr>
            <w:tcW w:w="260" w:type="dxa"/>
            <w:vAlign w:val="bottom"/>
          </w:tcPr>
          <w:p>
            <w:pPr>
              <w:spacing w:after="0"/>
              <w:rPr>
                <w:sz w:val="15"/>
                <w:szCs w:val="15"/>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30,</w:t>
            </w:r>
          </w:p>
        </w:tc>
        <w:tc>
          <w:tcPr>
            <w:tcW w:w="260" w:type="dxa"/>
            <w:vAlign w:val="bottom"/>
          </w:tcPr>
          <w:p>
            <w:pPr>
              <w:spacing w:after="0"/>
              <w:rPr>
                <w:sz w:val="15"/>
                <w:szCs w:val="15"/>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Jun. 30,</w:t>
            </w:r>
          </w:p>
        </w:tc>
        <w:tc>
          <w:tcPr>
            <w:tcW w:w="260" w:type="dxa"/>
            <w:vAlign w:val="bottom"/>
          </w:tcPr>
          <w:p>
            <w:pPr>
              <w:spacing w:after="0"/>
              <w:rPr>
                <w:sz w:val="15"/>
                <w:szCs w:val="15"/>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Mar. 31,</w:t>
            </w:r>
          </w:p>
        </w:tc>
        <w:tc>
          <w:tcPr>
            <w:tcW w:w="240" w:type="dxa"/>
            <w:vAlign w:val="bottom"/>
          </w:tcPr>
          <w:p>
            <w:pPr>
              <w:spacing w:after="0"/>
              <w:rPr>
                <w:sz w:val="15"/>
                <w:szCs w:val="15"/>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Dec. 31,</w:t>
            </w:r>
          </w:p>
        </w:tc>
        <w:tc>
          <w:tcPr>
            <w:tcW w:w="220" w:type="dxa"/>
            <w:vAlign w:val="bottom"/>
          </w:tcPr>
          <w:p>
            <w:pPr>
              <w:spacing w:after="0"/>
              <w:rPr>
                <w:sz w:val="15"/>
                <w:szCs w:val="15"/>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30,</w:t>
            </w:r>
          </w:p>
        </w:tc>
        <w:tc>
          <w:tcPr>
            <w:tcW w:w="24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Jun. 30,</w:t>
            </w:r>
          </w:p>
        </w:tc>
        <w:tc>
          <w:tcPr>
            <w:tcW w:w="26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Mar. 31,</w:t>
            </w:r>
          </w:p>
        </w:tc>
      </w:tr>
      <w:tr>
        <w:trPr>
          <w:trHeight w:val="196"/>
        </w:trPr>
        <w:tc>
          <w:tcPr>
            <w:tcW w:w="3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r>
      <w:tr>
        <w:trPr>
          <w:trHeight w:val="204"/>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2"/>
        </w:trPr>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6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84,664</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82,671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78,929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75,343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71,658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68,153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64,878</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Income from operations</w:t>
            </w:r>
          </w:p>
        </w:tc>
        <w:tc>
          <w:tcPr>
            <w:tcW w:w="16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19,545</w:t>
            </w:r>
          </w:p>
        </w:tc>
        <w:tc>
          <w:tcPr>
            <w:tcW w:w="2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22,549</w:t>
            </w:r>
          </w:p>
        </w:tc>
        <w:tc>
          <w:tcPr>
            <w:tcW w:w="26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16,108</w:t>
            </w:r>
          </w:p>
        </w:tc>
        <w:tc>
          <w:tcPr>
            <w:tcW w:w="2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14,051</w:t>
            </w: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12,943</w:t>
            </w: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18,117</w:t>
            </w:r>
          </w:p>
        </w:tc>
        <w:tc>
          <w:tcPr>
            <w:tcW w:w="2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10,895</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8,406</w:t>
            </w: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1,757</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1,786</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2,401</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1,786</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1,862</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1,116</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1,245</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21,302</w:t>
            </w:r>
          </w:p>
        </w:tc>
        <w:tc>
          <w:tcPr>
            <w:tcW w:w="2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24,335</w:t>
            </w:r>
          </w:p>
        </w:tc>
        <w:tc>
          <w:tcPr>
            <w:tcW w:w="26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18,509</w:t>
            </w:r>
          </w:p>
        </w:tc>
        <w:tc>
          <w:tcPr>
            <w:tcW w:w="2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15,837</w:t>
            </w: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14,805</w:t>
            </w: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19,233</w:t>
            </w:r>
          </w:p>
        </w:tc>
        <w:tc>
          <w:tcPr>
            <w:tcW w:w="2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11,779</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9,651</w:t>
            </w: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20,664</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19,174</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16,232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13,266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23,469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9,142</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Net income per share:</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3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r>
      <w:tr>
        <w:trPr>
          <w:trHeight w:val="258"/>
        </w:trPr>
        <w:tc>
          <w:tcPr>
            <w:tcW w:w="3200" w:type="dxa"/>
            <w:vAlign w:val="bottom"/>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0.50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0.47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0.39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0.32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0.35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0.56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0.24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0.22</w:t>
            </w:r>
          </w:p>
        </w:tc>
      </w:tr>
    </w:tbl>
    <w:p>
      <w:pPr>
        <w:spacing w:after="0" w:line="200" w:lineRule="exact"/>
        <w:rPr>
          <w:sz w:val="20"/>
          <w:szCs w:val="20"/>
          <w:color w:val="auto"/>
        </w:rPr>
      </w:pPr>
    </w:p>
    <w:p>
      <w:pPr>
        <w:spacing w:after="0" w:line="32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Our management, with the participation of our Chief Executive Officer, Chief Financial Officer and our Principal Accounting Officer, evaluated the effectiveness of our disclosure controls and procedures as of December 31,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2019, our Chief Executive Officer and Chief Financial Officer concluded that, as of such date, our disclosure controls and procedures were effective at the reasonable assurance level.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ectPr>
          <w:pgSz w:w="11900" w:h="16838" w:orient="portrait"/>
          <w:cols w:equalWidth="0" w:num="1">
            <w:col w:w="11420"/>
          </w:cols>
          <w:pgMar w:left="240" w:top="333" w:right="2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333" w:right="239" w:bottom="1440" w:gutter="0" w:footer="0" w:header="0"/>
          <w:type w:val="continuous"/>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Chief Financial Officer and our Principal Accounting Officer, we conducted an evaluation of the effectiveness of our internal control over financial reporting as of December 31, 2019 based on the criteria established in the 2013 Internal Control - Integrated Framework issued by the Committee of Sponsoring Organizations of the Treadway Commission, or COSO. Based on our evaluation under the criteria set forth in the 2013 Internal Control - Integrated Framework issued by the COSO, our management concluded our internal control over financial reporting was effective as of December 31, 2019.</w:t>
      </w:r>
    </w:p>
    <w:p>
      <w:pPr>
        <w:spacing w:after="0" w:line="101"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Grant Thornton LLP, an independent registered public accounting firm, as stated in its report, which is included in Item 8 of this Annual Report on Form 10-K.</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fourth quarter ended December 31, 2019 that has materially affected, or is reasonably likely to materially affect, our internal control over financial reporting.</w:t>
      </w: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231F20"/>
        </w:rPr>
        <w:t>PART III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39"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Proxy Statement for our 2020 Annual Meeting of Stockholders to be filed with the SEC within 120 days after the end of the fiscal year ended December 31, 2019.</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Codes of Business Conduct and Ethics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6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to be filed with the SEC within 120 days after the end of the fiscal year ended December 31, 2019.</w:t>
      </w:r>
    </w:p>
    <w:p>
      <w:pPr>
        <w:spacing w:after="0" w:line="336" w:lineRule="exact"/>
        <w:rPr>
          <w:sz w:val="20"/>
          <w:szCs w:val="20"/>
          <w:color w:val="auto"/>
        </w:rPr>
      </w:pPr>
    </w:p>
    <w:p>
      <w:pPr>
        <w:ind w:left="40" w:right="2480" w:firstLine="1040"/>
        <w:spacing w:after="0" w:line="271"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Item 12. Matters</w:t>
      </w:r>
    </w:p>
    <w:p>
      <w:pPr>
        <w:spacing w:after="0" w:line="20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information required by this item with respect to Item 403 of Regulation S-K regarding security ownership of certain beneficial owners and management is incorporated by reference to our Proxy Statement for our 2020 Annual Meeting of Stockholders to be filed with the SEC within 120 days after the end of the fiscal year ended December 31, 2019. For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41"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required by this item with respect to Item 201(d) of Regulation S-K regarding securities authorized for issuance under equity compensation plans, see “Item 5: Market for Registrant’s Common Equity, Related Stockholder Matters and Issuer Purchases of Equity Securities—Securities Authorized for Issuance under Equity Compensation Plans.”</w:t>
      </w:r>
    </w:p>
    <w:p>
      <w:pPr>
        <w:spacing w:after="0" w:line="34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6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to be filed with the SEC within 120 days after the end of the fiscal year ended December 31, 2019.</w:t>
      </w:r>
    </w:p>
    <w:p>
      <w:pPr>
        <w:spacing w:after="0" w:line="33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6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to be filed with the SEC within 120 days after the end of the fiscal year ended December 31, 2019.</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41" w:right="239" w:bottom="1440" w:gutter="0" w:footer="0" w:header="0"/>
        </w:sectPr>
      </w:pPr>
    </w:p>
    <w:bookmarkStart w:id="90" w:name="page91"/>
    <w:bookmarkEnd w:id="90"/>
    <w:p>
      <w:pPr>
        <w:spacing w:after="0" w:line="63"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31F20"/>
        </w:rPr>
        <w:t>PART IV</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53" w:lineRule="exact"/>
        <w:rPr>
          <w:sz w:val="20"/>
          <w:szCs w:val="20"/>
          <w:color w:val="auto"/>
        </w:rPr>
      </w:pPr>
    </w:p>
    <w:p>
      <w:pPr>
        <w:ind w:right="740" w:firstLine="405"/>
        <w:spacing w:after="0" w:line="262" w:lineRule="auto"/>
        <w:rPr>
          <w:sz w:val="20"/>
          <w:szCs w:val="20"/>
          <w:color w:val="auto"/>
        </w:rPr>
      </w:pPr>
      <w:r>
        <w:rPr>
          <w:rFonts w:ascii="Arial" w:cs="Arial" w:eastAsia="Arial" w:hAnsi="Arial"/>
          <w:sz w:val="18"/>
          <w:szCs w:val="18"/>
          <w:color w:val="auto"/>
        </w:rPr>
        <w:t>(a)(1) Financial Statements - The financial statements filed as part of this Annual Report on Form 10-K are listed on the Index to Consolidated Financial Statements in Item 8.</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(a)(2) Financial Statement Schedules</w:t>
      </w:r>
    </w:p>
    <w:p>
      <w:pPr>
        <w:spacing w:after="0" w:line="311"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231F20"/>
        </w:rPr>
        <w:t>SCHEDULE II</w:t>
      </w:r>
    </w:p>
    <w:p>
      <w:pPr>
        <w:spacing w:after="0" w:line="31"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231F20"/>
        </w:rPr>
        <w:t>SUPPLEMENTARY CONSOLIDATED FINANCIAL STATEMENT SCHEDULE</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231F20"/>
        </w:rPr>
        <w:t>VALUATION AND QUALIFYING ACCOUNTS</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Additions</w:t>
            </w: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Balance at Beginning</w:t>
            </w: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Charged to Costs and</w:t>
            </w:r>
          </w:p>
        </w:tc>
        <w:tc>
          <w:tcPr>
            <w:tcW w:w="200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rPr>
              <w:t>Deductions and Other</w:t>
            </w:r>
          </w:p>
        </w:tc>
        <w:tc>
          <w:tcPr>
            <w:tcW w:w="180" w:type="dxa"/>
            <w:vAlign w:val="bottom"/>
          </w:tcPr>
          <w:p>
            <w:pPr>
              <w:spacing w:after="0"/>
              <w:rPr>
                <w:sz w:val="17"/>
                <w:szCs w:val="17"/>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b w:val="1"/>
                <w:bCs w:val="1"/>
                <w:color w:val="auto"/>
              </w:rPr>
              <w:t>Balance at End of</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gridSpan w:val="2"/>
            <w:vMerge w:val="restart"/>
          </w:tcPr>
          <w:p>
            <w:pPr>
              <w:jc w:val="center"/>
              <w:ind w:right="480"/>
              <w:spacing w:after="0"/>
              <w:rPr>
                <w:sz w:val="20"/>
                <w:szCs w:val="20"/>
                <w:color w:val="auto"/>
              </w:rPr>
            </w:pPr>
            <w:r>
              <w:rPr>
                <w:rFonts w:ascii="Arial" w:cs="Arial" w:eastAsia="Arial" w:hAnsi="Arial"/>
                <w:sz w:val="16"/>
                <w:szCs w:val="16"/>
                <w:b w:val="1"/>
                <w:bCs w:val="1"/>
                <w:color w:val="auto"/>
                <w:w w:val="99"/>
              </w:rPr>
              <w:t>of Year</w:t>
            </w:r>
          </w:p>
        </w:tc>
        <w:tc>
          <w:tcPr>
            <w:tcW w:w="320" w:type="dxa"/>
            <w:vAlign w:val="bottom"/>
          </w:tcPr>
          <w:p>
            <w:pPr>
              <w:spacing w:after="0"/>
              <w:rPr>
                <w:sz w:val="6"/>
                <w:szCs w:val="6"/>
                <w:color w:val="auto"/>
              </w:rPr>
            </w:pPr>
          </w:p>
        </w:tc>
        <w:tc>
          <w:tcPr>
            <w:tcW w:w="14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Expenses</w:t>
            </w:r>
          </w:p>
        </w:tc>
        <w:tc>
          <w:tcPr>
            <w:tcW w:w="20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Year</w:t>
            </w:r>
          </w:p>
        </w:tc>
        <w:tc>
          <w:tcPr>
            <w:tcW w:w="0" w:type="dxa"/>
            <w:vAlign w:val="bottom"/>
          </w:tcPr>
          <w:p>
            <w:pPr>
              <w:spacing w:after="0"/>
              <w:rPr>
                <w:sz w:val="1"/>
                <w:szCs w:val="1"/>
                <w:color w:val="auto"/>
              </w:rPr>
            </w:pPr>
          </w:p>
        </w:tc>
      </w:tr>
      <w:tr>
        <w:trPr>
          <w:trHeight w:val="157"/>
        </w:trPr>
        <w:tc>
          <w:tcPr>
            <w:tcW w:w="3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tcPr>
          <w:p>
            <w:pPr>
              <w:jc w:val="right"/>
              <w:ind w:right="76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700" w:type="dxa"/>
            <w:vAlign w:val="bottom"/>
            <w:tcBorders>
              <w:top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rPr>
              <w:t>Allowance for Doubtful Accounts</w:t>
            </w:r>
          </w:p>
        </w:tc>
        <w:tc>
          <w:tcPr>
            <w:tcW w:w="36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00" w:type="dxa"/>
            <w:vAlign w:val="bottom"/>
          </w:tcPr>
          <w:p>
            <w:pPr>
              <w:jc w:val="right"/>
              <w:ind w:right="1059"/>
              <w:spacing w:after="0"/>
              <w:rPr>
                <w:sz w:val="20"/>
                <w:szCs w:val="20"/>
                <w:color w:val="auto"/>
              </w:rPr>
            </w:pPr>
            <w:r>
              <w:rPr>
                <w:rFonts w:ascii="Arial" w:cs="Arial" w:eastAsia="Arial" w:hAnsi="Arial"/>
                <w:sz w:val="16"/>
                <w:szCs w:val="16"/>
                <w:color w:val="auto"/>
              </w:rPr>
              <w:t>Year Ended December 31, 2019</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80"/>
        </w:trPr>
        <w:tc>
          <w:tcPr>
            <w:tcW w:w="370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Year Ended December 31, 2018</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51"/>
        </w:trPr>
        <w:tc>
          <w:tcPr>
            <w:tcW w:w="3700" w:type="dxa"/>
            <w:vAlign w:val="bottom"/>
          </w:tcPr>
          <w:p>
            <w:pPr>
              <w:jc w:val="right"/>
              <w:ind w:right="1059"/>
              <w:spacing w:after="0"/>
              <w:rPr>
                <w:sz w:val="20"/>
                <w:szCs w:val="20"/>
                <w:color w:val="auto"/>
              </w:rPr>
            </w:pPr>
            <w:r>
              <w:rPr>
                <w:rFonts w:ascii="Arial" w:cs="Arial" w:eastAsia="Arial" w:hAnsi="Arial"/>
                <w:sz w:val="16"/>
                <w:szCs w:val="16"/>
                <w:color w:val="auto"/>
              </w:rPr>
              <w:t>Year Ended December 31, 2017</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657</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(1) Primarily represents write-offs of uncollectible accounts, net of recoveries.</w:t>
      </w:r>
    </w:p>
    <w:p>
      <w:pPr>
        <w:spacing w:after="0" w:line="110" w:lineRule="exact"/>
        <w:rPr>
          <w:sz w:val="20"/>
          <w:szCs w:val="20"/>
          <w:color w:val="auto"/>
        </w:rPr>
      </w:pPr>
    </w:p>
    <w:p>
      <w:pPr>
        <w:ind w:left="420" w:right="220"/>
        <w:spacing w:after="0" w:line="387" w:lineRule="auto"/>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otherwise included. (b) Exhibits</w:t>
      </w:r>
    </w:p>
    <w:p>
      <w:pPr>
        <w:sectPr>
          <w:pgSz w:w="11900" w:h="16901" w:orient="portrait"/>
          <w:cols w:equalWidth="0" w:num="1">
            <w:col w:w="11320"/>
          </w:cols>
          <w:pgMar w:left="240" w:top="141" w:right="339" w:bottom="0" w:gutter="0" w:footer="0" w:header="0"/>
        </w:sect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Exhibit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Number</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3.1</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3.2</w:t>
      </w:r>
    </w:p>
    <w:p>
      <w:pPr>
        <w:spacing w:after="0" w:line="3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4.1</w:t>
      </w:r>
    </w:p>
    <w:p>
      <w:pPr>
        <w:spacing w:after="0" w:line="3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20" w:type="dxa"/>
            <w:vAlign w:val="bottom"/>
            <w:gridSpan w:val="2"/>
          </w:tcPr>
          <w:p>
            <w:pPr>
              <w:ind w:left="260"/>
              <w:spacing w:after="0"/>
              <w:rPr>
                <w:sz w:val="20"/>
                <w:szCs w:val="20"/>
                <w:color w:val="auto"/>
              </w:rPr>
            </w:pPr>
            <w:r>
              <w:rPr>
                <w:rFonts w:ascii="Arial" w:cs="Arial" w:eastAsia="Arial" w:hAnsi="Arial"/>
                <w:sz w:val="14"/>
                <w:szCs w:val="14"/>
                <w:color w:val="auto"/>
              </w:rPr>
              <w:t>Incorporated by Reference</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Filed</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140" w:type="dxa"/>
            <w:vAlign w:val="bottom"/>
            <w:gridSpan w:val="6"/>
          </w:tcPr>
          <w:p>
            <w:pPr>
              <w:spacing w:after="0"/>
              <w:rPr>
                <w:sz w:val="20"/>
                <w:szCs w:val="20"/>
                <w:color w:val="auto"/>
              </w:rPr>
            </w:pPr>
            <w:r>
              <w:rPr>
                <w:rFonts w:ascii="Arial" w:cs="Arial" w:eastAsia="Arial" w:hAnsi="Arial"/>
                <w:sz w:val="14"/>
                <w:szCs w:val="14"/>
                <w:color w:val="auto"/>
              </w:rPr>
              <w:t>Description</w:t>
            </w:r>
          </w:p>
        </w:tc>
        <w:tc>
          <w:tcPr>
            <w:tcW w:w="1080" w:type="dxa"/>
            <w:vAlign w:val="bottom"/>
          </w:tcPr>
          <w:p>
            <w:pPr>
              <w:jc w:val="center"/>
              <w:spacing w:after="0"/>
              <w:rPr>
                <w:sz w:val="20"/>
                <w:szCs w:val="20"/>
                <w:color w:val="auto"/>
              </w:rPr>
            </w:pPr>
            <w:r>
              <w:rPr>
                <w:rFonts w:ascii="Arial" w:cs="Arial" w:eastAsia="Arial" w:hAnsi="Arial"/>
                <w:sz w:val="14"/>
                <w:szCs w:val="14"/>
                <w:color w:val="auto"/>
              </w:rPr>
              <w:t>Herewith</w:t>
            </w:r>
          </w:p>
        </w:tc>
        <w:tc>
          <w:tcPr>
            <w:tcW w:w="880" w:type="dxa"/>
            <w:vAlign w:val="bottom"/>
          </w:tcPr>
          <w:p>
            <w:pPr>
              <w:ind w:left="300"/>
              <w:spacing w:after="0"/>
              <w:rPr>
                <w:sz w:val="20"/>
                <w:szCs w:val="20"/>
                <w:color w:val="auto"/>
              </w:rPr>
            </w:pPr>
            <w:r>
              <w:rPr>
                <w:rFonts w:ascii="Arial" w:cs="Arial" w:eastAsia="Arial" w:hAnsi="Arial"/>
                <w:sz w:val="14"/>
                <w:szCs w:val="14"/>
                <w:color w:val="auto"/>
              </w:rPr>
              <w:t>Form</w:t>
            </w:r>
          </w:p>
        </w:tc>
        <w:tc>
          <w:tcPr>
            <w:tcW w:w="1300" w:type="dxa"/>
            <w:vAlign w:val="bottom"/>
          </w:tcPr>
          <w:p>
            <w:pPr>
              <w:jc w:val="center"/>
              <w:ind w:left="168"/>
              <w:spacing w:after="0"/>
              <w:rPr>
                <w:sz w:val="20"/>
                <w:szCs w:val="20"/>
                <w:color w:val="auto"/>
              </w:rPr>
            </w:pPr>
            <w:r>
              <w:rPr>
                <w:rFonts w:ascii="Arial" w:cs="Arial" w:eastAsia="Arial" w:hAnsi="Arial"/>
                <w:sz w:val="14"/>
                <w:szCs w:val="14"/>
                <w:color w:val="auto"/>
              </w:rPr>
              <w:t>File No.</w:t>
            </w:r>
          </w:p>
        </w:tc>
        <w:tc>
          <w:tcPr>
            <w:tcW w:w="1020" w:type="dxa"/>
            <w:vAlign w:val="bottom"/>
          </w:tcPr>
          <w:p>
            <w:pPr>
              <w:jc w:val="center"/>
              <w:spacing w:after="0"/>
              <w:rPr>
                <w:sz w:val="20"/>
                <w:szCs w:val="20"/>
                <w:color w:val="auto"/>
              </w:rPr>
            </w:pPr>
            <w:r>
              <w:rPr>
                <w:rFonts w:ascii="Arial" w:cs="Arial" w:eastAsia="Arial" w:hAnsi="Arial"/>
                <w:sz w:val="14"/>
                <w:szCs w:val="14"/>
                <w:color w:val="auto"/>
              </w:rPr>
              <w:t>Exhibit No.</w:t>
            </w:r>
          </w:p>
        </w:tc>
        <w:tc>
          <w:tcPr>
            <w:tcW w:w="1480" w:type="dxa"/>
            <w:vAlign w:val="bottom"/>
          </w:tcPr>
          <w:p>
            <w:pPr>
              <w:jc w:val="center"/>
              <w:ind w:left="128"/>
              <w:spacing w:after="0"/>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309"/>
        </w:trPr>
        <w:tc>
          <w:tcPr>
            <w:tcW w:w="4140" w:type="dxa"/>
            <w:vAlign w:val="bottom"/>
            <w:gridSpan w:val="6"/>
          </w:tcPr>
          <w:p>
            <w:pPr>
              <w:spacing w:after="0"/>
              <w:rPr>
                <w:rFonts w:ascii="Arial" w:cs="Arial" w:eastAsia="Arial" w:hAnsi="Arial"/>
                <w:sz w:val="14"/>
                <w:szCs w:val="14"/>
                <w:color w:val="0000FF"/>
              </w:rPr>
            </w:pPr>
            <w:hyperlink r:id="rId17">
              <w:r>
                <w:rPr>
                  <w:rFonts w:ascii="Arial" w:cs="Arial" w:eastAsia="Arial" w:hAnsi="Arial"/>
                  <w:sz w:val="14"/>
                  <w:szCs w:val="14"/>
                  <w:color w:val="0000FF"/>
                </w:rPr>
                <w:t>Amended and Restated Certificate of Incorporation of Qualys,</w:t>
              </w:r>
            </w:hyperlink>
          </w:p>
        </w:tc>
        <w:tc>
          <w:tcPr>
            <w:tcW w:w="1080" w:type="dxa"/>
            <w:vAlign w:val="bottom"/>
          </w:tcPr>
          <w:p>
            <w:pPr>
              <w:spacing w:after="0"/>
              <w:rPr>
                <w:sz w:val="24"/>
                <w:szCs w:val="24"/>
                <w:color w:val="auto"/>
              </w:rPr>
            </w:pPr>
          </w:p>
        </w:tc>
        <w:tc>
          <w:tcPr>
            <w:tcW w:w="880" w:type="dxa"/>
            <w:vAlign w:val="bottom"/>
            <w:vMerge w:val="restart"/>
          </w:tcPr>
          <w:p>
            <w:pPr>
              <w:ind w:left="280"/>
              <w:spacing w:after="0"/>
              <w:rPr>
                <w:sz w:val="20"/>
                <w:szCs w:val="20"/>
                <w:color w:val="auto"/>
              </w:rPr>
            </w:pPr>
            <w:r>
              <w:rPr>
                <w:rFonts w:ascii="Arial" w:cs="Arial" w:eastAsia="Arial" w:hAnsi="Arial"/>
                <w:sz w:val="14"/>
                <w:szCs w:val="14"/>
                <w:color w:val="auto"/>
              </w:rPr>
              <w:t>S-1/A</w:t>
            </w:r>
          </w:p>
        </w:tc>
        <w:tc>
          <w:tcPr>
            <w:tcW w:w="1300" w:type="dxa"/>
            <w:vAlign w:val="bottom"/>
            <w:vMerge w:val="restart"/>
          </w:tcPr>
          <w:p>
            <w:pPr>
              <w:jc w:val="center"/>
              <w:ind w:left="168"/>
              <w:spacing w:after="0"/>
              <w:rPr>
                <w:sz w:val="20"/>
                <w:szCs w:val="20"/>
                <w:color w:val="auto"/>
              </w:rPr>
            </w:pPr>
            <w:r>
              <w:rPr>
                <w:rFonts w:ascii="Arial" w:cs="Arial" w:eastAsia="Arial" w:hAnsi="Arial"/>
                <w:sz w:val="14"/>
                <w:szCs w:val="14"/>
                <w:color w:val="auto"/>
              </w:rPr>
              <w:t>333-182027</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3.3</w:t>
            </w:r>
          </w:p>
        </w:tc>
        <w:tc>
          <w:tcPr>
            <w:tcW w:w="1480" w:type="dxa"/>
            <w:vAlign w:val="bottom"/>
            <w:vMerge w:val="restart"/>
          </w:tcPr>
          <w:p>
            <w:pPr>
              <w:jc w:val="center"/>
              <w:ind w:left="108"/>
              <w:spacing w:after="0"/>
              <w:rPr>
                <w:sz w:val="20"/>
                <w:szCs w:val="20"/>
                <w:color w:val="auto"/>
              </w:rPr>
            </w:pPr>
            <w:r>
              <w:rPr>
                <w:rFonts w:ascii="Arial" w:cs="Arial" w:eastAsia="Arial" w:hAnsi="Arial"/>
                <w:sz w:val="14"/>
                <w:szCs w:val="14"/>
                <w:color w:val="auto"/>
              </w:rPr>
              <w:t>September 12, 2012</w:t>
            </w:r>
          </w:p>
        </w:tc>
        <w:tc>
          <w:tcPr>
            <w:tcW w:w="0" w:type="dxa"/>
            <w:vAlign w:val="bottom"/>
          </w:tcPr>
          <w:p>
            <w:pPr>
              <w:spacing w:after="0"/>
              <w:rPr>
                <w:sz w:val="1"/>
                <w:szCs w:val="1"/>
                <w:color w:val="auto"/>
              </w:rPr>
            </w:pPr>
          </w:p>
        </w:tc>
      </w:tr>
      <w:tr>
        <w:trPr>
          <w:trHeight w:val="90"/>
        </w:trPr>
        <w:tc>
          <w:tcPr>
            <w:tcW w:w="3920" w:type="dxa"/>
            <w:vAlign w:val="bottom"/>
            <w:tcBorders>
              <w:top w:val="single" w:sz="8" w:color="0000FF"/>
            </w:tcBorders>
            <w:gridSpan w:val="5"/>
            <w:vMerge w:val="restart"/>
          </w:tcPr>
          <w:p>
            <w:pPr>
              <w:spacing w:after="0" w:line="142" w:lineRule="exact"/>
              <w:rPr>
                <w:rFonts w:ascii="Arial" w:cs="Arial" w:eastAsia="Arial" w:hAnsi="Arial"/>
                <w:sz w:val="14"/>
                <w:szCs w:val="14"/>
                <w:color w:val="0000FF"/>
              </w:rPr>
            </w:pPr>
            <w:hyperlink r:id="rId17">
              <w:r>
                <w:rPr>
                  <w:rFonts w:ascii="Arial" w:cs="Arial" w:eastAsia="Arial" w:hAnsi="Arial"/>
                  <w:sz w:val="14"/>
                  <w:szCs w:val="14"/>
                  <w:color w:val="0000FF"/>
                </w:rPr>
                <w:t>Inc.</w:t>
              </w:r>
            </w:hyperlink>
          </w:p>
        </w:tc>
        <w:tc>
          <w:tcPr>
            <w:tcW w:w="220" w:type="dxa"/>
            <w:vAlign w:val="bottom"/>
            <w:vMerge w:val="restart"/>
          </w:tcPr>
          <w:p>
            <w:pPr>
              <w:spacing w:after="0"/>
              <w:rPr>
                <w:sz w:val="7"/>
                <w:szCs w:val="7"/>
                <w:color w:val="auto"/>
              </w:rPr>
            </w:pPr>
          </w:p>
        </w:tc>
        <w:tc>
          <w:tcPr>
            <w:tcW w:w="10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3920" w:type="dxa"/>
            <w:vAlign w:val="bottom"/>
            <w:gridSpan w:val="5"/>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140" w:type="dxa"/>
            <w:vAlign w:val="bottom"/>
            <w:gridSpan w:val="6"/>
          </w:tcPr>
          <w:p>
            <w:pPr>
              <w:spacing w:after="0"/>
              <w:rPr>
                <w:rFonts w:ascii="Arial" w:cs="Arial" w:eastAsia="Arial" w:hAnsi="Arial"/>
                <w:sz w:val="14"/>
                <w:szCs w:val="14"/>
                <w:color w:val="0000FF"/>
              </w:rPr>
            </w:pPr>
            <w:hyperlink r:id="rId18">
              <w:r>
                <w:rPr>
                  <w:rFonts w:ascii="Arial" w:cs="Arial" w:eastAsia="Arial" w:hAnsi="Arial"/>
                  <w:sz w:val="14"/>
                  <w:szCs w:val="14"/>
                  <w:color w:val="0000FF"/>
                </w:rPr>
                <w:t>Amended and Restated Bylaws of Qualys, Inc.</w:t>
              </w:r>
            </w:hyperlink>
          </w:p>
        </w:tc>
        <w:tc>
          <w:tcPr>
            <w:tcW w:w="1080" w:type="dxa"/>
            <w:vAlign w:val="bottom"/>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ind w:left="168"/>
              <w:spacing w:after="0"/>
              <w:rPr>
                <w:sz w:val="20"/>
                <w:szCs w:val="20"/>
                <w:color w:val="auto"/>
              </w:rPr>
            </w:pPr>
            <w:r>
              <w:rPr>
                <w:rFonts w:ascii="Arial" w:cs="Arial" w:eastAsia="Arial" w:hAnsi="Arial"/>
                <w:sz w:val="14"/>
                <w:szCs w:val="14"/>
                <w:color w:val="auto"/>
              </w:rPr>
              <w:t>333-182027</w:t>
            </w:r>
          </w:p>
        </w:tc>
        <w:tc>
          <w:tcPr>
            <w:tcW w:w="1020" w:type="dxa"/>
            <w:vAlign w:val="bottom"/>
          </w:tcPr>
          <w:p>
            <w:pPr>
              <w:jc w:val="center"/>
              <w:spacing w:after="0"/>
              <w:rPr>
                <w:sz w:val="20"/>
                <w:szCs w:val="20"/>
                <w:color w:val="auto"/>
              </w:rPr>
            </w:pPr>
            <w:r>
              <w:rPr>
                <w:rFonts w:ascii="Arial" w:cs="Arial" w:eastAsia="Arial" w:hAnsi="Arial"/>
                <w:sz w:val="14"/>
                <w:szCs w:val="14"/>
                <w:color w:val="auto"/>
              </w:rPr>
              <w:t>3.5</w:t>
            </w:r>
          </w:p>
        </w:tc>
        <w:tc>
          <w:tcPr>
            <w:tcW w:w="1480" w:type="dxa"/>
            <w:vAlign w:val="bottom"/>
          </w:tcPr>
          <w:p>
            <w:pPr>
              <w:jc w:val="center"/>
              <w:ind w:left="108"/>
              <w:spacing w:after="0"/>
              <w:rPr>
                <w:sz w:val="20"/>
                <w:szCs w:val="20"/>
                <w:color w:val="auto"/>
              </w:rPr>
            </w:pPr>
            <w:r>
              <w:rPr>
                <w:rFonts w:ascii="Arial" w:cs="Arial" w:eastAsia="Arial" w:hAnsi="Arial"/>
                <w:sz w:val="14"/>
                <w:szCs w:val="14"/>
                <w:color w:val="auto"/>
              </w:rPr>
              <w:t>September 12, 2012</w:t>
            </w:r>
          </w:p>
        </w:tc>
        <w:tc>
          <w:tcPr>
            <w:tcW w:w="0" w:type="dxa"/>
            <w:vAlign w:val="bottom"/>
          </w:tcPr>
          <w:p>
            <w:pPr>
              <w:spacing w:after="0"/>
              <w:rPr>
                <w:sz w:val="1"/>
                <w:szCs w:val="1"/>
                <w:color w:val="auto"/>
              </w:rPr>
            </w:pPr>
          </w:p>
        </w:tc>
      </w:tr>
      <w:tr>
        <w:trPr>
          <w:trHeight w:val="520"/>
        </w:trPr>
        <w:tc>
          <w:tcPr>
            <w:tcW w:w="2160" w:type="dxa"/>
            <w:vAlign w:val="bottom"/>
            <w:tcBorders>
              <w:top w:val="single" w:sz="8" w:color="0000FF"/>
              <w:bottom w:val="single" w:sz="8" w:color="0000FF"/>
            </w:tcBorders>
            <w:gridSpan w:val="2"/>
          </w:tcPr>
          <w:p>
            <w:pPr>
              <w:spacing w:after="0"/>
              <w:rPr>
                <w:rFonts w:ascii="Arial" w:cs="Arial" w:eastAsia="Arial" w:hAnsi="Arial"/>
                <w:sz w:val="14"/>
                <w:szCs w:val="14"/>
                <w:color w:val="0000FF"/>
              </w:rPr>
            </w:pPr>
            <w:hyperlink r:id="rId19">
              <w:r>
                <w:rPr>
                  <w:rFonts w:ascii="Arial" w:cs="Arial" w:eastAsia="Arial" w:hAnsi="Arial"/>
                  <w:sz w:val="14"/>
                  <w:szCs w:val="14"/>
                  <w:color w:val="0000FF"/>
                </w:rPr>
                <w:t>Form of common stock certificate.</w:t>
              </w:r>
            </w:hyperlink>
          </w:p>
        </w:tc>
        <w:tc>
          <w:tcPr>
            <w:tcW w:w="800" w:type="dxa"/>
            <w:vAlign w:val="bottom"/>
            <w:tcBorders>
              <w:top w:val="single" w:sz="8" w:color="0000FF"/>
            </w:tcBorders>
            <w:gridSpan w:val="2"/>
          </w:tcPr>
          <w:p>
            <w:pPr>
              <w:spacing w:after="0"/>
              <w:rPr>
                <w:sz w:val="24"/>
                <w:szCs w:val="24"/>
                <w:color w:val="auto"/>
              </w:rPr>
            </w:pPr>
          </w:p>
        </w:tc>
        <w:tc>
          <w:tcPr>
            <w:tcW w:w="118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ind w:left="168"/>
              <w:spacing w:after="0"/>
              <w:rPr>
                <w:sz w:val="20"/>
                <w:szCs w:val="20"/>
                <w:color w:val="auto"/>
              </w:rPr>
            </w:pPr>
            <w:r>
              <w:rPr>
                <w:rFonts w:ascii="Arial" w:cs="Arial" w:eastAsia="Arial" w:hAnsi="Arial"/>
                <w:sz w:val="14"/>
                <w:szCs w:val="14"/>
                <w:color w:val="auto"/>
              </w:rPr>
              <w:t>333-182027</w:t>
            </w:r>
          </w:p>
        </w:tc>
        <w:tc>
          <w:tcPr>
            <w:tcW w:w="1020" w:type="dxa"/>
            <w:vAlign w:val="bottom"/>
          </w:tcPr>
          <w:p>
            <w:pPr>
              <w:jc w:val="center"/>
              <w:spacing w:after="0"/>
              <w:rPr>
                <w:sz w:val="20"/>
                <w:szCs w:val="20"/>
                <w:color w:val="auto"/>
              </w:rPr>
            </w:pPr>
            <w:r>
              <w:rPr>
                <w:rFonts w:ascii="Arial" w:cs="Arial" w:eastAsia="Arial" w:hAnsi="Arial"/>
                <w:sz w:val="14"/>
                <w:szCs w:val="14"/>
                <w:color w:val="auto"/>
              </w:rPr>
              <w:t>4.1</w:t>
            </w:r>
          </w:p>
        </w:tc>
        <w:tc>
          <w:tcPr>
            <w:tcW w:w="1480" w:type="dxa"/>
            <w:vAlign w:val="bottom"/>
          </w:tcPr>
          <w:p>
            <w:pPr>
              <w:jc w:val="center"/>
              <w:ind w:left="108"/>
              <w:spacing w:after="0"/>
              <w:rPr>
                <w:sz w:val="20"/>
                <w:szCs w:val="20"/>
                <w:color w:val="auto"/>
              </w:rPr>
            </w:pPr>
            <w:r>
              <w:rPr>
                <w:rFonts w:ascii="Arial" w:cs="Arial" w:eastAsia="Arial" w:hAnsi="Arial"/>
                <w:sz w:val="14"/>
                <w:szCs w:val="14"/>
                <w:color w:val="auto"/>
              </w:rPr>
              <w:t>September 12, 2012</w:t>
            </w:r>
          </w:p>
        </w:tc>
        <w:tc>
          <w:tcPr>
            <w:tcW w:w="0" w:type="dxa"/>
            <w:vAlign w:val="bottom"/>
          </w:tcPr>
          <w:p>
            <w:pPr>
              <w:spacing w:after="0"/>
              <w:rPr>
                <w:sz w:val="1"/>
                <w:szCs w:val="1"/>
                <w:color w:val="auto"/>
              </w:rPr>
            </w:pPr>
          </w:p>
        </w:tc>
      </w:tr>
      <w:tr>
        <w:trPr>
          <w:trHeight w:val="520"/>
        </w:trPr>
        <w:tc>
          <w:tcPr>
            <w:tcW w:w="4140" w:type="dxa"/>
            <w:vAlign w:val="bottom"/>
            <w:gridSpan w:val="6"/>
          </w:tcPr>
          <w:p>
            <w:pPr>
              <w:spacing w:after="0"/>
              <w:rPr>
                <w:rFonts w:ascii="Arial" w:cs="Arial" w:eastAsia="Arial" w:hAnsi="Arial"/>
                <w:sz w:val="14"/>
                <w:szCs w:val="14"/>
                <w:color w:val="0000FF"/>
              </w:rPr>
            </w:pPr>
            <w:hyperlink w:anchor="page95">
              <w:r>
                <w:rPr>
                  <w:rFonts w:ascii="Arial" w:cs="Arial" w:eastAsia="Arial" w:hAnsi="Arial"/>
                  <w:sz w:val="14"/>
                  <w:szCs w:val="14"/>
                  <w:color w:val="0000FF"/>
                </w:rPr>
                <w:t>Description of Registrant’s securities</w:t>
              </w:r>
            </w:hyperlink>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ectPr>
          <w:pgSz w:w="11900" w:h="16901" w:orient="portrait"/>
          <w:cols w:equalWidth="0" w:num="2">
            <w:col w:w="660" w:space="540"/>
            <w:col w:w="10120"/>
          </w:cols>
          <w:pgMar w:left="240" w:top="141" w:right="339" w:bottom="0" w:gutter="0" w:footer="0" w:header="0"/>
          <w:type w:val="continuous"/>
        </w:sect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w:t>
      </w: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10.2*</w:t>
      </w: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10.3*</w:t>
      </w:r>
    </w:p>
    <w:p>
      <w:pPr>
        <w:spacing w:after="0" w:line="200" w:lineRule="exact"/>
        <w:rPr>
          <w:sz w:val="20"/>
          <w:szCs w:val="20"/>
          <w:color w:val="auto"/>
        </w:rPr>
      </w:pPr>
    </w:p>
    <w:p>
      <w:pPr>
        <w:spacing w:after="0" w:line="28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10.4*</w:t>
      </w:r>
    </w:p>
    <w:p>
      <w:pPr>
        <w:spacing w:after="0" w:line="200" w:lineRule="exact"/>
        <w:rPr>
          <w:sz w:val="20"/>
          <w:szCs w:val="20"/>
          <w:color w:val="auto"/>
        </w:rPr>
      </w:pPr>
    </w:p>
    <w:p>
      <w:pPr>
        <w:spacing w:after="0" w:line="28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10.5*</w:t>
      </w:r>
    </w:p>
    <w:p>
      <w:pPr>
        <w:spacing w:after="0" w:line="200" w:lineRule="exact"/>
        <w:rPr>
          <w:sz w:val="20"/>
          <w:szCs w:val="20"/>
          <w:color w:val="auto"/>
        </w:rPr>
      </w:pPr>
    </w:p>
    <w:p>
      <w:pPr>
        <w:spacing w:after="0" w:line="28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10.6*</w:t>
      </w:r>
    </w:p>
    <w:p>
      <w:pPr>
        <w:spacing w:after="0" w:line="200" w:lineRule="exact"/>
        <w:rPr>
          <w:sz w:val="20"/>
          <w:szCs w:val="20"/>
          <w:color w:val="auto"/>
        </w:rPr>
      </w:pPr>
    </w:p>
    <w:p>
      <w:pPr>
        <w:spacing w:after="0" w:line="20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10.7*</w:t>
      </w:r>
    </w:p>
    <w:p>
      <w:pPr>
        <w:spacing w:after="0" w:line="200" w:lineRule="exact"/>
        <w:rPr>
          <w:sz w:val="20"/>
          <w:szCs w:val="20"/>
          <w:color w:val="auto"/>
        </w:rPr>
      </w:pPr>
    </w:p>
    <w:p>
      <w:pPr>
        <w:spacing w:after="0" w:line="36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10.8</w:t>
      </w:r>
    </w:p>
    <w:p>
      <w:pPr>
        <w:spacing w:after="0" w:line="200" w:lineRule="exact"/>
        <w:rPr>
          <w:sz w:val="20"/>
          <w:szCs w:val="20"/>
          <w:color w:val="auto"/>
        </w:rPr>
      </w:pPr>
    </w:p>
    <w:p>
      <w:pPr>
        <w:spacing w:after="0" w:line="28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500"/>
        <w:spacing w:after="0" w:line="258" w:lineRule="auto"/>
        <w:rPr>
          <w:rFonts w:ascii="Arial" w:cs="Arial" w:eastAsia="Arial" w:hAnsi="Arial"/>
          <w:sz w:val="14"/>
          <w:szCs w:val="14"/>
          <w:u w:val="single" w:color="auto"/>
          <w:color w:val="0000FF"/>
        </w:rPr>
      </w:pPr>
      <w:hyperlink r:id="rId20">
        <w:r>
          <w:rPr>
            <w:rFonts w:ascii="Arial" w:cs="Arial" w:eastAsia="Arial" w:hAnsi="Arial"/>
            <w:sz w:val="14"/>
            <w:szCs w:val="14"/>
            <w:u w:val="single" w:color="auto"/>
            <w:color w:val="0000FF"/>
          </w:rPr>
          <w:t>2000 Equity Incentive Plan, as amended, and the form of stock</w:t>
        </w:r>
      </w:hyperlink>
      <w:r>
        <w:rPr>
          <w:rFonts w:ascii="Arial" w:cs="Arial" w:eastAsia="Arial" w:hAnsi="Arial"/>
          <w:sz w:val="14"/>
          <w:szCs w:val="14"/>
          <w:u w:val="single" w:color="auto"/>
          <w:color w:val="0000FF"/>
        </w:rPr>
        <w:t xml:space="preserve"> </w:t>
      </w:r>
      <w:hyperlink r:id="rId20">
        <w:r>
          <w:rPr>
            <w:rFonts w:ascii="Arial" w:cs="Arial" w:eastAsia="Arial" w:hAnsi="Arial"/>
            <w:sz w:val="14"/>
            <w:szCs w:val="14"/>
            <w:u w:val="single" w:color="auto"/>
            <w:color w:val="0000FF"/>
          </w:rPr>
          <w:t>option agreement thereunder.</w:t>
        </w:r>
      </w:hyperlink>
    </w:p>
    <w:p>
      <w:pPr>
        <w:spacing w:after="0" w:line="329" w:lineRule="exact"/>
        <w:rPr>
          <w:sz w:val="20"/>
          <w:szCs w:val="20"/>
          <w:color w:val="auto"/>
        </w:rPr>
      </w:pPr>
    </w:p>
    <w:p>
      <w:pPr>
        <w:spacing w:after="0"/>
        <w:rPr>
          <w:rFonts w:ascii="Arial" w:cs="Arial" w:eastAsia="Arial" w:hAnsi="Arial"/>
          <w:sz w:val="14"/>
          <w:szCs w:val="14"/>
          <w:u w:val="single" w:color="auto"/>
          <w:color w:val="0000FF"/>
        </w:rPr>
      </w:pPr>
      <w:hyperlink r:id="rId21">
        <w:r>
          <w:rPr>
            <w:rFonts w:ascii="Arial" w:cs="Arial" w:eastAsia="Arial" w:hAnsi="Arial"/>
            <w:sz w:val="14"/>
            <w:szCs w:val="14"/>
            <w:u w:val="single" w:color="auto"/>
            <w:color w:val="0000FF"/>
          </w:rPr>
          <w:t>2012 Equity Incentive Plan and forms of agreements thereunder.</w:t>
        </w:r>
      </w:hyperlink>
    </w:p>
    <w:p>
      <w:pPr>
        <w:spacing w:after="0" w:line="352" w:lineRule="exact"/>
        <w:rPr>
          <w:sz w:val="20"/>
          <w:szCs w:val="20"/>
          <w:color w:val="auto"/>
        </w:rPr>
      </w:pPr>
    </w:p>
    <w:p>
      <w:pPr>
        <w:ind w:right="420"/>
        <w:spacing w:after="0" w:line="258" w:lineRule="auto"/>
        <w:rPr>
          <w:rFonts w:ascii="Arial" w:cs="Arial" w:eastAsia="Arial" w:hAnsi="Arial"/>
          <w:sz w:val="14"/>
          <w:szCs w:val="14"/>
          <w:u w:val="single" w:color="auto"/>
          <w:color w:val="0000FF"/>
        </w:rPr>
      </w:pPr>
      <w:hyperlink r:id="rId22">
        <w:r>
          <w:rPr>
            <w:rFonts w:ascii="Arial" w:cs="Arial" w:eastAsia="Arial" w:hAnsi="Arial"/>
            <w:sz w:val="14"/>
            <w:szCs w:val="14"/>
            <w:u w:val="single" w:color="auto"/>
            <w:color w:val="0000FF"/>
          </w:rPr>
          <w:t>Offer Letter, between Qualys, Inc. and Philippe F. Courtot, dated</w:t>
        </w:r>
      </w:hyperlink>
      <w:r>
        <w:rPr>
          <w:rFonts w:ascii="Arial" w:cs="Arial" w:eastAsia="Arial" w:hAnsi="Arial"/>
          <w:sz w:val="14"/>
          <w:szCs w:val="14"/>
          <w:u w:val="single" w:color="auto"/>
          <w:color w:val="0000FF"/>
        </w:rPr>
        <w:t xml:space="preserve"> </w:t>
      </w:r>
      <w:hyperlink r:id="rId22">
        <w:r>
          <w:rPr>
            <w:rFonts w:ascii="Arial" w:cs="Arial" w:eastAsia="Arial" w:hAnsi="Arial"/>
            <w:sz w:val="14"/>
            <w:szCs w:val="14"/>
            <w:u w:val="single" w:color="auto"/>
            <w:color w:val="0000FF"/>
          </w:rPr>
          <w:t>December 7, 2000.</w:t>
        </w:r>
      </w:hyperlink>
    </w:p>
    <w:p>
      <w:pPr>
        <w:spacing w:after="0" w:line="302" w:lineRule="exact"/>
        <w:rPr>
          <w:sz w:val="20"/>
          <w:szCs w:val="20"/>
          <w:color w:val="auto"/>
        </w:rPr>
      </w:pPr>
    </w:p>
    <w:p>
      <w:pPr>
        <w:ind w:right="420"/>
        <w:spacing w:after="0" w:line="258" w:lineRule="auto"/>
        <w:rPr>
          <w:rFonts w:ascii="Arial" w:cs="Arial" w:eastAsia="Arial" w:hAnsi="Arial"/>
          <w:sz w:val="14"/>
          <w:szCs w:val="14"/>
          <w:u w:val="single" w:color="auto"/>
          <w:color w:val="0000FF"/>
        </w:rPr>
      </w:pPr>
      <w:hyperlink r:id="rId23">
        <w:r>
          <w:rPr>
            <w:rFonts w:ascii="Arial" w:cs="Arial" w:eastAsia="Arial" w:hAnsi="Arial"/>
            <w:sz w:val="14"/>
            <w:szCs w:val="14"/>
            <w:u w:val="single" w:color="auto"/>
            <w:color w:val="0000FF"/>
          </w:rPr>
          <w:t>Offer Letter, between Qualys, Inc. and Sumedh S. Thakar, dated</w:t>
        </w:r>
      </w:hyperlink>
      <w:r>
        <w:rPr>
          <w:rFonts w:ascii="Arial" w:cs="Arial" w:eastAsia="Arial" w:hAnsi="Arial"/>
          <w:sz w:val="14"/>
          <w:szCs w:val="14"/>
          <w:u w:val="single" w:color="auto"/>
          <w:color w:val="0000FF"/>
        </w:rPr>
        <w:t xml:space="preserve"> </w:t>
      </w:r>
      <w:hyperlink r:id="rId23">
        <w:r>
          <w:rPr>
            <w:rFonts w:ascii="Arial" w:cs="Arial" w:eastAsia="Arial" w:hAnsi="Arial"/>
            <w:sz w:val="14"/>
            <w:szCs w:val="14"/>
            <w:u w:val="single" w:color="auto"/>
            <w:color w:val="0000FF"/>
          </w:rPr>
          <w:t>January 20, 2003.</w:t>
        </w:r>
      </w:hyperlink>
    </w:p>
    <w:p>
      <w:pPr>
        <w:spacing w:after="0" w:line="302" w:lineRule="exact"/>
        <w:rPr>
          <w:sz w:val="20"/>
          <w:szCs w:val="20"/>
          <w:color w:val="auto"/>
        </w:rPr>
      </w:pPr>
    </w:p>
    <w:p>
      <w:pPr>
        <w:ind w:right="500"/>
        <w:spacing w:after="0" w:line="258" w:lineRule="auto"/>
        <w:rPr>
          <w:rFonts w:ascii="Arial" w:cs="Arial" w:eastAsia="Arial" w:hAnsi="Arial"/>
          <w:sz w:val="14"/>
          <w:szCs w:val="14"/>
          <w:color w:val="0000FF"/>
        </w:rPr>
      </w:pPr>
      <w:hyperlink r:id="rId24">
        <w:r>
          <w:rPr>
            <w:rFonts w:ascii="Arial" w:cs="Arial" w:eastAsia="Arial" w:hAnsi="Arial"/>
            <w:sz w:val="14"/>
            <w:szCs w:val="14"/>
            <w:u w:val="single" w:color="auto"/>
            <w:color w:val="0000FF"/>
          </w:rPr>
          <w:t>Offer Letter, between Qualys, Inc. and Melissa B. Fisher, dated</w:t>
        </w:r>
      </w:hyperlink>
      <w:r>
        <w:rPr>
          <w:rFonts w:ascii="Arial" w:cs="Arial" w:eastAsia="Arial" w:hAnsi="Arial"/>
          <w:sz w:val="14"/>
          <w:szCs w:val="14"/>
          <w:u w:val="single" w:color="auto"/>
          <w:color w:val="0000FF"/>
        </w:rPr>
        <w:t xml:space="preserve"> </w:t>
      </w:r>
      <w:hyperlink r:id="rId24">
        <w:r>
          <w:rPr>
            <w:rFonts w:ascii="Arial" w:cs="Arial" w:eastAsia="Arial" w:hAnsi="Arial"/>
            <w:sz w:val="14"/>
            <w:szCs w:val="14"/>
            <w:u w:val="single" w:color="auto"/>
            <w:color w:val="0000FF"/>
          </w:rPr>
          <w:t>April 15, 2016</w:t>
        </w:r>
        <w:r>
          <w:rPr>
            <w:rFonts w:ascii="Arial" w:cs="Arial" w:eastAsia="Arial" w:hAnsi="Arial"/>
            <w:sz w:val="14"/>
            <w:szCs w:val="14"/>
            <w:color w:val="000000"/>
          </w:rPr>
          <w:t>.</w:t>
        </w:r>
      </w:hyperlink>
    </w:p>
    <w:p>
      <w:pPr>
        <w:spacing w:after="0" w:line="302" w:lineRule="exact"/>
        <w:rPr>
          <w:sz w:val="20"/>
          <w:szCs w:val="20"/>
          <w:color w:val="auto"/>
        </w:rPr>
      </w:pPr>
    </w:p>
    <w:p>
      <w:pPr>
        <w:ind w:right="620"/>
        <w:spacing w:after="0" w:line="258" w:lineRule="auto"/>
        <w:rPr>
          <w:rFonts w:ascii="Arial" w:cs="Arial" w:eastAsia="Arial" w:hAnsi="Arial"/>
          <w:sz w:val="14"/>
          <w:szCs w:val="14"/>
          <w:u w:val="single" w:color="auto"/>
          <w:color w:val="0000FF"/>
        </w:rPr>
      </w:pPr>
      <w:hyperlink r:id="rId25">
        <w:r>
          <w:rPr>
            <w:rFonts w:ascii="Arial" w:cs="Arial" w:eastAsia="Arial" w:hAnsi="Arial"/>
            <w:sz w:val="14"/>
            <w:szCs w:val="14"/>
            <w:u w:val="single" w:color="auto"/>
            <w:color w:val="0000FF"/>
          </w:rPr>
          <w:t>Offer Letter, between Qualys, Inc. and Bruce K. Posey, dated</w:t>
        </w:r>
      </w:hyperlink>
      <w:r>
        <w:rPr>
          <w:rFonts w:ascii="Arial" w:cs="Arial" w:eastAsia="Arial" w:hAnsi="Arial"/>
          <w:sz w:val="14"/>
          <w:szCs w:val="14"/>
          <w:u w:val="single" w:color="auto"/>
          <w:color w:val="0000FF"/>
        </w:rPr>
        <w:t xml:space="preserve"> </w:t>
      </w:r>
      <w:hyperlink r:id="rId25">
        <w:r>
          <w:rPr>
            <w:rFonts w:ascii="Arial" w:cs="Arial" w:eastAsia="Arial" w:hAnsi="Arial"/>
            <w:sz w:val="14"/>
            <w:szCs w:val="14"/>
            <w:u w:val="single" w:color="auto"/>
            <w:color w:val="0000FF"/>
          </w:rPr>
          <w:t>May 8, 2012.</w:t>
        </w:r>
      </w:hyperlink>
    </w:p>
    <w:p>
      <w:pPr>
        <w:spacing w:after="0" w:line="383" w:lineRule="exact"/>
        <w:rPr>
          <w:sz w:val="20"/>
          <w:szCs w:val="20"/>
          <w:color w:val="auto"/>
        </w:rPr>
      </w:pPr>
    </w:p>
    <w:p>
      <w:pPr>
        <w:spacing w:after="0"/>
        <w:rPr>
          <w:rFonts w:ascii="Arial" w:cs="Arial" w:eastAsia="Arial" w:hAnsi="Arial"/>
          <w:sz w:val="14"/>
          <w:szCs w:val="14"/>
          <w:u w:val="single" w:color="auto"/>
          <w:color w:val="0000FF"/>
        </w:rPr>
      </w:pPr>
      <w:hyperlink r:id="rId26">
        <w:r>
          <w:rPr>
            <w:rFonts w:ascii="Arial" w:cs="Arial" w:eastAsia="Arial" w:hAnsi="Arial"/>
            <w:sz w:val="14"/>
            <w:szCs w:val="14"/>
            <w:u w:val="single" w:color="auto"/>
            <w:color w:val="0000FF"/>
          </w:rPr>
          <w:t>Form of director and executive officer indemnification agreement.</w:t>
        </w:r>
      </w:hyperlink>
    </w:p>
    <w:p>
      <w:pPr>
        <w:spacing w:after="0" w:line="200" w:lineRule="exact"/>
        <w:rPr>
          <w:sz w:val="20"/>
          <w:szCs w:val="20"/>
          <w:color w:val="auto"/>
        </w:rPr>
      </w:pPr>
    </w:p>
    <w:p>
      <w:pPr>
        <w:spacing w:after="0" w:line="206" w:lineRule="exact"/>
        <w:rPr>
          <w:sz w:val="20"/>
          <w:szCs w:val="20"/>
          <w:color w:val="auto"/>
        </w:rPr>
      </w:pPr>
    </w:p>
    <w:p>
      <w:pPr>
        <w:ind w:right="720"/>
        <w:spacing w:after="0" w:line="258" w:lineRule="auto"/>
        <w:rPr>
          <w:rFonts w:ascii="Arial" w:cs="Arial" w:eastAsia="Arial" w:hAnsi="Arial"/>
          <w:sz w:val="14"/>
          <w:szCs w:val="14"/>
          <w:u w:val="single" w:color="auto"/>
          <w:color w:val="0000FF"/>
        </w:rPr>
      </w:pPr>
      <w:hyperlink r:id="rId27">
        <w:r>
          <w:rPr>
            <w:rFonts w:ascii="Arial" w:cs="Arial" w:eastAsia="Arial" w:hAnsi="Arial"/>
            <w:sz w:val="14"/>
            <w:szCs w:val="14"/>
            <w:u w:val="single" w:color="auto"/>
            <w:color w:val="0000FF"/>
          </w:rPr>
          <w:t>Lease Agreement, between Qualys, Inc. and Hudson Metro</w:t>
        </w:r>
      </w:hyperlink>
      <w:r>
        <w:rPr>
          <w:rFonts w:ascii="Arial" w:cs="Arial" w:eastAsia="Arial" w:hAnsi="Arial"/>
          <w:sz w:val="14"/>
          <w:szCs w:val="14"/>
          <w:u w:val="single" w:color="auto"/>
          <w:color w:val="0000FF"/>
        </w:rPr>
        <w:t xml:space="preserve"> </w:t>
      </w:r>
      <w:hyperlink r:id="rId27">
        <w:r>
          <w:rPr>
            <w:rFonts w:ascii="Arial" w:cs="Arial" w:eastAsia="Arial" w:hAnsi="Arial"/>
            <w:sz w:val="14"/>
            <w:szCs w:val="14"/>
            <w:u w:val="single" w:color="auto"/>
            <w:color w:val="0000FF"/>
          </w:rPr>
          <w:t>Center, LLC, dated October 14, 2016.</w:t>
        </w:r>
      </w:hyperlink>
    </w:p>
    <w:p>
      <w:pPr>
        <w:spacing w:after="0" w:line="383" w:lineRule="exact"/>
        <w:rPr>
          <w:sz w:val="20"/>
          <w:szCs w:val="20"/>
          <w:color w:val="auto"/>
        </w:rPr>
      </w:pPr>
    </w:p>
    <w:p>
      <w:pPr>
        <w:spacing w:after="0"/>
        <w:rPr>
          <w:rFonts w:ascii="Arial" w:cs="Arial" w:eastAsia="Arial" w:hAnsi="Arial"/>
          <w:sz w:val="14"/>
          <w:szCs w:val="14"/>
          <w:u w:val="single" w:color="auto"/>
          <w:color w:val="0000FF"/>
        </w:rPr>
      </w:pPr>
      <w:hyperlink r:id="rId28">
        <w:r>
          <w:rPr>
            <w:rFonts w:ascii="Arial" w:cs="Arial" w:eastAsia="Arial" w:hAnsi="Arial"/>
            <w:sz w:val="14"/>
            <w:szCs w:val="14"/>
            <w:u w:val="single" w:color="auto"/>
            <w:color w:val="0000FF"/>
          </w:rPr>
          <w:t>Qualys, Inc. Executive Performance Bonus Plan.</w:t>
        </w:r>
      </w:hyperlink>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100" w:type="dxa"/>
            <w:vAlign w:val="bottom"/>
          </w:tcPr>
          <w:p>
            <w:pPr>
              <w:jc w:val="center"/>
              <w:ind w:right="88"/>
              <w:spacing w:after="0"/>
              <w:rPr>
                <w:sz w:val="20"/>
                <w:szCs w:val="20"/>
                <w:color w:val="auto"/>
              </w:rPr>
            </w:pPr>
            <w:r>
              <w:rPr>
                <w:rFonts w:ascii="Arial" w:cs="Arial" w:eastAsia="Arial" w:hAnsi="Arial"/>
                <w:sz w:val="14"/>
                <w:szCs w:val="14"/>
                <w:color w:val="auto"/>
              </w:rPr>
              <w:t>S-1</w:t>
            </w:r>
          </w:p>
        </w:tc>
        <w:tc>
          <w:tcPr>
            <w:tcW w:w="1160" w:type="dxa"/>
            <w:vAlign w:val="bottom"/>
          </w:tcPr>
          <w:p>
            <w:pPr>
              <w:jc w:val="center"/>
              <w:spacing w:after="0"/>
              <w:rPr>
                <w:sz w:val="20"/>
                <w:szCs w:val="20"/>
                <w:color w:val="auto"/>
              </w:rPr>
            </w:pPr>
            <w:r>
              <w:rPr>
                <w:rFonts w:ascii="Arial" w:cs="Arial" w:eastAsia="Arial" w:hAnsi="Arial"/>
                <w:sz w:val="14"/>
                <w:szCs w:val="14"/>
                <w:color w:val="auto"/>
              </w:rPr>
              <w:t>333-182027</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1560" w:type="dxa"/>
            <w:vAlign w:val="bottom"/>
          </w:tcPr>
          <w:p>
            <w:pPr>
              <w:jc w:val="center"/>
              <w:ind w:left="20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594"/>
        </w:trPr>
        <w:tc>
          <w:tcPr>
            <w:tcW w:w="1100" w:type="dxa"/>
            <w:vAlign w:val="bottom"/>
          </w:tcPr>
          <w:p>
            <w:pPr>
              <w:jc w:val="center"/>
              <w:ind w:right="108"/>
              <w:spacing w:after="0"/>
              <w:rPr>
                <w:sz w:val="20"/>
                <w:szCs w:val="20"/>
                <w:color w:val="auto"/>
              </w:rPr>
            </w:pPr>
            <w:r>
              <w:rPr>
                <w:rFonts w:ascii="Arial" w:cs="Arial" w:eastAsia="Arial" w:hAnsi="Arial"/>
                <w:sz w:val="14"/>
                <w:szCs w:val="14"/>
                <w:color w:val="auto"/>
              </w:rPr>
              <w:t>S-1/A</w:t>
            </w:r>
          </w:p>
        </w:tc>
        <w:tc>
          <w:tcPr>
            <w:tcW w:w="1160" w:type="dxa"/>
            <w:vAlign w:val="bottom"/>
          </w:tcPr>
          <w:p>
            <w:pPr>
              <w:jc w:val="center"/>
              <w:spacing w:after="0"/>
              <w:rPr>
                <w:sz w:val="20"/>
                <w:szCs w:val="20"/>
                <w:color w:val="auto"/>
              </w:rPr>
            </w:pPr>
            <w:r>
              <w:rPr>
                <w:rFonts w:ascii="Arial" w:cs="Arial" w:eastAsia="Arial" w:hAnsi="Arial"/>
                <w:sz w:val="14"/>
                <w:szCs w:val="14"/>
                <w:color w:val="auto"/>
              </w:rPr>
              <w:t>333-182027</w:t>
            </w:r>
          </w:p>
        </w:tc>
        <w:tc>
          <w:tcPr>
            <w:tcW w:w="860" w:type="dxa"/>
            <w:vAlign w:val="bottom"/>
          </w:tcPr>
          <w:p>
            <w:pPr>
              <w:jc w:val="center"/>
              <w:spacing w:after="0"/>
              <w:rPr>
                <w:sz w:val="20"/>
                <w:szCs w:val="20"/>
                <w:color w:val="auto"/>
              </w:rPr>
            </w:pPr>
            <w:r>
              <w:rPr>
                <w:rFonts w:ascii="Arial" w:cs="Arial" w:eastAsia="Arial" w:hAnsi="Arial"/>
                <w:sz w:val="14"/>
                <w:szCs w:val="14"/>
                <w:color w:val="auto"/>
              </w:rPr>
              <w:t>10.2</w:t>
            </w:r>
          </w:p>
        </w:tc>
        <w:tc>
          <w:tcPr>
            <w:tcW w:w="1560" w:type="dxa"/>
            <w:vAlign w:val="bottom"/>
          </w:tcPr>
          <w:p>
            <w:pPr>
              <w:jc w:val="center"/>
              <w:ind w:left="188"/>
              <w:spacing w:after="0"/>
              <w:rPr>
                <w:sz w:val="20"/>
                <w:szCs w:val="20"/>
                <w:color w:val="auto"/>
              </w:rPr>
            </w:pPr>
            <w:r>
              <w:rPr>
                <w:rFonts w:ascii="Arial" w:cs="Arial" w:eastAsia="Arial" w:hAnsi="Arial"/>
                <w:sz w:val="14"/>
                <w:szCs w:val="14"/>
                <w:color w:val="auto"/>
              </w:rPr>
              <w:t>September 12, 2012</w:t>
            </w:r>
          </w:p>
        </w:tc>
        <w:tc>
          <w:tcPr>
            <w:tcW w:w="0" w:type="dxa"/>
            <w:vAlign w:val="bottom"/>
          </w:tcPr>
          <w:p>
            <w:pPr>
              <w:spacing w:after="0"/>
              <w:rPr>
                <w:sz w:val="1"/>
                <w:szCs w:val="1"/>
                <w:color w:val="auto"/>
              </w:rPr>
            </w:pPr>
          </w:p>
        </w:tc>
      </w:tr>
      <w:tr>
        <w:trPr>
          <w:trHeight w:val="594"/>
        </w:trPr>
        <w:tc>
          <w:tcPr>
            <w:tcW w:w="1100" w:type="dxa"/>
            <w:vAlign w:val="bottom"/>
          </w:tcPr>
          <w:p>
            <w:pPr>
              <w:jc w:val="center"/>
              <w:ind w:right="88"/>
              <w:spacing w:after="0"/>
              <w:rPr>
                <w:sz w:val="20"/>
                <w:szCs w:val="20"/>
                <w:color w:val="auto"/>
              </w:rPr>
            </w:pPr>
            <w:r>
              <w:rPr>
                <w:rFonts w:ascii="Arial" w:cs="Arial" w:eastAsia="Arial" w:hAnsi="Arial"/>
                <w:sz w:val="14"/>
                <w:szCs w:val="14"/>
                <w:color w:val="auto"/>
              </w:rPr>
              <w:t>S-1</w:t>
            </w:r>
          </w:p>
        </w:tc>
        <w:tc>
          <w:tcPr>
            <w:tcW w:w="1160" w:type="dxa"/>
            <w:vAlign w:val="bottom"/>
          </w:tcPr>
          <w:p>
            <w:pPr>
              <w:jc w:val="center"/>
              <w:spacing w:after="0"/>
              <w:rPr>
                <w:sz w:val="20"/>
                <w:szCs w:val="20"/>
                <w:color w:val="auto"/>
              </w:rPr>
            </w:pPr>
            <w:r>
              <w:rPr>
                <w:rFonts w:ascii="Arial" w:cs="Arial" w:eastAsia="Arial" w:hAnsi="Arial"/>
                <w:sz w:val="14"/>
                <w:szCs w:val="14"/>
                <w:color w:val="auto"/>
              </w:rPr>
              <w:t>333-182027</w:t>
            </w:r>
          </w:p>
        </w:tc>
        <w:tc>
          <w:tcPr>
            <w:tcW w:w="860" w:type="dxa"/>
            <w:vAlign w:val="bottom"/>
          </w:tcPr>
          <w:p>
            <w:pPr>
              <w:jc w:val="center"/>
              <w:spacing w:after="0"/>
              <w:rPr>
                <w:sz w:val="20"/>
                <w:szCs w:val="20"/>
                <w:color w:val="auto"/>
              </w:rPr>
            </w:pPr>
            <w:r>
              <w:rPr>
                <w:rFonts w:ascii="Arial" w:cs="Arial" w:eastAsia="Arial" w:hAnsi="Arial"/>
                <w:sz w:val="14"/>
                <w:szCs w:val="14"/>
                <w:color w:val="auto"/>
              </w:rPr>
              <w:t>10.3</w:t>
            </w:r>
          </w:p>
        </w:tc>
        <w:tc>
          <w:tcPr>
            <w:tcW w:w="1560" w:type="dxa"/>
            <w:vAlign w:val="bottom"/>
          </w:tcPr>
          <w:p>
            <w:pPr>
              <w:jc w:val="center"/>
              <w:ind w:left="20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648"/>
        </w:trPr>
        <w:tc>
          <w:tcPr>
            <w:tcW w:w="1100" w:type="dxa"/>
            <w:vAlign w:val="bottom"/>
          </w:tcPr>
          <w:p>
            <w:pPr>
              <w:jc w:val="center"/>
              <w:ind w:right="88"/>
              <w:spacing w:after="0"/>
              <w:rPr>
                <w:sz w:val="20"/>
                <w:szCs w:val="20"/>
                <w:color w:val="auto"/>
              </w:rPr>
            </w:pPr>
            <w:r>
              <w:rPr>
                <w:rFonts w:ascii="Arial" w:cs="Arial" w:eastAsia="Arial" w:hAnsi="Arial"/>
                <w:sz w:val="14"/>
                <w:szCs w:val="14"/>
                <w:color w:val="auto"/>
              </w:rPr>
              <w:t>S-1</w:t>
            </w:r>
          </w:p>
        </w:tc>
        <w:tc>
          <w:tcPr>
            <w:tcW w:w="1160" w:type="dxa"/>
            <w:vAlign w:val="bottom"/>
          </w:tcPr>
          <w:p>
            <w:pPr>
              <w:jc w:val="center"/>
              <w:spacing w:after="0"/>
              <w:rPr>
                <w:sz w:val="20"/>
                <w:szCs w:val="20"/>
                <w:color w:val="auto"/>
              </w:rPr>
            </w:pPr>
            <w:r>
              <w:rPr>
                <w:rFonts w:ascii="Arial" w:cs="Arial" w:eastAsia="Arial" w:hAnsi="Arial"/>
                <w:sz w:val="14"/>
                <w:szCs w:val="14"/>
                <w:color w:val="auto"/>
              </w:rPr>
              <w:t>333-182027</w:t>
            </w:r>
          </w:p>
        </w:tc>
        <w:tc>
          <w:tcPr>
            <w:tcW w:w="860" w:type="dxa"/>
            <w:vAlign w:val="bottom"/>
          </w:tcPr>
          <w:p>
            <w:pPr>
              <w:jc w:val="center"/>
              <w:spacing w:after="0"/>
              <w:rPr>
                <w:sz w:val="20"/>
                <w:szCs w:val="20"/>
                <w:color w:val="auto"/>
              </w:rPr>
            </w:pPr>
            <w:r>
              <w:rPr>
                <w:rFonts w:ascii="Arial" w:cs="Arial" w:eastAsia="Arial" w:hAnsi="Arial"/>
                <w:sz w:val="14"/>
                <w:szCs w:val="14"/>
                <w:color w:val="auto"/>
              </w:rPr>
              <w:t>10.5</w:t>
            </w:r>
          </w:p>
        </w:tc>
        <w:tc>
          <w:tcPr>
            <w:tcW w:w="1560" w:type="dxa"/>
            <w:vAlign w:val="bottom"/>
          </w:tcPr>
          <w:p>
            <w:pPr>
              <w:jc w:val="center"/>
              <w:ind w:left="20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648"/>
        </w:trPr>
        <w:tc>
          <w:tcPr>
            <w:tcW w:w="1100" w:type="dxa"/>
            <w:vAlign w:val="bottom"/>
          </w:tcPr>
          <w:p>
            <w:pPr>
              <w:jc w:val="center"/>
              <w:ind w:right="8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001-35662</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1560" w:type="dxa"/>
            <w:vAlign w:val="bottom"/>
          </w:tcPr>
          <w:p>
            <w:pPr>
              <w:jc w:val="center"/>
              <w:ind w:left="208"/>
              <w:spacing w:after="0"/>
              <w:rPr>
                <w:sz w:val="20"/>
                <w:szCs w:val="20"/>
                <w:color w:val="auto"/>
              </w:rPr>
            </w:pPr>
            <w:r>
              <w:rPr>
                <w:rFonts w:ascii="Arial" w:cs="Arial" w:eastAsia="Arial" w:hAnsi="Arial"/>
                <w:sz w:val="14"/>
                <w:szCs w:val="14"/>
                <w:color w:val="auto"/>
              </w:rPr>
              <w:t>May 2, 2016</w:t>
            </w:r>
          </w:p>
        </w:tc>
        <w:tc>
          <w:tcPr>
            <w:tcW w:w="0" w:type="dxa"/>
            <w:vAlign w:val="bottom"/>
          </w:tcPr>
          <w:p>
            <w:pPr>
              <w:spacing w:after="0"/>
              <w:rPr>
                <w:sz w:val="1"/>
                <w:szCs w:val="1"/>
                <w:color w:val="auto"/>
              </w:rPr>
            </w:pPr>
          </w:p>
        </w:tc>
      </w:tr>
      <w:tr>
        <w:trPr>
          <w:trHeight w:val="648"/>
        </w:trPr>
        <w:tc>
          <w:tcPr>
            <w:tcW w:w="1100" w:type="dxa"/>
            <w:vAlign w:val="bottom"/>
          </w:tcPr>
          <w:p>
            <w:pPr>
              <w:jc w:val="center"/>
              <w:ind w:right="88"/>
              <w:spacing w:after="0"/>
              <w:rPr>
                <w:sz w:val="20"/>
                <w:szCs w:val="20"/>
                <w:color w:val="auto"/>
              </w:rPr>
            </w:pPr>
            <w:r>
              <w:rPr>
                <w:rFonts w:ascii="Arial" w:cs="Arial" w:eastAsia="Arial" w:hAnsi="Arial"/>
                <w:sz w:val="14"/>
                <w:szCs w:val="14"/>
                <w:color w:val="auto"/>
              </w:rPr>
              <w:t>S-1</w:t>
            </w:r>
          </w:p>
        </w:tc>
        <w:tc>
          <w:tcPr>
            <w:tcW w:w="1160" w:type="dxa"/>
            <w:vAlign w:val="bottom"/>
          </w:tcPr>
          <w:p>
            <w:pPr>
              <w:jc w:val="center"/>
              <w:spacing w:after="0"/>
              <w:rPr>
                <w:sz w:val="20"/>
                <w:szCs w:val="20"/>
                <w:color w:val="auto"/>
              </w:rPr>
            </w:pPr>
            <w:r>
              <w:rPr>
                <w:rFonts w:ascii="Arial" w:cs="Arial" w:eastAsia="Arial" w:hAnsi="Arial"/>
                <w:sz w:val="14"/>
                <w:szCs w:val="14"/>
                <w:color w:val="auto"/>
              </w:rPr>
              <w:t>333-182027</w:t>
            </w:r>
          </w:p>
        </w:tc>
        <w:tc>
          <w:tcPr>
            <w:tcW w:w="860" w:type="dxa"/>
            <w:vAlign w:val="bottom"/>
          </w:tcPr>
          <w:p>
            <w:pPr>
              <w:jc w:val="center"/>
              <w:spacing w:after="0"/>
              <w:rPr>
                <w:sz w:val="20"/>
                <w:szCs w:val="20"/>
                <w:color w:val="auto"/>
              </w:rPr>
            </w:pPr>
            <w:r>
              <w:rPr>
                <w:rFonts w:ascii="Arial" w:cs="Arial" w:eastAsia="Arial" w:hAnsi="Arial"/>
                <w:sz w:val="14"/>
                <w:szCs w:val="14"/>
                <w:color w:val="auto"/>
              </w:rPr>
              <w:t>10.9</w:t>
            </w:r>
          </w:p>
        </w:tc>
        <w:tc>
          <w:tcPr>
            <w:tcW w:w="1560" w:type="dxa"/>
            <w:vAlign w:val="bottom"/>
          </w:tcPr>
          <w:p>
            <w:pPr>
              <w:jc w:val="center"/>
              <w:ind w:left="20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567"/>
        </w:trPr>
        <w:tc>
          <w:tcPr>
            <w:tcW w:w="1100" w:type="dxa"/>
            <w:vAlign w:val="bottom"/>
          </w:tcPr>
          <w:p>
            <w:pPr>
              <w:jc w:val="center"/>
              <w:ind w:right="108"/>
              <w:spacing w:after="0"/>
              <w:rPr>
                <w:sz w:val="20"/>
                <w:szCs w:val="20"/>
                <w:color w:val="auto"/>
              </w:rPr>
            </w:pPr>
            <w:r>
              <w:rPr>
                <w:rFonts w:ascii="Arial" w:cs="Arial" w:eastAsia="Arial" w:hAnsi="Arial"/>
                <w:sz w:val="14"/>
                <w:szCs w:val="14"/>
                <w:color w:val="auto"/>
              </w:rPr>
              <w:t>S-1/A</w:t>
            </w:r>
          </w:p>
        </w:tc>
        <w:tc>
          <w:tcPr>
            <w:tcW w:w="1160" w:type="dxa"/>
            <w:vAlign w:val="bottom"/>
          </w:tcPr>
          <w:p>
            <w:pPr>
              <w:jc w:val="center"/>
              <w:spacing w:after="0"/>
              <w:rPr>
                <w:sz w:val="20"/>
                <w:szCs w:val="20"/>
                <w:color w:val="auto"/>
              </w:rPr>
            </w:pPr>
            <w:r>
              <w:rPr>
                <w:rFonts w:ascii="Arial" w:cs="Arial" w:eastAsia="Arial" w:hAnsi="Arial"/>
                <w:sz w:val="14"/>
                <w:szCs w:val="14"/>
                <w:color w:val="auto"/>
              </w:rPr>
              <w:t>333-182027</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10.10</w:t>
            </w:r>
          </w:p>
        </w:tc>
        <w:tc>
          <w:tcPr>
            <w:tcW w:w="1560" w:type="dxa"/>
            <w:vAlign w:val="bottom"/>
          </w:tcPr>
          <w:p>
            <w:pPr>
              <w:jc w:val="center"/>
              <w:ind w:left="208"/>
              <w:spacing w:after="0"/>
              <w:rPr>
                <w:sz w:val="20"/>
                <w:szCs w:val="20"/>
                <w:color w:val="auto"/>
              </w:rPr>
            </w:pPr>
            <w:r>
              <w:rPr>
                <w:rFonts w:ascii="Arial" w:cs="Arial" w:eastAsia="Arial" w:hAnsi="Arial"/>
                <w:sz w:val="14"/>
                <w:szCs w:val="14"/>
                <w:color w:val="auto"/>
              </w:rPr>
              <w:t>August 10, 2012</w:t>
            </w:r>
          </w:p>
        </w:tc>
        <w:tc>
          <w:tcPr>
            <w:tcW w:w="0" w:type="dxa"/>
            <w:vAlign w:val="bottom"/>
          </w:tcPr>
          <w:p>
            <w:pPr>
              <w:spacing w:after="0"/>
              <w:rPr>
                <w:sz w:val="1"/>
                <w:szCs w:val="1"/>
                <w:color w:val="auto"/>
              </w:rPr>
            </w:pPr>
          </w:p>
        </w:tc>
      </w:tr>
      <w:tr>
        <w:trPr>
          <w:trHeight w:val="81"/>
        </w:trPr>
        <w:tc>
          <w:tcPr>
            <w:tcW w:w="1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8"/>
        </w:trPr>
        <w:tc>
          <w:tcPr>
            <w:tcW w:w="1100" w:type="dxa"/>
            <w:vAlign w:val="bottom"/>
          </w:tcPr>
          <w:p>
            <w:pPr>
              <w:jc w:val="center"/>
              <w:ind w:right="8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001-35662</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1560" w:type="dxa"/>
            <w:vAlign w:val="bottom"/>
          </w:tcPr>
          <w:p>
            <w:pPr>
              <w:jc w:val="center"/>
              <w:ind w:left="208"/>
              <w:spacing w:after="0"/>
              <w:rPr>
                <w:sz w:val="20"/>
                <w:szCs w:val="20"/>
                <w:color w:val="auto"/>
              </w:rPr>
            </w:pPr>
            <w:r>
              <w:rPr>
                <w:rFonts w:ascii="Arial" w:cs="Arial" w:eastAsia="Arial" w:hAnsi="Arial"/>
                <w:sz w:val="14"/>
                <w:szCs w:val="14"/>
                <w:color w:val="auto"/>
              </w:rPr>
              <w:t>October 19, 2016</w:t>
            </w:r>
          </w:p>
        </w:tc>
        <w:tc>
          <w:tcPr>
            <w:tcW w:w="0" w:type="dxa"/>
            <w:vAlign w:val="bottom"/>
          </w:tcPr>
          <w:p>
            <w:pPr>
              <w:spacing w:after="0"/>
              <w:rPr>
                <w:sz w:val="1"/>
                <w:szCs w:val="1"/>
                <w:color w:val="auto"/>
              </w:rPr>
            </w:pPr>
          </w:p>
        </w:tc>
      </w:tr>
      <w:tr>
        <w:trPr>
          <w:trHeight w:val="557"/>
        </w:trPr>
        <w:tc>
          <w:tcPr>
            <w:tcW w:w="1100" w:type="dxa"/>
            <w:vAlign w:val="bottom"/>
          </w:tcPr>
          <w:p>
            <w:pPr>
              <w:jc w:val="center"/>
              <w:ind w:right="88"/>
              <w:spacing w:after="0"/>
              <w:rPr>
                <w:sz w:val="20"/>
                <w:szCs w:val="20"/>
                <w:color w:val="auto"/>
              </w:rPr>
            </w:pPr>
            <w:r>
              <w:rPr>
                <w:rFonts w:ascii="Arial" w:cs="Arial" w:eastAsia="Arial" w:hAnsi="Arial"/>
                <w:sz w:val="14"/>
                <w:szCs w:val="14"/>
                <w:color w:val="auto"/>
              </w:rPr>
              <w:t>Schedule 14A,</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rPr>
              <w:t>001-35662</w:t>
            </w:r>
          </w:p>
        </w:tc>
        <w:tc>
          <w:tcPr>
            <w:tcW w:w="860" w:type="dxa"/>
            <w:vAlign w:val="bottom"/>
            <w:vMerge w:val="restart"/>
          </w:tcPr>
          <w:p>
            <w:pPr>
              <w:ind w:left="300"/>
              <w:spacing w:after="0"/>
              <w:rPr>
                <w:sz w:val="20"/>
                <w:szCs w:val="20"/>
                <w:color w:val="auto"/>
              </w:rPr>
            </w:pPr>
            <w:r>
              <w:rPr>
                <w:rFonts w:ascii="Arial" w:cs="Arial" w:eastAsia="Arial" w:hAnsi="Arial"/>
                <w:sz w:val="14"/>
                <w:szCs w:val="14"/>
                <w:color w:val="auto"/>
              </w:rPr>
              <w:t>N/A</w:t>
            </w:r>
          </w:p>
        </w:tc>
        <w:tc>
          <w:tcPr>
            <w:tcW w:w="1560" w:type="dxa"/>
            <w:vAlign w:val="bottom"/>
            <w:vMerge w:val="restart"/>
          </w:tcPr>
          <w:p>
            <w:pPr>
              <w:jc w:val="center"/>
              <w:ind w:left="208"/>
              <w:spacing w:after="0"/>
              <w:rPr>
                <w:sz w:val="20"/>
                <w:szCs w:val="20"/>
                <w:color w:val="auto"/>
              </w:rPr>
            </w:pPr>
            <w:r>
              <w:rPr>
                <w:rFonts w:ascii="Arial" w:cs="Arial" w:eastAsia="Arial" w:hAnsi="Arial"/>
                <w:sz w:val="14"/>
                <w:szCs w:val="14"/>
                <w:color w:val="auto"/>
              </w:rPr>
              <w:t>April 25, 2016</w:t>
            </w:r>
          </w:p>
        </w:tc>
        <w:tc>
          <w:tcPr>
            <w:tcW w:w="0" w:type="dxa"/>
            <w:vAlign w:val="bottom"/>
          </w:tcPr>
          <w:p>
            <w:pPr>
              <w:spacing w:after="0"/>
              <w:rPr>
                <w:sz w:val="1"/>
                <w:szCs w:val="1"/>
                <w:color w:val="auto"/>
              </w:rPr>
            </w:pPr>
          </w:p>
        </w:tc>
      </w:tr>
      <w:tr>
        <w:trPr>
          <w:trHeight w:val="91"/>
        </w:trPr>
        <w:tc>
          <w:tcPr>
            <w:tcW w:w="1100" w:type="dxa"/>
            <w:vAlign w:val="bottom"/>
            <w:vMerge w:val="restart"/>
          </w:tcPr>
          <w:p>
            <w:pPr>
              <w:jc w:val="center"/>
              <w:ind w:right="88"/>
              <w:spacing w:after="0"/>
              <w:rPr>
                <w:sz w:val="20"/>
                <w:szCs w:val="20"/>
                <w:color w:val="auto"/>
              </w:rPr>
            </w:pPr>
            <w:r>
              <w:rPr>
                <w:rFonts w:ascii="Arial" w:cs="Arial" w:eastAsia="Arial" w:hAnsi="Arial"/>
                <w:sz w:val="14"/>
                <w:szCs w:val="14"/>
                <w:color w:val="auto"/>
              </w:rPr>
              <w:t>Appendix A</w:t>
            </w:r>
          </w:p>
        </w:tc>
        <w:tc>
          <w:tcPr>
            <w:tcW w:w="11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01" w:orient="portrait"/>
          <w:cols w:equalWidth="0" w:num="3">
            <w:col w:w="580" w:space="620"/>
            <w:col w:w="4500" w:space="720"/>
            <w:col w:w="4900"/>
          </w:cols>
          <w:pgMar w:left="240" w:top="141" w:right="339" w:bottom="0" w:gutter="0" w:footer="0" w:header="0"/>
          <w:type w:val="continuous"/>
        </w:sectPr>
      </w:pPr>
    </w:p>
    <w:p>
      <w:pPr>
        <w:spacing w:after="0" w:line="14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10.10*†</w:t>
      </w:r>
    </w:p>
    <w:p>
      <w:pPr>
        <w:spacing w:after="0" w:line="35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10.11</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tcPr>
          <w:p>
            <w:pPr>
              <w:spacing w:after="0"/>
              <w:rPr>
                <w:rFonts w:ascii="Arial" w:cs="Arial" w:eastAsia="Arial" w:hAnsi="Arial"/>
                <w:sz w:val="14"/>
                <w:szCs w:val="14"/>
                <w:color w:val="0000FF"/>
              </w:rPr>
            </w:pPr>
            <w:hyperlink r:id="rId29">
              <w:r>
                <w:rPr>
                  <w:rFonts w:ascii="Arial" w:cs="Arial" w:eastAsia="Arial" w:hAnsi="Arial"/>
                  <w:sz w:val="14"/>
                  <w:szCs w:val="14"/>
                  <w:color w:val="0000FF"/>
                </w:rPr>
                <w:t>Qualys, Inc. 2016 Corporate Bonus Plan, as amended.</w:t>
              </w:r>
            </w:hyperlink>
          </w:p>
        </w:tc>
        <w:tc>
          <w:tcPr>
            <w:tcW w:w="2240" w:type="dxa"/>
            <w:vAlign w:val="bottom"/>
          </w:tcPr>
          <w:p>
            <w:pPr>
              <w:ind w:left="1580"/>
              <w:spacing w:after="0"/>
              <w:rPr>
                <w:sz w:val="20"/>
                <w:szCs w:val="20"/>
                <w:color w:val="auto"/>
              </w:rPr>
            </w:pPr>
            <w:r>
              <w:rPr>
                <w:rFonts w:ascii="Arial" w:cs="Arial" w:eastAsia="Arial" w:hAnsi="Arial"/>
                <w:sz w:val="14"/>
                <w:szCs w:val="14"/>
                <w:color w:val="auto"/>
              </w:rPr>
              <w:t>10-Q</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001-35662</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10.3</w:t>
            </w:r>
          </w:p>
        </w:tc>
        <w:tc>
          <w:tcPr>
            <w:tcW w:w="1560" w:type="dxa"/>
            <w:vAlign w:val="bottom"/>
          </w:tcPr>
          <w:p>
            <w:pPr>
              <w:jc w:val="center"/>
              <w:ind w:left="208"/>
              <w:spacing w:after="0"/>
              <w:rPr>
                <w:sz w:val="20"/>
                <w:szCs w:val="20"/>
                <w:color w:val="auto"/>
              </w:rPr>
            </w:pPr>
            <w:r>
              <w:rPr>
                <w:rFonts w:ascii="Arial" w:cs="Arial" w:eastAsia="Arial" w:hAnsi="Arial"/>
                <w:sz w:val="14"/>
                <w:szCs w:val="14"/>
                <w:color w:val="auto"/>
              </w:rPr>
              <w:t>August 4, 2016</w:t>
            </w:r>
          </w:p>
        </w:tc>
      </w:tr>
      <w:tr>
        <w:trPr>
          <w:trHeight w:val="20"/>
        </w:trPr>
        <w:tc>
          <w:tcPr>
            <w:tcW w:w="3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93"/>
        </w:trPr>
        <w:tc>
          <w:tcPr>
            <w:tcW w:w="3940" w:type="dxa"/>
            <w:vAlign w:val="bottom"/>
            <w:tcBorders>
              <w:bottom w:val="single" w:sz="8" w:color="0000FF"/>
            </w:tcBorders>
            <w:gridSpan w:val="2"/>
          </w:tcPr>
          <w:p>
            <w:pPr>
              <w:spacing w:after="0"/>
              <w:rPr>
                <w:rFonts w:ascii="Arial" w:cs="Arial" w:eastAsia="Arial" w:hAnsi="Arial"/>
                <w:sz w:val="14"/>
                <w:szCs w:val="14"/>
                <w:color w:val="0000FF"/>
              </w:rPr>
            </w:pPr>
            <w:hyperlink r:id="rId30">
              <w:r>
                <w:rPr>
                  <w:rFonts w:ascii="Arial" w:cs="Arial" w:eastAsia="Arial" w:hAnsi="Arial"/>
                  <w:sz w:val="14"/>
                  <w:szCs w:val="14"/>
                  <w:color w:val="0000FF"/>
                </w:rPr>
                <w:t>Master Services Agreement, between Qualys, Inc. and Savvis</w:t>
              </w:r>
            </w:hyperlink>
          </w:p>
        </w:tc>
        <w:tc>
          <w:tcPr>
            <w:tcW w:w="2240" w:type="dxa"/>
            <w:vAlign w:val="bottom"/>
          </w:tcPr>
          <w:p>
            <w:pPr>
              <w:ind w:left="1560"/>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333-182027</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10.14</w:t>
            </w:r>
          </w:p>
        </w:tc>
        <w:tc>
          <w:tcPr>
            <w:tcW w:w="1560" w:type="dxa"/>
            <w:vAlign w:val="bottom"/>
          </w:tcPr>
          <w:p>
            <w:pPr>
              <w:jc w:val="center"/>
              <w:ind w:left="188"/>
              <w:spacing w:after="0"/>
              <w:rPr>
                <w:sz w:val="20"/>
                <w:szCs w:val="20"/>
                <w:color w:val="auto"/>
              </w:rPr>
            </w:pPr>
            <w:r>
              <w:rPr>
                <w:rFonts w:ascii="Arial" w:cs="Arial" w:eastAsia="Arial" w:hAnsi="Arial"/>
                <w:sz w:val="14"/>
                <w:szCs w:val="14"/>
                <w:color w:val="auto"/>
              </w:rPr>
              <w:t>September 12, 2012</w:t>
            </w:r>
          </w:p>
        </w:tc>
      </w:tr>
    </w:tbl>
    <w:p>
      <w:pPr>
        <w:sectPr>
          <w:pgSz w:w="11900" w:h="16901" w:orient="portrait"/>
          <w:cols w:equalWidth="0" w:num="2">
            <w:col w:w="660" w:space="540"/>
            <w:col w:w="10120"/>
          </w:cols>
          <w:pgMar w:left="240" w:top="141" w:right="339" w:bottom="0" w:gutter="0" w:footer="0" w:header="0"/>
          <w:type w:val="continuous"/>
        </w:sectPr>
      </w:pPr>
    </w:p>
    <w:bookmarkStart w:id="91" w:name="page92"/>
    <w:bookmarkEnd w:id="91"/>
    <w:p>
      <w:pPr>
        <w:spacing w:after="0" w:line="1" w:lineRule="exact"/>
        <w:rPr>
          <w:sz w:val="20"/>
          <w:szCs w:val="20"/>
          <w:color w:val="auto"/>
        </w:rPr>
      </w:pPr>
    </w:p>
    <w:tbl>
      <w:tblPr>
        <w:tblLayout w:type="fixed"/>
        <w:tblInd w:w="85"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300" w:type="dxa"/>
            <w:vAlign w:val="bottom"/>
            <w:tcBorders>
              <w:bottom w:val="single" w:sz="8" w:color="0000FF"/>
            </w:tcBorders>
            <w:gridSpan w:val="9"/>
          </w:tcPr>
          <w:p>
            <w:pPr>
              <w:spacing w:after="0"/>
              <w:rPr>
                <w:rFonts w:ascii="Arial" w:cs="Arial" w:eastAsia="Arial" w:hAnsi="Arial"/>
                <w:sz w:val="14"/>
                <w:szCs w:val="14"/>
                <w:color w:val="0000FF"/>
              </w:rPr>
            </w:pPr>
            <w:hyperlink r:id="rId30">
              <w:r>
                <w:rPr>
                  <w:rFonts w:ascii="Arial" w:cs="Arial" w:eastAsia="Arial" w:hAnsi="Arial"/>
                  <w:sz w:val="14"/>
                  <w:szCs w:val="14"/>
                  <w:color w:val="0000FF"/>
                </w:rPr>
                <w:t>Communications Corporation, dated June 22, 2010.</w:t>
              </w:r>
            </w:hyperlink>
          </w:p>
        </w:tc>
        <w:tc>
          <w:tcPr>
            <w:tcW w:w="8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520"/>
        </w:trPr>
        <w:tc>
          <w:tcPr>
            <w:tcW w:w="10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10.12†</w:t>
            </w:r>
          </w:p>
        </w:tc>
        <w:tc>
          <w:tcPr>
            <w:tcW w:w="3500" w:type="dxa"/>
            <w:vAlign w:val="bottom"/>
            <w:tcBorders>
              <w:bottom w:val="single" w:sz="8" w:color="0000FF"/>
            </w:tcBorders>
            <w:gridSpan w:val="10"/>
          </w:tcPr>
          <w:p>
            <w:pPr>
              <w:spacing w:after="0"/>
              <w:rPr>
                <w:rFonts w:ascii="Arial" w:cs="Arial" w:eastAsia="Arial" w:hAnsi="Arial"/>
                <w:sz w:val="14"/>
                <w:szCs w:val="14"/>
                <w:color w:val="0000FF"/>
              </w:rPr>
            </w:pPr>
            <w:hyperlink r:id="rId31">
              <w:r>
                <w:rPr>
                  <w:rFonts w:ascii="Arial" w:cs="Arial" w:eastAsia="Arial" w:hAnsi="Arial"/>
                  <w:sz w:val="14"/>
                  <w:szCs w:val="14"/>
                  <w:color w:val="0000FF"/>
                </w:rPr>
                <w:t>Master Agreement, between Qualys, Inc. and Interoute</w:t>
              </w:r>
            </w:hyperlink>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80" w:type="dxa"/>
            <w:vAlign w:val="bottom"/>
            <w:vMerge w:val="continue"/>
          </w:tcPr>
          <w:p>
            <w:pPr>
              <w:spacing w:after="0"/>
              <w:rPr>
                <w:sz w:val="7"/>
                <w:szCs w:val="7"/>
                <w:color w:val="auto"/>
              </w:rPr>
            </w:pPr>
          </w:p>
        </w:tc>
        <w:tc>
          <w:tcPr>
            <w:tcW w:w="3100" w:type="dxa"/>
            <w:vAlign w:val="bottom"/>
            <w:gridSpan w:val="8"/>
            <w:vMerge w:val="restart"/>
          </w:tcPr>
          <w:p>
            <w:pPr>
              <w:spacing w:after="0" w:line="142" w:lineRule="exact"/>
              <w:rPr>
                <w:rFonts w:ascii="Arial" w:cs="Arial" w:eastAsia="Arial" w:hAnsi="Arial"/>
                <w:sz w:val="14"/>
                <w:szCs w:val="14"/>
                <w:color w:val="0000FF"/>
              </w:rPr>
            </w:pPr>
            <w:hyperlink r:id="rId31">
              <w:r>
                <w:rPr>
                  <w:rFonts w:ascii="Arial" w:cs="Arial" w:eastAsia="Arial" w:hAnsi="Arial"/>
                  <w:sz w:val="14"/>
                  <w:szCs w:val="14"/>
                  <w:color w:val="0000FF"/>
                </w:rPr>
                <w:t>Communications Limited, dated March 31, 2008.</w:t>
              </w:r>
            </w:hyperlink>
          </w:p>
        </w:tc>
        <w:tc>
          <w:tcPr>
            <w:tcW w:w="1040" w:type="dxa"/>
            <w:vAlign w:val="bottom"/>
            <w:gridSpan w:val="12"/>
            <w:vMerge w:val="restart"/>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80" w:type="dxa"/>
            <w:vAlign w:val="bottom"/>
          </w:tcPr>
          <w:p>
            <w:pPr>
              <w:spacing w:after="0"/>
              <w:rPr>
                <w:sz w:val="4"/>
                <w:szCs w:val="4"/>
                <w:color w:val="auto"/>
              </w:rPr>
            </w:pPr>
          </w:p>
        </w:tc>
        <w:tc>
          <w:tcPr>
            <w:tcW w:w="3100" w:type="dxa"/>
            <w:vAlign w:val="bottom"/>
            <w:tcBorders>
              <w:bottom w:val="single" w:sz="8" w:color="0000FF"/>
            </w:tcBorders>
            <w:gridSpan w:val="8"/>
            <w:vMerge w:val="continue"/>
          </w:tcPr>
          <w:p>
            <w:pPr>
              <w:spacing w:after="0"/>
              <w:rPr>
                <w:sz w:val="4"/>
                <w:szCs w:val="4"/>
                <w:color w:val="auto"/>
              </w:rPr>
            </w:pPr>
          </w:p>
        </w:tc>
        <w:tc>
          <w:tcPr>
            <w:tcW w:w="104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0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10.13†</w:t>
            </w:r>
          </w:p>
        </w:tc>
        <w:tc>
          <w:tcPr>
            <w:tcW w:w="4140" w:type="dxa"/>
            <w:vAlign w:val="bottom"/>
            <w:gridSpan w:val="20"/>
          </w:tcPr>
          <w:p>
            <w:pPr>
              <w:spacing w:after="0"/>
              <w:rPr>
                <w:rFonts w:ascii="Arial" w:cs="Arial" w:eastAsia="Arial" w:hAnsi="Arial"/>
                <w:sz w:val="14"/>
                <w:szCs w:val="14"/>
                <w:color w:val="0000FF"/>
              </w:rPr>
            </w:pPr>
            <w:hyperlink r:id="rId32">
              <w:r>
                <w:rPr>
                  <w:rFonts w:ascii="Arial" w:cs="Arial" w:eastAsia="Arial" w:hAnsi="Arial"/>
                  <w:sz w:val="14"/>
                  <w:szCs w:val="14"/>
                  <w:color w:val="0000FF"/>
                </w:rPr>
                <w:t>Manufacturing Services Agreement, between Qualys, Inc. and</w:t>
              </w:r>
            </w:hyperlink>
          </w:p>
        </w:tc>
        <w:tc>
          <w:tcPr>
            <w:tcW w:w="0" w:type="dxa"/>
            <w:vAlign w:val="bottom"/>
          </w:tcPr>
          <w:p>
            <w:pPr>
              <w:spacing w:after="0"/>
              <w:rPr>
                <w:sz w:val="1"/>
                <w:szCs w:val="1"/>
                <w:color w:val="auto"/>
              </w:rPr>
            </w:pPr>
          </w:p>
        </w:tc>
      </w:tr>
      <w:tr>
        <w:trPr>
          <w:trHeight w:val="90"/>
        </w:trPr>
        <w:tc>
          <w:tcPr>
            <w:tcW w:w="1080" w:type="dxa"/>
            <w:vAlign w:val="bottom"/>
            <w:vMerge w:val="continue"/>
          </w:tcPr>
          <w:p>
            <w:pPr>
              <w:spacing w:after="0"/>
              <w:rPr>
                <w:sz w:val="7"/>
                <w:szCs w:val="7"/>
                <w:color w:val="auto"/>
              </w:rPr>
            </w:pPr>
          </w:p>
        </w:tc>
        <w:tc>
          <w:tcPr>
            <w:tcW w:w="3940" w:type="dxa"/>
            <w:vAlign w:val="bottom"/>
            <w:tcBorders>
              <w:top w:val="single" w:sz="8" w:color="0000FF"/>
            </w:tcBorders>
            <w:gridSpan w:val="13"/>
            <w:vMerge w:val="restart"/>
          </w:tcPr>
          <w:p>
            <w:pPr>
              <w:spacing w:after="0" w:line="142" w:lineRule="exact"/>
              <w:rPr>
                <w:rFonts w:ascii="Arial" w:cs="Arial" w:eastAsia="Arial" w:hAnsi="Arial"/>
                <w:sz w:val="14"/>
                <w:szCs w:val="14"/>
                <w:color w:val="0000FF"/>
              </w:rPr>
            </w:pPr>
            <w:hyperlink r:id="rId32">
              <w:r>
                <w:rPr>
                  <w:rFonts w:ascii="Arial" w:cs="Arial" w:eastAsia="Arial" w:hAnsi="Arial"/>
                  <w:sz w:val="14"/>
                  <w:szCs w:val="14"/>
                  <w:color w:val="0000FF"/>
                </w:rPr>
                <w:t>Synnex Corporation, dated March 1, 2011.</w:t>
              </w:r>
            </w:hyperlink>
          </w:p>
        </w:tc>
        <w:tc>
          <w:tcPr>
            <w:tcW w:w="200" w:type="dxa"/>
            <w:vAlign w:val="bottom"/>
            <w:gridSpan w:val="7"/>
            <w:vMerge w:val="restart"/>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3940" w:type="dxa"/>
            <w:vAlign w:val="bottom"/>
            <w:gridSpan w:val="13"/>
            <w:vMerge w:val="continue"/>
          </w:tcPr>
          <w:p>
            <w:pPr>
              <w:spacing w:after="0"/>
              <w:rPr>
                <w:sz w:val="4"/>
                <w:szCs w:val="4"/>
                <w:color w:val="auto"/>
              </w:rPr>
            </w:pPr>
          </w:p>
        </w:tc>
        <w:tc>
          <w:tcPr>
            <w:tcW w:w="2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3"/>
        </w:trPr>
        <w:tc>
          <w:tcPr>
            <w:tcW w:w="1080" w:type="dxa"/>
            <w:vAlign w:val="bottom"/>
          </w:tcPr>
          <w:p>
            <w:pPr>
              <w:jc w:val="center"/>
              <w:ind w:right="408"/>
              <w:spacing w:after="0"/>
              <w:rPr>
                <w:sz w:val="20"/>
                <w:szCs w:val="20"/>
                <w:color w:val="auto"/>
              </w:rPr>
            </w:pPr>
            <w:r>
              <w:rPr>
                <w:rFonts w:ascii="Arial" w:cs="Arial" w:eastAsia="Arial" w:hAnsi="Arial"/>
                <w:sz w:val="14"/>
                <w:szCs w:val="14"/>
                <w:color w:val="auto"/>
              </w:rPr>
              <w:t>21.1</w:t>
            </w:r>
          </w:p>
        </w:tc>
        <w:tc>
          <w:tcPr>
            <w:tcW w:w="2700" w:type="dxa"/>
            <w:vAlign w:val="bottom"/>
            <w:tcBorders>
              <w:top w:val="single" w:sz="8" w:color="0000FF"/>
            </w:tcBorders>
            <w:gridSpan w:val="7"/>
          </w:tcPr>
          <w:p>
            <w:pPr>
              <w:spacing w:after="0"/>
              <w:rPr>
                <w:rFonts w:ascii="Arial" w:cs="Arial" w:eastAsia="Arial" w:hAnsi="Arial"/>
                <w:sz w:val="14"/>
                <w:szCs w:val="14"/>
                <w:color w:val="0000FF"/>
              </w:rPr>
            </w:pPr>
            <w:hyperlink w:anchor="page97">
              <w:r>
                <w:rPr>
                  <w:rFonts w:ascii="Arial" w:cs="Arial" w:eastAsia="Arial" w:hAnsi="Arial"/>
                  <w:sz w:val="14"/>
                  <w:szCs w:val="14"/>
                  <w:color w:val="0000FF"/>
                </w:rPr>
                <w:t>List of subsidiaries of Qualys, Inc.</w:t>
              </w:r>
            </w:hyperlink>
          </w:p>
        </w:tc>
        <w:tc>
          <w:tcPr>
            <w:tcW w:w="1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80" w:type="dxa"/>
            <w:vAlign w:val="bottom"/>
            <w:vMerge w:val="restart"/>
          </w:tcPr>
          <w:p>
            <w:pPr>
              <w:jc w:val="center"/>
              <w:ind w:right="408"/>
              <w:spacing w:after="0"/>
              <w:rPr>
                <w:sz w:val="20"/>
                <w:szCs w:val="20"/>
                <w:color w:val="auto"/>
              </w:rPr>
            </w:pPr>
            <w:r>
              <w:rPr>
                <w:rFonts w:ascii="Arial" w:cs="Arial" w:eastAsia="Arial" w:hAnsi="Arial"/>
                <w:sz w:val="14"/>
                <w:szCs w:val="14"/>
                <w:color w:val="auto"/>
              </w:rPr>
              <w:t>23.1</w:t>
            </w:r>
          </w:p>
        </w:tc>
        <w:tc>
          <w:tcPr>
            <w:tcW w:w="3960" w:type="dxa"/>
            <w:vAlign w:val="bottom"/>
            <w:tcBorders>
              <w:bottom w:val="single" w:sz="8" w:color="0000FF"/>
            </w:tcBorders>
            <w:gridSpan w:val="14"/>
          </w:tcPr>
          <w:p>
            <w:pPr>
              <w:spacing w:after="0"/>
              <w:rPr>
                <w:rFonts w:ascii="Arial" w:cs="Arial" w:eastAsia="Arial" w:hAnsi="Arial"/>
                <w:sz w:val="14"/>
                <w:szCs w:val="14"/>
                <w:color w:val="0000FF"/>
              </w:rPr>
            </w:pPr>
            <w:hyperlink w:anchor="page98">
              <w:r>
                <w:rPr>
                  <w:rFonts w:ascii="Arial" w:cs="Arial" w:eastAsia="Arial" w:hAnsi="Arial"/>
                  <w:sz w:val="14"/>
                  <w:szCs w:val="14"/>
                  <w:color w:val="0000FF"/>
                </w:rPr>
                <w:t>Consent of Grant Thornton LLP, independent registered public</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80" w:type="dxa"/>
            <w:vAlign w:val="bottom"/>
            <w:vMerge w:val="continue"/>
          </w:tcPr>
          <w:p>
            <w:pPr>
              <w:spacing w:after="0"/>
              <w:rPr>
                <w:sz w:val="7"/>
                <w:szCs w:val="7"/>
                <w:color w:val="auto"/>
              </w:rPr>
            </w:pPr>
          </w:p>
        </w:tc>
        <w:tc>
          <w:tcPr>
            <w:tcW w:w="1020" w:type="dxa"/>
            <w:vAlign w:val="bottom"/>
            <w:gridSpan w:val="3"/>
            <w:vMerge w:val="restart"/>
          </w:tcPr>
          <w:p>
            <w:pPr>
              <w:spacing w:after="0" w:line="142" w:lineRule="exact"/>
              <w:rPr>
                <w:rFonts w:ascii="Arial" w:cs="Arial" w:eastAsia="Arial" w:hAnsi="Arial"/>
                <w:sz w:val="14"/>
                <w:szCs w:val="14"/>
                <w:color w:val="0000FF"/>
              </w:rPr>
            </w:pPr>
            <w:hyperlink w:anchor="page98">
              <w:r>
                <w:rPr>
                  <w:rFonts w:ascii="Arial" w:cs="Arial" w:eastAsia="Arial" w:hAnsi="Arial"/>
                  <w:sz w:val="14"/>
                  <w:szCs w:val="14"/>
                  <w:color w:val="0000FF"/>
                </w:rPr>
                <w:t>accounting firm.</w:t>
              </w:r>
            </w:hyperlink>
          </w:p>
        </w:tc>
        <w:tc>
          <w:tcPr>
            <w:tcW w:w="3120" w:type="dxa"/>
            <w:vAlign w:val="bottom"/>
            <w:gridSpan w:val="17"/>
            <w:vMerge w:val="restart"/>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80" w:type="dxa"/>
            <w:vAlign w:val="bottom"/>
          </w:tcPr>
          <w:p>
            <w:pPr>
              <w:spacing w:after="0"/>
              <w:rPr>
                <w:sz w:val="4"/>
                <w:szCs w:val="4"/>
                <w:color w:val="auto"/>
              </w:rPr>
            </w:pPr>
          </w:p>
        </w:tc>
        <w:tc>
          <w:tcPr>
            <w:tcW w:w="1020" w:type="dxa"/>
            <w:vAlign w:val="bottom"/>
            <w:tcBorders>
              <w:bottom w:val="single" w:sz="8" w:color="0000FF"/>
            </w:tcBorders>
            <w:gridSpan w:val="3"/>
            <w:vMerge w:val="continue"/>
          </w:tcPr>
          <w:p>
            <w:pPr>
              <w:spacing w:after="0"/>
              <w:rPr>
                <w:sz w:val="4"/>
                <w:szCs w:val="4"/>
                <w:color w:val="auto"/>
              </w:rPr>
            </w:pPr>
          </w:p>
        </w:tc>
        <w:tc>
          <w:tcPr>
            <w:tcW w:w="3120" w:type="dxa"/>
            <w:vAlign w:val="bottom"/>
            <w:gridSpan w:val="1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0"/>
        </w:trPr>
        <w:tc>
          <w:tcPr>
            <w:tcW w:w="1080" w:type="dxa"/>
            <w:vAlign w:val="bottom"/>
          </w:tcPr>
          <w:p>
            <w:pPr>
              <w:spacing w:after="0"/>
              <w:rPr>
                <w:sz w:val="24"/>
                <w:szCs w:val="24"/>
                <w:color w:val="auto"/>
              </w:rPr>
            </w:pPr>
          </w:p>
        </w:tc>
        <w:tc>
          <w:tcPr>
            <w:tcW w:w="4140" w:type="dxa"/>
            <w:vAlign w:val="bottom"/>
            <w:gridSpan w:val="20"/>
          </w:tcPr>
          <w:p>
            <w:pPr>
              <w:spacing w:after="0"/>
              <w:rPr>
                <w:rFonts w:ascii="Arial" w:cs="Arial" w:eastAsia="Arial" w:hAnsi="Arial"/>
                <w:sz w:val="14"/>
                <w:szCs w:val="14"/>
                <w:color w:val="0000FF"/>
              </w:rPr>
            </w:pPr>
            <w:hyperlink w:anchor="page99">
              <w:r>
                <w:rPr>
                  <w:rFonts w:ascii="Arial" w:cs="Arial" w:eastAsia="Arial" w:hAnsi="Arial"/>
                  <w:sz w:val="14"/>
                  <w:szCs w:val="14"/>
                  <w:color w:val="0000FF"/>
                </w:rPr>
                <w:t>Certification of Chief Executive Officer pursuant to Rule 13a-</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vMerge w:val="restart"/>
          </w:tcPr>
          <w:p>
            <w:pPr>
              <w:jc w:val="center"/>
              <w:ind w:right="408"/>
              <w:spacing w:after="0"/>
              <w:rPr>
                <w:sz w:val="20"/>
                <w:szCs w:val="20"/>
                <w:color w:val="auto"/>
              </w:rPr>
            </w:pPr>
            <w:r>
              <w:rPr>
                <w:rFonts w:ascii="Arial" w:cs="Arial" w:eastAsia="Arial" w:hAnsi="Arial"/>
                <w:sz w:val="14"/>
                <w:szCs w:val="14"/>
                <w:color w:val="auto"/>
              </w:rPr>
              <w:t>31.1</w:t>
            </w:r>
          </w:p>
        </w:tc>
        <w:tc>
          <w:tcPr>
            <w:tcW w:w="4140" w:type="dxa"/>
            <w:vAlign w:val="bottom"/>
            <w:gridSpan w:val="20"/>
          </w:tcPr>
          <w:p>
            <w:pPr>
              <w:spacing w:after="0" w:line="142" w:lineRule="exact"/>
              <w:rPr>
                <w:rFonts w:ascii="Arial" w:cs="Arial" w:eastAsia="Arial" w:hAnsi="Arial"/>
                <w:sz w:val="14"/>
                <w:szCs w:val="14"/>
                <w:color w:val="0000FF"/>
              </w:rPr>
            </w:pPr>
            <w:hyperlink w:anchor="page99">
              <w:r>
                <w:rPr>
                  <w:rFonts w:ascii="Arial" w:cs="Arial" w:eastAsia="Arial" w:hAnsi="Arial"/>
                  <w:sz w:val="14"/>
                  <w:szCs w:val="14"/>
                  <w:color w:val="0000FF"/>
                </w:rPr>
                <w:t>14(a) or Rule 15d-14(a) of the Securities Exchange Act of 1934,</w:t>
              </w:r>
            </w:hyperlink>
          </w:p>
        </w:tc>
        <w:tc>
          <w:tcPr>
            <w:tcW w:w="0" w:type="dxa"/>
            <w:vAlign w:val="bottom"/>
          </w:tcPr>
          <w:p>
            <w:pPr>
              <w:spacing w:after="0"/>
              <w:rPr>
                <w:sz w:val="1"/>
                <w:szCs w:val="1"/>
                <w:color w:val="auto"/>
              </w:rPr>
            </w:pPr>
          </w:p>
        </w:tc>
      </w:tr>
      <w:tr>
        <w:trPr>
          <w:trHeight w:val="90"/>
        </w:trPr>
        <w:tc>
          <w:tcPr>
            <w:tcW w:w="1080" w:type="dxa"/>
            <w:vAlign w:val="bottom"/>
            <w:vMerge w:val="continue"/>
          </w:tcPr>
          <w:p>
            <w:pPr>
              <w:spacing w:after="0"/>
              <w:rPr>
                <w:sz w:val="7"/>
                <w:szCs w:val="7"/>
                <w:color w:val="auto"/>
              </w:rPr>
            </w:pPr>
          </w:p>
        </w:tc>
        <w:tc>
          <w:tcPr>
            <w:tcW w:w="4040" w:type="dxa"/>
            <w:vAlign w:val="bottom"/>
            <w:tcBorders>
              <w:top w:val="single" w:sz="8" w:color="0000FF"/>
            </w:tcBorders>
            <w:gridSpan w:val="16"/>
            <w:vMerge w:val="restart"/>
          </w:tcPr>
          <w:p>
            <w:pPr>
              <w:spacing w:after="0" w:line="142" w:lineRule="exact"/>
              <w:rPr>
                <w:rFonts w:ascii="Arial" w:cs="Arial" w:eastAsia="Arial" w:hAnsi="Arial"/>
                <w:sz w:val="14"/>
                <w:szCs w:val="14"/>
                <w:color w:val="0000FF"/>
              </w:rPr>
            </w:pPr>
            <w:hyperlink w:anchor="page99">
              <w:r>
                <w:rPr>
                  <w:rFonts w:ascii="Arial" w:cs="Arial" w:eastAsia="Arial" w:hAnsi="Arial"/>
                  <w:sz w:val="14"/>
                  <w:szCs w:val="14"/>
                  <w:color w:val="0000FF"/>
                </w:rPr>
                <w:t>as adopted pursuant to Section 302 of The Sarbanes-Oxley Act</w:t>
              </w:r>
            </w:hyperlink>
          </w:p>
        </w:tc>
        <w:tc>
          <w:tcPr>
            <w:tcW w:w="20" w:type="dxa"/>
            <w:vAlign w:val="bottom"/>
            <w:tcBorders>
              <w:top w:val="single" w:sz="8" w:color="0000FF"/>
            </w:tcBorders>
            <w:vMerge w:val="restart"/>
          </w:tcPr>
          <w:p>
            <w:pPr>
              <w:spacing w:after="0"/>
              <w:rPr>
                <w:sz w:val="7"/>
                <w:szCs w:val="7"/>
                <w:color w:val="auto"/>
              </w:rPr>
            </w:pPr>
          </w:p>
        </w:tc>
        <w:tc>
          <w:tcPr>
            <w:tcW w:w="8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80" w:type="dxa"/>
            <w:vAlign w:val="bottom"/>
          </w:tcPr>
          <w:p>
            <w:pPr>
              <w:spacing w:after="0"/>
              <w:rPr>
                <w:sz w:val="4"/>
                <w:szCs w:val="4"/>
                <w:color w:val="auto"/>
              </w:rPr>
            </w:pPr>
          </w:p>
        </w:tc>
        <w:tc>
          <w:tcPr>
            <w:tcW w:w="4040" w:type="dxa"/>
            <w:vAlign w:val="bottom"/>
            <w:tcBorders>
              <w:bottom w:val="single" w:sz="8" w:color="0000FF"/>
            </w:tcBorders>
            <w:gridSpan w:val="16"/>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520" w:type="dxa"/>
            <w:vAlign w:val="bottom"/>
            <w:tcBorders>
              <w:bottom w:val="single" w:sz="8" w:color="0000FF"/>
            </w:tcBorders>
            <w:gridSpan w:val="2"/>
          </w:tcPr>
          <w:p>
            <w:pPr>
              <w:spacing w:after="0" w:line="142" w:lineRule="exact"/>
              <w:rPr>
                <w:rFonts w:ascii="Arial" w:cs="Arial" w:eastAsia="Arial" w:hAnsi="Arial"/>
                <w:sz w:val="14"/>
                <w:szCs w:val="14"/>
                <w:color w:val="0000FF"/>
                <w:w w:val="98"/>
              </w:rPr>
            </w:pPr>
            <w:hyperlink w:anchor="page99">
              <w:r>
                <w:rPr>
                  <w:rFonts w:ascii="Arial" w:cs="Arial" w:eastAsia="Arial" w:hAnsi="Arial"/>
                  <w:sz w:val="14"/>
                  <w:szCs w:val="14"/>
                  <w:color w:val="0000FF"/>
                  <w:w w:val="98"/>
                </w:rPr>
                <w:t>of 2002.</w:t>
              </w:r>
            </w:hyperlink>
          </w:p>
        </w:tc>
        <w:tc>
          <w:tcPr>
            <w:tcW w:w="362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1080" w:type="dxa"/>
            <w:vAlign w:val="bottom"/>
          </w:tcPr>
          <w:p>
            <w:pPr>
              <w:spacing w:after="0"/>
              <w:rPr>
                <w:sz w:val="24"/>
                <w:szCs w:val="24"/>
                <w:color w:val="auto"/>
              </w:rPr>
            </w:pPr>
          </w:p>
        </w:tc>
        <w:tc>
          <w:tcPr>
            <w:tcW w:w="4140" w:type="dxa"/>
            <w:vAlign w:val="bottom"/>
            <w:gridSpan w:val="20"/>
          </w:tcPr>
          <w:p>
            <w:pPr>
              <w:spacing w:after="0"/>
              <w:rPr>
                <w:rFonts w:ascii="Arial" w:cs="Arial" w:eastAsia="Arial" w:hAnsi="Arial"/>
                <w:sz w:val="14"/>
                <w:szCs w:val="14"/>
                <w:color w:val="0000FF"/>
              </w:rPr>
            </w:pPr>
            <w:hyperlink w:anchor="page101">
              <w:r>
                <w:rPr>
                  <w:rFonts w:ascii="Arial" w:cs="Arial" w:eastAsia="Arial" w:hAnsi="Arial"/>
                  <w:sz w:val="14"/>
                  <w:szCs w:val="14"/>
                  <w:color w:val="0000FF"/>
                </w:rPr>
                <w:t>Certification of Chief Financial Officer pursuant to Rule 13a-14(a)</w:t>
              </w:r>
            </w:hyperlink>
          </w:p>
        </w:tc>
        <w:tc>
          <w:tcPr>
            <w:tcW w:w="0" w:type="dxa"/>
            <w:vAlign w:val="bottom"/>
          </w:tcPr>
          <w:p>
            <w:pPr>
              <w:spacing w:after="0"/>
              <w:rPr>
                <w:sz w:val="1"/>
                <w:szCs w:val="1"/>
                <w:color w:val="auto"/>
              </w:rPr>
            </w:pPr>
          </w:p>
        </w:tc>
      </w:tr>
      <w:tr>
        <w:trPr>
          <w:trHeight w:val="142"/>
        </w:trPr>
        <w:tc>
          <w:tcPr>
            <w:tcW w:w="1080" w:type="dxa"/>
            <w:vAlign w:val="bottom"/>
            <w:vMerge w:val="restart"/>
          </w:tcPr>
          <w:p>
            <w:pPr>
              <w:jc w:val="center"/>
              <w:ind w:right="408"/>
              <w:spacing w:after="0"/>
              <w:rPr>
                <w:sz w:val="20"/>
                <w:szCs w:val="20"/>
                <w:color w:val="auto"/>
              </w:rPr>
            </w:pPr>
            <w:r>
              <w:rPr>
                <w:rFonts w:ascii="Arial" w:cs="Arial" w:eastAsia="Arial" w:hAnsi="Arial"/>
                <w:sz w:val="14"/>
                <w:szCs w:val="14"/>
                <w:color w:val="auto"/>
              </w:rPr>
              <w:t>31.2</w:t>
            </w:r>
          </w:p>
        </w:tc>
        <w:tc>
          <w:tcPr>
            <w:tcW w:w="3880" w:type="dxa"/>
            <w:vAlign w:val="bottom"/>
            <w:tcBorders>
              <w:top w:val="single" w:sz="8" w:color="0000FF"/>
              <w:bottom w:val="single" w:sz="8" w:color="0000FF"/>
            </w:tcBorders>
            <w:gridSpan w:val="12"/>
          </w:tcPr>
          <w:p>
            <w:pPr>
              <w:spacing w:after="0" w:line="142" w:lineRule="exact"/>
              <w:rPr>
                <w:rFonts w:ascii="Arial" w:cs="Arial" w:eastAsia="Arial" w:hAnsi="Arial"/>
                <w:sz w:val="14"/>
                <w:szCs w:val="14"/>
                <w:color w:val="0000FF"/>
              </w:rPr>
            </w:pPr>
            <w:hyperlink w:anchor="page101">
              <w:r>
                <w:rPr>
                  <w:rFonts w:ascii="Arial" w:cs="Arial" w:eastAsia="Arial" w:hAnsi="Arial"/>
                  <w:sz w:val="14"/>
                  <w:szCs w:val="14"/>
                  <w:color w:val="0000FF"/>
                </w:rPr>
                <w:t>or Rule 15d-14(a) of the Securities Exchange Act of 1934, as</w:t>
              </w:r>
            </w:hyperlink>
          </w:p>
        </w:tc>
        <w:tc>
          <w:tcPr>
            <w:tcW w:w="24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080" w:type="dxa"/>
            <w:vAlign w:val="bottom"/>
            <w:vMerge w:val="continue"/>
          </w:tcPr>
          <w:p>
            <w:pPr>
              <w:spacing w:after="0"/>
              <w:rPr>
                <w:sz w:val="7"/>
                <w:szCs w:val="7"/>
                <w:color w:val="auto"/>
              </w:rPr>
            </w:pPr>
          </w:p>
        </w:tc>
        <w:tc>
          <w:tcPr>
            <w:tcW w:w="4140" w:type="dxa"/>
            <w:vAlign w:val="bottom"/>
            <w:gridSpan w:val="20"/>
            <w:vMerge w:val="restart"/>
          </w:tcPr>
          <w:p>
            <w:pPr>
              <w:spacing w:after="0" w:line="142" w:lineRule="exact"/>
              <w:rPr>
                <w:rFonts w:ascii="Arial" w:cs="Arial" w:eastAsia="Arial" w:hAnsi="Arial"/>
                <w:sz w:val="14"/>
                <w:szCs w:val="14"/>
                <w:color w:val="0000FF"/>
              </w:rPr>
            </w:pPr>
            <w:hyperlink w:anchor="page101">
              <w:r>
                <w:rPr>
                  <w:rFonts w:ascii="Arial" w:cs="Arial" w:eastAsia="Arial" w:hAnsi="Arial"/>
                  <w:sz w:val="14"/>
                  <w:szCs w:val="14"/>
                  <w:color w:val="0000FF"/>
                </w:rPr>
                <w:t>adopted pursuant to Section 302 of The Sarbanes-Oxley Act of</w:t>
              </w:r>
            </w:hyperlink>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4140" w:type="dxa"/>
            <w:vAlign w:val="bottom"/>
            <w:gridSpan w:val="2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96"/>
              </w:rPr>
            </w:pPr>
            <w:hyperlink w:anchor="page101">
              <w:r>
                <w:rPr>
                  <w:rFonts w:ascii="Arial" w:cs="Arial" w:eastAsia="Arial" w:hAnsi="Arial"/>
                  <w:sz w:val="14"/>
                  <w:szCs w:val="14"/>
                  <w:color w:val="0000FF"/>
                  <w:w w:val="96"/>
                </w:rPr>
                <w:t>2002.</w:t>
              </w:r>
            </w:hyperlink>
          </w:p>
        </w:tc>
        <w:tc>
          <w:tcPr>
            <w:tcW w:w="1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1080" w:type="dxa"/>
            <w:vAlign w:val="bottom"/>
          </w:tcPr>
          <w:p>
            <w:pPr>
              <w:spacing w:after="0"/>
              <w:rPr>
                <w:sz w:val="24"/>
                <w:szCs w:val="24"/>
                <w:color w:val="auto"/>
              </w:rPr>
            </w:pPr>
          </w:p>
        </w:tc>
        <w:tc>
          <w:tcPr>
            <w:tcW w:w="4140" w:type="dxa"/>
            <w:vAlign w:val="bottom"/>
            <w:gridSpan w:val="20"/>
          </w:tcPr>
          <w:p>
            <w:pPr>
              <w:spacing w:after="0"/>
              <w:rPr>
                <w:rFonts w:ascii="Arial" w:cs="Arial" w:eastAsia="Arial" w:hAnsi="Arial"/>
                <w:sz w:val="14"/>
                <w:szCs w:val="14"/>
                <w:color w:val="0000FF"/>
              </w:rPr>
            </w:pPr>
            <w:hyperlink w:anchor="page103">
              <w:r>
                <w:rPr>
                  <w:rFonts w:ascii="Arial" w:cs="Arial" w:eastAsia="Arial" w:hAnsi="Arial"/>
                  <w:sz w:val="14"/>
                  <w:szCs w:val="14"/>
                  <w:color w:val="0000FF"/>
                </w:rPr>
                <w:t>Certification of Chief Executive Officer pursuant to Rule 13a-</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vMerge w:val="restart"/>
          </w:tcPr>
          <w:p>
            <w:pPr>
              <w:jc w:val="center"/>
              <w:ind w:right="408"/>
              <w:spacing w:after="0"/>
              <w:rPr>
                <w:sz w:val="20"/>
                <w:szCs w:val="20"/>
                <w:color w:val="auto"/>
              </w:rPr>
            </w:pPr>
            <w:r>
              <w:rPr>
                <w:rFonts w:ascii="Arial" w:cs="Arial" w:eastAsia="Arial" w:hAnsi="Arial"/>
                <w:sz w:val="14"/>
                <w:szCs w:val="14"/>
                <w:color w:val="auto"/>
              </w:rPr>
              <w:t>32.1</w:t>
            </w:r>
          </w:p>
        </w:tc>
        <w:tc>
          <w:tcPr>
            <w:tcW w:w="4140" w:type="dxa"/>
            <w:vAlign w:val="bottom"/>
            <w:gridSpan w:val="20"/>
          </w:tcPr>
          <w:p>
            <w:pPr>
              <w:spacing w:after="0" w:line="142" w:lineRule="exact"/>
              <w:rPr>
                <w:rFonts w:ascii="Arial" w:cs="Arial" w:eastAsia="Arial" w:hAnsi="Arial"/>
                <w:sz w:val="14"/>
                <w:szCs w:val="14"/>
                <w:color w:val="0000FF"/>
              </w:rPr>
            </w:pPr>
            <w:hyperlink w:anchor="page103">
              <w:r>
                <w:rPr>
                  <w:rFonts w:ascii="Arial" w:cs="Arial" w:eastAsia="Arial" w:hAnsi="Arial"/>
                  <w:sz w:val="14"/>
                  <w:szCs w:val="14"/>
                  <w:color w:val="0000FF"/>
                </w:rPr>
                <w:t>14(b) or Rule 15d-14(b) of the Securities Exchange Act of 1934</w:t>
              </w:r>
            </w:hyperlink>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080" w:type="dxa"/>
            <w:vAlign w:val="bottom"/>
            <w:vMerge w:val="continue"/>
          </w:tcPr>
          <w:p>
            <w:pPr>
              <w:spacing w:after="0"/>
              <w:rPr>
                <w:sz w:val="7"/>
                <w:szCs w:val="7"/>
                <w:color w:val="auto"/>
              </w:rPr>
            </w:pPr>
          </w:p>
        </w:tc>
        <w:tc>
          <w:tcPr>
            <w:tcW w:w="4100" w:type="dxa"/>
            <w:vAlign w:val="bottom"/>
            <w:gridSpan w:val="18"/>
            <w:vMerge w:val="restart"/>
          </w:tcPr>
          <w:p>
            <w:pPr>
              <w:spacing w:after="0" w:line="142" w:lineRule="exact"/>
              <w:rPr>
                <w:rFonts w:ascii="Arial" w:cs="Arial" w:eastAsia="Arial" w:hAnsi="Arial"/>
                <w:sz w:val="14"/>
                <w:szCs w:val="14"/>
                <w:color w:val="0000FF"/>
              </w:rPr>
            </w:pPr>
            <w:hyperlink w:anchor="page103">
              <w:r>
                <w:rPr>
                  <w:rFonts w:ascii="Arial" w:cs="Arial" w:eastAsia="Arial" w:hAnsi="Arial"/>
                  <w:sz w:val="14"/>
                  <w:szCs w:val="14"/>
                  <w:color w:val="0000FF"/>
                </w:rPr>
                <w:t>and 18 U.S.C. Section 1350 as adopted pursuant to Section 906</w:t>
              </w:r>
            </w:hyperlink>
          </w:p>
        </w:tc>
        <w:tc>
          <w:tcPr>
            <w:tcW w:w="4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80" w:type="dxa"/>
            <w:vAlign w:val="bottom"/>
          </w:tcPr>
          <w:p>
            <w:pPr>
              <w:spacing w:after="0"/>
              <w:rPr>
                <w:sz w:val="4"/>
                <w:szCs w:val="4"/>
                <w:color w:val="auto"/>
              </w:rPr>
            </w:pPr>
          </w:p>
        </w:tc>
        <w:tc>
          <w:tcPr>
            <w:tcW w:w="4100" w:type="dxa"/>
            <w:vAlign w:val="bottom"/>
            <w:tcBorders>
              <w:bottom w:val="single" w:sz="8" w:color="0000FF"/>
            </w:tcBorders>
            <w:gridSpan w:val="18"/>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140" w:type="dxa"/>
            <w:vAlign w:val="bottom"/>
            <w:gridSpan w:val="20"/>
          </w:tcPr>
          <w:p>
            <w:pPr>
              <w:spacing w:after="0" w:line="142" w:lineRule="exact"/>
              <w:rPr>
                <w:rFonts w:ascii="Arial" w:cs="Arial" w:eastAsia="Arial" w:hAnsi="Arial"/>
                <w:sz w:val="14"/>
                <w:szCs w:val="14"/>
                <w:color w:val="0000FF"/>
              </w:rPr>
            </w:pPr>
            <w:hyperlink w:anchor="page103">
              <w:r>
                <w:rPr>
                  <w:rFonts w:ascii="Arial" w:cs="Arial" w:eastAsia="Arial" w:hAnsi="Arial"/>
                  <w:sz w:val="14"/>
                  <w:szCs w:val="14"/>
                  <w:color w:val="0000FF"/>
                </w:rPr>
                <w:t>of The Sarbanes-Oxley Act of 2002.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80" w:type="dxa"/>
            <w:vAlign w:val="bottom"/>
          </w:tcPr>
          <w:p>
            <w:pPr>
              <w:spacing w:after="0"/>
              <w:rPr>
                <w:sz w:val="24"/>
                <w:szCs w:val="24"/>
                <w:color w:val="auto"/>
              </w:rPr>
            </w:pPr>
          </w:p>
        </w:tc>
        <w:tc>
          <w:tcPr>
            <w:tcW w:w="4140" w:type="dxa"/>
            <w:vAlign w:val="bottom"/>
            <w:gridSpan w:val="20"/>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Certification of Chief Financial Officer pursuant to Rule 13a-14(b)</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220" w:type="dxa"/>
            <w:vAlign w:val="bottom"/>
            <w:gridSpan w:val="1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vMerge w:val="restart"/>
          </w:tcPr>
          <w:p>
            <w:pPr>
              <w:jc w:val="center"/>
              <w:ind w:right="408"/>
              <w:spacing w:after="0"/>
              <w:rPr>
                <w:sz w:val="20"/>
                <w:szCs w:val="20"/>
                <w:color w:val="auto"/>
              </w:rPr>
            </w:pPr>
            <w:r>
              <w:rPr>
                <w:rFonts w:ascii="Arial" w:cs="Arial" w:eastAsia="Arial" w:hAnsi="Arial"/>
                <w:sz w:val="14"/>
                <w:szCs w:val="14"/>
                <w:color w:val="auto"/>
              </w:rPr>
              <w:t>32.2</w:t>
            </w:r>
          </w:p>
        </w:tc>
        <w:tc>
          <w:tcPr>
            <w:tcW w:w="4140" w:type="dxa"/>
            <w:vAlign w:val="bottom"/>
            <w:gridSpan w:val="20"/>
          </w:tcPr>
          <w:p>
            <w:pPr>
              <w:spacing w:after="0" w:line="142" w:lineRule="exact"/>
              <w:rPr>
                <w:rFonts w:ascii="Arial" w:cs="Arial" w:eastAsia="Arial" w:hAnsi="Arial"/>
                <w:sz w:val="14"/>
                <w:szCs w:val="14"/>
                <w:color w:val="0000FF"/>
              </w:rPr>
            </w:pPr>
            <w:hyperlink w:anchor="page104">
              <w:r>
                <w:rPr>
                  <w:rFonts w:ascii="Arial" w:cs="Arial" w:eastAsia="Arial" w:hAnsi="Arial"/>
                  <w:sz w:val="14"/>
                  <w:szCs w:val="14"/>
                  <w:color w:val="0000FF"/>
                </w:rPr>
                <w:t>or Rule 15d-14(b) of the Securities Exchange Act of 1934 and 18</w:t>
              </w:r>
            </w:hyperlink>
          </w:p>
        </w:tc>
        <w:tc>
          <w:tcPr>
            <w:tcW w:w="0" w:type="dxa"/>
            <w:vAlign w:val="bottom"/>
          </w:tcPr>
          <w:p>
            <w:pPr>
              <w:spacing w:after="0"/>
              <w:rPr>
                <w:sz w:val="1"/>
                <w:szCs w:val="1"/>
                <w:color w:val="auto"/>
              </w:rPr>
            </w:pPr>
          </w:p>
        </w:tc>
      </w:tr>
      <w:tr>
        <w:trPr>
          <w:trHeight w:val="90"/>
        </w:trPr>
        <w:tc>
          <w:tcPr>
            <w:tcW w:w="1080" w:type="dxa"/>
            <w:vAlign w:val="bottom"/>
            <w:vMerge w:val="continue"/>
          </w:tcPr>
          <w:p>
            <w:pPr>
              <w:spacing w:after="0"/>
              <w:rPr>
                <w:sz w:val="7"/>
                <w:szCs w:val="7"/>
                <w:color w:val="auto"/>
              </w:rPr>
            </w:pPr>
          </w:p>
        </w:tc>
        <w:tc>
          <w:tcPr>
            <w:tcW w:w="4120" w:type="dxa"/>
            <w:vAlign w:val="bottom"/>
            <w:tcBorders>
              <w:top w:val="single" w:sz="8" w:color="0000FF"/>
            </w:tcBorders>
            <w:gridSpan w:val="19"/>
            <w:vMerge w:val="restart"/>
          </w:tcPr>
          <w:p>
            <w:pPr>
              <w:spacing w:after="0" w:line="142" w:lineRule="exact"/>
              <w:rPr>
                <w:rFonts w:ascii="Arial" w:cs="Arial" w:eastAsia="Arial" w:hAnsi="Arial"/>
                <w:sz w:val="14"/>
                <w:szCs w:val="14"/>
                <w:color w:val="0000FF"/>
              </w:rPr>
            </w:pPr>
            <w:hyperlink w:anchor="page104">
              <w:r>
                <w:rPr>
                  <w:rFonts w:ascii="Arial" w:cs="Arial" w:eastAsia="Arial" w:hAnsi="Arial"/>
                  <w:sz w:val="14"/>
                  <w:szCs w:val="14"/>
                  <w:color w:val="0000FF"/>
                </w:rPr>
                <w:t>U.S.C. Section 1350 as adopted pursuant to Section 906 of The</w:t>
              </w:r>
            </w:hyperlink>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4120" w:type="dxa"/>
            <w:vAlign w:val="bottom"/>
            <w:gridSpan w:val="19"/>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84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rPr>
            </w:pPr>
            <w:hyperlink w:anchor="page104">
              <w:r>
                <w:rPr>
                  <w:rFonts w:ascii="Arial" w:cs="Arial" w:eastAsia="Arial" w:hAnsi="Arial"/>
                  <w:sz w:val="14"/>
                  <w:szCs w:val="14"/>
                  <w:color w:val="0000FF"/>
                </w:rPr>
                <w:t>Sarbanes-Oxley Act of 2002.</w:t>
              </w:r>
            </w:hyperlink>
          </w:p>
        </w:tc>
        <w:tc>
          <w:tcPr>
            <w:tcW w:w="2220" w:type="dxa"/>
            <w:vAlign w:val="bottom"/>
            <w:tcBorders>
              <w:top w:val="single" w:sz="8" w:color="0000FF"/>
            </w:tcBorders>
            <w:gridSpan w:val="13"/>
          </w:tcPr>
          <w:p>
            <w:pPr>
              <w:spacing w:after="0"/>
              <w:rPr>
                <w:sz w:val="12"/>
                <w:szCs w:val="12"/>
                <w:color w:val="auto"/>
              </w:rPr>
            </w:pPr>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538"/>
        </w:trPr>
        <w:tc>
          <w:tcPr>
            <w:tcW w:w="1080" w:type="dxa"/>
            <w:vAlign w:val="bottom"/>
          </w:tcPr>
          <w:p>
            <w:pPr>
              <w:spacing w:after="0"/>
              <w:rPr>
                <w:sz w:val="24"/>
                <w:szCs w:val="24"/>
                <w:color w:val="auto"/>
              </w:rPr>
            </w:pPr>
          </w:p>
        </w:tc>
        <w:tc>
          <w:tcPr>
            <w:tcW w:w="4140" w:type="dxa"/>
            <w:vAlign w:val="bottom"/>
            <w:gridSpan w:val="20"/>
          </w:tcPr>
          <w:p>
            <w:pPr>
              <w:spacing w:after="0"/>
              <w:rPr>
                <w:sz w:val="20"/>
                <w:szCs w:val="20"/>
                <w:color w:val="auto"/>
              </w:rPr>
            </w:pPr>
            <w:r>
              <w:rPr>
                <w:rFonts w:ascii="Arial" w:cs="Arial" w:eastAsia="Arial" w:hAnsi="Arial"/>
                <w:sz w:val="14"/>
                <w:szCs w:val="14"/>
                <w:color w:val="auto"/>
              </w:rPr>
              <w:t>Inline XBRL Instance Document - the instance document does</w:t>
            </w:r>
          </w:p>
        </w:tc>
        <w:tc>
          <w:tcPr>
            <w:tcW w:w="0" w:type="dxa"/>
            <w:vAlign w:val="bottom"/>
          </w:tcPr>
          <w:p>
            <w:pPr>
              <w:spacing w:after="0"/>
              <w:rPr>
                <w:sz w:val="1"/>
                <w:szCs w:val="1"/>
                <w:color w:val="auto"/>
              </w:rPr>
            </w:pPr>
          </w:p>
        </w:tc>
      </w:tr>
      <w:tr>
        <w:trPr>
          <w:trHeight w:val="162"/>
        </w:trPr>
        <w:tc>
          <w:tcPr>
            <w:tcW w:w="1080" w:type="dxa"/>
            <w:vAlign w:val="bottom"/>
          </w:tcPr>
          <w:p>
            <w:pPr>
              <w:jc w:val="center"/>
              <w:ind w:right="408"/>
              <w:spacing w:after="0"/>
              <w:rPr>
                <w:sz w:val="20"/>
                <w:szCs w:val="20"/>
                <w:color w:val="auto"/>
              </w:rPr>
            </w:pPr>
            <w:r>
              <w:rPr>
                <w:rFonts w:ascii="Arial" w:cs="Arial" w:eastAsia="Arial" w:hAnsi="Arial"/>
                <w:sz w:val="14"/>
                <w:szCs w:val="14"/>
                <w:color w:val="auto"/>
              </w:rPr>
              <w:t>101.INS</w:t>
            </w:r>
          </w:p>
        </w:tc>
        <w:tc>
          <w:tcPr>
            <w:tcW w:w="4140" w:type="dxa"/>
            <w:vAlign w:val="bottom"/>
            <w:gridSpan w:val="20"/>
          </w:tcPr>
          <w:p>
            <w:pPr>
              <w:spacing w:after="0"/>
              <w:rPr>
                <w:sz w:val="20"/>
                <w:szCs w:val="20"/>
                <w:color w:val="auto"/>
              </w:rPr>
            </w:pPr>
            <w:r>
              <w:rPr>
                <w:rFonts w:ascii="Arial" w:cs="Arial" w:eastAsia="Arial" w:hAnsi="Arial"/>
                <w:sz w:val="14"/>
                <w:szCs w:val="14"/>
                <w:color w:val="auto"/>
              </w:rPr>
              <w:t>not appear in the Interactive Data File because its XBRL tags are</w:t>
            </w:r>
          </w:p>
        </w:tc>
        <w:tc>
          <w:tcPr>
            <w:tcW w:w="0" w:type="dxa"/>
            <w:vAlign w:val="bottom"/>
          </w:tcPr>
          <w:p>
            <w:pPr>
              <w:spacing w:after="0"/>
              <w:rPr>
                <w:sz w:val="1"/>
                <w:szCs w:val="1"/>
                <w:color w:val="auto"/>
              </w:rPr>
            </w:pPr>
          </w:p>
        </w:tc>
      </w:tr>
      <w:tr>
        <w:trPr>
          <w:trHeight w:val="172"/>
        </w:trPr>
        <w:tc>
          <w:tcPr>
            <w:tcW w:w="1080" w:type="dxa"/>
            <w:vAlign w:val="bottom"/>
          </w:tcPr>
          <w:p>
            <w:pPr>
              <w:spacing w:after="0"/>
              <w:rPr>
                <w:sz w:val="14"/>
                <w:szCs w:val="14"/>
                <w:color w:val="auto"/>
              </w:rPr>
            </w:pPr>
          </w:p>
        </w:tc>
        <w:tc>
          <w:tcPr>
            <w:tcW w:w="4140" w:type="dxa"/>
            <w:vAlign w:val="bottom"/>
            <w:gridSpan w:val="20"/>
          </w:tcPr>
          <w:p>
            <w:pPr>
              <w:spacing w:after="0"/>
              <w:rPr>
                <w:sz w:val="20"/>
                <w:szCs w:val="20"/>
                <w:color w:val="auto"/>
              </w:rPr>
            </w:pPr>
            <w:r>
              <w:rPr>
                <w:rFonts w:ascii="Arial" w:cs="Arial" w:eastAsia="Arial" w:hAnsi="Arial"/>
                <w:sz w:val="14"/>
                <w:szCs w:val="14"/>
                <w:color w:val="auto"/>
              </w:rPr>
              <w:t>embedded within the Inline XBRL document.</w:t>
            </w:r>
          </w:p>
        </w:tc>
        <w:tc>
          <w:tcPr>
            <w:tcW w:w="0" w:type="dxa"/>
            <w:vAlign w:val="bottom"/>
          </w:tcPr>
          <w:p>
            <w:pPr>
              <w:spacing w:after="0"/>
              <w:rPr>
                <w:sz w:val="1"/>
                <w:szCs w:val="1"/>
                <w:color w:val="auto"/>
              </w:rPr>
            </w:pPr>
          </w:p>
        </w:tc>
      </w:tr>
      <w:tr>
        <w:trPr>
          <w:trHeight w:val="567"/>
        </w:trPr>
        <w:tc>
          <w:tcPr>
            <w:tcW w:w="1080" w:type="dxa"/>
            <w:vAlign w:val="bottom"/>
          </w:tcPr>
          <w:p>
            <w:pPr>
              <w:jc w:val="center"/>
              <w:ind w:right="428"/>
              <w:spacing w:after="0"/>
              <w:rPr>
                <w:sz w:val="20"/>
                <w:szCs w:val="20"/>
                <w:color w:val="auto"/>
              </w:rPr>
            </w:pPr>
            <w:r>
              <w:rPr>
                <w:rFonts w:ascii="Arial" w:cs="Arial" w:eastAsia="Arial" w:hAnsi="Arial"/>
                <w:sz w:val="14"/>
                <w:szCs w:val="14"/>
                <w:color w:val="auto"/>
              </w:rPr>
              <w:t>101.SCH</w:t>
            </w:r>
          </w:p>
        </w:tc>
        <w:tc>
          <w:tcPr>
            <w:tcW w:w="4140" w:type="dxa"/>
            <w:vAlign w:val="bottom"/>
            <w:gridSpan w:val="20"/>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557"/>
        </w:trPr>
        <w:tc>
          <w:tcPr>
            <w:tcW w:w="10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101.CAL</w:t>
            </w:r>
          </w:p>
        </w:tc>
        <w:tc>
          <w:tcPr>
            <w:tcW w:w="4140" w:type="dxa"/>
            <w:vAlign w:val="bottom"/>
            <w:gridSpan w:val="20"/>
          </w:tcPr>
          <w:p>
            <w:pPr>
              <w:spacing w:after="0"/>
              <w:rPr>
                <w:sz w:val="20"/>
                <w:szCs w:val="20"/>
                <w:color w:val="auto"/>
              </w:rPr>
            </w:pPr>
            <w:r>
              <w:rPr>
                <w:rFonts w:ascii="Arial" w:cs="Arial" w:eastAsia="Arial" w:hAnsi="Arial"/>
                <w:sz w:val="14"/>
                <w:szCs w:val="14"/>
                <w:color w:val="auto"/>
              </w:rPr>
              <w:t>Inline XBRL Taxonomy Extension Calculation Linkbase</w:t>
            </w:r>
          </w:p>
        </w:tc>
        <w:tc>
          <w:tcPr>
            <w:tcW w:w="0" w:type="dxa"/>
            <w:vAlign w:val="bottom"/>
          </w:tcPr>
          <w:p>
            <w:pPr>
              <w:spacing w:after="0"/>
              <w:rPr>
                <w:sz w:val="1"/>
                <w:szCs w:val="1"/>
                <w:color w:val="auto"/>
              </w:rPr>
            </w:pPr>
          </w:p>
        </w:tc>
      </w:tr>
      <w:tr>
        <w:trPr>
          <w:trHeight w:val="91"/>
        </w:trPr>
        <w:tc>
          <w:tcPr>
            <w:tcW w:w="1080" w:type="dxa"/>
            <w:vAlign w:val="bottom"/>
            <w:vMerge w:val="continue"/>
          </w:tcPr>
          <w:p>
            <w:pPr>
              <w:spacing w:after="0"/>
              <w:rPr>
                <w:sz w:val="7"/>
                <w:szCs w:val="7"/>
                <w:color w:val="auto"/>
              </w:rPr>
            </w:pPr>
          </w:p>
        </w:tc>
        <w:tc>
          <w:tcPr>
            <w:tcW w:w="4140" w:type="dxa"/>
            <w:vAlign w:val="bottom"/>
            <w:gridSpan w:val="20"/>
            <w:vMerge w:val="restart"/>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4140" w:type="dxa"/>
            <w:vAlign w:val="bottom"/>
            <w:gridSpan w:val="2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7"/>
        </w:trPr>
        <w:tc>
          <w:tcPr>
            <w:tcW w:w="1080" w:type="dxa"/>
            <w:vAlign w:val="bottom"/>
          </w:tcPr>
          <w:p>
            <w:pPr>
              <w:jc w:val="center"/>
              <w:ind w:right="428"/>
              <w:spacing w:after="0"/>
              <w:rPr>
                <w:sz w:val="20"/>
                <w:szCs w:val="20"/>
                <w:color w:val="auto"/>
              </w:rPr>
            </w:pPr>
            <w:r>
              <w:rPr>
                <w:rFonts w:ascii="Arial" w:cs="Arial" w:eastAsia="Arial" w:hAnsi="Arial"/>
                <w:sz w:val="14"/>
                <w:szCs w:val="14"/>
                <w:color w:val="auto"/>
              </w:rPr>
              <w:t>101.DEF</w:t>
            </w:r>
          </w:p>
        </w:tc>
        <w:tc>
          <w:tcPr>
            <w:tcW w:w="4140" w:type="dxa"/>
            <w:vAlign w:val="bottom"/>
            <w:gridSpan w:val="20"/>
          </w:tcPr>
          <w:p>
            <w:pPr>
              <w:spacing w:after="0"/>
              <w:rPr>
                <w:sz w:val="20"/>
                <w:szCs w:val="20"/>
                <w:color w:val="auto"/>
              </w:rPr>
            </w:pPr>
            <w:r>
              <w:rPr>
                <w:rFonts w:ascii="Arial" w:cs="Arial" w:eastAsia="Arial" w:hAnsi="Arial"/>
                <w:sz w:val="14"/>
                <w:szCs w:val="14"/>
                <w:color w:val="auto"/>
              </w:rPr>
              <w:t>Inline XBRL Taxonomy Extension Definition Linkbase</w:t>
            </w:r>
          </w:p>
        </w:tc>
        <w:tc>
          <w:tcPr>
            <w:tcW w:w="0" w:type="dxa"/>
            <w:vAlign w:val="bottom"/>
          </w:tcPr>
          <w:p>
            <w:pPr>
              <w:spacing w:after="0"/>
              <w:rPr>
                <w:sz w:val="1"/>
                <w:szCs w:val="1"/>
                <w:color w:val="auto"/>
              </w:rPr>
            </w:pPr>
          </w:p>
        </w:tc>
      </w:tr>
      <w:tr>
        <w:trPr>
          <w:trHeight w:val="594"/>
        </w:trPr>
        <w:tc>
          <w:tcPr>
            <w:tcW w:w="1080" w:type="dxa"/>
            <w:vAlign w:val="bottom"/>
          </w:tcPr>
          <w:p>
            <w:pPr>
              <w:jc w:val="center"/>
              <w:ind w:right="428"/>
              <w:spacing w:after="0"/>
              <w:rPr>
                <w:sz w:val="20"/>
                <w:szCs w:val="20"/>
                <w:color w:val="auto"/>
              </w:rPr>
            </w:pPr>
            <w:r>
              <w:rPr>
                <w:rFonts w:ascii="Arial" w:cs="Arial" w:eastAsia="Arial" w:hAnsi="Arial"/>
                <w:sz w:val="14"/>
                <w:szCs w:val="14"/>
                <w:color w:val="auto"/>
              </w:rPr>
              <w:t>101.LAB</w:t>
            </w:r>
          </w:p>
        </w:tc>
        <w:tc>
          <w:tcPr>
            <w:tcW w:w="4140" w:type="dxa"/>
            <w:vAlign w:val="bottom"/>
            <w:gridSpan w:val="20"/>
          </w:tcPr>
          <w:p>
            <w:pPr>
              <w:spacing w:after="0"/>
              <w:rPr>
                <w:sz w:val="20"/>
                <w:szCs w:val="20"/>
                <w:color w:val="auto"/>
              </w:rPr>
            </w:pPr>
            <w:r>
              <w:rPr>
                <w:rFonts w:ascii="Arial" w:cs="Arial" w:eastAsia="Arial" w:hAnsi="Arial"/>
                <w:sz w:val="14"/>
                <w:szCs w:val="14"/>
                <w:color w:val="auto"/>
              </w:rPr>
              <w:t>Inline XBRL Taxonomy Extension Labels Linkbase Document</w:t>
            </w:r>
          </w:p>
        </w:tc>
        <w:tc>
          <w:tcPr>
            <w:tcW w:w="0" w:type="dxa"/>
            <w:vAlign w:val="bottom"/>
          </w:tcPr>
          <w:p>
            <w:pPr>
              <w:spacing w:after="0"/>
              <w:rPr>
                <w:sz w:val="1"/>
                <w:szCs w:val="1"/>
                <w:color w:val="auto"/>
              </w:rPr>
            </w:pPr>
          </w:p>
        </w:tc>
      </w:tr>
      <w:tr>
        <w:trPr>
          <w:trHeight w:val="557"/>
        </w:trPr>
        <w:tc>
          <w:tcPr>
            <w:tcW w:w="1080" w:type="dxa"/>
            <w:vAlign w:val="bottom"/>
            <w:vMerge w:val="restart"/>
          </w:tcPr>
          <w:p>
            <w:pPr>
              <w:jc w:val="center"/>
              <w:ind w:right="428"/>
              <w:spacing w:after="0"/>
              <w:rPr>
                <w:sz w:val="20"/>
                <w:szCs w:val="20"/>
                <w:color w:val="auto"/>
              </w:rPr>
            </w:pPr>
            <w:r>
              <w:rPr>
                <w:rFonts w:ascii="Arial" w:cs="Arial" w:eastAsia="Arial" w:hAnsi="Arial"/>
                <w:sz w:val="14"/>
                <w:szCs w:val="14"/>
                <w:color w:val="auto"/>
              </w:rPr>
              <w:t>101.PRE</w:t>
            </w:r>
          </w:p>
        </w:tc>
        <w:tc>
          <w:tcPr>
            <w:tcW w:w="4140" w:type="dxa"/>
            <w:vAlign w:val="bottom"/>
            <w:gridSpan w:val="20"/>
          </w:tcPr>
          <w:p>
            <w:pPr>
              <w:spacing w:after="0"/>
              <w:rPr>
                <w:sz w:val="20"/>
                <w:szCs w:val="20"/>
                <w:color w:val="auto"/>
              </w:rPr>
            </w:pPr>
            <w:r>
              <w:rPr>
                <w:rFonts w:ascii="Arial" w:cs="Arial" w:eastAsia="Arial" w:hAnsi="Arial"/>
                <w:sz w:val="14"/>
                <w:szCs w:val="14"/>
                <w:color w:val="auto"/>
              </w:rPr>
              <w:t>Inline XBRL Taxonomy Extension Presentation Linkbase</w:t>
            </w:r>
          </w:p>
        </w:tc>
        <w:tc>
          <w:tcPr>
            <w:tcW w:w="0" w:type="dxa"/>
            <w:vAlign w:val="bottom"/>
          </w:tcPr>
          <w:p>
            <w:pPr>
              <w:spacing w:after="0"/>
              <w:rPr>
                <w:sz w:val="1"/>
                <w:szCs w:val="1"/>
                <w:color w:val="auto"/>
              </w:rPr>
            </w:pPr>
          </w:p>
        </w:tc>
      </w:tr>
      <w:tr>
        <w:trPr>
          <w:trHeight w:val="91"/>
        </w:trPr>
        <w:tc>
          <w:tcPr>
            <w:tcW w:w="1080" w:type="dxa"/>
            <w:vAlign w:val="bottom"/>
            <w:vMerge w:val="continue"/>
          </w:tcPr>
          <w:p>
            <w:pPr>
              <w:spacing w:after="0"/>
              <w:rPr>
                <w:sz w:val="7"/>
                <w:szCs w:val="7"/>
                <w:color w:val="auto"/>
              </w:rPr>
            </w:pPr>
          </w:p>
        </w:tc>
        <w:tc>
          <w:tcPr>
            <w:tcW w:w="4140" w:type="dxa"/>
            <w:vAlign w:val="bottom"/>
            <w:gridSpan w:val="20"/>
            <w:vMerge w:val="restart"/>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4140" w:type="dxa"/>
            <w:vAlign w:val="bottom"/>
            <w:gridSpan w:val="20"/>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ind w:left="1165" w:right="100" w:hanging="1165"/>
        <w:spacing w:after="0" w:line="183" w:lineRule="auto"/>
        <w:tabs>
          <w:tab w:leader="none" w:pos="1165" w:val="left"/>
        </w:tabs>
        <w:numPr>
          <w:ilvl w:val="0"/>
          <w:numId w:val="27"/>
        </w:numPr>
        <w:rPr>
          <w:rFonts w:ascii="Arial" w:cs="Arial" w:eastAsia="Arial" w:hAnsi="Arial"/>
          <w:sz w:val="25"/>
          <w:szCs w:val="25"/>
          <w:color w:val="auto"/>
          <w:vertAlign w:val="subscript"/>
        </w:rPr>
      </w:pPr>
      <w:r>
        <w:rPr>
          <w:rFonts w:ascii="Arial" w:cs="Arial" w:eastAsia="Arial" w:hAnsi="Arial"/>
          <w:sz w:val="13"/>
          <w:szCs w:val="13"/>
          <w:color w:val="auto"/>
        </w:rPr>
        <w:t>Cover Page Interactive Data File - formatted in Inline XBRL and included as Exhibit 101</w:t>
      </w:r>
    </w:p>
    <w:p>
      <w:pPr>
        <w:spacing w:after="0" w:line="369" w:lineRule="exact"/>
        <w:rPr>
          <w:sz w:val="20"/>
          <w:szCs w:val="20"/>
          <w:color w:val="auto"/>
        </w:rPr>
      </w:pPr>
    </w:p>
    <w:p>
      <w:pPr>
        <w:ind w:left="1165" w:right="420" w:hanging="355"/>
        <w:spacing w:after="0" w:line="258" w:lineRule="auto"/>
        <w:tabs>
          <w:tab w:leader="none" w:pos="1165"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32" w:lineRule="exact"/>
        <w:rPr>
          <w:sz w:val="20"/>
          <w:szCs w:val="20"/>
          <w:color w:val="auto"/>
        </w:rPr>
      </w:pPr>
    </w:p>
    <w:p>
      <w:pPr>
        <w:jc w:val="both"/>
        <w:ind w:left="1165" w:right="40" w:hanging="355"/>
        <w:spacing w:after="0" w:line="250" w:lineRule="auto"/>
        <w:tabs>
          <w:tab w:leader="none" w:pos="1165" w:val="left"/>
        </w:tabs>
        <w:numPr>
          <w:ilvl w:val="0"/>
          <w:numId w:val="29"/>
        </w:numPr>
        <w:rPr>
          <w:rFonts w:ascii="Arial" w:cs="Arial" w:eastAsia="Arial" w:hAnsi="Arial"/>
          <w:sz w:val="14"/>
          <w:szCs w:val="14"/>
          <w:color w:val="auto"/>
        </w:rPr>
      </w:pPr>
      <w:r>
        <w:rPr>
          <w:rFonts w:ascii="Arial" w:cs="Arial" w:eastAsia="Arial" w:hAnsi="Arial"/>
          <w:sz w:val="14"/>
          <w:szCs w:val="14"/>
          <w:color w:val="auto"/>
        </w:rPr>
        <w:t>Portions of this exhibit have been omitted due to a determination by the Securities and Exchange Commission that these portions should be granted confidential treatment.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333-182027</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10.15</w:t>
            </w:r>
          </w:p>
        </w:tc>
        <w:tc>
          <w:tcPr>
            <w:tcW w:w="1560" w:type="dxa"/>
            <w:vAlign w:val="bottom"/>
          </w:tcPr>
          <w:p>
            <w:pPr>
              <w:ind w:left="260"/>
              <w:spacing w:after="0"/>
              <w:rPr>
                <w:sz w:val="20"/>
                <w:szCs w:val="20"/>
                <w:color w:val="auto"/>
              </w:rPr>
            </w:pPr>
            <w:r>
              <w:rPr>
                <w:rFonts w:ascii="Arial" w:cs="Arial" w:eastAsia="Arial" w:hAnsi="Arial"/>
                <w:sz w:val="14"/>
                <w:szCs w:val="14"/>
                <w:color w:val="auto"/>
              </w:rPr>
              <w:t>September 12, 2012</w:t>
            </w:r>
          </w:p>
        </w:tc>
      </w:tr>
      <w:tr>
        <w:trPr>
          <w:trHeight w:val="648"/>
        </w:trPr>
        <w:tc>
          <w:tcPr>
            <w:tcW w:w="68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333-182027</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10.16</w:t>
            </w:r>
          </w:p>
        </w:tc>
        <w:tc>
          <w:tcPr>
            <w:tcW w:w="1560" w:type="dxa"/>
            <w:vAlign w:val="bottom"/>
          </w:tcPr>
          <w:p>
            <w:pPr>
              <w:ind w:left="260"/>
              <w:spacing w:after="0"/>
              <w:rPr>
                <w:sz w:val="20"/>
                <w:szCs w:val="20"/>
                <w:color w:val="auto"/>
              </w:rPr>
            </w:pPr>
            <w:r>
              <w:rPr>
                <w:rFonts w:ascii="Arial" w:cs="Arial" w:eastAsia="Arial" w:hAnsi="Arial"/>
                <w:sz w:val="14"/>
                <w:szCs w:val="14"/>
                <w:color w:val="auto"/>
              </w:rPr>
              <w:t>September 12, 2012</w:t>
            </w:r>
          </w:p>
        </w:tc>
      </w:tr>
    </w:tbl>
    <w:p>
      <w:pPr>
        <w:spacing w:after="0" w:line="11632" w:lineRule="exact"/>
        <w:rPr>
          <w:sz w:val="20"/>
          <w:szCs w:val="20"/>
          <w:color w:val="auto"/>
        </w:rPr>
      </w:pPr>
    </w:p>
    <w:p>
      <w:pPr>
        <w:sectPr>
          <w:pgSz w:w="11900" w:h="16838" w:orient="portrait"/>
          <w:cols w:equalWidth="0" w:num="3">
            <w:col w:w="5305" w:space="460"/>
            <w:col w:w="180" w:space="720"/>
            <w:col w:w="4400"/>
          </w:cols>
          <w:pgMar w:left="275" w:top="12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04"/>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065"/>
          </w:cols>
          <w:pgMar w:left="275" w:top="127" w:right="559" w:bottom="1440" w:gutter="0" w:footer="0" w:header="0"/>
          <w:type w:val="continuous"/>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in the City of Foster City, State of California on February 21, 2020.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QUALYS, INC.</w:t>
      </w:r>
    </w:p>
    <w:p>
      <w:pPr>
        <w:spacing w:after="0" w:line="171" w:lineRule="exact"/>
        <w:rPr>
          <w:sz w:val="20"/>
          <w:szCs w:val="20"/>
          <w:color w:val="auto"/>
        </w:rPr>
      </w:pPr>
    </w:p>
    <w:p>
      <w:pPr>
        <w:ind w:left="7660"/>
        <w:spacing w:after="0"/>
        <w:tabs>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PHILIPPE F. COURTOT</w:t>
      </w:r>
    </w:p>
    <w:p>
      <w:pPr>
        <w:spacing w:after="0" w:line="50"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Philippe F. Courtot</w:t>
      </w:r>
    </w:p>
    <w:p>
      <w:pPr>
        <w:spacing w:after="0" w:line="45"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Chairman and Chief Executive</w:t>
      </w:r>
    </w:p>
    <w:p>
      <w:pPr>
        <w:ind w:left="8740"/>
        <w:spacing w:after="0"/>
        <w:rPr>
          <w:sz w:val="20"/>
          <w:szCs w:val="20"/>
          <w:color w:val="auto"/>
        </w:rPr>
      </w:pPr>
      <w:r>
        <w:rPr>
          <w:rFonts w:ascii="Arial" w:cs="Arial" w:eastAsia="Arial" w:hAnsi="Arial"/>
          <w:sz w:val="18"/>
          <w:szCs w:val="18"/>
          <w:color w:val="auto"/>
        </w:rPr>
        <w:t>Officer</w:t>
      </w:r>
    </w:p>
    <w:p>
      <w:pPr>
        <w:spacing w:after="0" w:line="50"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00"/>
          </w:cols>
          <w:pgMar w:left="240" w:top="141" w:right="35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358" w:lineRule="exact"/>
        <w:rPr>
          <w:sz w:val="20"/>
          <w:szCs w:val="20"/>
          <w:color w:val="auto"/>
        </w:rPr>
      </w:pPr>
    </w:p>
    <w:tbl>
      <w:tblPr>
        <w:tblLayout w:type="fixed"/>
        <w:tblInd w:w="1000" w:type="dxa"/>
        <w:tblCellMar>
          <w:top w:w="0" w:type="dxa"/>
          <w:left w:w="0" w:type="dxa"/>
          <w:bottom w:w="0" w:type="dxa"/>
          <w:right w:w="0" w:type="dxa"/>
        </w:tblCellMar>
      </w:tblPr>
      <w:tr>
        <w:trPr>
          <w:trHeight w:val="217"/>
        </w:trPr>
        <w:tc>
          <w:tcPr>
            <w:tcW w:w="2740" w:type="dxa"/>
            <w:vAlign w:val="bottom"/>
          </w:tcPr>
          <w:p>
            <w:pPr>
              <w:ind w:left="20"/>
              <w:spacing w:after="0"/>
              <w:rPr>
                <w:sz w:val="20"/>
                <w:szCs w:val="20"/>
                <w:color w:val="auto"/>
              </w:rPr>
            </w:pPr>
            <w:r>
              <w:rPr>
                <w:rFonts w:ascii="Arial" w:cs="Arial" w:eastAsia="Arial" w:hAnsi="Arial"/>
                <w:sz w:val="18"/>
                <w:szCs w:val="18"/>
                <w:color w:val="auto"/>
              </w:rPr>
              <w:t>Signature</w:t>
            </w:r>
          </w:p>
        </w:tc>
        <w:tc>
          <w:tcPr>
            <w:tcW w:w="4340" w:type="dxa"/>
            <w:vAlign w:val="bottom"/>
          </w:tcPr>
          <w:p>
            <w:pPr>
              <w:ind w:left="2100"/>
              <w:spacing w:after="0"/>
              <w:rPr>
                <w:sz w:val="20"/>
                <w:szCs w:val="20"/>
                <w:color w:val="auto"/>
              </w:rPr>
            </w:pPr>
            <w:r>
              <w:rPr>
                <w:rFonts w:ascii="Arial" w:cs="Arial" w:eastAsia="Arial" w:hAnsi="Arial"/>
                <w:sz w:val="18"/>
                <w:szCs w:val="18"/>
                <w:color w:val="auto"/>
              </w:rPr>
              <w:t>Title</w:t>
            </w:r>
          </w:p>
        </w:tc>
        <w:tc>
          <w:tcPr>
            <w:tcW w:w="1560" w:type="dxa"/>
            <w:vAlign w:val="bottom"/>
          </w:tcPr>
          <w:p>
            <w:pPr>
              <w:ind w:left="80"/>
              <w:spacing w:after="0"/>
              <w:rPr>
                <w:sz w:val="20"/>
                <w:szCs w:val="20"/>
                <w:color w:val="auto"/>
              </w:rPr>
            </w:pPr>
            <w:r>
              <w:rPr>
                <w:rFonts w:ascii="Arial" w:cs="Arial" w:eastAsia="Arial" w:hAnsi="Arial"/>
                <w:sz w:val="18"/>
                <w:szCs w:val="18"/>
                <w:color w:val="auto"/>
              </w:rPr>
              <w:t>Date</w:t>
            </w:r>
          </w:p>
        </w:tc>
      </w:tr>
      <w:tr>
        <w:trPr>
          <w:trHeight w:val="499"/>
        </w:trPr>
        <w:tc>
          <w:tcPr>
            <w:tcW w:w="2740" w:type="dxa"/>
            <w:vAlign w:val="bottom"/>
          </w:tcPr>
          <w:p>
            <w:pPr>
              <w:spacing w:after="0"/>
              <w:rPr>
                <w:sz w:val="24"/>
                <w:szCs w:val="24"/>
                <w:color w:val="auto"/>
              </w:rPr>
            </w:pPr>
          </w:p>
        </w:tc>
        <w:tc>
          <w:tcPr>
            <w:tcW w:w="4340" w:type="dxa"/>
            <w:vAlign w:val="bottom"/>
          </w:tcPr>
          <w:p>
            <w:pPr>
              <w:ind w:left="2100"/>
              <w:spacing w:after="0"/>
              <w:rPr>
                <w:sz w:val="20"/>
                <w:szCs w:val="20"/>
                <w:color w:val="auto"/>
              </w:rPr>
            </w:pPr>
            <w:r>
              <w:rPr>
                <w:rFonts w:ascii="Arial" w:cs="Arial" w:eastAsia="Arial" w:hAnsi="Arial"/>
                <w:sz w:val="18"/>
                <w:szCs w:val="18"/>
                <w:color w:val="auto"/>
              </w:rPr>
              <w:t>Chairman and Chief</w:t>
            </w:r>
          </w:p>
        </w:tc>
        <w:tc>
          <w:tcPr>
            <w:tcW w:w="156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4340" w:type="dxa"/>
            <w:vAlign w:val="bottom"/>
          </w:tcPr>
          <w:p>
            <w:pPr>
              <w:ind w:left="2100"/>
              <w:spacing w:after="0" w:line="202" w:lineRule="exact"/>
              <w:rPr>
                <w:sz w:val="20"/>
                <w:szCs w:val="20"/>
                <w:color w:val="auto"/>
              </w:rPr>
            </w:pPr>
            <w:r>
              <w:rPr>
                <w:rFonts w:ascii="Arial" w:cs="Arial" w:eastAsia="Arial" w:hAnsi="Arial"/>
                <w:sz w:val="18"/>
                <w:szCs w:val="18"/>
                <w:color w:val="auto"/>
              </w:rPr>
              <w:t>Executive Officer (principal</w:t>
            </w:r>
          </w:p>
        </w:tc>
        <w:tc>
          <w:tcPr>
            <w:tcW w:w="1560" w:type="dxa"/>
            <w:vAlign w:val="bottom"/>
          </w:tcPr>
          <w:p>
            <w:pPr>
              <w:spacing w:after="0"/>
              <w:rPr>
                <w:sz w:val="17"/>
                <w:szCs w:val="17"/>
                <w:color w:val="auto"/>
              </w:rPr>
            </w:pPr>
          </w:p>
        </w:tc>
      </w:tr>
      <w:tr>
        <w:trPr>
          <w:trHeight w:val="224"/>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PHILIPPE F. COURTOT</w:t>
            </w:r>
          </w:p>
        </w:tc>
        <w:tc>
          <w:tcPr>
            <w:tcW w:w="4340" w:type="dxa"/>
            <w:vAlign w:val="bottom"/>
          </w:tcPr>
          <w:p>
            <w:pPr>
              <w:ind w:left="2100"/>
              <w:spacing w:after="0"/>
              <w:rPr>
                <w:sz w:val="20"/>
                <w:szCs w:val="20"/>
                <w:color w:val="auto"/>
              </w:rPr>
            </w:pPr>
            <w:r>
              <w:rPr>
                <w:rFonts w:ascii="Arial" w:cs="Arial" w:eastAsia="Arial" w:hAnsi="Arial"/>
                <w:sz w:val="18"/>
                <w:szCs w:val="18"/>
                <w:color w:val="auto"/>
              </w:rPr>
              <w:t>executive officer)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21, 2020</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Philippe F. Courtot</w:t>
            </w:r>
          </w:p>
        </w:tc>
        <w:tc>
          <w:tcPr>
            <w:tcW w:w="43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499"/>
        </w:trPr>
        <w:tc>
          <w:tcPr>
            <w:tcW w:w="2740" w:type="dxa"/>
            <w:vAlign w:val="bottom"/>
          </w:tcPr>
          <w:p>
            <w:pPr>
              <w:spacing w:after="0"/>
              <w:rPr>
                <w:sz w:val="24"/>
                <w:szCs w:val="24"/>
                <w:color w:val="auto"/>
              </w:rPr>
            </w:pPr>
          </w:p>
        </w:tc>
        <w:tc>
          <w:tcPr>
            <w:tcW w:w="4340" w:type="dxa"/>
            <w:vAlign w:val="bottom"/>
          </w:tcPr>
          <w:p>
            <w:pPr>
              <w:ind w:left="2100"/>
              <w:spacing w:after="0"/>
              <w:rPr>
                <w:sz w:val="20"/>
                <w:szCs w:val="20"/>
                <w:color w:val="auto"/>
              </w:rPr>
            </w:pPr>
            <w:r>
              <w:rPr>
                <w:rFonts w:ascii="Arial" w:cs="Arial" w:eastAsia="Arial" w:hAnsi="Arial"/>
                <w:sz w:val="18"/>
                <w:szCs w:val="18"/>
                <w:color w:val="auto"/>
              </w:rPr>
              <w:t>Chief Financial Officer</w:t>
            </w:r>
          </w:p>
        </w:tc>
        <w:tc>
          <w:tcPr>
            <w:tcW w:w="1560" w:type="dxa"/>
            <w:vAlign w:val="bottom"/>
          </w:tcPr>
          <w:p>
            <w:pPr>
              <w:spacing w:after="0"/>
              <w:rPr>
                <w:sz w:val="24"/>
                <w:szCs w:val="24"/>
                <w:color w:val="auto"/>
              </w:rPr>
            </w:pPr>
          </w:p>
        </w:tc>
      </w:tr>
      <w:tr>
        <w:trPr>
          <w:trHeight w:val="224"/>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MELISSA B. FISHER</w:t>
            </w:r>
          </w:p>
        </w:tc>
        <w:tc>
          <w:tcPr>
            <w:tcW w:w="4340" w:type="dxa"/>
            <w:vAlign w:val="bottom"/>
          </w:tcPr>
          <w:p>
            <w:pPr>
              <w:ind w:left="2100"/>
              <w:spacing w:after="0"/>
              <w:rPr>
                <w:sz w:val="20"/>
                <w:szCs w:val="20"/>
                <w:color w:val="auto"/>
              </w:rPr>
            </w:pPr>
            <w:r>
              <w:rPr>
                <w:rFonts w:ascii="Arial" w:cs="Arial" w:eastAsia="Arial" w:hAnsi="Arial"/>
                <w:sz w:val="18"/>
                <w:szCs w:val="18"/>
                <w:color w:val="auto"/>
              </w:rPr>
              <w:t>(principal financial officer)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21, 2020</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Melissa B. Fisher</w:t>
            </w:r>
          </w:p>
        </w:tc>
        <w:tc>
          <w:tcPr>
            <w:tcW w:w="43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52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SANDRA E. BERGERON</w:t>
            </w:r>
          </w:p>
        </w:tc>
        <w:tc>
          <w:tcPr>
            <w:tcW w:w="434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21, 2020</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Sandra Bergeron</w:t>
            </w:r>
          </w:p>
        </w:tc>
        <w:tc>
          <w:tcPr>
            <w:tcW w:w="43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561"/>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P. HANK</w:t>
            </w:r>
          </w:p>
        </w:tc>
        <w:tc>
          <w:tcPr>
            <w:tcW w:w="434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21, 2020</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Jeffrey P. Hank</w:t>
            </w:r>
          </w:p>
        </w:tc>
        <w:tc>
          <w:tcPr>
            <w:tcW w:w="43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52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GENERAL PETER PACE</w:t>
            </w:r>
          </w:p>
        </w:tc>
        <w:tc>
          <w:tcPr>
            <w:tcW w:w="434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21, 2020</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General Peter Pace</w:t>
            </w:r>
          </w:p>
        </w:tc>
        <w:tc>
          <w:tcPr>
            <w:tcW w:w="43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52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KRISTI M. ROGERS</w:t>
            </w:r>
          </w:p>
        </w:tc>
        <w:tc>
          <w:tcPr>
            <w:tcW w:w="434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21, 2020</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Kristi M. Rogers</w:t>
            </w:r>
          </w:p>
        </w:tc>
        <w:tc>
          <w:tcPr>
            <w:tcW w:w="43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574"/>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WENDY M. PFEIFFER</w:t>
            </w:r>
          </w:p>
        </w:tc>
        <w:tc>
          <w:tcPr>
            <w:tcW w:w="434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21, 2020</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Wendy M. Pfeiffer</w:t>
            </w:r>
          </w:p>
        </w:tc>
        <w:tc>
          <w:tcPr>
            <w:tcW w:w="43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662"/>
        </w:trPr>
        <w:tc>
          <w:tcPr>
            <w:tcW w:w="2740" w:type="dxa"/>
            <w:vAlign w:val="bottom"/>
          </w:tcPr>
          <w:p>
            <w:pPr>
              <w:spacing w:after="0"/>
              <w:rPr>
                <w:sz w:val="24"/>
                <w:szCs w:val="24"/>
                <w:color w:val="auto"/>
              </w:rPr>
            </w:pPr>
          </w:p>
        </w:tc>
        <w:tc>
          <w:tcPr>
            <w:tcW w:w="4340" w:type="dxa"/>
            <w:vAlign w:val="bottom"/>
          </w:tcPr>
          <w:p>
            <w:pPr>
              <w:ind w:left="1880"/>
              <w:spacing w:after="0"/>
              <w:rPr>
                <w:sz w:val="20"/>
                <w:szCs w:val="20"/>
                <w:color w:val="auto"/>
              </w:rPr>
            </w:pPr>
            <w:r>
              <w:rPr>
                <w:rFonts w:ascii="Arial" w:cs="Arial" w:eastAsia="Arial" w:hAnsi="Arial"/>
                <w:sz w:val="18"/>
                <w:szCs w:val="18"/>
                <w:color w:val="auto"/>
              </w:rPr>
              <w:t>92</w:t>
            </w:r>
          </w:p>
        </w:tc>
        <w:tc>
          <w:tcPr>
            <w:tcW w:w="1560" w:type="dxa"/>
            <w:vAlign w:val="bottom"/>
          </w:tcPr>
          <w:p>
            <w:pPr>
              <w:spacing w:after="0"/>
              <w:rPr>
                <w:sz w:val="24"/>
                <w:szCs w:val="24"/>
                <w:color w:val="auto"/>
              </w:rPr>
            </w:pPr>
          </w:p>
        </w:tc>
      </w:tr>
    </w:tbl>
    <w:p>
      <w:pPr>
        <w:sectPr>
          <w:pgSz w:w="11900" w:h="16838" w:orient="portrait"/>
          <w:cols w:equalWidth="0" w:num="1">
            <w:col w:w="11240"/>
          </w:cols>
          <w:pgMar w:left="240" w:top="141" w:right="419" w:bottom="1440" w:gutter="0" w:footer="0" w:header="0"/>
        </w:sectPr>
      </w:pPr>
    </w:p>
    <w:bookmarkStart w:id="94" w:name="page95"/>
    <w:bookmarkEnd w:id="94"/>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83" w:lineRule="exact"/>
        <w:rPr>
          <w:sz w:val="20"/>
          <w:szCs w:val="20"/>
          <w:color w:val="auto"/>
        </w:rPr>
      </w:pPr>
    </w:p>
    <w:p>
      <w:pPr>
        <w:ind w:right="200" w:firstLine="648"/>
        <w:spacing w:after="0" w:line="219" w:lineRule="exact"/>
        <w:rPr>
          <w:sz w:val="20"/>
          <w:szCs w:val="20"/>
          <w:color w:val="auto"/>
        </w:rPr>
      </w:pPr>
      <w:r>
        <w:rPr>
          <w:rFonts w:ascii="Arial" w:cs="Arial" w:eastAsia="Arial" w:hAnsi="Arial"/>
          <w:sz w:val="17"/>
          <w:szCs w:val="17"/>
          <w:color w:val="auto"/>
        </w:rPr>
        <w:t>The following description of the common stock, par value $0.001 per share (“Common Stock”) of Qualys, Inc. (the “Company”) is based upon the Company’s amended and restated certificate of incorporation (the “Certificate of Incorporation”), the Company’s amended and restated bylaws (the “Bylaws”), and applicable provisions of law. The following description summarizes the most important terms of the Company’s Common Stock. For a complete description of the matters set forth in this exhibit, please refer to the Company’s Certificate of Incorporation and Bylaws, each of which is filed as an exhibit to 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which this exhibit is a part, and to the applicable provisions of Delaware law.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Under the Certificate of Incorporation, the Company’s authorized capital stock consists of 1,000,000,000 shares of Common Stock and 20,000,000 shares of undesignated preferred stock, $0.001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Common Stock Outstanding. </w:t>
      </w:r>
      <w:r>
        <w:rPr>
          <w:rFonts w:ascii="Arial" w:cs="Arial" w:eastAsia="Arial" w:hAnsi="Arial"/>
          <w:sz w:val="17"/>
          <w:szCs w:val="17"/>
          <w:color w:val="auto"/>
        </w:rPr>
        <w:t>The outstanding shares of Common Stock are duly authorized, validly issued, fully paid and nonassessable.</w:t>
      </w:r>
    </w:p>
    <w:p>
      <w:pPr>
        <w:spacing w:after="0" w:line="23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holder of Common Stock is entitled to one vote for each share held of record on the applicable record date on all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to a vote of stockholders, including the election of directors. Holders of Common Stock do not have cumulative voting rights in the election of directors.</w:t>
      </w:r>
    </w:p>
    <w:p>
      <w:pPr>
        <w:spacing w:after="0" w:line="222"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i w:val="1"/>
          <w:iCs w:val="1"/>
          <w:color w:val="auto"/>
        </w:rPr>
        <w:t xml:space="preserve">Dividend Rights. </w:t>
      </w:r>
      <w:r>
        <w:rPr>
          <w:rFonts w:ascii="Arial" w:cs="Arial" w:eastAsia="Arial" w:hAnsi="Arial"/>
          <w:sz w:val="17"/>
          <w:szCs w:val="17"/>
          <w:color w:val="auto"/>
        </w:rPr>
        <w:t>Subject to preferences that may be applicable to any then outstanding preferred stock, holders of Common Stock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dividends, if any, as may be declared from time to time by the Company’s board of directors out of legally available funds.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Rights upon Liquidation. </w:t>
      </w:r>
      <w:r>
        <w:rPr>
          <w:rFonts w:ascii="Arial" w:cs="Arial" w:eastAsia="Arial" w:hAnsi="Arial"/>
          <w:sz w:val="18"/>
          <w:szCs w:val="18"/>
          <w:color w:val="auto"/>
        </w:rPr>
        <w:t>In the event of a liquidation, dissolution or winding up of the Company, holders of Common Stock will be entitled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ratably in the net assets legally available for distribution to stockholders after the payment of all of the Company’s debts and other liabilities and the satisfaction of any liquidation preference granted to the holders of any then outstanding shares of preferred stock.</w:t>
      </w:r>
    </w:p>
    <w:p>
      <w:pPr>
        <w:spacing w:after="0" w:line="22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Other Rights. </w:t>
      </w:r>
      <w:r>
        <w:rPr>
          <w:rFonts w:ascii="Arial" w:cs="Arial" w:eastAsia="Arial" w:hAnsi="Arial"/>
          <w:sz w:val="17"/>
          <w:szCs w:val="17"/>
          <w:color w:val="auto"/>
        </w:rPr>
        <w:t>Holders of Common Stock have no preemptive, conversion, subscription or other rights, and there are no redemption or sinking fund</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applicable to Common Stock. The rights, preferences and privileges of the holders of Common Stock are subject to and may be adversely affected by, the rights of the holders of shares of any series of preferred stock that the Company may designate and issue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the Certificate of Incorporation, without further stockholder action, the Company’s board of directors is authorized to issue up to 20,000,000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preferred stock by the Company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43"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Certain provisions of Delaware law, the Certificate of Incorporation and the Bylaws may have the effect of delaying, deferring or discouraging another person from acquiring control of the Company. These provisions, which are summarized below, may have the effect of discouraging takeover bids. They are also designed, in part, to encourage persons seeking to acquire control of the Company to negotiate first with the Company’s board of directors.</w:t>
      </w:r>
    </w:p>
    <w:p>
      <w:pPr>
        <w:spacing w:after="0" w:line="14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The Company is governed by the provisions of Section 203 of the Delaware General Corporation Law, or Section 203. In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control.</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The Certificate of Incorporation and Bylaws authorize only the Company’s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the Company’s board of directors is permitted to be set only by a resolution adopted by a majority vote of the entire board of directors. These provisions would prevent a stockholder from increasing the size of the Company’s board of directors and then gaining control of the board of directors by filling the resulting vacancies with its own nominees. This makes it more difficult to change the composition of the Company’s board of directors but promotes continuity of management.</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The Certificate of Incorporation and Bylaws provide that the board is classified into three classes of directors. A third party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discouraged from making a tender offer or otherwise attempting to obtain control of the Company as it is more difficult and time consuming for stockholders to replace a majority of the directors on a classified board of directors.</w:t>
      </w:r>
    </w:p>
    <w:p>
      <w:pPr>
        <w:spacing w:after="0" w:line="18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Stockholder Action and Special Meeting of Stockholders</w:t>
      </w:r>
      <w:r>
        <w:rPr>
          <w:rFonts w:ascii="Arial" w:cs="Arial" w:eastAsia="Arial" w:hAnsi="Arial"/>
          <w:sz w:val="16"/>
          <w:szCs w:val="16"/>
          <w:color w:val="auto"/>
        </w:rPr>
        <w:t>. The Certificate of Incorporation provides that stockholders may not take action by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but may only take action at annual or special meetings of stockholders. As a result, a holder controlling a majority of the Company’s capital stock</w:t>
      </w:r>
    </w:p>
    <w:p>
      <w:pPr>
        <w:sectPr>
          <w:pgSz w:w="11900" w:h="16854" w:orient="portrait"/>
          <w:cols w:equalWidth="0" w:num="1">
            <w:col w:w="11420"/>
          </w:cols>
          <w:pgMar w:left="240" w:top="621" w:right="239" w:bottom="0" w:gutter="0" w:footer="0" w:header="0"/>
        </w:sectPr>
      </w:pPr>
    </w:p>
    <w:bookmarkStart w:id="95" w:name="page96"/>
    <w:bookmarkEnd w:id="95"/>
    <w:p>
      <w:pPr>
        <w:spacing w:after="0" w:line="257" w:lineRule="auto"/>
        <w:rPr>
          <w:sz w:val="20"/>
          <w:szCs w:val="20"/>
          <w:color w:val="auto"/>
        </w:rPr>
      </w:pPr>
      <w:r>
        <w:rPr>
          <w:rFonts w:ascii="Arial" w:cs="Arial" w:eastAsia="Arial" w:hAnsi="Arial"/>
          <w:sz w:val="18"/>
          <w:szCs w:val="18"/>
          <w:color w:val="auto"/>
        </w:rPr>
        <w:t>would not be able to amend the Bylaws or remove directors without holding a meeting of stockholders called in accordance with the Bylaws. The Bylaws further provide that special meetings of stockholders may be called only by a majority of the Company’s board of directors, the Chairman of the board of directors, the Company’s Chief Executive Officer or the Company’s President, thus prohibiting a stockholder from calling a special meeting. These provisions might delay the ability of stockholders to force consideration of a proposal or for stockholders controlling a majority of the Company’s capital stock to take any action, including the removal of directors.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The Bylaws provide advance notice procedures for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to bring business before an annual meeting of stockholders or to nominate candidates for election as directors at an annual meeting of stockholders. The Bylaws also specify certain requirements regarding the form and content of a stockholder’s notice. These provisions might preclude stockholders from bringing matters before an annual meeting of stockholders or from making nominations for directors at an annual meeting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The Certificate of Incorporation provides that stockholders may remove directors only for cause.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Any amendment of the above provisions in the Certificate of Incorporation would require approval by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two-thirds of the Company’s then outstanding Common Stock.</w:t>
      </w:r>
    </w:p>
    <w:p>
      <w:pPr>
        <w:sectPr>
          <w:pgSz w:w="11900" w:h="16838" w:orient="portrait"/>
          <w:cols w:equalWidth="0" w:num="1">
            <w:col w:w="11400"/>
          </w:cols>
          <w:pgMar w:left="240" w:top="125" w:right="259" w:bottom="1440" w:gutter="0" w:footer="0" w:header="0"/>
        </w:sectPr>
      </w:pPr>
    </w:p>
    <w:bookmarkStart w:id="96" w:name="page97"/>
    <w:bookmarkEnd w:id="96"/>
    <w:p>
      <w:pPr>
        <w:ind w:left="5560"/>
        <w:spacing w:after="0"/>
        <w:rPr>
          <w:sz w:val="20"/>
          <w:szCs w:val="20"/>
          <w:color w:val="auto"/>
        </w:rPr>
      </w:pPr>
      <w:r>
        <w:rPr>
          <w:rFonts w:ascii="Arial" w:cs="Arial" w:eastAsia="Arial" w:hAnsi="Arial"/>
          <w:sz w:val="18"/>
          <w:szCs w:val="18"/>
          <w:color w:val="auto"/>
        </w:rPr>
        <w:t>Exhibit 21.1</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List of subsidiaries of Qualys, Inc.</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ind w:left="80"/>
              <w:spacing w:after="0"/>
              <w:rPr>
                <w:sz w:val="20"/>
                <w:szCs w:val="20"/>
                <w:color w:val="auto"/>
              </w:rPr>
            </w:pPr>
            <w:r>
              <w:rPr>
                <w:rFonts w:ascii="Arial" w:cs="Arial" w:eastAsia="Arial" w:hAnsi="Arial"/>
                <w:sz w:val="18"/>
                <w:szCs w:val="18"/>
                <w:b w:val="1"/>
                <w:bCs w:val="1"/>
                <w:color w:val="auto"/>
              </w:rPr>
              <w:t>Name of Subsidiary</w:t>
            </w:r>
          </w:p>
        </w:tc>
        <w:tc>
          <w:tcPr>
            <w:tcW w:w="5600" w:type="dxa"/>
            <w:vAlign w:val="bottom"/>
          </w:tcPr>
          <w:p>
            <w:pPr>
              <w:ind w:left="80"/>
              <w:spacing w:after="0"/>
              <w:rPr>
                <w:sz w:val="20"/>
                <w:szCs w:val="20"/>
                <w:color w:val="auto"/>
              </w:rPr>
            </w:pPr>
            <w:r>
              <w:rPr>
                <w:rFonts w:ascii="Arial" w:cs="Arial" w:eastAsia="Arial" w:hAnsi="Arial"/>
                <w:sz w:val="18"/>
                <w:szCs w:val="18"/>
                <w:b w:val="1"/>
                <w:bCs w:val="1"/>
                <w:color w:val="auto"/>
              </w:rPr>
              <w:t>Jurisdiction of Incorporation</w:t>
            </w:r>
          </w:p>
        </w:tc>
        <w:tc>
          <w:tcPr>
            <w:tcW w:w="0" w:type="dxa"/>
            <w:vAlign w:val="bottom"/>
          </w:tcPr>
          <w:p>
            <w:pPr>
              <w:spacing w:after="0"/>
              <w:rPr>
                <w:sz w:val="1"/>
                <w:szCs w:val="1"/>
                <w:color w:val="auto"/>
              </w:rPr>
            </w:pPr>
          </w:p>
        </w:tc>
      </w:tr>
      <w:tr>
        <w:trPr>
          <w:trHeight w:val="54"/>
        </w:trPr>
        <w:tc>
          <w:tcPr>
            <w:tcW w:w="55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International, Inc.</w:t>
            </w:r>
          </w:p>
        </w:tc>
        <w:tc>
          <w:tcPr>
            <w:tcW w:w="560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Blue Jay Acquisition Sub, Inc.</w:t>
            </w:r>
          </w:p>
        </w:tc>
        <w:tc>
          <w:tcPr>
            <w:tcW w:w="560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83"/>
        </w:trPr>
        <w:tc>
          <w:tcPr>
            <w:tcW w:w="5820" w:type="dxa"/>
            <w:vAlign w:val="bottom"/>
            <w:gridSpan w:val="2"/>
          </w:tcPr>
          <w:p>
            <w:pPr>
              <w:ind w:left="80"/>
              <w:spacing w:after="0"/>
              <w:rPr>
                <w:sz w:val="20"/>
                <w:szCs w:val="20"/>
                <w:color w:val="auto"/>
              </w:rPr>
            </w:pPr>
            <w:r>
              <w:rPr>
                <w:rFonts w:ascii="Arial" w:cs="Arial" w:eastAsia="Arial" w:hAnsi="Arial"/>
                <w:sz w:val="18"/>
                <w:szCs w:val="18"/>
                <w:color w:val="auto"/>
                <w:w w:val="97"/>
              </w:rPr>
              <w:t>Qualys Brazil Desenvolvimento de Produtos e Consultoria de Tecnologias</w:t>
            </w:r>
          </w:p>
        </w:tc>
        <w:tc>
          <w:tcPr>
            <w:tcW w:w="5600" w:type="dxa"/>
            <w:vAlign w:val="bottom"/>
            <w:vMerge w:val="restart"/>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22"/>
        </w:trPr>
        <w:tc>
          <w:tcPr>
            <w:tcW w:w="5820" w:type="dxa"/>
            <w:vAlign w:val="bottom"/>
            <w:gridSpan w:val="2"/>
            <w:vMerge w:val="restart"/>
          </w:tcPr>
          <w:p>
            <w:pPr>
              <w:ind w:left="80"/>
              <w:spacing w:after="0"/>
              <w:rPr>
                <w:sz w:val="20"/>
                <w:szCs w:val="20"/>
                <w:color w:val="auto"/>
              </w:rPr>
            </w:pPr>
            <w:r>
              <w:rPr>
                <w:rFonts w:ascii="Arial" w:cs="Arial" w:eastAsia="Arial" w:hAnsi="Arial"/>
                <w:sz w:val="18"/>
                <w:szCs w:val="18"/>
                <w:color w:val="auto"/>
              </w:rPr>
              <w:t>de Seguranca LTDA.</w:t>
            </w:r>
          </w:p>
        </w:tc>
        <w:tc>
          <w:tcPr>
            <w:tcW w:w="5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20" w:type="dxa"/>
            <w:vAlign w:val="bottom"/>
            <w:gridSpan w:val="2"/>
            <w:vMerge w:val="continue"/>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Canada, Ltd.</w:t>
            </w:r>
          </w:p>
        </w:tc>
        <w:tc>
          <w:tcPr>
            <w:tcW w:w="5600" w:type="dxa"/>
            <w:vAlign w:val="bottom"/>
          </w:tcPr>
          <w:p>
            <w:pPr>
              <w:ind w:left="8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Technologies, S.A.</w:t>
            </w:r>
          </w:p>
        </w:tc>
        <w:tc>
          <w:tcPr>
            <w:tcW w:w="5600" w:type="dxa"/>
            <w:vAlign w:val="bottom"/>
          </w:tcPr>
          <w:p>
            <w:pPr>
              <w:ind w:left="8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GmbH</w:t>
            </w:r>
          </w:p>
        </w:tc>
        <w:tc>
          <w:tcPr>
            <w:tcW w:w="5600" w:type="dxa"/>
            <w:vAlign w:val="bottom"/>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Hong Kong Limited</w:t>
            </w:r>
          </w:p>
        </w:tc>
        <w:tc>
          <w:tcPr>
            <w:tcW w:w="5600" w:type="dxa"/>
            <w:vAlign w:val="bottom"/>
          </w:tcPr>
          <w:p>
            <w:pPr>
              <w:ind w:left="8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Security TechServices Private Ltd.</w:t>
            </w:r>
          </w:p>
        </w:tc>
        <w:tc>
          <w:tcPr>
            <w:tcW w:w="5600" w:type="dxa"/>
            <w:vAlign w:val="bottom"/>
          </w:tcPr>
          <w:p>
            <w:pPr>
              <w:ind w:left="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Japan K.K.</w:t>
            </w:r>
          </w:p>
        </w:tc>
        <w:tc>
          <w:tcPr>
            <w:tcW w:w="5600" w:type="dxa"/>
            <w:vAlign w:val="bottom"/>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Singapore Pte. Ltd.</w:t>
            </w:r>
          </w:p>
        </w:tc>
        <w:tc>
          <w:tcPr>
            <w:tcW w:w="5600" w:type="dxa"/>
            <w:vAlign w:val="bottom"/>
          </w:tcPr>
          <w:p>
            <w:pPr>
              <w:ind w:left="8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Middle East FZE</w:t>
            </w:r>
          </w:p>
        </w:tc>
        <w:tc>
          <w:tcPr>
            <w:tcW w:w="5600" w:type="dxa"/>
            <w:vAlign w:val="bottom"/>
          </w:tcPr>
          <w:p>
            <w:pPr>
              <w:ind w:left="80"/>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Ltd.</w:t>
            </w:r>
          </w:p>
        </w:tc>
        <w:tc>
          <w:tcPr>
            <w:tcW w:w="5600" w:type="dxa"/>
            <w:vAlign w:val="bottom"/>
          </w:tcPr>
          <w:p>
            <w:pPr>
              <w:ind w:left="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Australia Pty Ltd.</w:t>
            </w:r>
          </w:p>
        </w:tc>
        <w:tc>
          <w:tcPr>
            <w:tcW w:w="5600" w:type="dxa"/>
            <w:vAlign w:val="bottom"/>
          </w:tcPr>
          <w:p>
            <w:pPr>
              <w:ind w:left="8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Switzerland Sarl</w:t>
            </w:r>
          </w:p>
        </w:tc>
        <w:tc>
          <w:tcPr>
            <w:tcW w:w="5600" w:type="dxa"/>
            <w:vAlign w:val="bottom"/>
          </w:tcPr>
          <w:p>
            <w:pPr>
              <w:ind w:left="8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Colombia S.A.S.</w:t>
            </w:r>
          </w:p>
        </w:tc>
        <w:tc>
          <w:tcPr>
            <w:tcW w:w="5600" w:type="dxa"/>
            <w:vAlign w:val="bottom"/>
          </w:tcPr>
          <w:p>
            <w:pPr>
              <w:ind w:left="80"/>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South Africa Proprietary Limited</w:t>
            </w:r>
          </w:p>
        </w:tc>
        <w:tc>
          <w:tcPr>
            <w:tcW w:w="5600" w:type="dxa"/>
            <w:vAlign w:val="bottom"/>
          </w:tcPr>
          <w:p>
            <w:pPr>
              <w:ind w:left="8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97"/>
        </w:trPr>
        <w:tc>
          <w:tcPr>
            <w:tcW w:w="5820" w:type="dxa"/>
            <w:vAlign w:val="bottom"/>
            <w:gridSpan w:val="2"/>
          </w:tcPr>
          <w:p>
            <w:pPr>
              <w:ind w:left="80"/>
              <w:spacing w:after="0"/>
              <w:rPr>
                <w:sz w:val="20"/>
                <w:szCs w:val="20"/>
                <w:color w:val="auto"/>
              </w:rPr>
            </w:pPr>
            <w:r>
              <w:rPr>
                <w:rFonts w:ascii="Arial" w:cs="Arial" w:eastAsia="Arial" w:hAnsi="Arial"/>
                <w:sz w:val="18"/>
                <w:szCs w:val="18"/>
                <w:color w:val="auto"/>
              </w:rPr>
              <w:t>Qualys Netherlands B.V.</w:t>
            </w:r>
          </w:p>
        </w:tc>
        <w:tc>
          <w:tcPr>
            <w:tcW w:w="5600" w:type="dxa"/>
            <w:vAlign w:val="bottom"/>
          </w:tcPr>
          <w:p>
            <w:pPr>
              <w:ind w:left="8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52"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36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1" w:lineRule="exact"/>
        <w:rPr>
          <w:sz w:val="20"/>
          <w:szCs w:val="20"/>
          <w:color w:val="auto"/>
        </w:rPr>
      </w:pPr>
    </w:p>
    <w:p>
      <w:pPr>
        <w:jc w:val="both"/>
        <w:ind w:left="120"/>
        <w:spacing w:after="0" w:line="270" w:lineRule="auto"/>
        <w:rPr>
          <w:sz w:val="20"/>
          <w:szCs w:val="20"/>
          <w:color w:val="auto"/>
        </w:rPr>
      </w:pPr>
      <w:r>
        <w:rPr>
          <w:rFonts w:ascii="Arial" w:cs="Arial" w:eastAsia="Arial" w:hAnsi="Arial"/>
          <w:sz w:val="18"/>
          <w:szCs w:val="18"/>
          <w:color w:val="auto"/>
        </w:rPr>
        <w:t>We have issued our reports dated February 21, 2020, with respect to the consolidated financial statements, schedule and internal control over financial reporting included in the Annual Report of Qualys, Inc. on Form 10-K for the year ended December 31, 2019. We consent to the incorporation by reference of said reports in the Registration Statements of Qualys, Inc. on Forms S-8 (File Nos. 333-184394, 333-193576, 333-202587, 333- 209735, 333-216232, 333-223192, and 333-229908).</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21, 2020</w:t>
      </w:r>
    </w:p>
    <w:p>
      <w:pPr>
        <w:sectPr>
          <w:pgSz w:w="11900" w:h="16838" w:orient="portrait"/>
          <w:cols w:equalWidth="0" w:num="1">
            <w:col w:w="11420"/>
          </w:cols>
          <w:pgMar w:left="240" w:top="616"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265" w:lineRule="exact"/>
        <w:rPr>
          <w:rFonts w:ascii="Arial" w:cs="Arial" w:eastAsia="Arial" w:hAnsi="Arial"/>
          <w:sz w:val="18"/>
          <w:szCs w:val="18"/>
          <w:color w:val="auto"/>
        </w:rPr>
      </w:pPr>
    </w:p>
    <w:p>
      <w:pPr>
        <w:jc w:val="both"/>
        <w:ind w:left="340" w:hanging="332"/>
        <w:spacing w:after="0" w:line="30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30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65" w:lineRule="exact"/>
        <w:rPr>
          <w:rFonts w:ascii="Arial" w:cs="Arial" w:eastAsia="Arial" w:hAnsi="Arial"/>
          <w:sz w:val="18"/>
          <w:szCs w:val="18"/>
          <w:color w:val="auto"/>
        </w:rPr>
      </w:pPr>
    </w:p>
    <w:p>
      <w:pPr>
        <w:jc w:val="both"/>
        <w:ind w:left="980" w:hanging="324"/>
        <w:spacing w:after="0" w:line="303" w:lineRule="auto"/>
        <w:tabs>
          <w:tab w:leader="none" w:pos="93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303" w:lineRule="auto"/>
        <w:tabs>
          <w:tab w:leader="none" w:pos="92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303" w:lineRule="auto"/>
        <w:tabs>
          <w:tab w:leader="none" w:pos="944"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303" w:lineRule="auto"/>
        <w:tabs>
          <w:tab w:leader="none" w:pos="94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30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309" w:lineRule="auto"/>
        <w:tabs>
          <w:tab w:leader="none" w:pos="93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309" w:lineRule="auto"/>
        <w:tabs>
          <w:tab w:leader="none" w:pos="94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30" w:right="239" w:bottom="1440" w:gutter="0" w:footer="0" w:header="0"/>
        </w:sectPr>
      </w:pPr>
    </w:p>
    <w:bookmarkStart w:id="99" w:name="page100"/>
    <w:bookmarkEnd w:id="99"/>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2020</w:t>
      </w:r>
    </w:p>
    <w:p>
      <w:pPr>
        <w:spacing w:after="0" w:line="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53975</wp:posOffset>
            </wp:positionV>
            <wp:extent cx="31045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Philippe F. Courtot</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Chairman and Chief Executive Officer</w:t>
      </w:r>
    </w:p>
    <w:p>
      <w:pPr>
        <w:spacing w:after="0" w:line="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(Principal Executive Officer)</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0079"/>
          </w:cols>
          <w:pgMar w:left="380" w:top="773"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265" w:lineRule="exact"/>
        <w:rPr>
          <w:rFonts w:ascii="Arial" w:cs="Arial" w:eastAsia="Arial" w:hAnsi="Arial"/>
          <w:sz w:val="18"/>
          <w:szCs w:val="18"/>
          <w:color w:val="auto"/>
        </w:rPr>
      </w:pPr>
    </w:p>
    <w:p>
      <w:pPr>
        <w:jc w:val="both"/>
        <w:ind w:left="340" w:hanging="332"/>
        <w:spacing w:after="0" w:line="30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30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65" w:lineRule="exact"/>
        <w:rPr>
          <w:rFonts w:ascii="Arial" w:cs="Arial" w:eastAsia="Arial" w:hAnsi="Arial"/>
          <w:sz w:val="18"/>
          <w:szCs w:val="18"/>
          <w:color w:val="auto"/>
        </w:rPr>
      </w:pPr>
    </w:p>
    <w:p>
      <w:pPr>
        <w:jc w:val="both"/>
        <w:ind w:left="980" w:hanging="324"/>
        <w:spacing w:after="0" w:line="303" w:lineRule="auto"/>
        <w:tabs>
          <w:tab w:leader="none" w:pos="93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303" w:lineRule="auto"/>
        <w:tabs>
          <w:tab w:leader="none" w:pos="92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303" w:lineRule="auto"/>
        <w:tabs>
          <w:tab w:leader="none" w:pos="944"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303" w:lineRule="auto"/>
        <w:tabs>
          <w:tab w:leader="none" w:pos="94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30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309" w:lineRule="auto"/>
        <w:tabs>
          <w:tab w:leader="none" w:pos="93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309" w:lineRule="auto"/>
        <w:tabs>
          <w:tab w:leader="none" w:pos="94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30" w:right="239" w:bottom="1440" w:gutter="0" w:footer="0" w:header="0"/>
        </w:sectPr>
      </w:pPr>
    </w:p>
    <w:bookmarkStart w:id="101" w:name="page102"/>
    <w:bookmarkEnd w:id="101"/>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2020</w:t>
      </w:r>
    </w:p>
    <w:p>
      <w:pPr>
        <w:spacing w:after="0" w:line="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53975</wp:posOffset>
            </wp:positionV>
            <wp:extent cx="31045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Melissa B. Fisher</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(Principal Financial Officer)</w:t>
      </w:r>
    </w:p>
    <w:p>
      <w:pPr>
        <w:spacing w:after="0" w:line="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0079"/>
          </w:cols>
          <w:pgMar w:left="380" w:top="773"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ind w:left="260" w:right="2400"/>
        <w:spacing w:after="0" w:line="316"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35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2019,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780" w:hanging="272"/>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right="20" w:firstLine="526"/>
        <w:spacing w:after="0" w:line="309" w:lineRule="auto"/>
        <w:tabs>
          <w:tab w:leader="none" w:pos="78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ind w:left="80"/>
              <w:spacing w:after="0"/>
              <w:rPr>
                <w:sz w:val="20"/>
                <w:szCs w:val="20"/>
                <w:color w:val="auto"/>
              </w:rPr>
            </w:pPr>
            <w:r>
              <w:rPr>
                <w:rFonts w:ascii="Arial" w:cs="Arial" w:eastAsia="Arial" w:hAnsi="Arial"/>
                <w:sz w:val="18"/>
                <w:szCs w:val="18"/>
                <w:color w:val="auto"/>
              </w:rPr>
              <w:t>February 21, 2020</w:t>
            </w:r>
          </w:p>
        </w:tc>
      </w:tr>
      <w:tr>
        <w:trPr>
          <w:trHeight w:val="285"/>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ind w:left="80"/>
              <w:spacing w:after="0"/>
              <w:rPr>
                <w:sz w:val="20"/>
                <w:szCs w:val="20"/>
                <w:color w:val="auto"/>
              </w:rPr>
            </w:pPr>
            <w:r>
              <w:rPr>
                <w:rFonts w:ascii="Arial" w:cs="Arial" w:eastAsia="Arial" w:hAnsi="Arial"/>
                <w:sz w:val="14"/>
                <w:szCs w:val="14"/>
                <w:color w:val="auto"/>
              </w:rPr>
              <w:t>/s/ PHILIPPE F. COURTOT</w:t>
            </w:r>
          </w:p>
        </w:tc>
      </w:tr>
      <w:tr>
        <w:trPr>
          <w:trHeight w:val="39"/>
        </w:trPr>
        <w:tc>
          <w:tcPr>
            <w:tcW w:w="720" w:type="dxa"/>
            <w:vAlign w:val="bottom"/>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r>
      <w:tr>
        <w:trPr>
          <w:trHeight w:val="237"/>
        </w:trPr>
        <w:tc>
          <w:tcPr>
            <w:tcW w:w="72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Philippe F. Courtot</w:t>
            </w:r>
          </w:p>
        </w:tc>
      </w:tr>
      <w:tr>
        <w:trPr>
          <w:trHeight w:val="284"/>
        </w:trPr>
        <w:tc>
          <w:tcPr>
            <w:tcW w:w="720" w:type="dxa"/>
            <w:vAlign w:val="bottom"/>
          </w:tcPr>
          <w:p>
            <w:pPr>
              <w:spacing w:after="0"/>
              <w:rPr>
                <w:sz w:val="24"/>
                <w:szCs w:val="24"/>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Chairman and Chief Executive Officer</w:t>
            </w:r>
          </w:p>
        </w:tc>
      </w:tr>
      <w:tr>
        <w:trPr>
          <w:trHeight w:val="284"/>
        </w:trPr>
        <w:tc>
          <w:tcPr>
            <w:tcW w:w="720" w:type="dxa"/>
            <w:vAlign w:val="bottom"/>
          </w:tcPr>
          <w:p>
            <w:pPr>
              <w:spacing w:after="0"/>
              <w:rPr>
                <w:sz w:val="24"/>
                <w:szCs w:val="24"/>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284"/>
        </w:trPr>
        <w:tc>
          <w:tcPr>
            <w:tcW w:w="720" w:type="dxa"/>
            <w:vAlign w:val="bottom"/>
          </w:tcPr>
          <w:p>
            <w:pPr>
              <w:spacing w:after="0"/>
              <w:rPr>
                <w:sz w:val="24"/>
                <w:szCs w:val="24"/>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420"/>
          </w:cols>
          <w:pgMar w:left="240" w:top="63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306" w:lineRule="exact"/>
        <w:rPr>
          <w:sz w:val="20"/>
          <w:szCs w:val="20"/>
          <w:color w:val="auto"/>
        </w:rPr>
      </w:pPr>
    </w:p>
    <w:p>
      <w:pPr>
        <w:jc w:val="center"/>
        <w:ind w:left="260" w:right="2400"/>
        <w:spacing w:after="0" w:line="316"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7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2019,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94" w:lineRule="exact"/>
        <w:rPr>
          <w:sz w:val="20"/>
          <w:szCs w:val="20"/>
          <w:color w:val="auto"/>
        </w:rPr>
      </w:pPr>
    </w:p>
    <w:p>
      <w:pPr>
        <w:ind w:left="780" w:hanging="272"/>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right="20" w:firstLine="526"/>
        <w:spacing w:after="0" w:line="309" w:lineRule="auto"/>
        <w:tabs>
          <w:tab w:leader="none" w:pos="789"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ind w:left="80"/>
              <w:spacing w:after="0"/>
              <w:rPr>
                <w:sz w:val="20"/>
                <w:szCs w:val="20"/>
                <w:color w:val="auto"/>
              </w:rPr>
            </w:pPr>
            <w:r>
              <w:rPr>
                <w:rFonts w:ascii="Arial" w:cs="Arial" w:eastAsia="Arial" w:hAnsi="Arial"/>
                <w:sz w:val="18"/>
                <w:szCs w:val="18"/>
                <w:color w:val="auto"/>
              </w:rPr>
              <w:t>February 21, 2020</w:t>
            </w:r>
          </w:p>
        </w:tc>
      </w:tr>
      <w:tr>
        <w:trPr>
          <w:trHeight w:val="285"/>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ind w:left="80"/>
              <w:spacing w:after="0"/>
              <w:rPr>
                <w:sz w:val="20"/>
                <w:szCs w:val="20"/>
                <w:color w:val="auto"/>
              </w:rPr>
            </w:pPr>
            <w:r>
              <w:rPr>
                <w:rFonts w:ascii="Arial" w:cs="Arial" w:eastAsia="Arial" w:hAnsi="Arial"/>
                <w:sz w:val="14"/>
                <w:szCs w:val="14"/>
                <w:color w:val="auto"/>
              </w:rPr>
              <w:t>/s/ MELISSA B. FISHER</w:t>
            </w:r>
          </w:p>
        </w:tc>
      </w:tr>
      <w:tr>
        <w:trPr>
          <w:trHeight w:val="39"/>
        </w:trPr>
        <w:tc>
          <w:tcPr>
            <w:tcW w:w="720" w:type="dxa"/>
            <w:vAlign w:val="bottom"/>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r>
      <w:tr>
        <w:trPr>
          <w:trHeight w:val="237"/>
        </w:trPr>
        <w:tc>
          <w:tcPr>
            <w:tcW w:w="72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Melissa B. Fisher</w:t>
            </w:r>
          </w:p>
        </w:tc>
      </w:tr>
      <w:tr>
        <w:trPr>
          <w:trHeight w:val="284"/>
        </w:trPr>
        <w:tc>
          <w:tcPr>
            <w:tcW w:w="720" w:type="dxa"/>
            <w:vAlign w:val="bottom"/>
          </w:tcPr>
          <w:p>
            <w:pPr>
              <w:spacing w:after="0"/>
              <w:rPr>
                <w:sz w:val="24"/>
                <w:szCs w:val="24"/>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84"/>
        </w:trPr>
        <w:tc>
          <w:tcPr>
            <w:tcW w:w="720" w:type="dxa"/>
            <w:vAlign w:val="bottom"/>
          </w:tcPr>
          <w:p>
            <w:pPr>
              <w:spacing w:after="0"/>
              <w:rPr>
                <w:sz w:val="24"/>
                <w:szCs w:val="24"/>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(Principal Financial Officer)</w:t>
            </w:r>
          </w:p>
        </w:tc>
      </w:tr>
      <w:tr>
        <w:trPr>
          <w:trHeight w:val="284"/>
        </w:trPr>
        <w:tc>
          <w:tcPr>
            <w:tcW w:w="720" w:type="dxa"/>
            <w:vAlign w:val="bottom"/>
          </w:tcPr>
          <w:p>
            <w:pPr>
              <w:spacing w:after="0"/>
              <w:rPr>
                <w:sz w:val="24"/>
                <w:szCs w:val="24"/>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Qualys, Inc.</w:t>
            </w:r>
          </w:p>
        </w:tc>
      </w:tr>
    </w:tbl>
    <w:p>
      <w:pPr>
        <w:spacing w:after="0" w:line="1" w:lineRule="exact"/>
        <w:rPr>
          <w:sz w:val="20"/>
          <w:szCs w:val="20"/>
          <w:color w:val="auto"/>
        </w:rPr>
      </w:pPr>
    </w:p>
    <w:sectPr>
      <w:pgSz w:w="11900" w:h="16838" w:orient="portrait"/>
      <w:cols w:equalWidth="0" w:num="1">
        <w:col w:w="11420"/>
      </w:cols>
      <w:pgMar w:left="240" w:top="6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04"/>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decimal"/>
      <w:start w:val="2"/>
    </w:lvl>
  </w:abstractNum>
  <w:abstractNum w:abstractNumId="32">
    <w:nsid w:val="4516DDE9"/>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17" Type="http://schemas.openxmlformats.org/officeDocument/2006/relationships/hyperlink" Target="http://www.sec.gov/Archives/edgar/data/1107843/000119312512388433/d355355dex33.htm" TargetMode="External"/><Relationship Id="rId18" Type="http://schemas.openxmlformats.org/officeDocument/2006/relationships/hyperlink" Target="http://www.sec.gov/Archives/edgar/data/1107843/000119312512388433/d355355dex35.htm" TargetMode="External"/><Relationship Id="rId19" Type="http://schemas.openxmlformats.org/officeDocument/2006/relationships/hyperlink" Target="http://www.sec.gov/Archives/edgar/data/1107843/000119312512388433/d355355dex41.htm" TargetMode="External"/><Relationship Id="rId20" Type="http://schemas.openxmlformats.org/officeDocument/2006/relationships/hyperlink" Target="http://www.sec.gov/Archives/edgar/data/1107843/000119312512265366/d355355dex101.htm" TargetMode="External"/><Relationship Id="rId21" Type="http://schemas.openxmlformats.org/officeDocument/2006/relationships/hyperlink" Target="http://www.sec.gov/Archives/edgar/data/1107843/000119312512388433/d355355dex102.htm" TargetMode="External"/><Relationship Id="rId22" Type="http://schemas.openxmlformats.org/officeDocument/2006/relationships/hyperlink" Target="http://www.sec.gov/Archives/edgar/data/1107843/000119312512265366/d355355dex103.htm" TargetMode="External"/><Relationship Id="rId23" Type="http://schemas.openxmlformats.org/officeDocument/2006/relationships/hyperlink" Target="http://www.sec.gov/Archives/edgar/data/1107843/000119312512265366/d355355dex105.htm" TargetMode="External"/><Relationship Id="rId24" Type="http://schemas.openxmlformats.org/officeDocument/2006/relationships/hyperlink" Target="http://www.sec.gov/Archives/edgar/data/1107843/000119312516572647/d166115dex101.htm" TargetMode="External"/><Relationship Id="rId25" Type="http://schemas.openxmlformats.org/officeDocument/2006/relationships/hyperlink" Target="http://www.sec.gov/Archives/edgar/data/1107843/000119312512265366/d355355dex109.htm" TargetMode="External"/><Relationship Id="rId26" Type="http://schemas.openxmlformats.org/officeDocument/2006/relationships/hyperlink" Target="http://www.sec.gov/Archives/edgar/data/1107843/000119312512350036/d355355dex1010.htm" TargetMode="External"/><Relationship Id="rId27" Type="http://schemas.openxmlformats.org/officeDocument/2006/relationships/hyperlink" Target="http://www.sec.gov/Archives/edgar/data/1107843/000119312516741827/d270006dex101.htm" TargetMode="External"/><Relationship Id="rId28" Type="http://schemas.openxmlformats.org/officeDocument/2006/relationships/hyperlink" Target="http://www.sec.gov/Archives/edgar/data/1107843/000119312516554340/d85159ddef14a.htm" TargetMode="External"/><Relationship Id="rId29" Type="http://schemas.openxmlformats.org/officeDocument/2006/relationships/hyperlink" Target="http://www.sec.gov/Archives/edgar/data/1107843/000110784316000030/qlys-201663010qxexhbit103.htm" TargetMode="External"/><Relationship Id="rId30" Type="http://schemas.openxmlformats.org/officeDocument/2006/relationships/hyperlink" Target="http://www.sec.gov/Archives/edgar/data/1107843/000119312512388433/d355355dex1014.htm" TargetMode="External"/><Relationship Id="rId31" Type="http://schemas.openxmlformats.org/officeDocument/2006/relationships/hyperlink" Target="http://www.sec.gov/Archives/edgar/data/1107843/000119312512388433/d355355dex1015.htm" TargetMode="External"/><Relationship Id="rId32" Type="http://schemas.openxmlformats.org/officeDocument/2006/relationships/hyperlink" Target="http://www.sec.gov/Archives/edgar/data/1107843/000119312512388433/d355355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2020-02-21T15:56:28Z</dcterms:created>
  <dcterms:modified xsi:type="dcterms:W3CDTF">2020-02-21T15:56:28Z</dcterms:modified>
</cp:coreProperties>
</file>