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UNITED STATES</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SECURITIES AND EXCHANGE COMMISSION</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231F20"/>
        </w:rPr>
        <w:t>Washington, D.C. 20549</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231F20"/>
        </w:rPr>
        <w:t>FORM 10-Q</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63"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For the Quarterly Period Ended September 30, 2017</w:t>
      </w:r>
    </w:p>
    <w:p>
      <w:pPr>
        <w:spacing w:after="0" w:line="176"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6"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94"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296"/>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14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40"/>
          </w:cols>
          <w:pgMar w:left="240" w:top="249" w:right="319" w:bottom="1440" w:gutter="0" w:footer="0" w:header="0"/>
        </w:sectPr>
      </w:pPr>
    </w:p>
    <w:p>
      <w:pPr>
        <w:spacing w:after="0" w:line="163" w:lineRule="exact"/>
        <w:rPr>
          <w:sz w:val="24"/>
          <w:szCs w:val="24"/>
          <w:color w:val="auto"/>
        </w:rPr>
      </w:pPr>
    </w:p>
    <w:p>
      <w:pPr>
        <w:ind w:left="40"/>
        <w:spacing w:after="0"/>
        <w:tabs>
          <w:tab w:leader="none" w:pos="4740" w:val="left"/>
          <w:tab w:leader="none" w:pos="5600" w:val="left"/>
        </w:tabs>
        <w:rPr>
          <w:sz w:val="20"/>
          <w:szCs w:val="20"/>
          <w:color w:val="auto"/>
        </w:rPr>
      </w:pPr>
      <w:r>
        <w:rPr>
          <w:rFonts w:ascii="Arial" w:cs="Arial" w:eastAsia="Arial" w:hAnsi="Arial"/>
          <w:sz w:val="16"/>
          <w:szCs w:val="16"/>
          <w:color w:val="231F20"/>
        </w:rPr>
        <w:t>Large accelerated filer</w:t>
      </w:r>
      <w:r>
        <w:rPr>
          <w:sz w:val="20"/>
          <w:szCs w:val="20"/>
          <w:color w:val="auto"/>
        </w:rPr>
        <w:tab/>
      </w:r>
      <w:r>
        <w:rPr>
          <w:rFonts w:ascii="Arial" w:cs="Arial" w:eastAsia="Arial" w:hAnsi="Arial"/>
          <w:sz w:val="16"/>
          <w:szCs w:val="16"/>
          <w:color w:val="auto"/>
        </w:rPr>
        <w:t>x</w:t>
      </w:r>
      <w:r>
        <w:rPr>
          <w:sz w:val="20"/>
          <w:szCs w:val="20"/>
          <w:color w:val="auto"/>
        </w:rPr>
        <w:tab/>
      </w:r>
      <w:r>
        <w:rPr>
          <w:rFonts w:ascii="Arial" w:cs="Arial" w:eastAsia="Arial" w:hAnsi="Arial"/>
          <w:sz w:val="16"/>
          <w:szCs w:val="16"/>
          <w:color w:val="231F20"/>
        </w:rPr>
        <w:t>Accelerated filer</w:t>
      </w:r>
    </w:p>
    <w:p>
      <w:pPr>
        <w:spacing w:after="0" w:line="98" w:lineRule="exact"/>
        <w:rPr>
          <w:sz w:val="24"/>
          <w:szCs w:val="24"/>
          <w:color w:val="auto"/>
        </w:rPr>
      </w:pPr>
    </w:p>
    <w:p>
      <w:pPr>
        <w:ind w:left="40"/>
        <w:spacing w:after="0"/>
        <w:tabs>
          <w:tab w:leader="none" w:pos="4740" w:val="left"/>
          <w:tab w:leader="none" w:pos="6500" w:val="left"/>
        </w:tabs>
        <w:rPr>
          <w:sz w:val="20"/>
          <w:szCs w:val="20"/>
          <w:color w:val="auto"/>
        </w:rPr>
      </w:pPr>
      <w:r>
        <w:rPr>
          <w:rFonts w:ascii="Arial" w:cs="Arial" w:eastAsia="Arial" w:hAnsi="Arial"/>
          <w:sz w:val="16"/>
          <w:szCs w:val="16"/>
          <w:color w:val="auto"/>
        </w:rPr>
        <w:t>Non-accelerated filer</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(Do not check if a smaller reporting company)</w:t>
      </w:r>
    </w:p>
    <w:p>
      <w:pPr>
        <w:spacing w:after="0" w:line="100"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Smaller reporting company</w:t>
      </w:r>
    </w:p>
    <w:p>
      <w:pPr>
        <w:spacing w:after="0" w:line="100" w:lineRule="exact"/>
        <w:rPr>
          <w:sz w:val="24"/>
          <w:szCs w:val="24"/>
          <w:color w:val="auto"/>
        </w:rPr>
      </w:pPr>
    </w:p>
    <w:p>
      <w:pPr>
        <w:ind w:left="5620"/>
        <w:spacing w:after="0"/>
        <w:rPr>
          <w:sz w:val="20"/>
          <w:szCs w:val="20"/>
          <w:color w:val="auto"/>
        </w:rPr>
      </w:pPr>
      <w:r>
        <w:rPr>
          <w:rFonts w:ascii="Arial" w:cs="Arial" w:eastAsia="Arial" w:hAnsi="Arial"/>
          <w:sz w:val="16"/>
          <w:szCs w:val="16"/>
          <w:color w:val="auto"/>
        </w:rPr>
        <w:t>Emerging growth company</w:t>
      </w:r>
    </w:p>
    <w:p>
      <w:pPr>
        <w:spacing w:after="0" w:line="86" w:lineRule="exact"/>
        <w:rPr>
          <w:sz w:val="24"/>
          <w:szCs w:val="24"/>
          <w:color w:val="auto"/>
        </w:rPr>
      </w:pPr>
    </w:p>
    <w:p>
      <w:pPr>
        <w:ind w:left="4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4" w:lineRule="exact"/>
        <w:rPr>
          <w:sz w:val="24"/>
          <w:szCs w:val="24"/>
          <w:color w:val="auto"/>
        </w:rPr>
      </w:pPr>
    </w:p>
    <w:p>
      <w:pPr>
        <w:spacing w:after="0" w:line="184" w:lineRule="exact"/>
        <w:tabs>
          <w:tab w:leader="none" w:pos="8260" w:val="left"/>
          <w:tab w:leader="none" w:pos="89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October 31, 2017 was 37,919,527.</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2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ectPr>
          <w:pgSz w:w="11900" w:h="16838" w:orient="portrait"/>
          <w:cols w:equalWidth="0" w:num="2">
            <w:col w:w="10600" w:space="420"/>
            <w:col w:w="32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0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900" w:type="dxa"/>
            <w:vAlign w:val="bottom"/>
            <w:gridSpan w:val="9"/>
          </w:tcPr>
          <w:p>
            <w:pPr>
              <w:ind w:left="36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9800" w:type="dxa"/>
            <w:vAlign w:val="bottom"/>
            <w:gridSpan w:val="19"/>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 xml:space="preserve">Condensed Consolidated Balance Sheets as of </w:t>
              </w:r>
            </w:hyperlink>
            <w:r>
              <w:rPr>
                <w:rFonts w:ascii="Arial" w:cs="Arial" w:eastAsia="Arial" w:hAnsi="Arial"/>
                <w:sz w:val="16"/>
                <w:szCs w:val="16"/>
                <w:color w:val="0000FF"/>
              </w:rPr>
              <w:t>September</w:t>
            </w:r>
            <w:r>
              <w:rPr>
                <w:rFonts w:ascii="Arial" w:cs="Arial" w:eastAsia="Arial" w:hAnsi="Arial"/>
                <w:sz w:val="16"/>
                <w:szCs w:val="16"/>
                <w:color w:val="0000EE"/>
              </w:rPr>
              <w:t xml:space="preserve"> </w:t>
            </w:r>
            <w:r>
              <w:rPr>
                <w:rFonts w:ascii="Arial" w:cs="Arial" w:eastAsia="Arial" w:hAnsi="Arial"/>
                <w:sz w:val="16"/>
                <w:szCs w:val="16"/>
                <w:color w:val="0000FF"/>
              </w:rPr>
              <w:t>30, 2017 and December 31, 2016</w:t>
            </w:r>
          </w:p>
        </w:tc>
        <w:tc>
          <w:tcPr>
            <w:tcW w:w="80" w:type="dxa"/>
            <w:vAlign w:val="bottom"/>
          </w:tcPr>
          <w:p>
            <w:pPr>
              <w:spacing w:after="0"/>
              <w:rPr>
                <w:rFonts w:ascii="Arial" w:cs="Arial" w:eastAsia="Arial" w:hAnsi="Arial"/>
                <w:sz w:val="15"/>
                <w:szCs w:val="15"/>
                <w:color w:val="0000EE"/>
                <w:w w:val="71"/>
              </w:rPr>
            </w:pPr>
            <w:hyperlink w:anchor="page3">
              <w:r>
                <w:rPr>
                  <w:rFonts w:ascii="Arial" w:cs="Arial" w:eastAsia="Arial" w:hAnsi="Arial"/>
                  <w:sz w:val="15"/>
                  <w:szCs w:val="15"/>
                  <w:color w:val="0000EE"/>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Operations for the </w:t>
              </w:r>
            </w:hyperlink>
            <w:r>
              <w:rPr>
                <w:rFonts w:ascii="Arial" w:cs="Arial" w:eastAsia="Arial" w:hAnsi="Arial"/>
                <w:sz w:val="16"/>
                <w:szCs w:val="16"/>
                <w:color w:val="0000FF"/>
              </w:rPr>
              <w:t>three</w:t>
            </w:r>
            <w:r>
              <w:rPr>
                <w:rFonts w:ascii="Arial" w:cs="Arial" w:eastAsia="Arial" w:hAnsi="Arial"/>
                <w:sz w:val="16"/>
                <w:szCs w:val="16"/>
                <w:color w:val="0000EE"/>
              </w:rPr>
              <w:t xml:space="preserve"> </w:t>
            </w:r>
            <w:r>
              <w:rPr>
                <w:rFonts w:ascii="Arial" w:cs="Arial" w:eastAsia="Arial" w:hAnsi="Arial"/>
                <w:sz w:val="16"/>
                <w:szCs w:val="16"/>
                <w:color w:val="0000FF"/>
              </w:rPr>
              <w:t>and nine months ended September 30, 2017 and 2016</w:t>
            </w:r>
          </w:p>
        </w:tc>
        <w:tc>
          <w:tcPr>
            <w:tcW w:w="80" w:type="dxa"/>
            <w:vAlign w:val="bottom"/>
          </w:tcPr>
          <w:p>
            <w:pPr>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 xml:space="preserve">Condensed Consolidated Statements of </w:t>
              </w:r>
            </w:hyperlink>
            <w:r>
              <w:rPr>
                <w:rFonts w:ascii="Arial" w:cs="Arial" w:eastAsia="Arial" w:hAnsi="Arial"/>
                <w:sz w:val="16"/>
                <w:szCs w:val="16"/>
                <w:color w:val="0000FF"/>
              </w:rPr>
              <w:t>Comprehensive</w:t>
            </w:r>
            <w:r>
              <w:rPr>
                <w:rFonts w:ascii="Arial" w:cs="Arial" w:eastAsia="Arial" w:hAnsi="Arial"/>
                <w:sz w:val="16"/>
                <w:szCs w:val="16"/>
                <w:color w:val="0000EE"/>
              </w:rPr>
              <w:t xml:space="preserve"> </w:t>
            </w:r>
            <w:r>
              <w:rPr>
                <w:rFonts w:ascii="Arial" w:cs="Arial" w:eastAsia="Arial" w:hAnsi="Arial"/>
                <w:sz w:val="16"/>
                <w:szCs w:val="16"/>
                <w:color w:val="0000FF"/>
              </w:rPr>
              <w:t>Income for the three and nine months ended September 30, 2017 and 2016</w:t>
            </w:r>
          </w:p>
        </w:tc>
        <w:tc>
          <w:tcPr>
            <w:tcW w:w="80" w:type="dxa"/>
            <w:vAlign w:val="bottom"/>
          </w:tcPr>
          <w:p>
            <w:pPr>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 xml:space="preserve">Condensed Consolidated Statements of Cash Flows for the </w:t>
              </w:r>
            </w:hyperlink>
            <w:r>
              <w:rPr>
                <w:rFonts w:ascii="Arial" w:cs="Arial" w:eastAsia="Arial" w:hAnsi="Arial"/>
                <w:sz w:val="16"/>
                <w:szCs w:val="16"/>
                <w:color w:val="0000FF"/>
              </w:rPr>
              <w:t>nine</w:t>
            </w:r>
            <w:r>
              <w:rPr>
                <w:rFonts w:ascii="Arial" w:cs="Arial" w:eastAsia="Arial" w:hAnsi="Arial"/>
                <w:sz w:val="16"/>
                <w:szCs w:val="16"/>
                <w:color w:val="0000EE"/>
              </w:rPr>
              <w:t xml:space="preserve"> </w:t>
            </w:r>
            <w:r>
              <w:rPr>
                <w:rFonts w:ascii="Arial" w:cs="Arial" w:eastAsia="Arial" w:hAnsi="Arial"/>
                <w:sz w:val="16"/>
                <w:szCs w:val="16"/>
                <w:color w:val="0000FF"/>
              </w:rPr>
              <w:t>months ended September 30, 2017 and 2016</w:t>
            </w:r>
          </w:p>
        </w:tc>
        <w:tc>
          <w:tcPr>
            <w:tcW w:w="80" w:type="dxa"/>
            <w:vAlign w:val="bottom"/>
          </w:tcPr>
          <w:p>
            <w:pPr>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4360" w:type="dxa"/>
            <w:vAlign w:val="bottom"/>
            <w:tcBorders>
              <w:top w:val="single" w:sz="8" w:color="0000EE"/>
            </w:tcBorders>
            <w:gridSpan w:val="13"/>
          </w:tcPr>
          <w:p>
            <w:pPr>
              <w:spacing w:after="0"/>
              <w:rPr>
                <w:rFonts w:ascii="Arial" w:cs="Arial" w:eastAsia="Arial" w:hAnsi="Arial"/>
                <w:sz w:val="16"/>
                <w:szCs w:val="16"/>
                <w:color w:val="0000FF"/>
              </w:rPr>
            </w:pPr>
            <w:hyperlink w:anchor="page7">
              <w:r>
                <w:rPr>
                  <w:rFonts w:ascii="Arial" w:cs="Arial" w:eastAsia="Arial" w:hAnsi="Arial"/>
                  <w:sz w:val="16"/>
                  <w:szCs w:val="16"/>
                  <w:color w:val="0000FF"/>
                </w:rPr>
                <w:t>Notes to Condensed Consolidated Financial Statements</w:t>
              </w:r>
            </w:hyperlink>
          </w:p>
        </w:tc>
        <w:tc>
          <w:tcPr>
            <w:tcW w:w="3560" w:type="dxa"/>
            <w:vAlign w:val="bottom"/>
            <w:tcBorders>
              <w:top w:val="single" w:sz="8" w:color="0000FF"/>
            </w:tcBorders>
            <w:gridSpan w:val="3"/>
          </w:tcPr>
          <w:p>
            <w:pPr>
              <w:spacing w:after="0"/>
              <w:rPr>
                <w:sz w:val="21"/>
                <w:szCs w:val="21"/>
                <w:color w:val="auto"/>
              </w:rPr>
            </w:pPr>
          </w:p>
        </w:tc>
        <w:tc>
          <w:tcPr>
            <w:tcW w:w="1880" w:type="dxa"/>
            <w:vAlign w:val="bottom"/>
            <w:gridSpan w:val="3"/>
          </w:tcPr>
          <w:p>
            <w:pPr>
              <w:spacing w:after="0"/>
              <w:rPr>
                <w:sz w:val="21"/>
                <w:szCs w:val="21"/>
                <w:color w:val="auto"/>
              </w:rPr>
            </w:pPr>
          </w:p>
        </w:tc>
        <w:tc>
          <w:tcPr>
            <w:tcW w:w="80" w:type="dxa"/>
            <w:vAlign w:val="bottom"/>
            <w:tcBorders>
              <w:top w:val="single" w:sz="8" w:color="0000EE"/>
            </w:tcBorders>
          </w:tcPr>
          <w:p>
            <w:pPr>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44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Management’s Discussion and Analysis of Financial Condition and Results of Operations</w:t>
              </w:r>
            </w:hyperlink>
          </w:p>
        </w:tc>
        <w:tc>
          <w:tcPr>
            <w:tcW w:w="380" w:type="dxa"/>
            <w:vAlign w:val="bottom"/>
            <w:gridSpan w:val="3"/>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20</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EE"/>
              <w:bottom w:val="single" w:sz="8" w:color="0000FF"/>
            </w:tcBorders>
            <w:gridSpan w:val="13"/>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Quantitative and Qualitative Disclosures About Market Risk</w:t>
              </w:r>
            </w:hyperlink>
          </w:p>
        </w:tc>
        <w:tc>
          <w:tcPr>
            <w:tcW w:w="2000" w:type="dxa"/>
            <w:vAlign w:val="bottom"/>
            <w:tcBorders>
              <w:top w:val="single" w:sz="8" w:color="0000EE"/>
            </w:tcBorders>
          </w:tcPr>
          <w:p>
            <w:pPr>
              <w:spacing w:after="0"/>
              <w:rPr>
                <w:sz w:val="19"/>
                <w:szCs w:val="19"/>
                <w:color w:val="auto"/>
              </w:rPr>
            </w:pPr>
          </w:p>
        </w:tc>
        <w:tc>
          <w:tcPr>
            <w:tcW w:w="3440" w:type="dxa"/>
            <w:vAlign w:val="bottom"/>
            <w:gridSpan w:val="5"/>
          </w:tcPr>
          <w:p>
            <w:pPr>
              <w:spacing w:after="0"/>
              <w:rPr>
                <w:sz w:val="19"/>
                <w:szCs w:val="19"/>
                <w:color w:val="auto"/>
              </w:rPr>
            </w:pPr>
          </w:p>
        </w:tc>
        <w:tc>
          <w:tcPr>
            <w:tcW w:w="180" w:type="dxa"/>
            <w:vAlign w:val="bottom"/>
            <w:tcBorders>
              <w:top w:val="single" w:sz="8" w:color="0000EE"/>
              <w:bottom w:val="single" w:sz="8" w:color="0000FF"/>
            </w:tcBorders>
            <w:gridSpan w:val="2"/>
          </w:tcPr>
          <w:p>
            <w:pPr>
              <w:spacing w:after="0"/>
              <w:rPr>
                <w:rFonts w:ascii="Arial" w:cs="Arial" w:eastAsia="Arial" w:hAnsi="Arial"/>
                <w:sz w:val="16"/>
                <w:szCs w:val="16"/>
                <w:color w:val="0000FF"/>
                <w:w w:val="89"/>
              </w:rPr>
            </w:pPr>
            <w:hyperlink w:anchor="page34">
              <w:r>
                <w:rPr>
                  <w:rFonts w:ascii="Arial" w:cs="Arial" w:eastAsia="Arial" w:hAnsi="Arial"/>
                  <w:sz w:val="16"/>
                  <w:szCs w:val="16"/>
                  <w:color w:val="0000FF"/>
                  <w:w w:val="89"/>
                </w:rPr>
                <w:t>34</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9800" w:type="dxa"/>
            <w:vAlign w:val="bottom"/>
            <w:gridSpan w:val="19"/>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Controls and Procedures</w:t>
              </w:r>
            </w:hyperlink>
          </w:p>
        </w:tc>
        <w:tc>
          <w:tcPr>
            <w:tcW w:w="380" w:type="dxa"/>
            <w:vAlign w:val="bottom"/>
            <w:gridSpan w:val="3"/>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35</w:t>
              </w:r>
            </w:hyperlink>
          </w:p>
        </w:tc>
      </w:tr>
      <w:tr>
        <w:trPr>
          <w:trHeight w:val="258"/>
        </w:trPr>
        <w:tc>
          <w:tcPr>
            <w:tcW w:w="1040" w:type="dxa"/>
            <w:vAlign w:val="bottom"/>
          </w:tcPr>
          <w:p>
            <w:pPr>
              <w:spacing w:after="0"/>
              <w:rPr>
                <w:sz w:val="22"/>
                <w:szCs w:val="22"/>
                <w:color w:val="auto"/>
              </w:rPr>
            </w:pPr>
          </w:p>
        </w:tc>
        <w:tc>
          <w:tcPr>
            <w:tcW w:w="56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360" w:type="dxa"/>
            <w:vAlign w:val="bottom"/>
            <w:gridSpan w:val="8"/>
          </w:tcPr>
          <w:p>
            <w:pPr>
              <w:ind w:left="4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040" w:type="dxa"/>
            <w:vAlign w:val="bottom"/>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FF"/>
            </w:tcBorders>
            <w:gridSpan w:val="5"/>
          </w:tcPr>
          <w:p>
            <w:pPr>
              <w:spacing w:after="0"/>
              <w:rPr>
                <w:rFonts w:ascii="Arial" w:cs="Arial" w:eastAsia="Arial" w:hAnsi="Arial"/>
                <w:sz w:val="16"/>
                <w:szCs w:val="16"/>
                <w:color w:val="0000FF"/>
                <w:w w:val="99"/>
              </w:rPr>
            </w:pPr>
            <w:hyperlink w:anchor="page36">
              <w:r>
                <w:rPr>
                  <w:rFonts w:ascii="Arial" w:cs="Arial" w:eastAsia="Arial" w:hAnsi="Arial"/>
                  <w:sz w:val="16"/>
                  <w:szCs w:val="16"/>
                  <w:color w:val="0000FF"/>
                  <w:w w:val="99"/>
                </w:rPr>
                <w:t>Legal Proceedings</w:t>
              </w:r>
            </w:hyperlink>
          </w:p>
        </w:tc>
        <w:tc>
          <w:tcPr>
            <w:tcW w:w="8460" w:type="dxa"/>
            <w:vAlign w:val="bottom"/>
            <w:gridSpan w:val="14"/>
          </w:tcPr>
          <w:p>
            <w:pPr>
              <w:spacing w:after="0"/>
              <w:rPr>
                <w:sz w:val="18"/>
                <w:szCs w:val="18"/>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36</w:t>
              </w:r>
            </w:hyperlink>
          </w:p>
        </w:tc>
        <w:tc>
          <w:tcPr>
            <w:tcW w:w="200" w:type="dxa"/>
            <w:vAlign w:val="bottom"/>
          </w:tcPr>
          <w:p>
            <w:pPr>
              <w:spacing w:after="0"/>
              <w:rPr>
                <w:sz w:val="18"/>
                <w:szCs w:val="18"/>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FF"/>
            </w:tcBorders>
            <w:gridSpan w:val="3"/>
          </w:tcPr>
          <w:p>
            <w:pPr>
              <w:spacing w:after="0"/>
              <w:rPr>
                <w:rFonts w:ascii="Arial" w:cs="Arial" w:eastAsia="Arial" w:hAnsi="Arial"/>
                <w:sz w:val="16"/>
                <w:szCs w:val="16"/>
                <w:color w:val="0000FF"/>
                <w:w w:val="98"/>
              </w:rPr>
            </w:pPr>
            <w:hyperlink w:anchor="page36">
              <w:r>
                <w:rPr>
                  <w:rFonts w:ascii="Arial" w:cs="Arial" w:eastAsia="Arial" w:hAnsi="Arial"/>
                  <w:sz w:val="16"/>
                  <w:szCs w:val="16"/>
                  <w:color w:val="0000FF"/>
                  <w:w w:val="98"/>
                </w:rPr>
                <w:t>Risk Factors</w:t>
              </w:r>
            </w:hyperlink>
          </w:p>
        </w:tc>
        <w:tc>
          <w:tcPr>
            <w:tcW w:w="8900" w:type="dxa"/>
            <w:vAlign w:val="bottom"/>
            <w:gridSpan w:val="1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36">
              <w:r>
                <w:rPr>
                  <w:rFonts w:ascii="Arial" w:cs="Arial" w:eastAsia="Arial" w:hAnsi="Arial"/>
                  <w:sz w:val="16"/>
                  <w:szCs w:val="16"/>
                  <w:color w:val="0000FF"/>
                  <w:w w:val="89"/>
                </w:rPr>
                <w:t>36</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2.</w:t>
            </w:r>
          </w:p>
        </w:tc>
        <w:tc>
          <w:tcPr>
            <w:tcW w:w="9800" w:type="dxa"/>
            <w:vAlign w:val="bottom"/>
            <w:gridSpan w:val="19"/>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Unregistered Sales of Equity Securities and Use of Proceeds</w:t>
              </w:r>
            </w:hyperlink>
          </w:p>
        </w:tc>
        <w:tc>
          <w:tcPr>
            <w:tcW w:w="380" w:type="dxa"/>
            <w:vAlign w:val="bottom"/>
            <w:gridSpan w:val="3"/>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57</w:t>
              </w:r>
            </w:hyperlink>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3.</w:t>
            </w:r>
          </w:p>
        </w:tc>
        <w:tc>
          <w:tcPr>
            <w:tcW w:w="4360" w:type="dxa"/>
            <w:vAlign w:val="bottom"/>
            <w:tcBorders>
              <w:top w:val="single" w:sz="8" w:color="0000FF"/>
            </w:tcBorders>
            <w:gridSpan w:val="13"/>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Defaults upon Senior Securities</w:t>
              </w:r>
            </w:hyperlink>
          </w:p>
        </w:tc>
        <w:tc>
          <w:tcPr>
            <w:tcW w:w="5440" w:type="dxa"/>
            <w:vAlign w:val="bottom"/>
            <w:gridSpan w:val="6"/>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57</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4.</w:t>
            </w:r>
          </w:p>
        </w:tc>
        <w:tc>
          <w:tcPr>
            <w:tcW w:w="1740" w:type="dxa"/>
            <w:vAlign w:val="bottom"/>
            <w:tcBorders>
              <w:top w:val="single" w:sz="8" w:color="0000FF"/>
              <w:bottom w:val="single" w:sz="8" w:color="0000FF"/>
            </w:tcBorders>
            <w:gridSpan w:val="7"/>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Mine Safety Disclosures</w:t>
              </w:r>
            </w:hyperlink>
          </w:p>
        </w:tc>
        <w:tc>
          <w:tcPr>
            <w:tcW w:w="520" w:type="dxa"/>
            <w:vAlign w:val="bottom"/>
            <w:tcBorders>
              <w:top w:val="single" w:sz="8" w:color="0000FF"/>
            </w:tcBorders>
            <w:gridSpan w:val="2"/>
          </w:tcPr>
          <w:p>
            <w:pPr>
              <w:spacing w:after="0"/>
              <w:rPr>
                <w:sz w:val="19"/>
                <w:szCs w:val="19"/>
                <w:color w:val="auto"/>
              </w:rPr>
            </w:pPr>
          </w:p>
        </w:tc>
        <w:tc>
          <w:tcPr>
            <w:tcW w:w="7540" w:type="dxa"/>
            <w:vAlign w:val="bottom"/>
            <w:gridSpan w:val="10"/>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57</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5.</w:t>
            </w:r>
          </w:p>
        </w:tc>
        <w:tc>
          <w:tcPr>
            <w:tcW w:w="1260" w:type="dxa"/>
            <w:vAlign w:val="bottom"/>
            <w:tcBorders>
              <w:bottom w:val="single" w:sz="8" w:color="0000FF"/>
            </w:tcBorders>
            <w:gridSpan w:val="4"/>
          </w:tcPr>
          <w:p>
            <w:pPr>
              <w:spacing w:after="0"/>
              <w:rPr>
                <w:rFonts w:ascii="Arial" w:cs="Arial" w:eastAsia="Arial" w:hAnsi="Arial"/>
                <w:sz w:val="16"/>
                <w:szCs w:val="16"/>
                <w:color w:val="0000FF"/>
                <w:w w:val="99"/>
              </w:rPr>
            </w:pPr>
            <w:hyperlink w:anchor="page57">
              <w:r>
                <w:rPr>
                  <w:rFonts w:ascii="Arial" w:cs="Arial" w:eastAsia="Arial" w:hAnsi="Arial"/>
                  <w:sz w:val="16"/>
                  <w:szCs w:val="16"/>
                  <w:color w:val="0000FF"/>
                  <w:w w:val="99"/>
                </w:rPr>
                <w:t>Other Information</w:t>
              </w:r>
            </w:hyperlink>
          </w:p>
        </w:tc>
        <w:tc>
          <w:tcPr>
            <w:tcW w:w="8540" w:type="dxa"/>
            <w:vAlign w:val="bottom"/>
            <w:gridSpan w:val="15"/>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57">
              <w:r>
                <w:rPr>
                  <w:rFonts w:ascii="Arial" w:cs="Arial" w:eastAsia="Arial" w:hAnsi="Arial"/>
                  <w:sz w:val="16"/>
                  <w:szCs w:val="16"/>
                  <w:color w:val="0000FF"/>
                  <w:w w:val="89"/>
                </w:rPr>
                <w:t>57</w:t>
              </w:r>
            </w:hyperlink>
          </w:p>
        </w:tc>
        <w:tc>
          <w:tcPr>
            <w:tcW w:w="200" w:type="dxa"/>
            <w:vAlign w:val="bottom"/>
          </w:tcPr>
          <w:p>
            <w:pPr>
              <w:spacing w:after="0"/>
              <w:rPr>
                <w:sz w:val="19"/>
                <w:szCs w:val="19"/>
                <w:color w:val="auto"/>
              </w:rPr>
            </w:pPr>
          </w:p>
        </w:tc>
      </w:tr>
      <w:tr>
        <w:trPr>
          <w:trHeight w:val="223"/>
        </w:trPr>
        <w:tc>
          <w:tcPr>
            <w:tcW w:w="1040" w:type="dxa"/>
            <w:vAlign w:val="bottom"/>
          </w:tcPr>
          <w:p>
            <w:pPr>
              <w:spacing w:after="0"/>
              <w:rPr>
                <w:sz w:val="20"/>
                <w:szCs w:val="20"/>
                <w:color w:val="auto"/>
              </w:rPr>
            </w:pPr>
            <w:r>
              <w:rPr>
                <w:rFonts w:ascii="Arial" w:cs="Arial" w:eastAsia="Arial" w:hAnsi="Arial"/>
                <w:sz w:val="16"/>
                <w:szCs w:val="16"/>
                <w:color w:val="auto"/>
              </w:rPr>
              <w:t>Item 6.</w:t>
            </w:r>
          </w:p>
        </w:tc>
        <w:tc>
          <w:tcPr>
            <w:tcW w:w="9800" w:type="dxa"/>
            <w:vAlign w:val="bottom"/>
            <w:gridSpan w:val="19"/>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Exhibits</w:t>
              </w:r>
            </w:hyperlink>
          </w:p>
        </w:tc>
        <w:tc>
          <w:tcPr>
            <w:tcW w:w="380" w:type="dxa"/>
            <w:vAlign w:val="bottom"/>
            <w:gridSpan w:val="3"/>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57</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40" w:type="dxa"/>
            <w:vAlign w:val="bottom"/>
            <w:gridSpan w:val="1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9800" w:type="dxa"/>
            <w:vAlign w:val="bottom"/>
            <w:gridSpan w:val="19"/>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Signatures</w:t>
              </w:r>
            </w:hyperlink>
          </w:p>
        </w:tc>
        <w:tc>
          <w:tcPr>
            <w:tcW w:w="380" w:type="dxa"/>
            <w:vAlign w:val="bottom"/>
            <w:gridSpan w:val="3"/>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58</w:t>
              </w:r>
            </w:hyperlink>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7"/>
                <w:szCs w:val="17"/>
                <w:color w:val="auto"/>
              </w:rPr>
            </w:pPr>
          </w:p>
        </w:tc>
        <w:tc>
          <w:tcPr>
            <w:tcW w:w="14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83"/>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90,517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86,737</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Short-term investments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212,210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157,119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 net of allowance of $658 and $702 as of September 30, 2017 and December 31, 2016, respectively</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46,354</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47,024</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18,299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9,808</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assets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367,380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300,688</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Long-term investments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40,358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45,725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51,281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39,401</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tax assets, net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32,359</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16,590</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5,801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900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noncurrent assets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2,048</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2,096</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501,327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407,004</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3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1,398</w:t>
            </w:r>
          </w:p>
        </w:tc>
        <w:tc>
          <w:tcPr>
            <w:tcW w:w="120" w:type="dxa"/>
            <w:vAlign w:val="bottom"/>
          </w:tcPr>
          <w:p>
            <w:pPr>
              <w:spacing w:after="0"/>
              <w:rPr>
                <w:sz w:val="22"/>
                <w:szCs w:val="22"/>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2,051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14,679</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13,317</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revenues, current</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132,167</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114,964</w:t>
            </w:r>
          </w:p>
        </w:tc>
        <w:tc>
          <w:tcPr>
            <w:tcW w:w="0" w:type="dxa"/>
            <w:vAlign w:val="bottom"/>
          </w:tcPr>
          <w:p>
            <w:pPr>
              <w:spacing w:after="0"/>
              <w:rPr>
                <w:sz w:val="1"/>
                <w:szCs w:val="1"/>
                <w:color w:val="auto"/>
              </w:rPr>
            </w:pPr>
          </w:p>
        </w:tc>
      </w:tr>
      <w:tr>
        <w:trPr>
          <w:trHeight w:val="25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148,244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130,332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16,041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15,528</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9,401</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2,731</w:t>
            </w:r>
          </w:p>
        </w:tc>
        <w:tc>
          <w:tcPr>
            <w:tcW w:w="0" w:type="dxa"/>
            <w:vAlign w:val="bottom"/>
          </w:tcPr>
          <w:p>
            <w:pPr>
              <w:spacing w:after="0"/>
              <w:rPr>
                <w:sz w:val="1"/>
                <w:szCs w:val="1"/>
                <w:color w:val="auto"/>
              </w:rPr>
            </w:pPr>
          </w:p>
        </w:tc>
      </w:tr>
      <w:tr>
        <w:trPr>
          <w:trHeight w:val="250"/>
        </w:trPr>
        <w:tc>
          <w:tcPr>
            <w:tcW w:w="834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180" w:type="dxa"/>
            <w:vAlign w:val="bottom"/>
          </w:tcPr>
          <w:p>
            <w:pPr>
              <w:spacing w:after="0"/>
              <w:rPr>
                <w:sz w:val="21"/>
                <w:szCs w:val="21"/>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173,686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148,591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6)</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 $0.001 par value; 20,000,000 shares authorized, no shares issued and outstanding at September 30, 2017</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and December 31, 2016</w:t>
            </w:r>
          </w:p>
        </w:tc>
        <w:tc>
          <w:tcPr>
            <w:tcW w:w="18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8340" w:type="dxa"/>
            <w:vAlign w:val="bottom"/>
          </w:tcPr>
          <w:p>
            <w:pPr>
              <w:ind w:left="280"/>
              <w:spacing w:after="0"/>
              <w:rPr>
                <w:sz w:val="20"/>
                <w:szCs w:val="20"/>
                <w:color w:val="auto"/>
              </w:rPr>
            </w:pPr>
            <w:r>
              <w:rPr>
                <w:rFonts w:ascii="Arial" w:cs="Arial" w:eastAsia="Arial" w:hAnsi="Arial"/>
                <w:sz w:val="14"/>
                <w:szCs w:val="14"/>
                <w:color w:val="auto"/>
              </w:rPr>
              <w:t>Common stock, $0.001 par value; 1,000,000,000 shares authorized; 37,896,671 and 35,841,001 shares issued and</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8340" w:type="dxa"/>
            <w:vAlign w:val="bottom"/>
          </w:tcPr>
          <w:p>
            <w:pPr>
              <w:ind w:left="280"/>
              <w:spacing w:after="0"/>
              <w:rPr>
                <w:sz w:val="20"/>
                <w:szCs w:val="20"/>
                <w:color w:val="auto"/>
              </w:rPr>
            </w:pPr>
            <w:r>
              <w:rPr>
                <w:rFonts w:ascii="Arial" w:cs="Arial" w:eastAsia="Arial" w:hAnsi="Arial"/>
                <w:sz w:val="14"/>
                <w:szCs w:val="14"/>
                <w:color w:val="auto"/>
              </w:rPr>
              <w:t>outstanding at September 30, 2017 and December 31, 2016</w:t>
            </w:r>
          </w:p>
        </w:tc>
        <w:tc>
          <w:tcPr>
            <w:tcW w:w="18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290,520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266,794</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Retained Earnings (Accumulated deficit)</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37,203</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(8,261)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327,641</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258,413</w:t>
            </w:r>
          </w:p>
        </w:tc>
        <w:tc>
          <w:tcPr>
            <w:tcW w:w="0" w:type="dxa"/>
            <w:vAlign w:val="bottom"/>
          </w:tcPr>
          <w:p>
            <w:pPr>
              <w:spacing w:after="0"/>
              <w:rPr>
                <w:sz w:val="1"/>
                <w:szCs w:val="1"/>
                <w:color w:val="auto"/>
              </w:rPr>
            </w:pPr>
          </w:p>
        </w:tc>
      </w:tr>
      <w:tr>
        <w:trPr>
          <w:trHeight w:val="243"/>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501,327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407,004</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54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2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59,490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50,987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167,913</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145,701</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920" w:type="dxa"/>
            <w:vAlign w:val="bottom"/>
            <w:tcBorders>
              <w:bottom w:val="single" w:sz="8" w:color="231F20"/>
            </w:tcBorders>
          </w:tcPr>
          <w:p>
            <w:pPr>
              <w:spacing w:after="0"/>
              <w:rPr>
                <w:sz w:val="22"/>
                <w:szCs w:val="22"/>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12,728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231F20"/>
            </w:tcBorders>
          </w:tcPr>
          <w:p>
            <w:pPr>
              <w:spacing w:after="0"/>
              <w:rPr>
                <w:sz w:val="22"/>
                <w:szCs w:val="22"/>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11,465</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37,175</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31,276</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46,762</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39,522</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130,738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114,425</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10,892</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9,756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31,240</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27,353</w:t>
            </w:r>
          </w:p>
        </w:tc>
        <w:tc>
          <w:tcPr>
            <w:tcW w:w="0" w:type="dxa"/>
            <w:vAlign w:val="bottom"/>
          </w:tcPr>
          <w:p>
            <w:pPr>
              <w:spacing w:after="0"/>
              <w:rPr>
                <w:sz w:val="1"/>
                <w:szCs w:val="1"/>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15,475</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14,498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46,872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43,393</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9,546</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7,281</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25,112</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22,383</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35,913</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31,535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103,224</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93,129</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10,849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7,987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27,514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21,296</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9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363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1,775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903</w:t>
            </w:r>
          </w:p>
        </w:tc>
        <w:tc>
          <w:tcPr>
            <w:tcW w:w="0" w:type="dxa"/>
            <w:vAlign w:val="bottom"/>
          </w:tcPr>
          <w:p>
            <w:pPr>
              <w:spacing w:after="0"/>
              <w:rPr>
                <w:sz w:val="1"/>
                <w:szCs w:val="1"/>
                <w:color w:val="auto"/>
              </w:rPr>
            </w:pP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expense, net</w:t>
            </w: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spacing w:after="0"/>
              <w:rPr>
                <w:sz w:val="23"/>
                <w:szCs w:val="23"/>
                <w:color w:val="auto"/>
              </w:rPr>
            </w:pPr>
          </w:p>
        </w:tc>
        <w:tc>
          <w:tcPr>
            <w:tcW w:w="58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231F20"/>
            </w:tcBorders>
            <w:shd w:val="clear" w:color="auto" w:fill="CCEEFF"/>
          </w:tcPr>
          <w:p>
            <w:pPr>
              <w:spacing w:after="0"/>
              <w:rPr>
                <w:sz w:val="23"/>
                <w:szCs w:val="23"/>
                <w:color w:val="auto"/>
              </w:rPr>
            </w:pPr>
          </w:p>
        </w:tc>
        <w:tc>
          <w:tcPr>
            <w:tcW w:w="92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671</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231F20"/>
            </w:tcBorders>
          </w:tcPr>
          <w:p>
            <w:pPr>
              <w:spacing w:after="0"/>
              <w:rPr>
                <w:sz w:val="21"/>
                <w:szCs w:val="21"/>
                <w:color w:val="auto"/>
              </w:rPr>
            </w:pPr>
          </w:p>
        </w:tc>
        <w:tc>
          <w:tcPr>
            <w:tcW w:w="5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230</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1,484</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231F20"/>
            </w:tcBorders>
          </w:tcPr>
          <w:p>
            <w:pPr>
              <w:spacing w:after="0"/>
              <w:rPr>
                <w:sz w:val="21"/>
                <w:szCs w:val="21"/>
                <w:color w:val="auto"/>
              </w:rPr>
            </w:pPr>
          </w:p>
        </w:tc>
        <w:tc>
          <w:tcPr>
            <w:tcW w:w="92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11,520</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8,217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28,998</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21,734</w:t>
            </w: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3,068</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3,221</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(8,586)</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8,417</w:t>
            </w: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8,452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37,584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13,317</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40"/>
              <w:spacing w:after="0"/>
              <w:rPr>
                <w:sz w:val="20"/>
                <w:szCs w:val="20"/>
                <w:color w:val="auto"/>
              </w:rPr>
            </w:pPr>
            <w:r>
              <w:rPr>
                <w:rFonts w:ascii="Arial" w:cs="Arial" w:eastAsia="Arial" w:hAnsi="Arial"/>
                <w:sz w:val="14"/>
                <w:szCs w:val="14"/>
                <w:color w:val="auto"/>
              </w:rPr>
              <w:t>Net income per share:</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260" w:type="dxa"/>
            <w:vAlign w:val="bottom"/>
            <w:vMerge w:val="continue"/>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Diluted</w:t>
            </w: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0.21</w:t>
            </w: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0.13</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0.95</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251"/>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used in computing net income per share:</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37,703</w:t>
            </w:r>
          </w:p>
        </w:tc>
        <w:tc>
          <w:tcPr>
            <w:tcW w:w="12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35,477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37,162</w:t>
            </w:r>
          </w:p>
        </w:tc>
        <w:tc>
          <w:tcPr>
            <w:tcW w:w="10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35,074</w:t>
            </w:r>
          </w:p>
        </w:tc>
        <w:tc>
          <w:tcPr>
            <w:tcW w:w="0" w:type="dxa"/>
            <w:vAlign w:val="bottom"/>
          </w:tcPr>
          <w:p>
            <w:pPr>
              <w:spacing w:after="0"/>
              <w:rPr>
                <w:sz w:val="1"/>
                <w:szCs w:val="1"/>
                <w:color w:val="auto"/>
              </w:rPr>
            </w:pPr>
          </w:p>
        </w:tc>
      </w:tr>
      <w:tr>
        <w:trPr>
          <w:trHeight w:val="21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40,299</w:t>
            </w: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38,712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39,601</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38,205</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58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5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8,452</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4,996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37,584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13,317</w:t>
            </w: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Change in foreign currency translation loss, net of zero tax</w:t>
            </w:r>
          </w:p>
        </w:tc>
        <w:tc>
          <w:tcPr>
            <w:tcW w:w="9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22"/>
                <w:szCs w:val="22"/>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52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Available-for-sale investments:</w:t>
            </w: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64"/>
        </w:trPr>
        <w:tc>
          <w:tcPr>
            <w:tcW w:w="5260" w:type="dxa"/>
            <w:vAlign w:val="bottom"/>
          </w:tcPr>
          <w:p>
            <w:pPr>
              <w:ind w:left="280"/>
              <w:spacing w:after="0"/>
              <w:rPr>
                <w:sz w:val="20"/>
                <w:szCs w:val="20"/>
                <w:color w:val="auto"/>
              </w:rPr>
            </w:pPr>
            <w:r>
              <w:rPr>
                <w:rFonts w:ascii="Arial" w:cs="Arial" w:eastAsia="Arial" w:hAnsi="Arial"/>
                <w:sz w:val="14"/>
                <w:szCs w:val="14"/>
                <w:color w:val="auto"/>
              </w:rPr>
              <w:t>Change in net unrealized gain (loss) on investments, net of tax</w:t>
            </w:r>
          </w:p>
        </w:tc>
        <w:tc>
          <w:tcPr>
            <w:tcW w:w="960" w:type="dxa"/>
            <w:vAlign w:val="bottom"/>
          </w:tcPr>
          <w:p>
            <w:pPr>
              <w:spacing w:after="0"/>
              <w:rPr>
                <w:sz w:val="22"/>
                <w:szCs w:val="22"/>
                <w:color w:val="auto"/>
              </w:rPr>
            </w:pPr>
          </w:p>
        </w:tc>
        <w:tc>
          <w:tcPr>
            <w:tcW w:w="54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40" w:type="dxa"/>
            <w:vAlign w:val="bottom"/>
          </w:tcPr>
          <w:p>
            <w:pPr>
              <w:jc w:val="right"/>
              <w:ind w:right="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140</w:t>
            </w:r>
          </w:p>
        </w:tc>
      </w:tr>
      <w:tr>
        <w:trPr>
          <w:trHeight w:val="270"/>
        </w:trPr>
        <w:tc>
          <w:tcPr>
            <w:tcW w:w="52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Less: reclassification adjustment for net realized gain included in net income</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r>
      <w:tr>
        <w:trPr>
          <w:trHeight w:val="250"/>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change, net of tax</w:t>
            </w: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w:t>
            </w:r>
          </w:p>
        </w:tc>
      </w:tr>
      <w:tr>
        <w:trPr>
          <w:trHeight w:val="250"/>
        </w:trPr>
        <w:tc>
          <w:tcPr>
            <w:tcW w:w="52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comprehensive income (loss), net</w:t>
            </w:r>
          </w:p>
        </w:tc>
        <w:tc>
          <w:tcPr>
            <w:tcW w:w="960" w:type="dxa"/>
            <w:vAlign w:val="bottom"/>
            <w:tcBorders>
              <w:bottom w:val="single" w:sz="8" w:color="231F20"/>
            </w:tcBorders>
            <w:shd w:val="clear" w:color="auto" w:fill="CCEEFF"/>
          </w:tcPr>
          <w:p>
            <w:pPr>
              <w:spacing w:after="0"/>
              <w:rPr>
                <w:sz w:val="21"/>
                <w:szCs w:val="21"/>
                <w:color w:val="auto"/>
              </w:rPr>
            </w:pPr>
          </w:p>
        </w:tc>
        <w:tc>
          <w:tcPr>
            <w:tcW w:w="54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21"/>
                <w:szCs w:val="21"/>
                <w:color w:val="auto"/>
              </w:rPr>
            </w:pPr>
          </w:p>
        </w:tc>
        <w:tc>
          <w:tcPr>
            <w:tcW w:w="960" w:type="dxa"/>
            <w:vAlign w:val="bottom"/>
            <w:tcBorders>
              <w:bottom w:val="single" w:sz="8" w:color="231F20"/>
            </w:tcBorders>
            <w:shd w:val="clear" w:color="auto" w:fill="CCEEFF"/>
          </w:tcPr>
          <w:p>
            <w:pPr>
              <w:spacing w:after="0"/>
              <w:rPr>
                <w:sz w:val="21"/>
                <w:szCs w:val="21"/>
                <w:color w:val="auto"/>
              </w:rPr>
            </w:pPr>
          </w:p>
        </w:tc>
        <w:tc>
          <w:tcPr>
            <w:tcW w:w="540" w:type="dxa"/>
            <w:vAlign w:val="bottom"/>
            <w:tcBorders>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(96)</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231F20"/>
            </w:tcBorders>
            <w:shd w:val="clear" w:color="auto" w:fill="CCEEFF"/>
          </w:tcPr>
          <w:p>
            <w:pPr>
              <w:spacing w:after="0"/>
              <w:rPr>
                <w:sz w:val="21"/>
                <w:szCs w:val="21"/>
                <w:color w:val="auto"/>
              </w:rPr>
            </w:pPr>
          </w:p>
        </w:tc>
        <w:tc>
          <w:tcPr>
            <w:tcW w:w="104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1"/>
                <w:szCs w:val="21"/>
                <w:color w:val="auto"/>
              </w:rPr>
            </w:pPr>
          </w:p>
        </w:tc>
        <w:tc>
          <w:tcPr>
            <w:tcW w:w="540" w:type="dxa"/>
            <w:vAlign w:val="bottom"/>
            <w:tcBorders>
              <w:bottom w:val="single" w:sz="8" w:color="231F20"/>
            </w:tcBorders>
            <w:shd w:val="clear" w:color="auto" w:fill="CCEEFF"/>
          </w:tcPr>
          <w:p>
            <w:pPr>
              <w:spacing w:after="0"/>
              <w:rPr>
                <w:sz w:val="21"/>
                <w:szCs w:val="21"/>
                <w:color w:val="auto"/>
              </w:rPr>
            </w:pPr>
          </w:p>
        </w:tc>
        <w:tc>
          <w:tcPr>
            <w:tcW w:w="92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227</w:t>
            </w:r>
          </w:p>
        </w:tc>
      </w:tr>
      <w:tr>
        <w:trPr>
          <w:trHeight w:val="243"/>
        </w:trPr>
        <w:tc>
          <w:tcPr>
            <w:tcW w:w="526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8,567</w:t>
            </w:r>
          </w:p>
        </w:tc>
        <w:tc>
          <w:tcPr>
            <w:tcW w:w="120" w:type="dxa"/>
            <w:vAlign w:val="bottom"/>
          </w:tcPr>
          <w:p>
            <w:pPr>
              <w:spacing w:after="0"/>
              <w:rPr>
                <w:sz w:val="21"/>
                <w:szCs w:val="21"/>
                <w:color w:val="auto"/>
              </w:rPr>
            </w:pPr>
          </w:p>
        </w:tc>
        <w:tc>
          <w:tcPr>
            <w:tcW w:w="9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4,900</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37,620</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13,544</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78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operating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37,584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13,317</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 expense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15,054</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12,364</w:t>
            </w:r>
          </w:p>
        </w:tc>
        <w:tc>
          <w:tcPr>
            <w:tcW w:w="0" w:type="dxa"/>
            <w:vAlign w:val="bottom"/>
          </w:tcPr>
          <w:p>
            <w:pPr>
              <w:spacing w:after="0"/>
              <w:rPr>
                <w:sz w:val="1"/>
                <w:szCs w:val="1"/>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Bad debt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Stock-based compensation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18,522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15,122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Amortization of premiums and accretion of discounts on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(4,832)</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(17,631)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Excess tax benefits included in deferred tax assets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7,880</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(706)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747</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6,763</w:t>
            </w:r>
          </w:p>
        </w:tc>
        <w:tc>
          <w:tcPr>
            <w:tcW w:w="0" w:type="dxa"/>
            <w:vAlign w:val="bottom"/>
          </w:tcPr>
          <w:p>
            <w:pPr>
              <w:spacing w:after="0"/>
              <w:rPr>
                <w:sz w:val="1"/>
                <w:szCs w:val="1"/>
                <w:color w:val="auto"/>
              </w:rPr>
            </w:pPr>
          </w:p>
        </w:tc>
      </w:tr>
      <w:tr>
        <w:trPr>
          <w:trHeight w:val="264"/>
        </w:trPr>
        <w:tc>
          <w:tcPr>
            <w:tcW w:w="834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17,716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10,853</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1,190</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1,188</w:t>
            </w:r>
          </w:p>
        </w:tc>
        <w:tc>
          <w:tcPr>
            <w:tcW w:w="0" w:type="dxa"/>
            <w:vAlign w:val="bottom"/>
          </w:tcPr>
          <w:p>
            <w:pPr>
              <w:spacing w:after="0"/>
              <w:rPr>
                <w:sz w:val="1"/>
                <w:szCs w:val="1"/>
                <w:color w:val="auto"/>
              </w:rPr>
            </w:pPr>
          </w:p>
        </w:tc>
      </w:tr>
      <w:tr>
        <w:trPr>
          <w:trHeight w:val="21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81,779</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54,704</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investing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Purchases of investments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(198,866)</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(180,161)</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Sales and maturities of investments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148,025</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133,708</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(26,612)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(18,809)</w:t>
            </w: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 of business</w:t>
            </w:r>
          </w:p>
        </w:tc>
        <w:tc>
          <w:tcPr>
            <w:tcW w:w="340" w:type="dxa"/>
            <w:vAlign w:val="bottom"/>
            <w:shd w:val="clear" w:color="auto" w:fill="CCEEFF"/>
          </w:tcPr>
          <w:p>
            <w:pPr>
              <w:spacing w:after="0"/>
              <w:rPr>
                <w:sz w:val="18"/>
                <w:szCs w:val="18"/>
                <w:color w:val="auto"/>
              </w:rPr>
            </w:pPr>
          </w:p>
        </w:tc>
        <w:tc>
          <w:tcPr>
            <w:tcW w:w="11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(5,753)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8"/>
        </w:trPr>
        <w:tc>
          <w:tcPr>
            <w:tcW w:w="834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(83,206)</w:t>
            </w:r>
          </w:p>
        </w:tc>
        <w:tc>
          <w:tcPr>
            <w:tcW w:w="12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(65,262)</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22,778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12,529</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Excess tax benefits from stock-based compensation</w:t>
            </w:r>
          </w:p>
        </w:tc>
        <w:tc>
          <w:tcPr>
            <w:tcW w:w="34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4,832</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Payments for taxes related to net share settlement of equity awards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(17,571)</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financing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5,207</w:t>
            </w:r>
          </w:p>
        </w:tc>
        <w:tc>
          <w:tcPr>
            <w:tcW w:w="12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17,159</w:t>
            </w:r>
          </w:p>
        </w:tc>
        <w:tc>
          <w:tcPr>
            <w:tcW w:w="0" w:type="dxa"/>
            <w:vAlign w:val="bottom"/>
          </w:tcPr>
          <w:p>
            <w:pPr>
              <w:spacing w:after="0"/>
              <w:rPr>
                <w:sz w:val="1"/>
                <w:szCs w:val="1"/>
                <w:color w:val="auto"/>
              </w:rPr>
            </w:pP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3,780</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6,601</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86,737</w:t>
            </w:r>
          </w:p>
        </w:tc>
        <w:tc>
          <w:tcPr>
            <w:tcW w:w="12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91,698</w:t>
            </w:r>
          </w:p>
        </w:tc>
        <w:tc>
          <w:tcPr>
            <w:tcW w:w="0" w:type="dxa"/>
            <w:vAlign w:val="bottom"/>
          </w:tcPr>
          <w:p>
            <w:pPr>
              <w:spacing w:after="0"/>
              <w:rPr>
                <w:sz w:val="1"/>
                <w:szCs w:val="1"/>
                <w:color w:val="auto"/>
              </w:rPr>
            </w:pP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90,517</w:t>
            </w:r>
          </w:p>
        </w:tc>
        <w:tc>
          <w:tcPr>
            <w:tcW w:w="12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98,299</w:t>
            </w:r>
          </w:p>
        </w:tc>
        <w:tc>
          <w:tcPr>
            <w:tcW w:w="0" w:type="dxa"/>
            <w:vAlign w:val="bottom"/>
          </w:tcPr>
          <w:p>
            <w:pPr>
              <w:spacing w:after="0"/>
              <w:rPr>
                <w:sz w:val="1"/>
                <w:szCs w:val="1"/>
                <w:color w:val="auto"/>
              </w:rPr>
            </w:pPr>
          </w:p>
        </w:tc>
      </w:tr>
      <w:tr>
        <w:trPr>
          <w:trHeight w:val="264"/>
        </w:trPr>
        <w:tc>
          <w:tcPr>
            <w:tcW w:w="83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cash flow disclosures: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 recorded in accounts payable and accrued liabilities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1,371</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2,606</w:t>
            </w:r>
          </w:p>
        </w:tc>
        <w:tc>
          <w:tcPr>
            <w:tcW w:w="0" w:type="dxa"/>
            <w:vAlign w:val="bottom"/>
          </w:tcPr>
          <w:p>
            <w:pPr>
              <w:spacing w:after="0"/>
              <w:rPr>
                <w:sz w:val="1"/>
                <w:szCs w:val="1"/>
                <w:color w:val="auto"/>
              </w:rPr>
            </w:pPr>
          </w:p>
        </w:tc>
      </w:tr>
      <w:tr>
        <w:trPr>
          <w:trHeight w:val="264"/>
        </w:trPr>
        <w:tc>
          <w:tcPr>
            <w:tcW w:w="8340" w:type="dxa"/>
            <w:vAlign w:val="bottom"/>
          </w:tcPr>
          <w:p>
            <w:pPr>
              <w:ind w:left="280"/>
              <w:spacing w:after="0"/>
              <w:rPr>
                <w:sz w:val="20"/>
                <w:szCs w:val="20"/>
                <w:color w:val="auto"/>
              </w:rPr>
            </w:pPr>
            <w:r>
              <w:rPr>
                <w:rFonts w:ascii="Arial" w:cs="Arial" w:eastAsia="Arial" w:hAnsi="Arial"/>
                <w:sz w:val="14"/>
                <w:szCs w:val="14"/>
                <w:color w:val="auto"/>
              </w:rPr>
              <w:t>Cash paid for income taxes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1,083</w:t>
            </w:r>
          </w:p>
        </w:tc>
        <w:tc>
          <w:tcPr>
            <w:tcW w:w="120" w:type="dxa"/>
            <w:vAlign w:val="bottom"/>
          </w:tcPr>
          <w:p>
            <w:pPr>
              <w:spacing w:after="0"/>
              <w:rPr>
                <w:sz w:val="22"/>
                <w:szCs w:val="22"/>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785</w:t>
            </w: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Not yet received tenant allowance recorded in other assets, accrued liabilities and other non-current liabilities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8,076</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41" w:right="239" w:bottom="1440"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24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accompanying unaudited condensed consolidated financial statements and condensed footnotes have been prepared by the Company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w:t>
      </w:r>
      <w:r>
        <w:rPr>
          <w:rFonts w:ascii="Arial" w:cs="Arial" w:eastAsia="Arial" w:hAnsi="Arial"/>
          <w:sz w:val="18"/>
          <w:szCs w:val="18"/>
          <w:color w:val="000000"/>
        </w:rPr>
        <w:t>December 31, 2016</w:t>
      </w:r>
      <w:r>
        <w:rPr>
          <w:rFonts w:ascii="Arial" w:cs="Arial" w:eastAsia="Arial" w:hAnsi="Arial"/>
          <w:sz w:val="18"/>
          <w:szCs w:val="18"/>
          <w:color w:val="231F20"/>
        </w:rPr>
        <w:t xml:space="preserve">,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nine month periods ended September 30, 2017 are not necessarily indicative of the results of operations expected for the entire year ending December 31, 2017 or for any other future annual or interim period. These condensed consolidated financial statements should be read in conjunction with the consolidated financial statements and related notes included in the Company’s Annual Report on Form 10-K for the year ended </w:t>
      </w:r>
      <w:r>
        <w:rPr>
          <w:rFonts w:ascii="Arial" w:cs="Arial" w:eastAsia="Arial" w:hAnsi="Arial"/>
          <w:sz w:val="18"/>
          <w:szCs w:val="18"/>
          <w:color w:val="000000"/>
        </w:rPr>
        <w:t>December 31, 2016</w:t>
      </w:r>
      <w:r>
        <w:rPr>
          <w:rFonts w:ascii="Arial" w:cs="Arial" w:eastAsia="Arial" w:hAnsi="Arial"/>
          <w:sz w:val="18"/>
          <w:szCs w:val="18"/>
          <w:color w:val="231F20"/>
        </w:rPr>
        <w:t>, filed with the SEC on February 24, 2017.</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Reclassification</w:t>
      </w:r>
    </w:p>
    <w:p>
      <w:pPr>
        <w:spacing w:after="0" w:line="247"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231F20"/>
        </w:rPr>
        <w:t>The Company reclassified certain information technology expenses across the functions that benefit from their support. For the three months ended September 30, 2016, the Company reclassified $0.8 million out of general and administrative expenses. Of this amount the Company reclassified $ 0.2 million to cost of revenues, $0.3 million to research and development and $ 0.3 million to sales and marketing. For the nine months ended September 30, 2016, the Company reclassified $ 2.2 million out of general and administrative expenses. Of this amount the Company reclassified $0.5 million to cost of revenues, $1.0 million to research and development and $0.7 million to sales and marketing.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Recently adopted Accounting Pronouncements</w:t>
      </w:r>
    </w:p>
    <w:p>
      <w:pPr>
        <w:spacing w:after="0" w:line="22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231F20"/>
        </w:rPr>
        <w:t xml:space="preserve">In March 2016, the FASB issued ASU 2016-09, </w:t>
      </w:r>
      <w:r>
        <w:rPr>
          <w:rFonts w:ascii="Arial" w:cs="Arial" w:eastAsia="Arial" w:hAnsi="Arial"/>
          <w:sz w:val="18"/>
          <w:szCs w:val="18"/>
          <w:i w:val="1"/>
          <w:iCs w:val="1"/>
          <w:color w:val="231F20"/>
        </w:rPr>
        <w:t>Compensation - Stock Compensation (Topic 718): Improvements to Employee Share-Based Payment Accounting</w:t>
      </w:r>
      <w:r>
        <w:rPr>
          <w:rFonts w:ascii="Arial" w:cs="Arial" w:eastAsia="Arial" w:hAnsi="Arial"/>
          <w:sz w:val="18"/>
          <w:szCs w:val="18"/>
          <w:color w:val="231F20"/>
        </w:rPr>
        <w:t>, (ASU 2016-09) intended to simplify and improve various aspects related to how employee-share based payment</w:t>
      </w:r>
      <w:r>
        <w:rPr>
          <w:rFonts w:ascii="Arial" w:cs="Arial" w:eastAsia="Arial" w:hAnsi="Arial"/>
          <w:sz w:val="18"/>
          <w:szCs w:val="18"/>
          <w:i w:val="1"/>
          <w:iCs w:val="1"/>
          <w:color w:val="231F20"/>
        </w:rPr>
        <w:t xml:space="preserve"> </w:t>
      </w:r>
      <w:r>
        <w:rPr>
          <w:rFonts w:ascii="Arial" w:cs="Arial" w:eastAsia="Arial" w:hAnsi="Arial"/>
          <w:sz w:val="18"/>
          <w:szCs w:val="18"/>
          <w:color w:val="231F20"/>
        </w:rPr>
        <w:t>transactions are accounted for and presented in the financial statements. The ASU addresses income tax consequences, classification of awards as either equity or liabilities, classification on the statement of cash flows and forfeiture rate calculations. This guidance is effective for public business entities in fiscal years, and interim periods within those fiscal years, beginning after December 15, 2016. The Company adopted this guidance in its first quarter of 2017 and elected to apply this adoption</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41" w:right="29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231F20"/>
        </w:rPr>
        <w:t>prospectively. Prior periods have not been adjusted. The Company has made the accounting policy election to continue to estimate forfeitures expected to occur to determine the amount of stock-based compensation expense to record each period. See Note 8 for information regarding the impact on the Company's financial statements.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22222"/>
        </w:rPr>
        <w:t>Revenue from Contracts with Customers</w:t>
      </w:r>
    </w:p>
    <w:p>
      <w:pPr>
        <w:spacing w:after="0" w:line="225" w:lineRule="exact"/>
        <w:rPr>
          <w:sz w:val="20"/>
          <w:szCs w:val="20"/>
          <w:color w:val="auto"/>
        </w:rPr>
      </w:pPr>
    </w:p>
    <w:p>
      <w:pPr>
        <w:ind w:right="340" w:firstLine="486"/>
        <w:spacing w:after="0" w:line="255" w:lineRule="auto"/>
        <w:rPr>
          <w:sz w:val="20"/>
          <w:szCs w:val="20"/>
          <w:color w:val="auto"/>
        </w:rPr>
      </w:pPr>
      <w:r>
        <w:rPr>
          <w:rFonts w:ascii="Arial" w:cs="Arial" w:eastAsia="Arial" w:hAnsi="Arial"/>
          <w:sz w:val="18"/>
          <w:szCs w:val="18"/>
          <w:color w:val="231F20"/>
        </w:rPr>
        <w:t xml:space="preserve">In May 2014, the Financial Accounting Standards Board (FASB) issued Accounting Standards Update (ASU) 2014-09, </w:t>
      </w:r>
      <w:r>
        <w:rPr>
          <w:rFonts w:ascii="Arial" w:cs="Arial" w:eastAsia="Arial" w:hAnsi="Arial"/>
          <w:sz w:val="18"/>
          <w:szCs w:val="18"/>
          <w:i w:val="1"/>
          <w:iCs w:val="1"/>
          <w:color w:val="231F20"/>
        </w:rPr>
        <w:t>Revenue from</w:t>
      </w:r>
      <w:r>
        <w:rPr>
          <w:rFonts w:ascii="Arial" w:cs="Arial" w:eastAsia="Arial" w:hAnsi="Arial"/>
          <w:sz w:val="18"/>
          <w:szCs w:val="18"/>
          <w:color w:val="231F20"/>
        </w:rPr>
        <w:t xml:space="preserve"> </w:t>
      </w:r>
      <w:r>
        <w:rPr>
          <w:rFonts w:ascii="Arial" w:cs="Arial" w:eastAsia="Arial" w:hAnsi="Arial"/>
          <w:sz w:val="18"/>
          <w:szCs w:val="18"/>
          <w:i w:val="1"/>
          <w:iCs w:val="1"/>
          <w:color w:val="231F20"/>
        </w:rPr>
        <w:t>Contracts with Customers (</w:t>
      </w:r>
      <w:r>
        <w:rPr>
          <w:rFonts w:ascii="Arial" w:cs="Arial" w:eastAsia="Arial" w:hAnsi="Arial"/>
          <w:sz w:val="18"/>
          <w:szCs w:val="18"/>
          <w:color w:val="231F20"/>
        </w:rPr>
        <w:t>ASU 2014-09), as amended, which will supersede nearly all existing revenue recognition guidance. Under ASU</w:t>
      </w:r>
      <w:r>
        <w:rPr>
          <w:rFonts w:ascii="Arial" w:cs="Arial" w:eastAsia="Arial" w:hAnsi="Arial"/>
          <w:sz w:val="18"/>
          <w:szCs w:val="18"/>
          <w:i w:val="1"/>
          <w:iCs w:val="1"/>
          <w:color w:val="231F20"/>
        </w:rPr>
        <w:t xml:space="preserve"> </w:t>
      </w:r>
      <w:r>
        <w:rPr>
          <w:rFonts w:ascii="Arial" w:cs="Arial" w:eastAsia="Arial" w:hAnsi="Arial"/>
          <w:sz w:val="18"/>
          <w:szCs w:val="18"/>
          <w:color w:val="231F20"/>
        </w:rPr>
        <w:t>2014-09, an entity is required to recognize revenue upon transfer of promised goods or services to customers in an amount that reflects the expected consideration received in exchange for those goods or services. ASU 2014-09 defines a five-step process in order to achieve this core principle, which may require the use of judgment and estimates, and also requires expanded qualitative and quantitative disclosures relating to the nature, amount, timing and uncertainty of revenue and cash flows arising from contracts with customers, including significant judgments and estimates used.</w:t>
      </w:r>
    </w:p>
    <w:p>
      <w:pPr>
        <w:spacing w:after="0" w:line="207" w:lineRule="exact"/>
        <w:rPr>
          <w:sz w:val="20"/>
          <w:szCs w:val="20"/>
          <w:color w:val="auto"/>
        </w:rPr>
      </w:pPr>
    </w:p>
    <w:p>
      <w:pPr>
        <w:ind w:firstLine="648"/>
        <w:spacing w:after="0" w:line="250" w:lineRule="auto"/>
        <w:rPr>
          <w:sz w:val="20"/>
          <w:szCs w:val="20"/>
          <w:color w:val="auto"/>
        </w:rPr>
      </w:pPr>
      <w:r>
        <w:rPr>
          <w:rFonts w:ascii="Arial" w:cs="Arial" w:eastAsia="Arial" w:hAnsi="Arial"/>
          <w:sz w:val="18"/>
          <w:szCs w:val="18"/>
          <w:color w:val="231F20"/>
        </w:rPr>
        <w:t xml:space="preserve">The FASB has recently issued several amendments to the new standard, including clarification on accounting for licenses of intellectual property and identifying performance obligations. The amendments include ASU 2016-08, </w:t>
      </w:r>
      <w:r>
        <w:rPr>
          <w:rFonts w:ascii="Arial" w:cs="Arial" w:eastAsia="Arial" w:hAnsi="Arial"/>
          <w:sz w:val="18"/>
          <w:szCs w:val="18"/>
          <w:i w:val="1"/>
          <w:iCs w:val="1"/>
          <w:color w:val="231F20"/>
        </w:rPr>
        <w:t>Revenue from Contracts with Customers (Topic</w:t>
      </w:r>
    </w:p>
    <w:p>
      <w:pPr>
        <w:spacing w:after="0" w:line="1"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i w:val="1"/>
          <w:iCs w:val="1"/>
          <w:color w:val="231F20"/>
        </w:rPr>
        <w:t>606)-Principal versus Agent Considerations</w:t>
      </w:r>
      <w:r>
        <w:rPr>
          <w:rFonts w:ascii="Arial" w:cs="Arial" w:eastAsia="Arial" w:hAnsi="Arial"/>
          <w:sz w:val="18"/>
          <w:szCs w:val="18"/>
          <w:color w:val="231F20"/>
        </w:rPr>
        <w:t>, which was issued in March 2016, and clarifies the implementation guidance for principal versus</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agent considerations in ASU 2014-09, and ASU 2016-10, </w:t>
      </w:r>
      <w:r>
        <w:rPr>
          <w:rFonts w:ascii="Arial" w:cs="Arial" w:eastAsia="Arial" w:hAnsi="Arial"/>
          <w:sz w:val="18"/>
          <w:szCs w:val="18"/>
          <w:i w:val="1"/>
          <w:iCs w:val="1"/>
          <w:color w:val="231F20"/>
        </w:rPr>
        <w:t>Revenue from Contracts with Customers (Topic 606)-Identifying Performance</w:t>
      </w:r>
      <w:r>
        <w:rPr>
          <w:rFonts w:ascii="Arial" w:cs="Arial" w:eastAsia="Arial" w:hAnsi="Arial"/>
          <w:sz w:val="18"/>
          <w:szCs w:val="18"/>
          <w:color w:val="231F20"/>
        </w:rPr>
        <w:t xml:space="preserve"> </w:t>
      </w:r>
      <w:r>
        <w:rPr>
          <w:rFonts w:ascii="Arial" w:cs="Arial" w:eastAsia="Arial" w:hAnsi="Arial"/>
          <w:sz w:val="18"/>
          <w:szCs w:val="18"/>
          <w:i w:val="1"/>
          <w:iCs w:val="1"/>
          <w:color w:val="231F20"/>
        </w:rPr>
        <w:t>Obligations and Licensing</w:t>
      </w:r>
      <w:r>
        <w:rPr>
          <w:rFonts w:ascii="Arial" w:cs="Arial" w:eastAsia="Arial" w:hAnsi="Arial"/>
          <w:sz w:val="18"/>
          <w:szCs w:val="18"/>
          <w:color w:val="231F20"/>
        </w:rPr>
        <w:t>, which was issued in April 2016, and amends the guidance in ASU 2014-09 related to identifying performance</w:t>
      </w:r>
      <w:r>
        <w:rPr>
          <w:rFonts w:ascii="Arial" w:cs="Arial" w:eastAsia="Arial" w:hAnsi="Arial"/>
          <w:sz w:val="18"/>
          <w:szCs w:val="18"/>
          <w:i w:val="1"/>
          <w:iCs w:val="1"/>
          <w:color w:val="231F20"/>
        </w:rPr>
        <w:t xml:space="preserve"> </w:t>
      </w:r>
      <w:r>
        <w:rPr>
          <w:rFonts w:ascii="Arial" w:cs="Arial" w:eastAsia="Arial" w:hAnsi="Arial"/>
          <w:sz w:val="18"/>
          <w:szCs w:val="18"/>
          <w:color w:val="231F20"/>
        </w:rPr>
        <w:t>obligations and accounting for licenses of intellectual property. The new standard permits adoption either by using (i) a full retrospective approach for all periods presented in the period of adoption or (ii) a modified retrospective approach with the cumulative effect of initially applying the new standard recognized at the date of initial application and providing certain additional disclosures. The new standard is effective for annual reporting periods beginning after December 15, 2017, with early adoption permitted for annual reporting periods beginning after December 15, 2016. The Company will adopt the new standard effective January 1, 2018.</w:t>
      </w:r>
    </w:p>
    <w:p>
      <w:pPr>
        <w:spacing w:after="0" w:line="206"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231F20"/>
        </w:rPr>
        <w:t>We have reached preliminary conclusions on key accounting assessments related to the standard. The Company currently believes the new standard will have the most significant impact relating to the potential deferral of sales commissions and contract costs. We are finalizing our assessment and quantifying the impacts related to accounting for costs incurred to obtain a contract.</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Company currently plans to adopt using the modified retrospective approach.</w:t>
      </w:r>
    </w:p>
    <w:p>
      <w:pPr>
        <w:spacing w:after="0" w:line="20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231F20"/>
        </w:rPr>
        <w:t xml:space="preserve">In January 2016, the FASB issued ASU 2016-01, </w:t>
      </w:r>
      <w:r>
        <w:rPr>
          <w:rFonts w:ascii="Arial" w:cs="Arial" w:eastAsia="Arial" w:hAnsi="Arial"/>
          <w:sz w:val="18"/>
          <w:szCs w:val="18"/>
          <w:i w:val="1"/>
          <w:iCs w:val="1"/>
          <w:color w:val="231F20"/>
        </w:rPr>
        <w:t>Financial Instruments - Overall (Subtopic 825-10): Recognition and Measurement of</w:t>
      </w:r>
      <w:r>
        <w:rPr>
          <w:rFonts w:ascii="Arial" w:cs="Arial" w:eastAsia="Arial" w:hAnsi="Arial"/>
          <w:sz w:val="18"/>
          <w:szCs w:val="18"/>
          <w:color w:val="231F20"/>
        </w:rPr>
        <w:t xml:space="preserve"> </w:t>
      </w:r>
      <w:r>
        <w:rPr>
          <w:rFonts w:ascii="Arial" w:cs="Arial" w:eastAsia="Arial" w:hAnsi="Arial"/>
          <w:sz w:val="18"/>
          <w:szCs w:val="18"/>
          <w:i w:val="1"/>
          <w:iCs w:val="1"/>
          <w:color w:val="231F20"/>
        </w:rPr>
        <w:t>Financial Assets and Financial Liabilities</w:t>
      </w:r>
      <w:r>
        <w:rPr>
          <w:rFonts w:ascii="Arial" w:cs="Arial" w:eastAsia="Arial" w:hAnsi="Arial"/>
          <w:sz w:val="18"/>
          <w:szCs w:val="18"/>
          <w:color w:val="231F20"/>
        </w:rPr>
        <w:t>, which will impact certain aspects of recognition, measurement, presentation and disclosure of</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financial instruments. </w:t>
      </w:r>
      <w:r>
        <w:rPr>
          <w:rFonts w:ascii="Arial" w:cs="Arial" w:eastAsia="Arial" w:hAnsi="Arial"/>
          <w:sz w:val="18"/>
          <w:szCs w:val="18"/>
          <w:color w:val="000000"/>
        </w:rPr>
        <w:t>The guidance will impact the accounting for equity investments, financial liabilities under the fair value option, and the</w:t>
      </w:r>
      <w:r>
        <w:rPr>
          <w:rFonts w:ascii="Arial" w:cs="Arial" w:eastAsia="Arial" w:hAnsi="Arial"/>
          <w:sz w:val="18"/>
          <w:szCs w:val="18"/>
          <w:color w:val="231F20"/>
        </w:rPr>
        <w:t xml:space="preserve"> </w:t>
      </w:r>
      <w:r>
        <w:rPr>
          <w:rFonts w:ascii="Arial" w:cs="Arial" w:eastAsia="Arial" w:hAnsi="Arial"/>
          <w:sz w:val="18"/>
          <w:szCs w:val="18"/>
          <w:color w:val="000000"/>
        </w:rPr>
        <w:t xml:space="preserve">presentation and disclosure requirements for financial instruments. </w:t>
      </w:r>
      <w:r>
        <w:rPr>
          <w:rFonts w:ascii="Arial" w:cs="Arial" w:eastAsia="Arial" w:hAnsi="Arial"/>
          <w:sz w:val="18"/>
          <w:szCs w:val="18"/>
          <w:color w:val="231F20"/>
        </w:rPr>
        <w:t>This guidance is effective for public business entities in fiscal years, and</w:t>
      </w:r>
      <w:r>
        <w:rPr>
          <w:rFonts w:ascii="Arial" w:cs="Arial" w:eastAsia="Arial" w:hAnsi="Arial"/>
          <w:sz w:val="18"/>
          <w:szCs w:val="18"/>
          <w:color w:val="000000"/>
        </w:rPr>
        <w:t xml:space="preserve"> </w:t>
      </w:r>
      <w:r>
        <w:rPr>
          <w:rFonts w:ascii="Arial" w:cs="Arial" w:eastAsia="Arial" w:hAnsi="Arial"/>
          <w:sz w:val="18"/>
          <w:szCs w:val="18"/>
          <w:color w:val="231F20"/>
        </w:rPr>
        <w:t>interim periods within those fiscal years, beginning after December 15, 2017. The Company is currently evaluating the impact this ASU will have on its consolidated financial statements.</w:t>
      </w:r>
    </w:p>
    <w:p>
      <w:pPr>
        <w:spacing w:after="0" w:line="18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231F20"/>
        </w:rPr>
        <w:t xml:space="preserve">In February 2016, the FASB issued ASU 2016-02, </w:t>
      </w:r>
      <w:r>
        <w:rPr>
          <w:rFonts w:ascii="Arial" w:cs="Arial" w:eastAsia="Arial" w:hAnsi="Arial"/>
          <w:sz w:val="18"/>
          <w:szCs w:val="18"/>
          <w:i w:val="1"/>
          <w:iCs w:val="1"/>
          <w:color w:val="231F20"/>
        </w:rPr>
        <w:t>Leases (Topic 842),</w:t>
      </w:r>
      <w:r>
        <w:rPr>
          <w:rFonts w:ascii="Arial" w:cs="Arial" w:eastAsia="Arial" w:hAnsi="Arial"/>
          <w:sz w:val="18"/>
          <w:szCs w:val="18"/>
          <w:color w:val="231F20"/>
        </w:rPr>
        <w:t xml:space="preserve"> which requires, among other things, lease assets and lease liabilities arising from leases, including operating leases, to be recognized on the balance sheet. In addition, this ASU requires disclosing key information about leasing arrangements. This guidance supersedes existing lease guidance and is effective for public business entities in fiscal years, and interim periods within those fiscal years, beginning after December 15, 2018. </w:t>
      </w:r>
      <w:r>
        <w:rPr>
          <w:rFonts w:ascii="Arial" w:cs="Arial" w:eastAsia="Arial" w:hAnsi="Arial"/>
          <w:sz w:val="18"/>
          <w:szCs w:val="18"/>
          <w:color w:val="000000"/>
        </w:rPr>
        <w:t>Pursuant to the leasing criteria, most of our leased</w:t>
      </w:r>
      <w:r>
        <w:rPr>
          <w:rFonts w:ascii="Arial" w:cs="Arial" w:eastAsia="Arial" w:hAnsi="Arial"/>
          <w:sz w:val="18"/>
          <w:szCs w:val="18"/>
          <w:color w:val="231F20"/>
        </w:rPr>
        <w:t xml:space="preserve"> </w:t>
      </w:r>
      <w:r>
        <w:rPr>
          <w:rFonts w:ascii="Arial" w:cs="Arial" w:eastAsia="Arial" w:hAnsi="Arial"/>
          <w:sz w:val="18"/>
          <w:szCs w:val="18"/>
          <w:color w:val="000000"/>
        </w:rPr>
        <w:t xml:space="preserve">space and equipment leases will be capitalized assets on the balance sheet with an offsetting financing obligation. In the statement of operations, what was formerly rent expense will be bifurcated into depreciation and interest expense. </w:t>
      </w:r>
      <w:r>
        <w:rPr>
          <w:rFonts w:ascii="Arial" w:cs="Arial" w:eastAsia="Arial" w:hAnsi="Arial"/>
          <w:sz w:val="18"/>
          <w:szCs w:val="18"/>
          <w:color w:val="231F20"/>
        </w:rPr>
        <w:t>The Company is currently evaluating the</w:t>
      </w:r>
      <w:r>
        <w:rPr>
          <w:rFonts w:ascii="Arial" w:cs="Arial" w:eastAsia="Arial" w:hAnsi="Arial"/>
          <w:sz w:val="18"/>
          <w:szCs w:val="18"/>
          <w:color w:val="000000"/>
        </w:rPr>
        <w:t xml:space="preserve"> </w:t>
      </w:r>
      <w:r>
        <w:rPr>
          <w:rFonts w:ascii="Arial" w:cs="Arial" w:eastAsia="Arial" w:hAnsi="Arial"/>
          <w:sz w:val="18"/>
          <w:szCs w:val="18"/>
          <w:color w:val="231F20"/>
        </w:rPr>
        <w:t>impact of the adoption of this update on its consolidated financial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41" w:right="23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160" w:firstLine="486"/>
        <w:spacing w:after="0" w:line="258" w:lineRule="auto"/>
        <w:rPr>
          <w:sz w:val="20"/>
          <w:szCs w:val="20"/>
          <w:color w:val="auto"/>
        </w:rPr>
      </w:pPr>
      <w:r>
        <w:rPr>
          <w:rFonts w:ascii="Arial" w:cs="Arial" w:eastAsia="Arial" w:hAnsi="Arial"/>
          <w:sz w:val="18"/>
          <w:szCs w:val="18"/>
          <w:color w:val="231F20"/>
        </w:rPr>
        <w:t xml:space="preserve">In August 2016, the FASB issued ASU 2016-15, </w:t>
      </w:r>
      <w:r>
        <w:rPr>
          <w:rFonts w:ascii="Arial" w:cs="Arial" w:eastAsia="Arial" w:hAnsi="Arial"/>
          <w:sz w:val="18"/>
          <w:szCs w:val="18"/>
          <w:i w:val="1"/>
          <w:iCs w:val="1"/>
          <w:color w:val="231F20"/>
        </w:rPr>
        <w:t>Classification of Certain Cash Receipts and Cash Payments (a consensus of the</w:t>
      </w:r>
      <w:r>
        <w:rPr>
          <w:rFonts w:ascii="Arial" w:cs="Arial" w:eastAsia="Arial" w:hAnsi="Arial"/>
          <w:sz w:val="18"/>
          <w:szCs w:val="18"/>
          <w:color w:val="231F20"/>
        </w:rPr>
        <w:t xml:space="preserve"> </w:t>
      </w:r>
      <w:r>
        <w:rPr>
          <w:rFonts w:ascii="Arial" w:cs="Arial" w:eastAsia="Arial" w:hAnsi="Arial"/>
          <w:sz w:val="18"/>
          <w:szCs w:val="18"/>
          <w:i w:val="1"/>
          <w:iCs w:val="1"/>
          <w:color w:val="231F20"/>
        </w:rPr>
        <w:t>Emerging Issues Task Force)</w:t>
      </w:r>
      <w:r>
        <w:rPr>
          <w:rFonts w:ascii="Arial" w:cs="Arial" w:eastAsia="Arial" w:hAnsi="Arial"/>
          <w:sz w:val="18"/>
          <w:szCs w:val="18"/>
          <w:color w:val="231F20"/>
        </w:rPr>
        <w:t>, to provide guidance on the presentation of certain cash receipts and cash payments in the statement of cash</w:t>
      </w:r>
      <w:r>
        <w:rPr>
          <w:rFonts w:ascii="Arial" w:cs="Arial" w:eastAsia="Arial" w:hAnsi="Arial"/>
          <w:sz w:val="18"/>
          <w:szCs w:val="18"/>
          <w:i w:val="1"/>
          <w:iCs w:val="1"/>
          <w:color w:val="231F20"/>
        </w:rPr>
        <w:t xml:space="preserve"> </w:t>
      </w:r>
      <w:r>
        <w:rPr>
          <w:rFonts w:ascii="Arial" w:cs="Arial" w:eastAsia="Arial" w:hAnsi="Arial"/>
          <w:sz w:val="18"/>
          <w:szCs w:val="18"/>
          <w:color w:val="231F20"/>
        </w:rPr>
        <w:t>flows in order to reduce diversity in existing practice. The amendments in this ASU are effective for public business entities for fiscal years beginning after December 15, 2017, and interim periods within those fiscal years. Early adoption is permitted, including adoption in an interim period. The Company is currently evaluating the impact of the adoption of this update on its consolidated financial statements.</w:t>
      </w:r>
    </w:p>
    <w:p>
      <w:pPr>
        <w:spacing w:after="0" w:line="184"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231F20"/>
        </w:rPr>
        <w:t xml:space="preserve">In November 2016, the FASB issued ASU 2016-18, </w:t>
      </w:r>
      <w:r>
        <w:rPr>
          <w:rFonts w:ascii="Arial" w:cs="Arial" w:eastAsia="Arial" w:hAnsi="Arial"/>
          <w:sz w:val="18"/>
          <w:szCs w:val="18"/>
          <w:i w:val="1"/>
          <w:iCs w:val="1"/>
          <w:color w:val="231F20"/>
        </w:rPr>
        <w:t>Statement of Cash Flows (Topic 230): Restricted Cash</w:t>
      </w:r>
      <w:r>
        <w:rPr>
          <w:rFonts w:ascii="Arial" w:cs="Arial" w:eastAsia="Arial" w:hAnsi="Arial"/>
          <w:sz w:val="18"/>
          <w:szCs w:val="18"/>
          <w:color w:val="231F20"/>
        </w:rPr>
        <w:t>, which requires the statement of cash flows to explain the change during the period in the total of cash, cash equivalents and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This guidance is effective for public business entities in fiscal years, and interim periods within those fiscal years, beginning after December 15, 2017. Early adoption is permitted. The Company is currently evaluating the impact this ASU will have on its consolidated financial statements.</w:t>
      </w:r>
    </w:p>
    <w:p>
      <w:pPr>
        <w:spacing w:after="0" w:line="183"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which revises the definition of a business and provides new guidance in evaluating when a set of transferred assets and activities is a business. This guidance will be effective for public business </w:t>
      </w:r>
      <w:r>
        <w:rPr>
          <w:rFonts w:ascii="Arial" w:cs="Arial" w:eastAsia="Arial" w:hAnsi="Arial"/>
          <w:sz w:val="18"/>
          <w:szCs w:val="18"/>
          <w:color w:val="231F20"/>
        </w:rPr>
        <w:t>entities in fiscal years, and interim periods within those fiscal years, beginning after December 15,</w:t>
      </w:r>
      <w:r>
        <w:rPr>
          <w:rFonts w:ascii="Arial" w:cs="Arial" w:eastAsia="Arial" w:hAnsi="Arial"/>
          <w:sz w:val="18"/>
          <w:szCs w:val="18"/>
          <w:color w:val="auto"/>
        </w:rPr>
        <w:t xml:space="preserve"> </w:t>
      </w:r>
      <w:r>
        <w:rPr>
          <w:rFonts w:ascii="Arial" w:cs="Arial" w:eastAsia="Arial" w:hAnsi="Arial"/>
          <w:sz w:val="18"/>
          <w:szCs w:val="18"/>
          <w:color w:val="231F20"/>
        </w:rPr>
        <w:t xml:space="preserve">2017 </w:t>
      </w:r>
      <w:r>
        <w:rPr>
          <w:rFonts w:ascii="Arial" w:cs="Arial" w:eastAsia="Arial" w:hAnsi="Arial"/>
          <w:sz w:val="18"/>
          <w:szCs w:val="18"/>
          <w:color w:val="000000"/>
        </w:rPr>
        <w:t>on a prospective basis. Early adoption is permitted. The Company does not expect the standard to have a material impact on our</w:t>
      </w:r>
      <w:r>
        <w:rPr>
          <w:rFonts w:ascii="Arial" w:cs="Arial" w:eastAsia="Arial" w:hAnsi="Arial"/>
          <w:sz w:val="18"/>
          <w:szCs w:val="18"/>
          <w:color w:val="231F20"/>
        </w:rPr>
        <w:t xml:space="preserve"> </w:t>
      </w:r>
      <w:r>
        <w:rPr>
          <w:rFonts w:ascii="Arial" w:cs="Arial" w:eastAsia="Arial" w:hAnsi="Arial"/>
          <w:sz w:val="18"/>
          <w:szCs w:val="18"/>
          <w:color w:val="000000"/>
        </w:rPr>
        <w:t>consolidated financial statements.</w:t>
      </w:r>
    </w:p>
    <w:p>
      <w:pPr>
        <w:spacing w:after="0" w:line="184" w:lineRule="exact"/>
        <w:rPr>
          <w:sz w:val="20"/>
          <w:szCs w:val="20"/>
          <w:color w:val="auto"/>
        </w:rPr>
      </w:pPr>
    </w:p>
    <w:p>
      <w:pPr>
        <w:ind w:right="20" w:firstLine="486"/>
        <w:spacing w:after="0" w:line="258" w:lineRule="auto"/>
        <w:rPr>
          <w:sz w:val="20"/>
          <w:szCs w:val="20"/>
          <w:color w:val="auto"/>
        </w:rPr>
      </w:pPr>
      <w:r>
        <w:rPr>
          <w:rFonts w:ascii="Arial" w:cs="Arial" w:eastAsia="Arial" w:hAnsi="Arial"/>
          <w:sz w:val="18"/>
          <w:szCs w:val="18"/>
          <w:color w:val="231F20"/>
        </w:rPr>
        <w:t xml:space="preserve">In January 2017, the FASB issued ASU 2017-04, </w:t>
      </w:r>
      <w:r>
        <w:rPr>
          <w:rFonts w:ascii="Arial" w:cs="Arial" w:eastAsia="Arial" w:hAnsi="Arial"/>
          <w:sz w:val="18"/>
          <w:szCs w:val="18"/>
          <w:i w:val="1"/>
          <w:iCs w:val="1"/>
          <w:color w:val="231F20"/>
        </w:rPr>
        <w:t>Simplifying the Test for Goodwill Impairment (Topic 350)</w:t>
      </w:r>
      <w:r>
        <w:rPr>
          <w:rFonts w:ascii="Arial" w:cs="Arial" w:eastAsia="Arial" w:hAnsi="Arial"/>
          <w:sz w:val="18"/>
          <w:szCs w:val="18"/>
          <w:color w:val="231F20"/>
        </w:rPr>
        <w:t>. This standard eliminates Step 2 from the goodwill impairment test, instead requiring an entity to recognize a goodwill impairment charge for the amount by which the goodwill carrying amount exceeds the reporting unit’s fair value. This guidance is effective for interim and annual goodwill impairment tests in fiscal years beginning after December 15, 2019 with early adoption permitted. This guidance must be applied on a prospective basis. The Company does not expect the adoption of this guidance to have a material impact on its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Fair Value of Financial Instruments</w:t>
      </w:r>
    </w:p>
    <w:p>
      <w:pPr>
        <w:spacing w:after="0" w:line="355"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other current liabilities, the carrying amounts approximate their fair values due to the relatively short maturity of these balances.</w:t>
      </w:r>
    </w:p>
    <w:p>
      <w:pPr>
        <w:spacing w:after="0" w:line="204" w:lineRule="exact"/>
        <w:rPr>
          <w:sz w:val="20"/>
          <w:szCs w:val="20"/>
          <w:color w:val="auto"/>
        </w:rPr>
      </w:pPr>
    </w:p>
    <w:p>
      <w:pPr>
        <w:jc w:val="both"/>
        <w:ind w:right="60" w:firstLine="405"/>
        <w:spacing w:after="0" w:line="253" w:lineRule="auto"/>
        <w:rPr>
          <w:sz w:val="20"/>
          <w:szCs w:val="20"/>
          <w:color w:val="auto"/>
        </w:rPr>
      </w:pPr>
      <w:r>
        <w:rPr>
          <w:rFonts w:ascii="Arial" w:cs="Arial" w:eastAsia="Arial" w:hAnsi="Arial"/>
          <w:sz w:val="18"/>
          <w:szCs w:val="18"/>
          <w:color w:val="231F20"/>
        </w:rPr>
        <w:t>The Company measures and reports certain cash equivalents, investments and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225" w:lineRule="exact"/>
        <w:rPr>
          <w:sz w:val="20"/>
          <w:szCs w:val="20"/>
          <w:color w:val="auto"/>
        </w:rPr>
      </w:pPr>
    </w:p>
    <w:p>
      <w:pPr>
        <w:ind w:right="140" w:firstLine="486"/>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176" w:lineRule="exact"/>
        <w:rPr>
          <w:sz w:val="20"/>
          <w:szCs w:val="20"/>
          <w:color w:val="auto"/>
        </w:rPr>
      </w:pPr>
    </w:p>
    <w:p>
      <w:pPr>
        <w:ind w:right="160" w:firstLine="486"/>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141" w:right="27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 xml:space="preserve">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w:t>
      </w:r>
      <w:r>
        <w:rPr>
          <w:rFonts w:ascii="Arial" w:cs="Arial" w:eastAsia="Arial" w:hAnsi="Arial"/>
          <w:sz w:val="18"/>
          <w:szCs w:val="18"/>
          <w:color w:val="000000"/>
        </w:rPr>
        <w:t>fixed-income U.S. government agency securities, commercial paper, corporate bonds, asset-backed securities and derivative</w:t>
      </w:r>
      <w:r>
        <w:rPr>
          <w:rFonts w:ascii="Arial" w:cs="Arial" w:eastAsia="Arial" w:hAnsi="Arial"/>
          <w:sz w:val="18"/>
          <w:szCs w:val="18"/>
          <w:color w:val="231F20"/>
        </w:rPr>
        <w:t xml:space="preserve"> </w:t>
      </w:r>
      <w:r>
        <w:rPr>
          <w:rFonts w:ascii="Arial" w:cs="Arial" w:eastAsia="Arial" w:hAnsi="Arial"/>
          <w:sz w:val="18"/>
          <w:szCs w:val="18"/>
          <w:color w:val="000000"/>
        </w:rPr>
        <w:t xml:space="preserve">financial instruments consisting of foreign currency forward contracts. The securities, bonds and commercial paper are valued using prices from independent pricing services based on quoted prices in active markets for similar instruments or on industry models using data inputs such as interest rates and prices that can be directly observed or corroborated in active markets. </w:t>
      </w:r>
      <w:r>
        <w:rPr>
          <w:rFonts w:ascii="Arial" w:cs="Arial" w:eastAsia="Arial" w:hAnsi="Arial"/>
          <w:sz w:val="18"/>
          <w:szCs w:val="18"/>
          <w:color w:val="231F20"/>
        </w:rPr>
        <w:t>The foreign currency forward contracts are</w:t>
      </w:r>
      <w:r>
        <w:rPr>
          <w:rFonts w:ascii="Arial" w:cs="Arial" w:eastAsia="Arial" w:hAnsi="Arial"/>
          <w:sz w:val="18"/>
          <w:szCs w:val="18"/>
          <w:color w:val="000000"/>
        </w:rPr>
        <w:t xml:space="preserve"> </w:t>
      </w:r>
      <w:r>
        <w:rPr>
          <w:rFonts w:ascii="Arial" w:cs="Arial" w:eastAsia="Arial" w:hAnsi="Arial"/>
          <w:sz w:val="18"/>
          <w:szCs w:val="18"/>
          <w:color w:val="231F20"/>
        </w:rPr>
        <w:t>valued usi</w:t>
      </w:r>
      <w:r>
        <w:rPr>
          <w:rFonts w:ascii="Arial" w:cs="Arial" w:eastAsia="Arial" w:hAnsi="Arial"/>
          <w:sz w:val="18"/>
          <w:szCs w:val="18"/>
          <w:color w:val="000000"/>
        </w:rPr>
        <w:t>ng observable inputs, such as quotations on forward foreign exchange points and foreign interest rates.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Company's cash and cash equivalents, short-term investments, and long-term investments consist of the following: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6"/>
                <w:szCs w:val="16"/>
                <w:b w:val="1"/>
                <w:bCs w:val="1"/>
                <w:color w:val="auto"/>
              </w:rPr>
              <w:t>September 30, 2017</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Unrealized</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40" w:type="dxa"/>
            <w:vAlign w:val="bottom"/>
            <w:gridSpan w:val="5"/>
          </w:tcPr>
          <w:p>
            <w:pPr>
              <w:jc w:val="center"/>
              <w:ind w:right="52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90,472</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90,472</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r>
      <w:tr>
        <w:trPr>
          <w:trHeight w:val="250"/>
        </w:trPr>
        <w:tc>
          <w:tcPr>
            <w:tcW w:w="5260" w:type="dxa"/>
            <w:vAlign w:val="bottom"/>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90,517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90,517</w:t>
            </w:r>
          </w:p>
        </w:tc>
      </w:tr>
      <w:tr>
        <w:trPr>
          <w:trHeight w:val="270"/>
        </w:trPr>
        <w:tc>
          <w:tcPr>
            <w:tcW w:w="52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shd w:val="clear" w:color="auto" w:fill="CCEEFF"/>
          </w:tcPr>
          <w:p>
            <w:pPr>
              <w:spacing w:after="0"/>
              <w:rPr>
                <w:sz w:val="23"/>
                <w:szCs w:val="23"/>
                <w:color w:val="auto"/>
              </w:rPr>
            </w:pPr>
          </w:p>
        </w:tc>
        <w:tc>
          <w:tcPr>
            <w:tcW w:w="1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4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20,930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20,933</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31,786</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31,767</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491</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159,135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159,019</w:t>
            </w:r>
          </w:p>
        </w:tc>
      </w:tr>
      <w:tr>
        <w:trPr>
          <w:trHeight w:val="250"/>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212,342</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212,210</w:t>
            </w:r>
          </w:p>
        </w:tc>
      </w:tr>
      <w:tr>
        <w:trPr>
          <w:trHeight w:val="270"/>
        </w:trPr>
        <w:tc>
          <w:tcPr>
            <w:tcW w:w="52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2,855</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2,856</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37,490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37,502</w:t>
            </w:r>
          </w:p>
        </w:tc>
      </w:tr>
      <w:tr>
        <w:trPr>
          <w:trHeight w:val="250"/>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40,345</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40,358</w:t>
            </w:r>
          </w:p>
        </w:tc>
      </w:tr>
      <w:tr>
        <w:trPr>
          <w:trHeight w:val="270"/>
        </w:trPr>
        <w:tc>
          <w:tcPr>
            <w:tcW w:w="526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3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343,204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343,085</w:t>
            </w:r>
          </w:p>
        </w:tc>
      </w:tr>
      <w:tr>
        <w:trPr>
          <w:trHeight w:val="20"/>
        </w:trPr>
        <w:tc>
          <w:tcPr>
            <w:tcW w:w="5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6"/>
                <w:szCs w:val="16"/>
                <w:b w:val="1"/>
                <w:bCs w:val="1"/>
                <w:color w:val="auto"/>
              </w:rPr>
              <w:t>December 31, 2016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r>
      <w:tr>
        <w:trPr>
          <w:trHeight w:val="198"/>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Unrealized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5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Amortized Cost</w:t>
            </w:r>
          </w:p>
        </w:tc>
        <w:tc>
          <w:tcPr>
            <w:tcW w:w="158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rPr>
              <w:t>Unrealized Gains</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Losses</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72,673</w:t>
            </w:r>
          </w:p>
        </w:tc>
        <w:tc>
          <w:tcPr>
            <w:tcW w:w="120" w:type="dxa"/>
            <w:vAlign w:val="bottom"/>
          </w:tcPr>
          <w:p>
            <w:pPr>
              <w:spacing w:after="0"/>
              <w:rPr>
                <w:sz w:val="22"/>
                <w:szCs w:val="22"/>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36"/>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72,673</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473</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13,591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13,591</w:t>
            </w:r>
          </w:p>
        </w:tc>
      </w:tr>
      <w:tr>
        <w:trPr>
          <w:trHeight w:val="257"/>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86,737</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86,737</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Short-term investments:</w:t>
            </w: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14,782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14,787</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13,490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13,479</w:t>
            </w: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1,235</w:t>
            </w: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127,660</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127,618</w:t>
            </w:r>
          </w:p>
        </w:tc>
      </w:tr>
      <w:tr>
        <w:trPr>
          <w:trHeight w:val="257"/>
        </w:trPr>
        <w:tc>
          <w:tcPr>
            <w:tcW w:w="5260" w:type="dxa"/>
            <w:vAlign w:val="bottom"/>
            <w:shd w:val="clear" w:color="auto" w:fill="CCEEFF"/>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157,167</w:t>
            </w:r>
          </w:p>
        </w:tc>
        <w:tc>
          <w:tcPr>
            <w:tcW w:w="120" w:type="dxa"/>
            <w:vAlign w:val="bottom"/>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157,119</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Long-term investments: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Asset-backed securities</w:t>
            </w: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5,093</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U.S. government agencies</w:t>
            </w:r>
          </w:p>
        </w:tc>
        <w:tc>
          <w:tcPr>
            <w:tcW w:w="14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29,501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29,430</w:t>
            </w:r>
          </w:p>
        </w:tc>
      </w:tr>
      <w:tr>
        <w:trPr>
          <w:trHeight w:val="273"/>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Corporate bonds</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11,243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11,202</w:t>
            </w:r>
          </w:p>
        </w:tc>
      </w:tr>
      <w:tr>
        <w:trPr>
          <w:trHeight w:val="250"/>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45,835</w:t>
            </w:r>
          </w:p>
        </w:tc>
        <w:tc>
          <w:tcPr>
            <w:tcW w:w="12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45,725</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289,739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289,581</w:t>
            </w:r>
          </w:p>
        </w:tc>
      </w:tr>
      <w:tr>
        <w:trPr>
          <w:trHeight w:val="20"/>
        </w:trPr>
        <w:tc>
          <w:tcPr>
            <w:tcW w:w="5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99"/>
        </w:trPr>
        <w:tc>
          <w:tcPr>
            <w:tcW w:w="9840" w:type="dxa"/>
            <w:vAlign w:val="bottom"/>
            <w:gridSpan w:val="10"/>
          </w:tcPr>
          <w:p>
            <w:pPr>
              <w:ind w:left="420"/>
              <w:spacing w:after="0" w:line="199" w:lineRule="exact"/>
              <w:rPr>
                <w:sz w:val="20"/>
                <w:szCs w:val="20"/>
                <w:color w:val="auto"/>
              </w:rPr>
            </w:pPr>
            <w:r>
              <w:rPr>
                <w:rFonts w:ascii="Arial" w:cs="Arial" w:eastAsia="Arial" w:hAnsi="Arial"/>
                <w:sz w:val="18"/>
                <w:szCs w:val="18"/>
                <w:color w:val="231F20"/>
              </w:rPr>
              <w:t>The following table shows the changes to accumulated other comprehensive income (loss) for the nine months ended</w:t>
            </w:r>
          </w:p>
        </w:tc>
        <w:tc>
          <w:tcPr>
            <w:tcW w:w="100" w:type="dxa"/>
            <w:vAlign w:val="bottom"/>
          </w:tcPr>
          <w:p>
            <w:pPr>
              <w:spacing w:after="0"/>
              <w:rPr>
                <w:sz w:val="17"/>
                <w:szCs w:val="17"/>
                <w:color w:val="auto"/>
              </w:rPr>
            </w:pPr>
          </w:p>
        </w:tc>
        <w:tc>
          <w:tcPr>
            <w:tcW w:w="1480" w:type="dxa"/>
            <w:vAlign w:val="bottom"/>
            <w:gridSpan w:val="3"/>
          </w:tcPr>
          <w:p>
            <w:pPr>
              <w:jc w:val="center"/>
              <w:ind w:right="420"/>
              <w:spacing w:after="0" w:line="199" w:lineRule="exact"/>
              <w:rPr>
                <w:sz w:val="20"/>
                <w:szCs w:val="20"/>
                <w:color w:val="auto"/>
              </w:rPr>
            </w:pPr>
            <w:r>
              <w:rPr>
                <w:rFonts w:ascii="Arial" w:cs="Arial" w:eastAsia="Arial" w:hAnsi="Arial"/>
                <w:sz w:val="18"/>
                <w:szCs w:val="18"/>
                <w:color w:val="231F20"/>
                <w:w w:val="89"/>
              </w:rPr>
              <w:t>September 30,</w:t>
            </w:r>
          </w:p>
        </w:tc>
      </w:tr>
      <w:tr>
        <w:trPr>
          <w:trHeight w:val="217"/>
        </w:trPr>
        <w:tc>
          <w:tcPr>
            <w:tcW w:w="5260" w:type="dxa"/>
            <w:vAlign w:val="bottom"/>
          </w:tcPr>
          <w:p>
            <w:pPr>
              <w:spacing w:after="0"/>
              <w:rPr>
                <w:sz w:val="20"/>
                <w:szCs w:val="20"/>
                <w:color w:val="auto"/>
              </w:rPr>
            </w:pPr>
            <w:r>
              <w:rPr>
                <w:rFonts w:ascii="Arial" w:cs="Arial" w:eastAsia="Arial" w:hAnsi="Arial"/>
                <w:sz w:val="18"/>
                <w:szCs w:val="18"/>
                <w:color w:val="231F20"/>
              </w:rPr>
              <w:t>2017 (in thousands):</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549"/>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rPr>
              <w:t>Unrealized Gain</w:t>
            </w:r>
          </w:p>
        </w:tc>
      </w:tr>
      <w:tr>
        <w:trPr>
          <w:trHeight w:val="189"/>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rPr>
              <w:t>(Loss), net on</w:t>
            </w:r>
          </w:p>
        </w:tc>
      </w:tr>
      <w:tr>
        <w:trPr>
          <w:trHeight w:val="224"/>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Investments</w:t>
            </w:r>
          </w:p>
        </w:tc>
      </w:tr>
      <w:tr>
        <w:trPr>
          <w:trHeight w:val="25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1"/>
                <w:szCs w:val="21"/>
                <w:color w:val="auto"/>
              </w:rPr>
            </w:pPr>
          </w:p>
        </w:tc>
      </w:tr>
      <w:tr>
        <w:trPr>
          <w:trHeight w:val="233"/>
        </w:trPr>
        <w:tc>
          <w:tcPr>
            <w:tcW w:w="5260" w:type="dxa"/>
            <w:vAlign w:val="bottom"/>
          </w:tcPr>
          <w:p>
            <w:pPr>
              <w:ind w:left="280"/>
              <w:spacing w:after="0"/>
              <w:rPr>
                <w:sz w:val="20"/>
                <w:szCs w:val="20"/>
                <w:color w:val="auto"/>
              </w:rPr>
            </w:pPr>
            <w:r>
              <w:rPr>
                <w:rFonts w:ascii="Arial" w:cs="Arial" w:eastAsia="Arial" w:hAnsi="Arial"/>
                <w:sz w:val="16"/>
                <w:szCs w:val="16"/>
                <w:color w:val="auto"/>
              </w:rPr>
              <w:t>Change in net realized gain (loss) on investments</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r>
      <w:tr>
        <w:trPr>
          <w:trHeight w:val="246"/>
        </w:trPr>
        <w:tc>
          <w:tcPr>
            <w:tcW w:w="54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Amounts reclassified for net realized gain (loss) included in net income</w:t>
            </w: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r>
      <w:tr>
        <w:trPr>
          <w:trHeight w:val="237"/>
        </w:trPr>
        <w:tc>
          <w:tcPr>
            <w:tcW w:w="526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Other comprehensive income (loss), net</w:t>
            </w:r>
          </w:p>
        </w:tc>
        <w:tc>
          <w:tcPr>
            <w:tcW w:w="140" w:type="dxa"/>
            <w:vAlign w:val="bottom"/>
            <w:tcBorders>
              <w:bottom w:val="single" w:sz="8" w:color="CCEEFF"/>
            </w:tcBorders>
          </w:tcPr>
          <w:p>
            <w:pPr>
              <w:spacing w:after="0"/>
              <w:rPr>
                <w:sz w:val="20"/>
                <w:szCs w:val="20"/>
                <w:color w:val="auto"/>
              </w:rPr>
            </w:pPr>
          </w:p>
        </w:tc>
        <w:tc>
          <w:tcPr>
            <w:tcW w:w="13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9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0"/>
                <w:szCs w:val="20"/>
                <w:color w:val="auto"/>
              </w:rPr>
            </w:pPr>
          </w:p>
        </w:tc>
      </w:tr>
      <w:tr>
        <w:trPr>
          <w:trHeight w:val="248"/>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Balance at September 30, 2017</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1"/>
                <w:szCs w:val="2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05"/>
        <w:spacing w:after="0" w:line="262" w:lineRule="auto"/>
        <w:rPr>
          <w:sz w:val="20"/>
          <w:szCs w:val="20"/>
          <w:color w:val="auto"/>
        </w:rPr>
      </w:pPr>
      <w:r>
        <w:rPr>
          <w:rFonts w:ascii="Arial" w:cs="Arial" w:eastAsia="Arial" w:hAnsi="Arial"/>
          <w:sz w:val="18"/>
          <w:szCs w:val="18"/>
          <w:color w:val="231F20"/>
        </w:rPr>
        <w:t>The following table sets forth by level within the fair value hierarchy the fair value of the Company's available-for-sale securities measured on a recurring basis, excluding cash and money market funds: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6"/>
                <w:szCs w:val="16"/>
                <w:b w:val="1"/>
                <w:bCs w:val="1"/>
                <w:color w:val="auto"/>
              </w:rPr>
              <w:t>September 30, 2017</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20,933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20,933</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159,019</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159,019</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69,269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69,269</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3,347</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3,347</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252,568</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252,568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20"/>
          </w:cols>
          <w:pgMar w:left="240" w:top="141"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2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December 31, 2016</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r>
      <w:tr>
        <w:trPr>
          <w:trHeight w:val="264"/>
        </w:trPr>
        <w:tc>
          <w:tcPr>
            <w:tcW w:w="5260" w:type="dxa"/>
            <w:vAlign w:val="bottom"/>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1</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Level 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3</w:t>
            </w: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Fair Value</w:t>
            </w:r>
          </w:p>
        </w:tc>
      </w:tr>
      <w:tr>
        <w:trPr>
          <w:trHeight w:val="247"/>
        </w:trPr>
        <w:tc>
          <w:tcPr>
            <w:tcW w:w="5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2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Commercial paper</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28,378</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U.S. government agencies</w:t>
            </w:r>
          </w:p>
        </w:tc>
        <w:tc>
          <w:tcPr>
            <w:tcW w:w="1140" w:type="dxa"/>
            <w:vAlign w:val="bottom"/>
          </w:tcPr>
          <w:p>
            <w:pPr>
              <w:spacing w:after="0"/>
              <w:rPr>
                <w:sz w:val="22"/>
                <w:szCs w:val="22"/>
                <w:color w:val="auto"/>
              </w:rPr>
            </w:pPr>
          </w:p>
        </w:tc>
        <w:tc>
          <w:tcPr>
            <w:tcW w:w="50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157,048</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4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157,048</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Corporate bonds</w:t>
            </w:r>
          </w:p>
        </w:tc>
        <w:tc>
          <w:tcPr>
            <w:tcW w:w="114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24,681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24,681</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Asset-backed securities</w:t>
            </w:r>
          </w:p>
        </w:tc>
        <w:tc>
          <w:tcPr>
            <w:tcW w:w="11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6,328</w:t>
            </w:r>
          </w:p>
        </w:tc>
      </w:tr>
      <w:tr>
        <w:trPr>
          <w:trHeight w:val="24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140" w:type="dxa"/>
            <w:vAlign w:val="bottom"/>
            <w:shd w:val="clear" w:color="auto" w:fill="CCEEFF"/>
          </w:tcPr>
          <w:p>
            <w:pPr>
              <w:jc w:val="right"/>
              <w:ind w:right="93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216,435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216,435</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or Level 3 of the fair value hierarchy, as determined at the end of each reporting period.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following summarizes the fair value of securities classified as available-for-sale by contractual, or effective, maturity:</w:t>
      </w:r>
    </w:p>
    <w:p>
      <w:pPr>
        <w:spacing w:after="0" w:line="200" w:lineRule="exact"/>
        <w:rPr>
          <w:sz w:val="20"/>
          <w:szCs w:val="20"/>
          <w:color w:val="auto"/>
        </w:rPr>
      </w:pPr>
    </w:p>
    <w:p>
      <w:pPr>
        <w:spacing w:after="0" w:line="229"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4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r>
        <w:trPr>
          <w:trHeight w:val="175"/>
        </w:trPr>
        <w:tc>
          <w:tcPr>
            <w:tcW w:w="4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Mature within One</w:t>
            </w:r>
          </w:p>
        </w:tc>
        <w:tc>
          <w:tcPr>
            <w:tcW w:w="100" w:type="dxa"/>
            <w:vAlign w:val="bottom"/>
          </w:tcPr>
          <w:p>
            <w:pPr>
              <w:spacing w:after="0"/>
              <w:rPr>
                <w:sz w:val="15"/>
                <w:szCs w:val="15"/>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After One Year through</w:t>
            </w: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96"/>
        </w:trPr>
        <w:tc>
          <w:tcPr>
            <w:tcW w:w="44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Year</w:t>
            </w: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Two Years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Over Two Years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Fair Value</w:t>
            </w:r>
          </w:p>
        </w:tc>
      </w:tr>
      <w:tr>
        <w:trPr>
          <w:trHeight w:val="250"/>
        </w:trPr>
        <w:tc>
          <w:tcPr>
            <w:tcW w:w="4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6"/>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paper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20,933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20,933</w:t>
            </w:r>
          </w:p>
        </w:tc>
      </w:tr>
      <w:tr>
        <w:trPr>
          <w:trHeight w:val="264"/>
        </w:trPr>
        <w:tc>
          <w:tcPr>
            <w:tcW w:w="4420" w:type="dxa"/>
            <w:vAlign w:val="bottom"/>
          </w:tcPr>
          <w:p>
            <w:pPr>
              <w:ind w:left="20"/>
              <w:spacing w:after="0"/>
              <w:rPr>
                <w:sz w:val="20"/>
                <w:szCs w:val="20"/>
                <w:color w:val="auto"/>
              </w:rPr>
            </w:pPr>
            <w:r>
              <w:rPr>
                <w:rFonts w:ascii="Arial" w:cs="Arial" w:eastAsia="Arial" w:hAnsi="Arial"/>
                <w:sz w:val="14"/>
                <w:szCs w:val="14"/>
                <w:color w:val="auto"/>
              </w:rPr>
              <w:t>U.S. government agencies</w:t>
            </w:r>
          </w:p>
        </w:tc>
        <w:tc>
          <w:tcPr>
            <w:tcW w:w="120" w:type="dxa"/>
            <w:vAlign w:val="bottom"/>
          </w:tcPr>
          <w:p>
            <w:pPr>
              <w:spacing w:after="0"/>
              <w:rPr>
                <w:sz w:val="22"/>
                <w:szCs w:val="22"/>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159,019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159,019</w:t>
            </w:r>
          </w:p>
        </w:tc>
      </w:tr>
      <w:tr>
        <w:trPr>
          <w:trHeight w:val="276"/>
        </w:trPr>
        <w:tc>
          <w:tcPr>
            <w:tcW w:w="4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bonds</w:t>
            </w: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32,783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9,449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69,269</w:t>
            </w:r>
          </w:p>
        </w:tc>
      </w:tr>
      <w:tr>
        <w:trPr>
          <w:trHeight w:val="264"/>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Asset-backed securities</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566</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3,347</w:t>
            </w:r>
          </w:p>
        </w:tc>
      </w:tr>
      <w:tr>
        <w:trPr>
          <w:trHeight w:val="243"/>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214,516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252,568</w:t>
            </w:r>
          </w:p>
        </w:tc>
      </w:tr>
      <w:tr>
        <w:trPr>
          <w:trHeight w:val="20"/>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288"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or accrued liabilities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derivative financial instruments for trading or speculative purposes.</w:t>
      </w:r>
    </w:p>
    <w:p>
      <w:pPr>
        <w:spacing w:after="0" w:line="207" w:lineRule="exact"/>
        <w:rPr>
          <w:sz w:val="20"/>
          <w:szCs w:val="20"/>
          <w:color w:val="auto"/>
        </w:rPr>
      </w:pPr>
    </w:p>
    <w:p>
      <w:pPr>
        <w:ind w:right="180" w:firstLine="405"/>
        <w:spacing w:after="0" w:line="253" w:lineRule="auto"/>
        <w:rPr>
          <w:sz w:val="20"/>
          <w:szCs w:val="20"/>
          <w:color w:val="auto"/>
        </w:rPr>
      </w:pPr>
      <w:r>
        <w:rPr>
          <w:rFonts w:ascii="Arial" w:cs="Arial" w:eastAsia="Arial" w:hAnsi="Arial"/>
          <w:sz w:val="18"/>
          <w:szCs w:val="18"/>
          <w:color w:val="222222"/>
        </w:rPr>
        <w:t>At September 30, 2017, the Company had two outstanding forward contrac</w:t>
      </w:r>
      <w:r>
        <w:rPr>
          <w:rFonts w:ascii="Arial" w:cs="Arial" w:eastAsia="Arial" w:hAnsi="Arial"/>
          <w:sz w:val="18"/>
          <w:szCs w:val="18"/>
          <w:color w:val="000000"/>
        </w:rPr>
        <w:t>ts with notional amounts of 6.7 million Euros and 4.8 million</w:t>
      </w:r>
      <w:r>
        <w:rPr>
          <w:rFonts w:ascii="Arial" w:cs="Arial" w:eastAsia="Arial" w:hAnsi="Arial"/>
          <w:sz w:val="18"/>
          <w:szCs w:val="18"/>
          <w:color w:val="222222"/>
        </w:rPr>
        <w:t xml:space="preserve"> </w:t>
      </w:r>
      <w:r>
        <w:rPr>
          <w:rFonts w:ascii="Arial" w:cs="Arial" w:eastAsia="Arial" w:hAnsi="Arial"/>
          <w:sz w:val="18"/>
          <w:szCs w:val="18"/>
          <w:color w:val="000000"/>
        </w:rPr>
        <w:t xml:space="preserve">British Pounds, which expire on October 31, 2017. </w:t>
      </w:r>
      <w:r>
        <w:rPr>
          <w:rFonts w:ascii="Arial" w:cs="Arial" w:eastAsia="Arial" w:hAnsi="Arial"/>
          <w:sz w:val="18"/>
          <w:szCs w:val="18"/>
          <w:color w:val="222222"/>
        </w:rPr>
        <w:t>At December 31, 2016, the Company had two outstanding forward contracts with notional</w:t>
      </w:r>
      <w:r>
        <w:rPr>
          <w:rFonts w:ascii="Arial" w:cs="Arial" w:eastAsia="Arial" w:hAnsi="Arial"/>
          <w:sz w:val="18"/>
          <w:szCs w:val="18"/>
          <w:color w:val="000000"/>
        </w:rPr>
        <w:t xml:space="preserve"> </w:t>
      </w:r>
      <w:r>
        <w:rPr>
          <w:rFonts w:ascii="Arial" w:cs="Arial" w:eastAsia="Arial" w:hAnsi="Arial"/>
          <w:sz w:val="18"/>
          <w:szCs w:val="18"/>
          <w:color w:val="222222"/>
        </w:rPr>
        <w:t xml:space="preserve">amounts of 7.6 million Euros and 4.6 million British Pounds, which expired on February 2, 2017. These </w:t>
      </w:r>
      <w:r>
        <w:rPr>
          <w:rFonts w:ascii="Arial" w:cs="Arial" w:eastAsia="Arial" w:hAnsi="Arial"/>
          <w:sz w:val="18"/>
          <w:szCs w:val="18"/>
          <w:color w:val="231F20"/>
        </w:rPr>
        <w:t>forward contracts were entered into at</w:t>
      </w:r>
      <w:r>
        <w:rPr>
          <w:rFonts w:ascii="Arial" w:cs="Arial" w:eastAsia="Arial" w:hAnsi="Arial"/>
          <w:sz w:val="18"/>
          <w:szCs w:val="18"/>
          <w:color w:val="222222"/>
        </w:rPr>
        <w:t xml:space="preserve"> </w:t>
      </w:r>
      <w:r>
        <w:rPr>
          <w:rFonts w:ascii="Arial" w:cs="Arial" w:eastAsia="Arial" w:hAnsi="Arial"/>
          <w:sz w:val="18"/>
          <w:szCs w:val="18"/>
          <w:color w:val="231F20"/>
        </w:rPr>
        <w:t xml:space="preserve">the end of each month, and thus the fair value of these contracts was </w:t>
      </w:r>
      <w:r>
        <w:rPr>
          <w:rFonts w:ascii="Arial" w:cs="Arial" w:eastAsia="Arial" w:hAnsi="Arial"/>
          <w:sz w:val="18"/>
          <w:szCs w:val="18"/>
          <w:color w:val="000000"/>
        </w:rPr>
        <w:t>$0</w:t>
      </w:r>
      <w:r>
        <w:rPr>
          <w:rFonts w:ascii="Arial" w:cs="Arial" w:eastAsia="Arial" w:hAnsi="Arial"/>
          <w:sz w:val="18"/>
          <w:szCs w:val="18"/>
          <w:color w:val="231F20"/>
        </w:rPr>
        <w:t xml:space="preserve"> </w:t>
      </w:r>
      <w:r>
        <w:rPr>
          <w:rFonts w:ascii="Arial" w:cs="Arial" w:eastAsia="Arial" w:hAnsi="Arial"/>
          <w:sz w:val="18"/>
          <w:szCs w:val="18"/>
          <w:color w:val="222222"/>
        </w:rPr>
        <w:t>at</w:t>
      </w:r>
      <w:r>
        <w:rPr>
          <w:rFonts w:ascii="Arial" w:cs="Arial" w:eastAsia="Arial" w:hAnsi="Arial"/>
          <w:sz w:val="18"/>
          <w:szCs w:val="18"/>
          <w:color w:val="231F20"/>
        </w:rPr>
        <w:t xml:space="preserve"> </w:t>
      </w:r>
      <w:r>
        <w:rPr>
          <w:rFonts w:ascii="Arial" w:cs="Arial" w:eastAsia="Arial" w:hAnsi="Arial"/>
          <w:sz w:val="18"/>
          <w:szCs w:val="18"/>
          <w:color w:val="000000"/>
        </w:rPr>
        <w:t>September 30, 2017</w:t>
      </w:r>
      <w:r>
        <w:rPr>
          <w:rFonts w:ascii="Arial" w:cs="Arial" w:eastAsia="Arial" w:hAnsi="Arial"/>
          <w:sz w:val="18"/>
          <w:szCs w:val="18"/>
          <w:color w:val="231F20"/>
        </w:rPr>
        <w:t xml:space="preserve"> </w:t>
      </w:r>
      <w:r>
        <w:rPr>
          <w:rFonts w:ascii="Arial" w:cs="Arial" w:eastAsia="Arial" w:hAnsi="Arial"/>
          <w:sz w:val="18"/>
          <w:szCs w:val="18"/>
          <w:color w:val="222222"/>
        </w:rPr>
        <w:t>and</w:t>
      </w:r>
      <w:r>
        <w:rPr>
          <w:rFonts w:ascii="Arial" w:cs="Arial" w:eastAsia="Arial" w:hAnsi="Arial"/>
          <w:sz w:val="18"/>
          <w:szCs w:val="18"/>
          <w:color w:val="231F20"/>
        </w:rPr>
        <w:t xml:space="preserve"> </w:t>
      </w:r>
      <w:r>
        <w:rPr>
          <w:rFonts w:ascii="Arial" w:cs="Arial" w:eastAsia="Arial" w:hAnsi="Arial"/>
          <w:sz w:val="18"/>
          <w:szCs w:val="18"/>
          <w:color w:val="000000"/>
        </w:rPr>
        <w:t>December 31, 2016</w:t>
      </w:r>
      <w:r>
        <w:rPr>
          <w:rFonts w:ascii="Arial" w:cs="Arial" w:eastAsia="Arial" w:hAnsi="Arial"/>
          <w:sz w:val="18"/>
          <w:szCs w:val="18"/>
          <w:color w:val="222222"/>
        </w:rPr>
        <w:t>.</w:t>
      </w:r>
      <w:r>
        <w:rPr>
          <w:rFonts w:ascii="Arial" w:cs="Arial" w:eastAsia="Arial" w:hAnsi="Arial"/>
          <w:sz w:val="18"/>
          <w:szCs w:val="18"/>
          <w:color w:val="231F20"/>
        </w:rPr>
        <w:t xml:space="preserve"> These derivatives did not meet the criteria to be designated as hedges. These instruments were valued using Level 2 inputs.</w:t>
      </w:r>
    </w:p>
    <w:p>
      <w:pPr>
        <w:spacing w:after="0" w:line="206" w:lineRule="exact"/>
        <w:rPr>
          <w:sz w:val="20"/>
          <w:szCs w:val="20"/>
          <w:color w:val="auto"/>
        </w:rPr>
      </w:pPr>
    </w:p>
    <w:p>
      <w:pPr>
        <w:ind w:right="240" w:firstLine="405"/>
        <w:spacing w:after="0" w:line="262" w:lineRule="auto"/>
        <w:rPr>
          <w:sz w:val="20"/>
          <w:szCs w:val="20"/>
          <w:color w:val="auto"/>
        </w:rPr>
      </w:pPr>
      <w:r>
        <w:rPr>
          <w:rFonts w:ascii="Arial" w:cs="Arial" w:eastAsia="Arial" w:hAnsi="Arial"/>
          <w:sz w:val="18"/>
          <w:szCs w:val="18"/>
          <w:color w:val="231F20"/>
        </w:rPr>
        <w:t>The following summarizes the gains (losses) recognized in Other expense, net on the condensed consolidated statement of operations, from forward contracts and other foreign currency transactions: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1"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2560" w:type="dxa"/>
            <w:vAlign w:val="bottom"/>
            <w:gridSpan w:val="4"/>
          </w:tcPr>
          <w:p>
            <w:pPr>
              <w:jc w:val="right"/>
              <w:ind w:right="208"/>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80" w:type="dxa"/>
            <w:vAlign w:val="bottom"/>
            <w:gridSpan w:val="4"/>
          </w:tcPr>
          <w:p>
            <w:pPr>
              <w:jc w:val="right"/>
              <w:ind w:right="70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2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24"/>
                <w:szCs w:val="24"/>
                <w:color w:val="auto"/>
              </w:rPr>
            </w:pPr>
          </w:p>
        </w:tc>
      </w:tr>
      <w:tr>
        <w:trPr>
          <w:trHeight w:val="264"/>
        </w:trPr>
        <w:tc>
          <w:tcPr>
            <w:tcW w:w="5260" w:type="dxa"/>
            <w:vAlign w:val="bottom"/>
          </w:tcPr>
          <w:p>
            <w:pPr>
              <w:spacing w:after="0"/>
              <w:rPr>
                <w:sz w:val="22"/>
                <w:szCs w:val="22"/>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2016</w:t>
            </w:r>
          </w:p>
        </w:tc>
      </w:tr>
      <w:tr>
        <w:trPr>
          <w:trHeight w:val="250"/>
        </w:trPr>
        <w:tc>
          <w:tcPr>
            <w:tcW w:w="5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12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6"/>
        </w:trPr>
        <w:tc>
          <w:tcPr>
            <w:tcW w:w="5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from forward contracts</w:t>
            </w:r>
          </w:p>
        </w:tc>
        <w:tc>
          <w:tcPr>
            <w:tcW w:w="1000" w:type="dxa"/>
            <w:vAlign w:val="bottom"/>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w:t>
            </w: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foreign currency transactions gain</w:t>
            </w: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431</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1,424</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r>
      <w:tr>
        <w:trPr>
          <w:trHeight w:val="243"/>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foreign exchange gain (loss), net</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w:t>
            </w:r>
          </w:p>
        </w:tc>
      </w:tr>
      <w:tr>
        <w:trPr>
          <w:trHeight w:val="20"/>
        </w:trPr>
        <w:tc>
          <w:tcPr>
            <w:tcW w:w="52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231F20"/>
        </w:rPr>
        <w:t>Property and Equipment, Net</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consists of the following:</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9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1"/>
        </w:trPr>
        <w:tc>
          <w:tcPr>
            <w:tcW w:w="7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40" w:type="dxa"/>
            <w:vAlign w:val="bottom"/>
            <w:gridSpan w:val="4"/>
          </w:tcPr>
          <w:p>
            <w:pPr>
              <w:jc w:val="right"/>
              <w:ind w:right="1039"/>
              <w:spacing w:after="0"/>
              <w:rPr>
                <w:sz w:val="20"/>
                <w:szCs w:val="20"/>
                <w:color w:val="auto"/>
              </w:rPr>
            </w:pPr>
            <w:r>
              <w:rPr>
                <w:rFonts w:ascii="Arial" w:cs="Arial" w:eastAsia="Arial" w:hAnsi="Arial"/>
                <w:sz w:val="14"/>
                <w:szCs w:val="14"/>
                <w:b w:val="1"/>
                <w:bCs w:val="1"/>
                <w:color w:val="auto"/>
              </w:rPr>
              <w:t>(in thousands)</w:t>
            </w:r>
          </w:p>
        </w:tc>
      </w:tr>
      <w:tr>
        <w:trPr>
          <w:trHeight w:val="27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70,158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57,295</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2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20,254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19,716</w:t>
            </w:r>
          </w:p>
        </w:tc>
      </w:tr>
      <w:tr>
        <w:trPr>
          <w:trHeight w:val="280"/>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2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3,425</w:t>
            </w:r>
          </w:p>
        </w:tc>
      </w:tr>
      <w:tr>
        <w:trPr>
          <w:trHeight w:val="260"/>
        </w:trPr>
        <w:tc>
          <w:tcPr>
            <w:tcW w:w="798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200" w:type="dxa"/>
            <w:vAlign w:val="bottom"/>
          </w:tcPr>
          <w:p>
            <w:pPr>
              <w:spacing w:after="0"/>
              <w:rPr>
                <w:sz w:val="22"/>
                <w:szCs w:val="22"/>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14,419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14,776</w:t>
            </w:r>
          </w:p>
        </w:tc>
      </w:tr>
      <w:tr>
        <w:trPr>
          <w:trHeight w:val="273"/>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15,538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3,694</w:t>
            </w:r>
          </w:p>
        </w:tc>
      </w:tr>
      <w:tr>
        <w:trPr>
          <w:trHeight w:val="247"/>
        </w:trPr>
        <w:tc>
          <w:tcPr>
            <w:tcW w:w="798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00" w:type="dxa"/>
            <w:vAlign w:val="bottom"/>
          </w:tcPr>
          <w:p>
            <w:pPr>
              <w:spacing w:after="0"/>
              <w:rPr>
                <w:sz w:val="21"/>
                <w:szCs w:val="21"/>
                <w:color w:val="auto"/>
              </w:rPr>
            </w:pPr>
          </w:p>
        </w:tc>
        <w:tc>
          <w:tcPr>
            <w:tcW w:w="1480" w:type="dxa"/>
            <w:vAlign w:val="bottom"/>
          </w:tcPr>
          <w:p>
            <w:pPr>
              <w:jc w:val="right"/>
              <w:ind w:right="40"/>
              <w:spacing w:after="0"/>
              <w:rPr>
                <w:sz w:val="20"/>
                <w:szCs w:val="20"/>
                <w:color w:val="auto"/>
              </w:rPr>
            </w:pPr>
            <w:r>
              <w:rPr>
                <w:rFonts w:ascii="Arial" w:cs="Arial" w:eastAsia="Arial" w:hAnsi="Arial"/>
                <w:sz w:val="16"/>
                <w:szCs w:val="16"/>
                <w:color w:val="auto"/>
              </w:rPr>
              <w:t>124,394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98,906</w:t>
            </w:r>
          </w:p>
        </w:tc>
      </w:tr>
      <w:tr>
        <w:trPr>
          <w:trHeight w:val="273"/>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(73,113)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(59,505)</w:t>
            </w:r>
          </w:p>
        </w:tc>
      </w:tr>
      <w:tr>
        <w:trPr>
          <w:trHeight w:val="240"/>
        </w:trPr>
        <w:tc>
          <w:tcPr>
            <w:tcW w:w="798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51,281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39,401</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had a net carrying value of $ 7.7 million and $8.3 million at </w:t>
      </w:r>
      <w:r>
        <w:rPr>
          <w:rFonts w:ascii="Arial" w:cs="Arial" w:eastAsia="Arial" w:hAnsi="Arial"/>
          <w:sz w:val="18"/>
          <w:szCs w:val="18"/>
          <w:color w:val="000000"/>
        </w:rPr>
        <w:t>September 30, 2017</w:t>
      </w:r>
      <w:r>
        <w:rPr>
          <w:rFonts w:ascii="Arial" w:cs="Arial" w:eastAsia="Arial" w:hAnsi="Arial"/>
          <w:sz w:val="18"/>
          <w:szCs w:val="18"/>
          <w:color w:val="231F20"/>
        </w:rPr>
        <w:t xml:space="preserve"> and December 31, 2016, respectively, including assets that have not been placed in service of $1.7 million and $ 1.3 million, respectively. Depreciation and amortization expense relating to property and equipment was $5.1 million and $4.4 million for the </w:t>
      </w:r>
      <w:r>
        <w:rPr>
          <w:rFonts w:ascii="Arial" w:cs="Arial" w:eastAsia="Arial" w:hAnsi="Arial"/>
          <w:sz w:val="18"/>
          <w:szCs w:val="18"/>
          <w:color w:val="000000"/>
        </w:rPr>
        <w:t>three months ended September 30, 2017</w:t>
      </w:r>
      <w:r>
        <w:rPr>
          <w:rFonts w:ascii="Arial" w:cs="Arial" w:eastAsia="Arial" w:hAnsi="Arial"/>
          <w:sz w:val="18"/>
          <w:szCs w:val="18"/>
          <w:color w:val="231F20"/>
        </w:rPr>
        <w:t xml:space="preserve"> and 2016, respectively, and $14.7 million and $12.0 million for the nine months ended September 30, 2017 and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Business Combination</w:t>
      </w:r>
    </w:p>
    <w:p>
      <w:pPr>
        <w:spacing w:after="0" w:line="24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August 29, 2017, the Company acquired certain assets of Nevis Networks (India) Private Limited (“Nevis”), a company developing network security solutions for detection and awareness of external intrusions to computer networks. The Company acquired the assets of Nevis to provide additional solutions on the Company's cloud platform. The consideration for this acquisition consisted of $5.8 million in cash. The Company accounted for this transaction as a business combination and allocated $5.2 million of the purchase price to technology-based intangible assets and $0.6 million to goodwill. The intangible asset has an estimated useful life of 5 years. Goodwill is deductible for tax purposes over 15 years.</w:t>
      </w:r>
    </w:p>
    <w:p>
      <w:pPr>
        <w:spacing w:after="0" w:line="209"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Additional information that existed as of the acquisition date but at that time was unknown to the Company may become known to the Company during the remainder of the measurement period, a period not to exceed 12 months from the acquisition date. Adjustments in the purchase price allocation may require a recasting of the amounts allocated to goodwill retroactive to the period in which the acquisition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Goodwill and Intangible Assets, Net</w:t>
      </w:r>
    </w:p>
    <w:p>
      <w:pPr>
        <w:spacing w:after="0" w:line="247"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231F20"/>
        </w:rPr>
        <w:t>Intangible assets consist primarily of existing technology and a patent license acquired in business combinations. Acquired intangibles are amortized on a straight-line basis over the respective estimated useful lives of the assets.</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220980</wp:posOffset>
            </wp:positionV>
            <wp:extent cx="24523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180"/>
              <w:spacing w:after="0"/>
              <w:rPr>
                <w:sz w:val="20"/>
                <w:szCs w:val="20"/>
                <w:color w:val="auto"/>
              </w:rPr>
            </w:pPr>
            <w:r>
              <w:rPr>
                <w:rFonts w:ascii="Arial" w:cs="Arial" w:eastAsia="Arial" w:hAnsi="Arial"/>
                <w:sz w:val="14"/>
                <w:szCs w:val="14"/>
                <w:b w:val="1"/>
                <w:bCs w:val="1"/>
                <w:color w:val="auto"/>
              </w:rPr>
              <w:t>September 30, 2017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1300" w:type="dxa"/>
            <w:vAlign w:val="bottom"/>
          </w:tcPr>
          <w:p>
            <w:pPr>
              <w:jc w:val="right"/>
              <w:ind w:right="83"/>
              <w:spacing w:after="0"/>
              <w:rPr>
                <w:sz w:val="20"/>
                <w:szCs w:val="20"/>
                <w:color w:val="auto"/>
              </w:rPr>
            </w:pPr>
            <w:r>
              <w:rPr>
                <w:rFonts w:ascii="Arial" w:cs="Arial" w:eastAsia="Arial" w:hAnsi="Arial"/>
                <w:sz w:val="14"/>
                <w:szCs w:val="14"/>
                <w:b w:val="1"/>
                <w:bCs w:val="1"/>
                <w:color w:val="auto"/>
              </w:rPr>
              <w:t>Cost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Amortization</w:t>
            </w:r>
          </w:p>
        </w:tc>
        <w:tc>
          <w:tcPr>
            <w:tcW w:w="260" w:type="dxa"/>
            <w:vAlign w:val="bottom"/>
          </w:tcPr>
          <w:p>
            <w:pPr>
              <w:spacing w:after="0"/>
              <w:rPr>
                <w:sz w:val="22"/>
                <w:szCs w:val="22"/>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256"/>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Existing technology</w:t>
            </w:r>
          </w:p>
        </w:tc>
        <w:tc>
          <w:tcPr>
            <w:tcW w:w="1300" w:type="dxa"/>
            <w:vAlign w:val="bottom"/>
            <w:tcBorders>
              <w:top w:val="single" w:sz="8" w:color="auto"/>
            </w:tcBorders>
            <w:shd w:val="clear" w:color="auto" w:fill="CCEEFF"/>
          </w:tcPr>
          <w:p>
            <w:pPr>
              <w:jc w:val="right"/>
              <w:ind w:right="1103"/>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7,066</w:t>
            </w:r>
          </w:p>
        </w:tc>
        <w:tc>
          <w:tcPr>
            <w:tcW w:w="10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5,070</w:t>
            </w: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Patent license</w:t>
            </w:r>
          </w:p>
        </w:tc>
        <w:tc>
          <w:tcPr>
            <w:tcW w:w="13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1,388</w:t>
            </w:r>
          </w:p>
        </w:tc>
        <w:tc>
          <w:tcPr>
            <w:tcW w:w="1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00" w:type="dxa"/>
            <w:vAlign w:val="bottom"/>
            <w:tcBorders>
              <w:bottom w:val="single" w:sz="8" w:color="auto"/>
            </w:tcBorders>
            <w:shd w:val="clear" w:color="auto" w:fill="CCEEFF"/>
          </w:tcPr>
          <w:p>
            <w:pPr>
              <w:jc w:val="right"/>
              <w:ind w:right="1103"/>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8,454</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03"/>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5,761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vMerge w:val="restart"/>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380" w:type="dxa"/>
            <w:vAlign w:val="bottom"/>
            <w:tcBorders>
              <w:bottom w:val="single" w:sz="8" w:color="CCEEFF"/>
            </w:tcBorders>
            <w:vMerge w:val="continue"/>
          </w:tcPr>
          <w:p>
            <w:pPr>
              <w:spacing w:after="0"/>
              <w:rPr>
                <w:sz w:val="21"/>
                <w:szCs w:val="21"/>
                <w:color w:val="auto"/>
              </w:rPr>
            </w:pPr>
          </w:p>
        </w:tc>
        <w:tc>
          <w:tcPr>
            <w:tcW w:w="13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12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intangible assets, net</w:t>
            </w:r>
          </w:p>
        </w:tc>
        <w:tc>
          <w:tcPr>
            <w:tcW w:w="13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5,801</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5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58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4"/>
          </w:tcPr>
          <w:p>
            <w:pPr>
              <w:jc w:val="right"/>
              <w:ind w:right="1200"/>
              <w:spacing w:after="0"/>
              <w:rPr>
                <w:sz w:val="20"/>
                <w:szCs w:val="20"/>
                <w:color w:val="auto"/>
              </w:rPr>
            </w:pPr>
            <w:r>
              <w:rPr>
                <w:rFonts w:ascii="Arial" w:cs="Arial" w:eastAsia="Arial" w:hAnsi="Arial"/>
                <w:sz w:val="14"/>
                <w:szCs w:val="14"/>
                <w:b w:val="1"/>
                <w:bCs w:val="1"/>
                <w:color w:val="auto"/>
              </w:rPr>
              <w:t>December 31, 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380" w:type="dxa"/>
            <w:vAlign w:val="bottom"/>
          </w:tcPr>
          <w:p>
            <w:pPr>
              <w:spacing w:after="0"/>
              <w:rPr>
                <w:sz w:val="22"/>
                <w:szCs w:val="22"/>
                <w:color w:val="auto"/>
              </w:rPr>
            </w:pPr>
          </w:p>
        </w:tc>
        <w:tc>
          <w:tcPr>
            <w:tcW w:w="1300" w:type="dxa"/>
            <w:vAlign w:val="bottom"/>
          </w:tcPr>
          <w:p>
            <w:pPr>
              <w:jc w:val="right"/>
              <w:ind w:right="83"/>
              <w:spacing w:after="0"/>
              <w:rPr>
                <w:sz w:val="20"/>
                <w:szCs w:val="20"/>
                <w:color w:val="auto"/>
              </w:rPr>
            </w:pPr>
            <w:r>
              <w:rPr>
                <w:rFonts w:ascii="Arial" w:cs="Arial" w:eastAsia="Arial" w:hAnsi="Arial"/>
                <w:sz w:val="14"/>
                <w:szCs w:val="14"/>
                <w:b w:val="1"/>
                <w:bCs w:val="1"/>
                <w:color w:val="auto"/>
              </w:rPr>
              <w:t>Cost</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 Amortization</w:t>
            </w:r>
          </w:p>
        </w:tc>
        <w:tc>
          <w:tcPr>
            <w:tcW w:w="260" w:type="dxa"/>
            <w:vAlign w:val="bottom"/>
          </w:tcPr>
          <w:p>
            <w:pPr>
              <w:spacing w:after="0"/>
              <w:rPr>
                <w:sz w:val="22"/>
                <w:szCs w:val="22"/>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246"/>
        </w:trPr>
        <w:tc>
          <w:tcPr>
            <w:tcW w:w="5380" w:type="dxa"/>
            <w:vAlign w:val="bottom"/>
          </w:tcPr>
          <w:p>
            <w:pPr>
              <w:ind w:left="40"/>
              <w:spacing w:after="0"/>
              <w:rPr>
                <w:sz w:val="20"/>
                <w:szCs w:val="20"/>
                <w:color w:val="auto"/>
              </w:rPr>
            </w:pPr>
            <w:r>
              <w:rPr>
                <w:rFonts w:ascii="Arial" w:cs="Arial" w:eastAsia="Arial" w:hAnsi="Arial"/>
                <w:sz w:val="16"/>
                <w:szCs w:val="16"/>
                <w:color w:val="auto"/>
              </w:rPr>
              <w:t>Existing technology</w:t>
            </w:r>
          </w:p>
        </w:tc>
        <w:tc>
          <w:tcPr>
            <w:tcW w:w="1300" w:type="dxa"/>
            <w:vAlign w:val="bottom"/>
            <w:tcBorders>
              <w:top w:val="single" w:sz="8" w:color="auto"/>
            </w:tcBorders>
          </w:tcPr>
          <w:p>
            <w:pPr>
              <w:jc w:val="right"/>
              <w:ind w:right="1103"/>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1,910</w:t>
            </w:r>
          </w:p>
        </w:tc>
        <w:tc>
          <w:tcPr>
            <w:tcW w:w="100" w:type="dxa"/>
            <w:vAlign w:val="bottom"/>
          </w:tcPr>
          <w:p>
            <w:pPr>
              <w:spacing w:after="0"/>
              <w:rPr>
                <w:sz w:val="21"/>
                <w:szCs w:val="21"/>
                <w:color w:val="auto"/>
              </w:rPr>
            </w:pPr>
          </w:p>
        </w:tc>
        <w:tc>
          <w:tcPr>
            <w:tcW w:w="700" w:type="dxa"/>
            <w:vAlign w:val="bottom"/>
            <w:tcBorders>
              <w:top w:val="single" w:sz="8" w:color="auto"/>
            </w:tcBorders>
          </w:tcPr>
          <w:p>
            <w:pPr>
              <w:jc w:val="right"/>
              <w:ind w:right="503"/>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(1,728)</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Patent License</w:t>
            </w:r>
          </w:p>
        </w:tc>
        <w:tc>
          <w:tcPr>
            <w:tcW w:w="13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765</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3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intangibles subject to amortization</w:t>
            </w:r>
          </w:p>
        </w:tc>
        <w:tc>
          <w:tcPr>
            <w:tcW w:w="1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3,298</w:t>
            </w:r>
          </w:p>
        </w:tc>
        <w:tc>
          <w:tcPr>
            <w:tcW w:w="100" w:type="dxa"/>
            <w:vAlign w:val="bottom"/>
            <w:tcBorders>
              <w:bottom w:val="single" w:sz="8" w:color="CCEEFF"/>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not subject to amortization</w:t>
            </w:r>
          </w:p>
        </w:tc>
        <w:tc>
          <w:tcPr>
            <w:tcW w:w="13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260"/>
              <w:spacing w:after="0"/>
              <w:rPr>
                <w:sz w:val="20"/>
                <w:szCs w:val="20"/>
                <w:color w:val="auto"/>
              </w:rPr>
            </w:pPr>
            <w:r>
              <w:rPr>
                <w:rFonts w:ascii="Arial" w:cs="Arial" w:eastAsia="Arial" w:hAnsi="Arial"/>
                <w:sz w:val="16"/>
                <w:szCs w:val="16"/>
                <w:color w:val="auto"/>
              </w:rPr>
              <w:t>Total intangible assets, net</w:t>
            </w:r>
          </w:p>
        </w:tc>
        <w:tc>
          <w:tcPr>
            <w:tcW w:w="13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380" w:firstLine="486"/>
        <w:spacing w:after="0" w:line="262" w:lineRule="auto"/>
        <w:rPr>
          <w:sz w:val="20"/>
          <w:szCs w:val="20"/>
          <w:color w:val="auto"/>
        </w:rPr>
      </w:pPr>
      <w:r>
        <w:rPr>
          <w:rFonts w:ascii="Arial" w:cs="Arial" w:eastAsia="Arial" w:hAnsi="Arial"/>
          <w:sz w:val="18"/>
          <w:szCs w:val="18"/>
          <w:color w:val="231F20"/>
        </w:rPr>
        <w:t xml:space="preserve">Intangible asset amortization was expense $0.2 million and $ 0.1 million for each of the </w:t>
      </w:r>
      <w:r>
        <w:rPr>
          <w:rFonts w:ascii="Arial" w:cs="Arial" w:eastAsia="Arial" w:hAnsi="Arial"/>
          <w:sz w:val="18"/>
          <w:szCs w:val="18"/>
          <w:color w:val="000000"/>
        </w:rPr>
        <w:t>three months ended September 30, 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respectively, and $0.4 million and $0.3 million for each of the nine months ended September 30, 2017 and 2016, respectively.</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2017</w:t>
      </w:r>
      <w:r>
        <w:rPr>
          <w:rFonts w:ascii="Arial" w:cs="Arial" w:eastAsia="Arial" w:hAnsi="Arial"/>
          <w:sz w:val="18"/>
          <w:szCs w:val="18"/>
          <w:color w:val="231F20"/>
        </w:rPr>
        <w:t>, the Company expects amortization expense in future periods to be as follows (in thousands):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2017</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283</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2018</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1,131</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1,131</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1,131</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1,131</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2022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954</w:t>
            </w:r>
          </w:p>
        </w:tc>
      </w:tr>
      <w:tr>
        <w:trPr>
          <w:trHeight w:val="24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5,761</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960" w:firstLine="486"/>
        <w:spacing w:after="0" w:line="277" w:lineRule="auto"/>
        <w:rPr>
          <w:sz w:val="20"/>
          <w:szCs w:val="20"/>
          <w:color w:val="auto"/>
        </w:rPr>
      </w:pPr>
      <w:r>
        <w:rPr>
          <w:rFonts w:ascii="Arial" w:cs="Arial" w:eastAsia="Arial" w:hAnsi="Arial"/>
          <w:sz w:val="18"/>
          <w:szCs w:val="18"/>
          <w:color w:val="231F20"/>
        </w:rPr>
        <w:t xml:space="preserve">Goodwill, which is not subject to amortization, totaled $0.9 million </w:t>
      </w:r>
      <w:r>
        <w:rPr>
          <w:rFonts w:ascii="Arial" w:cs="Arial" w:eastAsia="Arial" w:hAnsi="Arial"/>
          <w:sz w:val="18"/>
          <w:szCs w:val="18"/>
          <w:color w:val="000000"/>
        </w:rPr>
        <w:t>and $0.3 million</w:t>
      </w:r>
      <w:r>
        <w:rPr>
          <w:rFonts w:ascii="Arial" w:cs="Arial" w:eastAsia="Arial" w:hAnsi="Arial"/>
          <w:sz w:val="18"/>
          <w:szCs w:val="18"/>
          <w:color w:val="231F20"/>
        </w:rPr>
        <w:t xml:space="preserve">, respectively, as of </w:t>
      </w:r>
      <w:r>
        <w:rPr>
          <w:rFonts w:ascii="Arial" w:cs="Arial" w:eastAsia="Arial" w:hAnsi="Arial"/>
          <w:sz w:val="18"/>
          <w:szCs w:val="18"/>
          <w:color w:val="000000"/>
        </w:rPr>
        <w:t>September 30, 2017</w:t>
      </w:r>
      <w:r>
        <w:rPr>
          <w:rFonts w:ascii="Arial" w:cs="Arial" w:eastAsia="Arial" w:hAnsi="Arial"/>
          <w:sz w:val="18"/>
          <w:szCs w:val="18"/>
          <w:color w:val="231F20"/>
        </w:rPr>
        <w:t xml:space="preserve"> and December 31, 2016, respectively.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Commitments and Contingencies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247"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231F20"/>
        </w:rPr>
        <w:t>The Company leases certain computer equipment and its corporate office and data center facilities under non-cancelable operating leases for varying periods through 2028.</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operating leases at </w:t>
      </w:r>
      <w:r>
        <w:rPr>
          <w:rFonts w:ascii="Arial" w:cs="Arial" w:eastAsia="Arial" w:hAnsi="Arial"/>
          <w:sz w:val="18"/>
          <w:szCs w:val="18"/>
          <w:color w:val="000000"/>
        </w:rPr>
        <w:t>September 30, 2017</w:t>
      </w:r>
      <w:r>
        <w:rPr>
          <w:rFonts w:ascii="Arial" w:cs="Arial" w:eastAsia="Arial" w:hAnsi="Arial"/>
          <w:sz w:val="18"/>
          <w:szCs w:val="18"/>
          <w:color w:val="231F20"/>
        </w:rPr>
        <w:t xml:space="preserve">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2017</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1,384</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2018</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5,927</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5,198</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2020</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4,873</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4,649</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2022 and thereafter</w:t>
            </w:r>
          </w:p>
        </w:tc>
        <w:tc>
          <w:tcPr>
            <w:tcW w:w="5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26,136</w:t>
            </w:r>
          </w:p>
        </w:tc>
      </w:tr>
      <w:tr>
        <w:trPr>
          <w:trHeight w:val="24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48,167</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 xml:space="preserve">Rent expense was $2.7 million and $ 1.8 million for the </w:t>
      </w:r>
      <w:r>
        <w:rPr>
          <w:rFonts w:ascii="Arial" w:cs="Arial" w:eastAsia="Arial" w:hAnsi="Arial"/>
          <w:sz w:val="18"/>
          <w:szCs w:val="18"/>
          <w:color w:val="000000"/>
        </w:rPr>
        <w:t>three months ended September 30, 2017</w:t>
      </w:r>
      <w:r>
        <w:rPr>
          <w:rFonts w:ascii="Arial" w:cs="Arial" w:eastAsia="Arial" w:hAnsi="Arial"/>
          <w:sz w:val="18"/>
          <w:szCs w:val="18"/>
          <w:color w:val="231F20"/>
        </w:rPr>
        <w:t xml:space="preserve"> and </w:t>
      </w:r>
      <w:r>
        <w:rPr>
          <w:rFonts w:ascii="Arial" w:cs="Arial" w:eastAsia="Arial" w:hAnsi="Arial"/>
          <w:sz w:val="18"/>
          <w:szCs w:val="18"/>
          <w:color w:val="000000"/>
        </w:rPr>
        <w:t>2016</w:t>
      </w:r>
      <w:r>
        <w:rPr>
          <w:rFonts w:ascii="Arial" w:cs="Arial" w:eastAsia="Arial" w:hAnsi="Arial"/>
          <w:sz w:val="18"/>
          <w:szCs w:val="18"/>
          <w:color w:val="231F20"/>
        </w:rPr>
        <w:t xml:space="preserve">, respectively, and $7.0 million and $5.3 million for the nine months ended September 30, 2017 and </w:t>
      </w:r>
      <w:r>
        <w:rPr>
          <w:rFonts w:ascii="Arial" w:cs="Arial" w:eastAsia="Arial" w:hAnsi="Arial"/>
          <w:sz w:val="18"/>
          <w:szCs w:val="18"/>
          <w:color w:val="000000"/>
        </w:rPr>
        <w:t>2016</w:t>
      </w:r>
      <w:r>
        <w:rPr>
          <w:rFonts w:ascii="Arial" w:cs="Arial" w:eastAsia="Arial" w:hAnsi="Arial"/>
          <w:sz w:val="18"/>
          <w:szCs w:val="18"/>
          <w:color w:val="231F20"/>
        </w:rPr>
        <w:t>, respectively. Although certain of the operating lease agreements provide for rent free periods or escalating rent payments over the terms of the leases, rent expense under these agreements is recognized on a straight-line basis over the term of the lease, starting when the Company takes possession of the property from the landlord. We record t</w:t>
      </w:r>
      <w:r>
        <w:rPr>
          <w:rFonts w:ascii="Arial" w:cs="Arial" w:eastAsia="Arial" w:hAnsi="Arial"/>
          <w:sz w:val="18"/>
          <w:szCs w:val="18"/>
          <w:color w:val="000000"/>
        </w:rPr>
        <w:t>he</w:t>
      </w:r>
      <w:r>
        <w:rPr>
          <w:rFonts w:ascii="Arial" w:cs="Arial" w:eastAsia="Arial" w:hAnsi="Arial"/>
          <w:sz w:val="18"/>
          <w:szCs w:val="18"/>
          <w:color w:val="231F20"/>
        </w:rPr>
        <w:t xml:space="preserve"> </w:t>
      </w:r>
      <w:r>
        <w:rPr>
          <w:rFonts w:ascii="Arial" w:cs="Arial" w:eastAsia="Arial" w:hAnsi="Arial"/>
          <w:sz w:val="18"/>
          <w:szCs w:val="18"/>
          <w:color w:val="000000"/>
        </w:rPr>
        <w:t>difference between the recognized rent expense and the amounts payable under the lease as a short-term or long-term deferred rent liability. When we receive tenant allowances upon entering into certain leases, we record the allowances as short-term or long-term tenant allowance liability and amortize them using the straight-line method as a reduction to rent expense over the term of the lease.</w:t>
      </w:r>
    </w:p>
    <w:p>
      <w:pPr>
        <w:spacing w:after="0" w:line="167"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2017</w:t>
      </w:r>
      <w:r>
        <w:rPr>
          <w:rFonts w:ascii="Arial" w:cs="Arial" w:eastAsia="Arial" w:hAnsi="Arial"/>
          <w:sz w:val="18"/>
          <w:szCs w:val="18"/>
          <w:color w:val="231F20"/>
        </w:rPr>
        <w:t xml:space="preserve"> and </w:t>
      </w:r>
      <w:r>
        <w:rPr>
          <w:rFonts w:ascii="Arial" w:cs="Arial" w:eastAsia="Arial" w:hAnsi="Arial"/>
          <w:sz w:val="18"/>
          <w:szCs w:val="18"/>
          <w:color w:val="000000"/>
        </w:rPr>
        <w:t>December 31, 2016</w:t>
      </w:r>
      <w:r>
        <w:rPr>
          <w:rFonts w:ascii="Arial" w:cs="Arial" w:eastAsia="Arial" w:hAnsi="Arial"/>
          <w:sz w:val="18"/>
          <w:szCs w:val="18"/>
          <w:color w:val="231F20"/>
        </w:rPr>
        <w:t>, the Company had accrued $8.8 million and $0.4 million, respectively, of deferred rent related to these agreements, which is reflected in accrued liabilities and other non-current liabilities in the accompanying condensed consolidated balance sheets.</w:t>
      </w:r>
    </w:p>
    <w:p>
      <w:pPr>
        <w:spacing w:after="0" w:line="202" w:lineRule="exact"/>
        <w:rPr>
          <w:sz w:val="20"/>
          <w:szCs w:val="20"/>
          <w:color w:val="auto"/>
        </w:rPr>
      </w:pPr>
    </w:p>
    <w:p>
      <w:pPr>
        <w:ind w:right="240" w:firstLine="486"/>
        <w:spacing w:after="0" w:line="253" w:lineRule="auto"/>
        <w:rPr>
          <w:sz w:val="20"/>
          <w:szCs w:val="20"/>
          <w:color w:val="auto"/>
        </w:rPr>
      </w:pPr>
      <w:r>
        <w:rPr>
          <w:rFonts w:ascii="Arial" w:cs="Arial" w:eastAsia="Arial" w:hAnsi="Arial"/>
          <w:sz w:val="18"/>
          <w:szCs w:val="18"/>
          <w:color w:val="231F20"/>
        </w:rPr>
        <w:t>On October 14, 2016, the Company entered into a lease agreement (included in the table above) for its new headquarter office facility. The lease payments commence on May 1, 2018 and the lease has a ten-year term through April 30, 2028. The total commitment of $38.6 million is payable monthly with escalating rental payments throughout the lease term. The Company took possession of the facility on May 1, 2017 and began construction of certain leasehold improvements. The Company recorded a tenant improvement allowance of $8.1 million relating to the office facility.</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231F20"/>
        </w:rPr>
        <w:t xml:space="preserve">From time to time, the Company may have certain contingent liabilities that arise in the ordinary course of its business activities. The Company accrues a liability for such matters when it is probable a loss has been incurred and such loss can be reasonably estimated. At </w:t>
      </w:r>
      <w:r>
        <w:rPr>
          <w:rFonts w:ascii="Arial" w:cs="Arial" w:eastAsia="Arial" w:hAnsi="Arial"/>
          <w:sz w:val="18"/>
          <w:szCs w:val="18"/>
          <w:color w:val="000000"/>
        </w:rPr>
        <w:t>September 30, 2017</w:t>
      </w:r>
      <w:r>
        <w:rPr>
          <w:rFonts w:ascii="Arial" w:cs="Arial" w:eastAsia="Arial" w:hAnsi="Arial"/>
          <w:sz w:val="18"/>
          <w:szCs w:val="18"/>
          <w:color w:val="231F20"/>
        </w:rPr>
        <w:t>, the Company has not recorded any material liabilities in accordance with accounting for contingencies.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Stock-based Compensation</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Equity Incentive Plans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231F20"/>
        </w:rPr>
        <w:t xml:space="preserve">Under the 2012 Equity Incentive Plan (the "2012 Plan"), the Company is authorized to grant to eligible participants incentive stock options (“ISOs”), non-statutory stock options (“NSOs”), stock appreciation rights ("SARs"), restricted stock awards ("RSAs"), restricted stock units ("RSUs"), performance units and performance shares equivalent to up to 9,861,234 shares of common stock. Options may be granted with an exercise price that is at least equal to the fair market value of the Company's stock at the date of grant and are exercisable when vested. As of September 30, 2017, </w:t>
      </w:r>
      <w:r>
        <w:rPr>
          <w:rFonts w:ascii="Arial" w:cs="Arial" w:eastAsia="Arial" w:hAnsi="Arial"/>
          <w:sz w:val="18"/>
          <w:szCs w:val="18"/>
          <w:color w:val="000000"/>
        </w:rPr>
        <w:t>2,325,200</w:t>
      </w:r>
      <w:r>
        <w:rPr>
          <w:rFonts w:ascii="Arial" w:cs="Arial" w:eastAsia="Arial" w:hAnsi="Arial"/>
          <w:sz w:val="18"/>
          <w:szCs w:val="18"/>
          <w:color w:val="231F20"/>
        </w:rPr>
        <w:t xml:space="preserve"> shares were available for grant under the 2012 Plan.</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20" w:firstLine="405"/>
        <w:spacing w:after="0" w:line="256" w:lineRule="auto"/>
        <w:rPr>
          <w:sz w:val="20"/>
          <w:szCs w:val="20"/>
          <w:color w:val="auto"/>
        </w:rPr>
      </w:pPr>
      <w:r>
        <w:rPr>
          <w:rFonts w:ascii="Arial" w:cs="Arial" w:eastAsia="Arial" w:hAnsi="Arial"/>
          <w:sz w:val="18"/>
          <w:szCs w:val="18"/>
          <w:color w:val="231F20"/>
        </w:rPr>
        <w:t>Under the 2000 Equity Incentive Plan (the "2000 Plan"), the Company was authorized to grant to eligible participants either ISOs or NSOs. The 2000 Plan was terminated in connection with the closing of the initial public offering ("IPO"), and accordingly, no shares are currently available for grant under the 2000 Plan. The 2000 Plan continues to govern outstanding awards granted thereunder.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247"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231F20"/>
        </w:rPr>
        <w:t>The following table shows a summary of the stock-based compensation expense included in the condensed consolidated statements of operations for the three and nine months ended September 30, 2017 and 2016.</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2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5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1,318</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960" w:type="dxa"/>
            <w:vAlign w:val="bottom"/>
          </w:tcPr>
          <w:p>
            <w:pPr>
              <w:spacing w:after="0"/>
              <w:rPr>
                <w:sz w:val="22"/>
                <w:szCs w:val="22"/>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1,585</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4,229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4,373</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96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1,231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3,444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3,459</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9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4,477</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2,181</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9,280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5,972</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compensation</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7,743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5,103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18,522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15,122</w:t>
            </w:r>
          </w:p>
        </w:tc>
      </w:tr>
      <w:tr>
        <w:trPr>
          <w:trHeight w:val="20"/>
        </w:trPr>
        <w:tc>
          <w:tcPr>
            <w:tcW w:w="5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2017</w:t>
      </w:r>
      <w:r>
        <w:rPr>
          <w:rFonts w:ascii="Arial" w:cs="Arial" w:eastAsia="Arial" w:hAnsi="Arial"/>
          <w:sz w:val="18"/>
          <w:szCs w:val="18"/>
          <w:color w:val="231F20"/>
        </w:rPr>
        <w:t xml:space="preserve">, the Company had $18.2 million of total unrecognized compensation cost related to unvested option awards that it expects to recognize over a weighted-average period of 2.5 years, and $ 31.9 million </w:t>
      </w:r>
      <w:r>
        <w:rPr>
          <w:rFonts w:ascii="Arial" w:cs="Arial" w:eastAsia="Arial" w:hAnsi="Arial"/>
          <w:sz w:val="18"/>
          <w:szCs w:val="18"/>
          <w:color w:val="000000"/>
        </w:rPr>
        <w:t>of unrecognized compensation cost related to</w:t>
      </w:r>
      <w:r>
        <w:rPr>
          <w:rFonts w:ascii="Arial" w:cs="Arial" w:eastAsia="Arial" w:hAnsi="Arial"/>
          <w:sz w:val="18"/>
          <w:szCs w:val="18"/>
          <w:color w:val="231F20"/>
        </w:rPr>
        <w:t xml:space="preserve"> </w:t>
      </w:r>
      <w:r>
        <w:rPr>
          <w:rFonts w:ascii="Arial" w:cs="Arial" w:eastAsia="Arial" w:hAnsi="Arial"/>
          <w:sz w:val="18"/>
          <w:szCs w:val="18"/>
          <w:color w:val="000000"/>
        </w:rPr>
        <w:t xml:space="preserve">unvested RSUs that it expects to recognize over a weighted-average period of 2.8 years. </w:t>
      </w:r>
      <w:r>
        <w:rPr>
          <w:rFonts w:ascii="Arial" w:cs="Arial" w:eastAsia="Arial" w:hAnsi="Arial"/>
          <w:sz w:val="18"/>
          <w:szCs w:val="18"/>
          <w:color w:val="231F20"/>
        </w:rPr>
        <w:t>Compensation cost is recognized on a straight-line</w:t>
      </w:r>
      <w:r>
        <w:rPr>
          <w:rFonts w:ascii="Arial" w:cs="Arial" w:eastAsia="Arial" w:hAnsi="Arial"/>
          <w:sz w:val="18"/>
          <w:szCs w:val="18"/>
          <w:color w:val="000000"/>
        </w:rPr>
        <w:t xml:space="preserve"> </w:t>
      </w:r>
      <w:r>
        <w:rPr>
          <w:rFonts w:ascii="Arial" w:cs="Arial" w:eastAsia="Arial" w:hAnsi="Arial"/>
          <w:sz w:val="18"/>
          <w:szCs w:val="18"/>
          <w:color w:val="231F20"/>
        </w:rPr>
        <w:t>basis over the service period. Forfeitures are estimated at the time of grant and revised, if necessary, in subsequent periods if actual forfeitures differ from those estimates.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 Plan Activity</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41" w:right="2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526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60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 w:type="dxa"/>
            <w:vAlign w:val="bottom"/>
          </w:tcPr>
          <w:p>
            <w:pPr>
              <w:spacing w:after="0"/>
              <w:rPr>
                <w:sz w:val="16"/>
                <w:szCs w:val="16"/>
                <w:color w:val="auto"/>
              </w:rPr>
            </w:pPr>
          </w:p>
        </w:tc>
        <w:tc>
          <w:tcPr>
            <w:tcW w:w="1320" w:type="dxa"/>
            <w:vAlign w:val="bottom"/>
          </w:tcPr>
          <w:p>
            <w:pPr>
              <w:jc w:val="center"/>
              <w:ind w:right="79"/>
              <w:spacing w:after="0"/>
              <w:rPr>
                <w:sz w:val="20"/>
                <w:szCs w:val="20"/>
                <w:color w:val="auto"/>
              </w:rPr>
            </w:pPr>
            <w:r>
              <w:rPr>
                <w:rFonts w:ascii="Arial" w:cs="Arial" w:eastAsia="Arial" w:hAnsi="Arial"/>
                <w:sz w:val="16"/>
                <w:szCs w:val="16"/>
                <w:b w:val="1"/>
                <w:bCs w:val="1"/>
                <w:color w:val="auto"/>
              </w:rPr>
              <w:t>Aggregate</w:t>
            </w:r>
          </w:p>
        </w:tc>
      </w:tr>
      <w:tr>
        <w:trPr>
          <w:trHeight w:val="228"/>
        </w:trPr>
        <w:tc>
          <w:tcPr>
            <w:tcW w:w="5260" w:type="dxa"/>
            <w:vAlign w:val="bottom"/>
          </w:tcPr>
          <w:p>
            <w:pPr>
              <w:spacing w:after="0"/>
              <w:rPr>
                <w:sz w:val="19"/>
                <w:szCs w:val="19"/>
                <w:color w:val="auto"/>
              </w:rPr>
            </w:pPr>
          </w:p>
        </w:tc>
        <w:tc>
          <w:tcPr>
            <w:tcW w:w="1500" w:type="dxa"/>
            <w:vAlign w:val="bottom"/>
          </w:tcPr>
          <w:p>
            <w:pPr>
              <w:jc w:val="right"/>
              <w:ind w:right="35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4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(Years)</w:t>
            </w:r>
          </w:p>
        </w:tc>
        <w:tc>
          <w:tcPr>
            <w:tcW w:w="160" w:type="dxa"/>
            <w:vAlign w:val="bottom"/>
          </w:tcPr>
          <w:p>
            <w:pPr>
              <w:spacing w:after="0"/>
              <w:rPr>
                <w:sz w:val="19"/>
                <w:szCs w:val="19"/>
                <w:color w:val="auto"/>
              </w:rPr>
            </w:pPr>
          </w:p>
        </w:tc>
        <w:tc>
          <w:tcPr>
            <w:tcW w:w="1320" w:type="dxa"/>
            <w:vAlign w:val="bottom"/>
          </w:tcPr>
          <w:p>
            <w:pPr>
              <w:jc w:val="center"/>
              <w:ind w:right="59"/>
              <w:spacing w:after="0"/>
              <w:rPr>
                <w:sz w:val="20"/>
                <w:szCs w:val="20"/>
                <w:color w:val="auto"/>
              </w:rPr>
            </w:pPr>
            <w:r>
              <w:rPr>
                <w:rFonts w:ascii="Arial" w:cs="Arial" w:eastAsia="Arial" w:hAnsi="Arial"/>
                <w:sz w:val="16"/>
                <w:szCs w:val="16"/>
                <w:b w:val="1"/>
                <w:bCs w:val="1"/>
                <w:color w:val="auto"/>
              </w:rPr>
              <w:t>Intrinsic Value</w:t>
            </w:r>
          </w:p>
        </w:tc>
      </w:tr>
      <w:tr>
        <w:trPr>
          <w:trHeight w:val="260"/>
        </w:trPr>
        <w:tc>
          <w:tcPr>
            <w:tcW w:w="526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7,527,680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19.25</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101,717</w:t>
            </w:r>
          </w:p>
        </w:tc>
      </w:tr>
      <w:tr>
        <w:trPr>
          <w:trHeight w:val="260"/>
        </w:trPr>
        <w:tc>
          <w:tcPr>
            <w:tcW w:w="526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338,725</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38.40</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(2,364,523)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10.38</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6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(347,573)</w:t>
            </w:r>
          </w:p>
        </w:tc>
        <w:tc>
          <w:tcPr>
            <w:tcW w:w="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33.72</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2017</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5,154,309</w:t>
            </w:r>
          </w:p>
        </w:tc>
        <w:tc>
          <w:tcPr>
            <w:tcW w:w="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23.60</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145,402</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7"/>
        </w:trPr>
        <w:tc>
          <w:tcPr>
            <w:tcW w:w="5260" w:type="dxa"/>
            <w:vAlign w:val="bottom"/>
          </w:tcPr>
          <w:p>
            <w:pPr>
              <w:ind w:left="40"/>
              <w:spacing w:after="0"/>
              <w:rPr>
                <w:sz w:val="20"/>
                <w:szCs w:val="20"/>
                <w:color w:val="auto"/>
              </w:rPr>
            </w:pPr>
            <w:r>
              <w:rPr>
                <w:rFonts w:ascii="Arial" w:cs="Arial" w:eastAsia="Arial" w:hAnsi="Arial"/>
                <w:sz w:val="16"/>
                <w:szCs w:val="16"/>
                <w:color w:val="auto"/>
              </w:rPr>
              <w:t>Vested and expected to vest - September 30, 2017</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4,852,064</w:t>
            </w:r>
          </w:p>
        </w:tc>
        <w:tc>
          <w:tcPr>
            <w:tcW w:w="2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23.05</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139,543</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September 30, 2017</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3,458,555</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19.94</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110,203</w:t>
            </w: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Stock</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RSU and RSA activity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59"/>
              <w:spacing w:after="0"/>
              <w:rPr>
                <w:sz w:val="20"/>
                <w:szCs w:val="20"/>
                <w:color w:val="auto"/>
              </w:rPr>
            </w:pPr>
            <w:r>
              <w:rPr>
                <w:rFonts w:ascii="Arial" w:cs="Arial" w:eastAsia="Arial" w:hAnsi="Arial"/>
                <w:sz w:val="16"/>
                <w:szCs w:val="16"/>
                <w:b w:val="1"/>
                <w:bCs w:val="1"/>
                <w:color w:val="auto"/>
              </w:rPr>
              <w:t>Weighted Average</w:t>
            </w:r>
          </w:p>
        </w:tc>
      </w:tr>
      <w:tr>
        <w:trPr>
          <w:trHeight w:val="189"/>
        </w:trPr>
        <w:tc>
          <w:tcPr>
            <w:tcW w:w="7900" w:type="dxa"/>
            <w:vAlign w:val="bottom"/>
          </w:tcPr>
          <w:p>
            <w:pPr>
              <w:spacing w:after="0"/>
              <w:rPr>
                <w:sz w:val="16"/>
                <w:szCs w:val="16"/>
                <w:color w:val="auto"/>
              </w:rPr>
            </w:pPr>
          </w:p>
        </w:tc>
        <w:tc>
          <w:tcPr>
            <w:tcW w:w="1720" w:type="dxa"/>
            <w:vAlign w:val="bottom"/>
          </w:tcPr>
          <w:p>
            <w:pPr>
              <w:jc w:val="right"/>
              <w:ind w:right="79"/>
              <w:spacing w:after="0"/>
              <w:rPr>
                <w:sz w:val="20"/>
                <w:szCs w:val="20"/>
                <w:color w:val="auto"/>
              </w:rPr>
            </w:pPr>
            <w:r>
              <w:rPr>
                <w:rFonts w:ascii="Arial" w:cs="Arial" w:eastAsia="Arial" w:hAnsi="Arial"/>
                <w:sz w:val="16"/>
                <w:szCs w:val="16"/>
                <w:b w:val="1"/>
                <w:bCs w:val="1"/>
                <w:color w:val="auto"/>
              </w:rPr>
              <w:t>Outstanding RSUs</w:t>
            </w:r>
          </w:p>
        </w:tc>
        <w:tc>
          <w:tcPr>
            <w:tcW w:w="10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Grant Date Fair Value</w:t>
            </w:r>
          </w:p>
        </w:tc>
      </w:tr>
      <w:tr>
        <w:trPr>
          <w:trHeight w:val="228"/>
        </w:trPr>
        <w:tc>
          <w:tcPr>
            <w:tcW w:w="7900" w:type="dxa"/>
            <w:vAlign w:val="bottom"/>
          </w:tcPr>
          <w:p>
            <w:pPr>
              <w:spacing w:after="0"/>
              <w:rPr>
                <w:sz w:val="19"/>
                <w:szCs w:val="19"/>
                <w:color w:val="auto"/>
              </w:rPr>
            </w:pPr>
          </w:p>
        </w:tc>
        <w:tc>
          <w:tcPr>
            <w:tcW w:w="17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and RSAs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Per Share</w:t>
            </w:r>
          </w:p>
        </w:tc>
      </w:tr>
      <w:tr>
        <w:trPr>
          <w:trHeight w:val="284"/>
        </w:trPr>
        <w:tc>
          <w:tcPr>
            <w:tcW w:w="79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17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587,333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28.85</w:t>
            </w:r>
          </w:p>
        </w:tc>
      </w:tr>
      <w:tr>
        <w:trPr>
          <w:trHeight w:val="260"/>
        </w:trPr>
        <w:tc>
          <w:tcPr>
            <w:tcW w:w="7900" w:type="dxa"/>
            <w:vAlign w:val="bottom"/>
          </w:tcPr>
          <w:p>
            <w:pPr>
              <w:ind w:left="280"/>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934,439</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38.53</w:t>
            </w:r>
          </w:p>
        </w:tc>
      </w:tr>
      <w:tr>
        <w:trPr>
          <w:trHeight w:val="280"/>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Released</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(239,222)</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32.15</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(106,522)</w:t>
            </w:r>
          </w:p>
        </w:tc>
        <w:tc>
          <w:tcPr>
            <w:tcW w:w="24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31.80</w:t>
            </w:r>
          </w:p>
        </w:tc>
      </w:tr>
      <w:tr>
        <w:trPr>
          <w:trHeight w:val="24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2017</w:t>
            </w:r>
          </w:p>
        </w:tc>
        <w:tc>
          <w:tcPr>
            <w:tcW w:w="17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1,176,028</w:t>
            </w:r>
          </w:p>
        </w:tc>
        <w:tc>
          <w:tcPr>
            <w:tcW w:w="2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35.60</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207"/>
        </w:trPr>
        <w:tc>
          <w:tcPr>
            <w:tcW w:w="7900" w:type="dxa"/>
            <w:vAlign w:val="bottom"/>
          </w:tcPr>
          <w:p>
            <w:pPr>
              <w:ind w:left="40"/>
              <w:spacing w:after="0"/>
              <w:rPr>
                <w:sz w:val="20"/>
                <w:szCs w:val="20"/>
                <w:color w:val="auto"/>
              </w:rPr>
            </w:pPr>
            <w:r>
              <w:rPr>
                <w:rFonts w:ascii="Arial" w:cs="Arial" w:eastAsia="Arial" w:hAnsi="Arial"/>
                <w:sz w:val="16"/>
                <w:szCs w:val="16"/>
                <w:color w:val="auto"/>
              </w:rPr>
              <w:t>Outstanding and expected to vest - September 30, 2017</w:t>
            </w:r>
          </w:p>
        </w:tc>
        <w:tc>
          <w:tcPr>
            <w:tcW w:w="1720" w:type="dxa"/>
            <w:vAlign w:val="bottom"/>
          </w:tcPr>
          <w:p>
            <w:pPr>
              <w:jc w:val="right"/>
              <w:ind w:right="39"/>
              <w:spacing w:after="0"/>
              <w:rPr>
                <w:sz w:val="20"/>
                <w:szCs w:val="20"/>
                <w:color w:val="auto"/>
              </w:rPr>
            </w:pPr>
            <w:r>
              <w:rPr>
                <w:rFonts w:ascii="Arial" w:cs="Arial" w:eastAsia="Arial" w:hAnsi="Arial"/>
                <w:sz w:val="16"/>
                <w:szCs w:val="16"/>
                <w:color w:val="auto"/>
              </w:rPr>
              <w:t>1,010,848</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35.58</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Other Income (Expense), Net</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220" w:type="dxa"/>
            <w:vAlign w:val="bottom"/>
            <w:gridSpan w:val="6"/>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ind w:left="260"/>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ind w:left="460"/>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5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 (loss)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(285)</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w:t>
            </w:r>
          </w:p>
        </w:tc>
        <w:tc>
          <w:tcPr>
            <w:tcW w:w="9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240"/>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net</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0"/>
        </w:trPr>
        <w:tc>
          <w:tcPr>
            <w:tcW w:w="5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247"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auto"/>
        </w:rPr>
        <w:t>The Company recorded a tax provision of $ 3.1 million and $3.2 million for the three months ended September 30, 2017 and 2016, respectively. The Company's effective income tax rate was approximately 26.6% and 39.2% for the three months ended September 30, 2017 and 2016, respectively.</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20"/>
          </w:cols>
          <w:pgMar w:left="240" w:top="141" w:right="2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The Company recorded a tax benefit of $(8.6) million and a tax provision of $8.4 million for the nine months ended September 30, 2017 and 2016, respectively. The Company's effective income tax rate was approximately (29.6) % and 38.7 % for the nine months ended September 30, 2017 and 2016, respectively.</w:t>
      </w:r>
    </w:p>
    <w:p>
      <w:pPr>
        <w:spacing w:after="0" w:line="200" w:lineRule="exact"/>
        <w:rPr>
          <w:sz w:val="20"/>
          <w:szCs w:val="20"/>
          <w:color w:val="auto"/>
        </w:rPr>
      </w:pPr>
    </w:p>
    <w:p>
      <w:pPr>
        <w:spacing w:after="0" w:line="218" w:lineRule="exact"/>
        <w:rPr>
          <w:sz w:val="20"/>
          <w:szCs w:val="20"/>
          <w:color w:val="auto"/>
        </w:rPr>
      </w:pPr>
    </w:p>
    <w:p>
      <w:pPr>
        <w:ind w:right="140" w:firstLine="486"/>
        <w:spacing w:after="0" w:line="251" w:lineRule="auto"/>
        <w:rPr>
          <w:sz w:val="20"/>
          <w:szCs w:val="20"/>
          <w:color w:val="auto"/>
        </w:rPr>
      </w:pPr>
      <w:r>
        <w:rPr>
          <w:rFonts w:ascii="Arial" w:cs="Arial" w:eastAsia="Arial" w:hAnsi="Arial"/>
          <w:sz w:val="18"/>
          <w:szCs w:val="18"/>
          <w:color w:val="auto"/>
        </w:rPr>
        <w:t>The Company adopted ASU 2016-09 as required on January 1, 2017. In accordance with ASU 2016-09, the Company recognized a discrete tax benefit from excess tax benefits related to stock-based compensation of $1.3 million and $19.5 million for the three months and nine months ended September 30, 2017, respectively. The standard will result in increased volatility in the Company's effective tax rate. Upon adoption of ASU 2016-09 in 2017, the Company recorded a cumulative effect adjustment to increase retained earnings by $8.4 million with a corresponding increase to deferred tax assets for the Federal and state net operating losses and tax credits attributable to excess tax benefits from stock-based compensation which had not been previously recognized as of January 1, 2017. During the three months ended September 30, 2017, with respect to excess benefits from stock-based compensation, we recorded an adjustment to decrease the aforementioned cumulative effect adjustment to retained earnings as of January 1, 2017 by $0.5 million with a corresponding decrease to deferred tax assets which resulted in a revised increase of $7.9 million to retained earnings and our deferred tax assets.</w:t>
      </w:r>
    </w:p>
    <w:p>
      <w:pPr>
        <w:spacing w:after="0" w:line="213" w:lineRule="exact"/>
        <w:rPr>
          <w:sz w:val="20"/>
          <w:szCs w:val="20"/>
          <w:color w:val="auto"/>
        </w:rPr>
      </w:pPr>
    </w:p>
    <w:p>
      <w:pPr>
        <w:ind w:right="320" w:firstLine="486"/>
        <w:spacing w:after="0" w:line="256" w:lineRule="auto"/>
        <w:rPr>
          <w:sz w:val="20"/>
          <w:szCs w:val="20"/>
          <w:color w:val="auto"/>
        </w:rPr>
      </w:pPr>
      <w:r>
        <w:rPr>
          <w:rFonts w:ascii="Arial" w:cs="Arial" w:eastAsia="Arial" w:hAnsi="Arial"/>
          <w:sz w:val="18"/>
          <w:szCs w:val="18"/>
          <w:color w:val="231F20"/>
        </w:rPr>
        <w:t xml:space="preserve">As of September 30, 2017, the Company had unrecognized tax benefits of </w:t>
      </w:r>
      <w:r>
        <w:rPr>
          <w:rFonts w:ascii="Arial" w:cs="Arial" w:eastAsia="Arial" w:hAnsi="Arial"/>
          <w:sz w:val="18"/>
          <w:szCs w:val="18"/>
          <w:color w:val="000000"/>
        </w:rPr>
        <w:t>$4.5 million</w:t>
      </w:r>
      <w:r>
        <w:rPr>
          <w:rFonts w:ascii="Arial" w:cs="Arial" w:eastAsia="Arial" w:hAnsi="Arial"/>
          <w:sz w:val="18"/>
          <w:szCs w:val="18"/>
          <w:color w:val="231F20"/>
        </w:rPr>
        <w:t xml:space="preserve">, of which </w:t>
      </w:r>
      <w:r>
        <w:rPr>
          <w:rFonts w:ascii="Arial" w:cs="Arial" w:eastAsia="Arial" w:hAnsi="Arial"/>
          <w:sz w:val="18"/>
          <w:szCs w:val="18"/>
          <w:color w:val="000000"/>
        </w:rPr>
        <w:t>$2.6 million</w:t>
      </w:r>
      <w:r>
        <w:rPr>
          <w:rFonts w:ascii="Arial" w:cs="Arial" w:eastAsia="Arial" w:hAnsi="Arial"/>
          <w:sz w:val="18"/>
          <w:szCs w:val="18"/>
          <w:color w:val="231F20"/>
        </w:rPr>
        <w:t xml:space="preserve">, if recognized, would favorably impact the Company's effective tax rate. As of December 31, 2016, the Company had unrecognized tax benefits of </w:t>
      </w:r>
      <w:r>
        <w:rPr>
          <w:rFonts w:ascii="Arial" w:cs="Arial" w:eastAsia="Arial" w:hAnsi="Arial"/>
          <w:sz w:val="18"/>
          <w:szCs w:val="18"/>
          <w:color w:val="000000"/>
        </w:rPr>
        <w:t>$4.1 million</w:t>
      </w:r>
      <w:r>
        <w:rPr>
          <w:rFonts w:ascii="Arial" w:cs="Arial" w:eastAsia="Arial" w:hAnsi="Arial"/>
          <w:sz w:val="18"/>
          <w:szCs w:val="18"/>
          <w:color w:val="231F20"/>
        </w:rPr>
        <w:t xml:space="preserve">, of which </w:t>
      </w:r>
      <w:r>
        <w:rPr>
          <w:rFonts w:ascii="Arial" w:cs="Arial" w:eastAsia="Arial" w:hAnsi="Arial"/>
          <w:sz w:val="18"/>
          <w:szCs w:val="18"/>
          <w:color w:val="000000"/>
        </w:rPr>
        <w:t>$2.4 million</w:t>
      </w:r>
      <w:r>
        <w:rPr>
          <w:rFonts w:ascii="Arial" w:cs="Arial" w:eastAsia="Arial" w:hAnsi="Arial"/>
          <w:sz w:val="18"/>
          <w:szCs w:val="18"/>
          <w:color w:val="231F20"/>
        </w:rPr>
        <w:t>, if recognized, would favorably impact the Company's effective tax rate.</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Company does not anticipate a material change in its unrecognized tax benefits in the next 12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w:t>
      </w:r>
      <w:r>
        <w:rPr>
          <w:rFonts w:ascii="Arial" w:cs="Arial" w:eastAsia="Arial" w:hAnsi="Arial"/>
          <w:sz w:val="18"/>
          <w:szCs w:val="18"/>
          <w:b w:val="1"/>
          <w:bCs w:val="1"/>
          <w:color w:val="231F20"/>
        </w:rPr>
        <w:t>Segment Information and Information about Geographic Area</w:t>
      </w:r>
    </w:p>
    <w:p>
      <w:pPr>
        <w:spacing w:after="0" w:line="247"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8"/>
                <w:szCs w:val="18"/>
                <w:color w:val="auto"/>
              </w:rPr>
            </w:pPr>
          </w:p>
        </w:tc>
        <w:tc>
          <w:tcPr>
            <w:tcW w:w="24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42,287</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35,965</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118,786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102,850</w:t>
            </w:r>
          </w:p>
        </w:tc>
      </w:tr>
      <w:tr>
        <w:trPr>
          <w:trHeight w:val="264"/>
        </w:trPr>
        <w:tc>
          <w:tcPr>
            <w:tcW w:w="52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17,203</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15,022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42,851</w:t>
            </w:r>
          </w:p>
        </w:tc>
      </w:tr>
      <w:tr>
        <w:trPr>
          <w:trHeight w:val="24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59,490</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50,987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167,913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145,701</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Property and equipment, net, by geographic area,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83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920" w:type="dxa"/>
            <w:vAlign w:val="bottom"/>
            <w:gridSpan w:val="4"/>
          </w:tcPr>
          <w:p>
            <w:pPr>
              <w:jc w:val="right"/>
              <w:ind w:right="8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37,615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30,733</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13,666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8,668</w:t>
            </w: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property and equipment,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51,281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39,401</w:t>
            </w: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11.Net Income Per Share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are as follows: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8"/>
                <w:szCs w:val="18"/>
                <w:color w:val="auto"/>
              </w:rPr>
            </w:pPr>
          </w:p>
        </w:tc>
        <w:tc>
          <w:tcPr>
            <w:tcW w:w="264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37"/>
        </w:trPr>
        <w:tc>
          <w:tcPr>
            <w:tcW w:w="5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6"/>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80"/>
        </w:trPr>
        <w:tc>
          <w:tcPr>
            <w:tcW w:w="5260" w:type="dxa"/>
            <w:vAlign w:val="bottom"/>
          </w:tcPr>
          <w:p>
            <w:pPr>
              <w:ind w:left="40"/>
              <w:spacing w:after="0"/>
              <w:rPr>
                <w:sz w:val="20"/>
                <w:szCs w:val="20"/>
                <w:color w:val="auto"/>
              </w:rPr>
            </w:pPr>
            <w:r>
              <w:rPr>
                <w:rFonts w:ascii="Arial" w:cs="Arial" w:eastAsia="Arial" w:hAnsi="Arial"/>
                <w:sz w:val="16"/>
                <w:szCs w:val="16"/>
                <w:color w:val="auto"/>
              </w:rPr>
              <w:t>Numerator:</w:t>
            </w: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8,452</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4,996</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37,584</w:t>
            </w:r>
          </w:p>
        </w:tc>
        <w:tc>
          <w:tcPr>
            <w:tcW w:w="10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13,317</w:t>
            </w:r>
          </w:p>
        </w:tc>
      </w:tr>
      <w:tr>
        <w:trPr>
          <w:trHeight w:val="254"/>
        </w:trPr>
        <w:tc>
          <w:tcPr>
            <w:tcW w:w="5260" w:type="dxa"/>
            <w:vAlign w:val="bottom"/>
          </w:tcPr>
          <w:p>
            <w:pPr>
              <w:ind w:left="40"/>
              <w:spacing w:after="0"/>
              <w:rPr>
                <w:sz w:val="20"/>
                <w:szCs w:val="20"/>
                <w:color w:val="auto"/>
              </w:rPr>
            </w:pPr>
            <w:r>
              <w:rPr>
                <w:rFonts w:ascii="Arial" w:cs="Arial" w:eastAsia="Arial" w:hAnsi="Arial"/>
                <w:sz w:val="16"/>
                <w:szCs w:val="16"/>
                <w:color w:val="auto"/>
              </w:rPr>
              <w:t>Denominator:</w:t>
            </w: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52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Weighted-average shares used in computing net income per share:</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5260" w:type="dxa"/>
            <w:vAlign w:val="bottom"/>
          </w:tcPr>
          <w:p>
            <w:pPr>
              <w:ind w:left="500"/>
              <w:spacing w:after="0"/>
              <w:rPr>
                <w:sz w:val="20"/>
                <w:szCs w:val="20"/>
                <w:color w:val="auto"/>
              </w:rPr>
            </w:pPr>
            <w:r>
              <w:rPr>
                <w:rFonts w:ascii="Arial" w:cs="Arial" w:eastAsia="Arial" w:hAnsi="Arial"/>
                <w:sz w:val="16"/>
                <w:szCs w:val="16"/>
                <w:color w:val="auto"/>
              </w:rPr>
              <w:t>Basic</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37,703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35,477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37,162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35,074</w:t>
            </w:r>
          </w:p>
        </w:tc>
      </w:tr>
      <w:tr>
        <w:trPr>
          <w:trHeight w:val="280"/>
        </w:trPr>
        <w:tc>
          <w:tcPr>
            <w:tcW w:w="52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Effect of potentially dilutive securities: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r>
      <w:tr>
        <w:trPr>
          <w:trHeight w:val="260"/>
        </w:trPr>
        <w:tc>
          <w:tcPr>
            <w:tcW w:w="5260" w:type="dxa"/>
            <w:vAlign w:val="bottom"/>
          </w:tcPr>
          <w:p>
            <w:pPr>
              <w:ind w:left="600"/>
              <w:spacing w:after="0"/>
              <w:rPr>
                <w:sz w:val="20"/>
                <w:szCs w:val="20"/>
                <w:color w:val="auto"/>
              </w:rPr>
            </w:pPr>
            <w:r>
              <w:rPr>
                <w:rFonts w:ascii="Arial" w:cs="Arial" w:eastAsia="Arial" w:hAnsi="Arial"/>
                <w:sz w:val="16"/>
                <w:szCs w:val="16"/>
                <w:color w:val="auto"/>
              </w:rPr>
              <w:t>Common stock options</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2,199</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3,103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2,161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3,089</w:t>
            </w:r>
          </w:p>
        </w:tc>
      </w:tr>
      <w:tr>
        <w:trPr>
          <w:trHeight w:val="273"/>
        </w:trPr>
        <w:tc>
          <w:tcPr>
            <w:tcW w:w="52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Restricted stock units</w:t>
            </w:r>
          </w:p>
        </w:tc>
        <w:tc>
          <w:tcPr>
            <w:tcW w:w="34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w:t>
            </w:r>
          </w:p>
        </w:tc>
      </w:tr>
      <w:tr>
        <w:trPr>
          <w:trHeight w:val="250"/>
        </w:trPr>
        <w:tc>
          <w:tcPr>
            <w:tcW w:w="52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40,299</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38,712</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39,601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38,205</w:t>
            </w:r>
          </w:p>
        </w:tc>
      </w:tr>
      <w:tr>
        <w:trPr>
          <w:trHeight w:val="27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per share:</w:t>
            </w:r>
          </w:p>
        </w:tc>
        <w:tc>
          <w:tcPr>
            <w:tcW w:w="3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94"/>
        </w:trPr>
        <w:tc>
          <w:tcPr>
            <w:tcW w:w="52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0.22</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0.14</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0.38</w:t>
            </w:r>
          </w:p>
        </w:tc>
      </w:tr>
      <w:tr>
        <w:trPr>
          <w:trHeight w:val="224"/>
        </w:trPr>
        <w:tc>
          <w:tcPr>
            <w:tcW w:w="52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0.21</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0.13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680" w:type="dxa"/>
            <w:vAlign w:val="bottom"/>
            <w:gridSpan w:val="6"/>
          </w:tcPr>
          <w:p>
            <w:pPr>
              <w:jc w:val="center"/>
              <w:ind w:right="520"/>
              <w:spacing w:after="0"/>
              <w:rPr>
                <w:sz w:val="20"/>
                <w:szCs w:val="20"/>
                <w:color w:val="auto"/>
              </w:rPr>
            </w:pPr>
            <w:r>
              <w:rPr>
                <w:rFonts w:ascii="Arial" w:cs="Arial" w:eastAsia="Arial" w:hAnsi="Arial"/>
                <w:sz w:val="16"/>
                <w:szCs w:val="16"/>
                <w:b w:val="1"/>
                <w:bCs w:val="1"/>
                <w:color w:val="auto"/>
              </w:rPr>
              <w:t>Three Months Ended</w:t>
            </w:r>
          </w:p>
        </w:tc>
        <w:tc>
          <w:tcPr>
            <w:tcW w:w="2480" w:type="dxa"/>
            <w:vAlign w:val="bottom"/>
            <w:gridSpan w:val="3"/>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2160" w:type="dxa"/>
            <w:vAlign w:val="bottom"/>
            <w:tcBorders>
              <w:bottom w:val="single" w:sz="8" w:color="auto"/>
            </w:tcBorders>
            <w:gridSpan w:val="3"/>
          </w:tcPr>
          <w:p>
            <w:pPr>
              <w:jc w:val="center"/>
              <w:ind w:left="90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15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52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20" w:type="dxa"/>
            <w:vAlign w:val="bottom"/>
            <w:gridSpan w:val="3"/>
          </w:tcPr>
          <w:p>
            <w:pPr>
              <w:ind w:left="38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options</w:t>
            </w:r>
          </w:p>
        </w:tc>
        <w:tc>
          <w:tcPr>
            <w:tcW w:w="1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651</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2,881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3,594</w:t>
            </w:r>
          </w:p>
        </w:tc>
      </w:tr>
      <w:tr>
        <w:trPr>
          <w:trHeight w:val="264"/>
        </w:trPr>
        <w:tc>
          <w:tcPr>
            <w:tcW w:w="5260" w:type="dxa"/>
            <w:vAlign w:val="bottom"/>
          </w:tcPr>
          <w:p>
            <w:pPr>
              <w:ind w:left="40"/>
              <w:spacing w:after="0"/>
              <w:rPr>
                <w:sz w:val="20"/>
                <w:szCs w:val="20"/>
                <w:color w:val="auto"/>
              </w:rPr>
            </w:pPr>
            <w:r>
              <w:rPr>
                <w:rFonts w:ascii="Arial" w:cs="Arial" w:eastAsia="Arial" w:hAnsi="Arial"/>
                <w:sz w:val="16"/>
                <w:szCs w:val="16"/>
                <w:color w:val="auto"/>
              </w:rPr>
              <w:t>Restricted stock units</w:t>
            </w:r>
          </w:p>
        </w:tc>
        <w:tc>
          <w:tcPr>
            <w:tcW w:w="2160" w:type="dxa"/>
            <w:vAlign w:val="bottom"/>
            <w:gridSpan w:val="3"/>
          </w:tcPr>
          <w:p>
            <w:pPr>
              <w:jc w:val="right"/>
              <w:ind w:right="780"/>
              <w:spacing w:after="0"/>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6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38</w:t>
            </w:r>
          </w:p>
        </w:tc>
      </w:tr>
      <w:tr>
        <w:trPr>
          <w:trHeight w:val="236"/>
        </w:trPr>
        <w:tc>
          <w:tcPr>
            <w:tcW w:w="526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3,632</w:t>
            </w:r>
          </w:p>
        </w:tc>
      </w:tr>
      <w:tr>
        <w:trPr>
          <w:trHeight w:val="20"/>
        </w:trPr>
        <w:tc>
          <w:tcPr>
            <w:tcW w:w="52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1" w:right="2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29" w:lineRule="exact"/>
        <w:rPr>
          <w:sz w:val="20"/>
          <w:szCs w:val="20"/>
          <w:color w:val="auto"/>
        </w:rPr>
      </w:pPr>
    </w:p>
    <w:p>
      <w:pPr>
        <w:ind w:right="8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included in our Annual Report on Form 10-K for the fiscal year ended December 31, 2016, filed with the Securities and Exchange Commission, or SEC, on February 24, 2017.</w:t>
      </w:r>
    </w:p>
    <w:p>
      <w:pPr>
        <w:spacing w:after="0" w:line="18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89" w:lineRule="exact"/>
        <w:rPr>
          <w:sz w:val="20"/>
          <w:szCs w:val="20"/>
          <w:color w:val="auto"/>
        </w:rPr>
      </w:pPr>
    </w:p>
    <w:p>
      <w:pPr>
        <w:ind w:left="1060" w:right="180" w:hanging="323"/>
        <w:spacing w:after="0" w:line="26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financial performance, including our revenues, costs, expenditures, growth rates, operating expenses and ability to generate positive cash flow to fund our operations and sustain profitability;</w:t>
      </w:r>
    </w:p>
    <w:p>
      <w:pPr>
        <w:spacing w:after="0" w:line="1"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adapt to changing market conditions;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economic and financial conditions, including volatility in foreign exchange rates;</w:t>
      </w:r>
    </w:p>
    <w:p>
      <w:pPr>
        <w:spacing w:after="0" w:line="9" w:lineRule="exact"/>
        <w:rPr>
          <w:rFonts w:ascii="Arial" w:cs="Arial" w:eastAsia="Arial" w:hAnsi="Arial"/>
          <w:sz w:val="18"/>
          <w:szCs w:val="18"/>
          <w:i w:val="1"/>
          <w:iCs w:val="1"/>
          <w:color w:val="auto"/>
        </w:rPr>
      </w:pPr>
    </w:p>
    <w:p>
      <w:pPr>
        <w:ind w:left="1060" w:right="32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diversify our sources of revenues, including selling additional solutions to our existing customers and our ability to pursue new customers;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the effects of increased competition in our market;</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ability to innovate and enhance our cloud solutions and platform and introduce new solutions;</w:t>
      </w:r>
    </w:p>
    <w:p>
      <w:pPr>
        <w:spacing w:after="0" w:line="9" w:lineRule="exact"/>
        <w:rPr>
          <w:rFonts w:ascii="Arial" w:cs="Arial" w:eastAsia="Arial" w:hAnsi="Arial"/>
          <w:sz w:val="18"/>
          <w:szCs w:val="18"/>
          <w:i w:val="1"/>
          <w:iCs w:val="1"/>
          <w:color w:val="231F20"/>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effectively manage our growth;</w:t>
      </w:r>
    </w:p>
    <w:p>
      <w:pPr>
        <w:spacing w:after="0" w:line="9" w:lineRule="exact"/>
        <w:rPr>
          <w:rFonts w:ascii="Arial" w:cs="Arial" w:eastAsia="Arial" w:hAnsi="Arial"/>
          <w:sz w:val="18"/>
          <w:szCs w:val="18"/>
          <w:i w:val="1"/>
          <w:iCs w:val="1"/>
          <w:color w:val="auto"/>
        </w:rPr>
      </w:pPr>
    </w:p>
    <w:p>
      <w:pPr>
        <w:ind w:left="1060" w:right="680" w:hanging="323"/>
        <w:spacing w:after="0" w:line="250"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anticipated investments in sales and marketing, our infrastructure, new solutions, and research and development, and acquisitions;</w:t>
      </w: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1060" w:hanging="323"/>
        <w:spacing w:after="0"/>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1060" w:right="20" w:hanging="323"/>
        <w:spacing w:after="0" w:line="250" w:lineRule="auto"/>
        <w:tabs>
          <w:tab w:leader="none" w:pos="1060" w:val="left"/>
        </w:tabs>
        <w:numPr>
          <w:ilvl w:val="0"/>
          <w:numId w:val="3"/>
        </w:numPr>
        <w:rPr>
          <w:rFonts w:ascii="Arial" w:cs="Arial" w:eastAsia="Arial" w:hAnsi="Arial"/>
          <w:sz w:val="18"/>
          <w:szCs w:val="18"/>
          <w:i w:val="1"/>
          <w:iCs w:val="1"/>
          <w:color w:val="231F20"/>
        </w:rPr>
      </w:pPr>
      <w:r>
        <w:rPr>
          <w:rFonts w:ascii="Arial" w:cs="Arial" w:eastAsia="Arial" w:hAnsi="Arial"/>
          <w:sz w:val="18"/>
          <w:szCs w:val="18"/>
          <w:i w:val="1"/>
          <w:iCs w:val="1"/>
          <w:color w:val="231F20"/>
        </w:rPr>
        <w:t>our expectations, assumptions and conclusions related to our provision for income taxes, our deferred tax assets and our effective tax rate; and</w:t>
      </w:r>
    </w:p>
    <w:p>
      <w:pPr>
        <w:ind w:left="1060" w:right="920" w:hanging="323"/>
        <w:spacing w:after="0" w:line="262" w:lineRule="auto"/>
        <w:tabs>
          <w:tab w:leader="none" w:pos="10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231F20"/>
        </w:rPr>
        <w:t>other factors discussed in this Quarterly Report on Form 10-Q in the sections titled “Risk Factors” and “Management's Discussion and Analysis of Financial Condition and Results of Operations.”</w:t>
      </w:r>
    </w:p>
    <w:p>
      <w:pPr>
        <w:spacing w:after="0" w:line="17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i w:val="1"/>
          <w:iCs w:val="1"/>
          <w:color w:val="231F20"/>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and those discussed in other documents we file with the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09"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247"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auto"/>
        </w:rPr>
        <w:t>We are a pioneer and leading provider of cloud-based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 Cloud Platform enables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 Cloud Platform to cost-effectively obtain a unified view of their security and compliance posture across globally-distributed IT infrastructures.</w:t>
      </w:r>
    </w:p>
    <w:p>
      <w:pPr>
        <w:spacing w:after="0" w:line="213" w:lineRule="exact"/>
        <w:rPr>
          <w:sz w:val="20"/>
          <w:szCs w:val="20"/>
          <w:color w:val="auto"/>
        </w:rPr>
      </w:pPr>
    </w:p>
    <w:p>
      <w:pPr>
        <w:ind w:right="140" w:firstLine="392"/>
        <w:spacing w:after="0" w:line="251" w:lineRule="auto"/>
        <w:rPr>
          <w:sz w:val="20"/>
          <w:szCs w:val="20"/>
          <w:color w:val="auto"/>
        </w:rPr>
      </w:pPr>
      <w:r>
        <w:rPr>
          <w:rFonts w:ascii="Arial" w:cs="Arial" w:eastAsia="Arial" w:hAnsi="Arial"/>
          <w:sz w:val="18"/>
          <w:szCs w:val="18"/>
          <w:color w:val="auto"/>
        </w:rPr>
        <w:t>IT infrastructures are more complex and more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In this environment, new and evolving technologies intended to improve organizations’ operations can also increase vulnerability to cyber 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security and compliance solutions.</w:t>
      </w:r>
    </w:p>
    <w:p>
      <w:pPr>
        <w:spacing w:after="0" w:line="213" w:lineRule="exact"/>
        <w:rPr>
          <w:sz w:val="20"/>
          <w:szCs w:val="20"/>
          <w:color w:val="auto"/>
        </w:rPr>
      </w:pPr>
    </w:p>
    <w:p>
      <w:pPr>
        <w:ind w:right="40" w:firstLine="392"/>
        <w:spacing w:after="0" w:line="252" w:lineRule="auto"/>
        <w:rPr>
          <w:sz w:val="20"/>
          <w:szCs w:val="20"/>
          <w:color w:val="auto"/>
        </w:rPr>
      </w:pPr>
      <w:r>
        <w:rPr>
          <w:rFonts w:ascii="Arial" w:cs="Arial" w:eastAsia="Arial" w:hAnsi="Arial"/>
          <w:sz w:val="18"/>
          <w:szCs w:val="18"/>
          <w:color w:val="auto"/>
        </w:rPr>
        <w:t>We designed our Qualys Cloud Platform to transform the way organizations secure and protect their IT infrastructures and applications. Our cloud platform offers an integrated suite of solutions that automates the lifecycle of asset discovery, security assessments, and compliance management for an organization’s IT infrastructure and assets, whether they reside inside the organization, on their network perimeter, on endpoints or in the cloud. Our solutions are designed to be delivered through the cloud and to be easily and rapidly deployed on a global scale across a broad range of industries, enabling faster implementation and lower total cost of ownership than traditional on-premise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207" w:lineRule="exact"/>
        <w:rPr>
          <w:sz w:val="20"/>
          <w:szCs w:val="20"/>
          <w:color w:val="auto"/>
        </w:rPr>
      </w:pPr>
    </w:p>
    <w:p>
      <w:pPr>
        <w:ind w:right="40" w:firstLine="392"/>
        <w:spacing w:after="0" w:line="256" w:lineRule="auto"/>
        <w:rPr>
          <w:sz w:val="20"/>
          <w:szCs w:val="20"/>
          <w:color w:val="auto"/>
        </w:rPr>
      </w:pPr>
      <w:r>
        <w:rPr>
          <w:rFonts w:ascii="Arial" w:cs="Arial" w:eastAsia="Arial" w:hAnsi="Arial"/>
          <w:sz w:val="18"/>
          <w:szCs w:val="18"/>
          <w:color w:val="231F20"/>
        </w:rPr>
        <w:t>We were founded and incorporated in December 1999 with a vision of transforming the way organizations secure and protect their IT infrastructure and applications and initially launched our first cloud solution, Qualys Vulnerability Management (VM), in 2000. Our VM Solutions have provided a substantial majority of our revenues to date, representing 75% for the nine months ended September 30, 2017.</w:t>
      </w:r>
    </w:p>
    <w:p>
      <w:pPr>
        <w:spacing w:after="0" w:line="202" w:lineRule="exact"/>
        <w:rPr>
          <w:sz w:val="20"/>
          <w:szCs w:val="20"/>
          <w:color w:val="auto"/>
        </w:rPr>
      </w:pPr>
    </w:p>
    <w:p>
      <w:pPr>
        <w:ind w:right="140" w:firstLine="392"/>
        <w:spacing w:after="0" w:line="253" w:lineRule="auto"/>
        <w:rPr>
          <w:sz w:val="20"/>
          <w:szCs w:val="20"/>
          <w:color w:val="auto"/>
        </w:rPr>
      </w:pPr>
      <w:r>
        <w:rPr>
          <w:rFonts w:ascii="Arial" w:cs="Arial" w:eastAsia="Arial" w:hAnsi="Arial"/>
          <w:sz w:val="18"/>
          <w:szCs w:val="18"/>
          <w:color w:val="231F20"/>
        </w:rPr>
        <w:t>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We continue to experience significant revenue growth from existing customers as they renew and purchase additional subscriptions.</w:t>
      </w:r>
    </w:p>
    <w:p>
      <w:pPr>
        <w:spacing w:after="0" w:line="206" w:lineRule="exact"/>
        <w:rPr>
          <w:sz w:val="20"/>
          <w:szCs w:val="20"/>
          <w:color w:val="auto"/>
        </w:rPr>
      </w:pPr>
    </w:p>
    <w:p>
      <w:pPr>
        <w:ind w:right="100" w:firstLine="405"/>
        <w:spacing w:after="0" w:line="262" w:lineRule="auto"/>
        <w:rPr>
          <w:sz w:val="20"/>
          <w:szCs w:val="20"/>
          <w:color w:val="auto"/>
        </w:rPr>
      </w:pPr>
      <w:r>
        <w:rPr>
          <w:rFonts w:ascii="Arial" w:cs="Arial" w:eastAsia="Arial" w:hAnsi="Arial"/>
          <w:sz w:val="18"/>
          <w:szCs w:val="18"/>
          <w:color w:val="231F20"/>
        </w:rPr>
        <w:t>Our revenues increased to $167.9 million in the nine months ended September 30, 2017 from $145.7 million for the comparable period in 2016, representing an increase of $22.2 million or 15%.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1" w:right="2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Key Metrics</w:t>
      </w:r>
    </w:p>
    <w:p>
      <w:pPr>
        <w:spacing w:after="0" w:line="247" w:lineRule="exact"/>
        <w:rPr>
          <w:sz w:val="20"/>
          <w:szCs w:val="20"/>
          <w:color w:val="auto"/>
        </w:rPr>
      </w:pPr>
    </w:p>
    <w:p>
      <w:pPr>
        <w:ind w:left="180"/>
        <w:spacing w:after="0" w:line="256"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2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6"/>
          </w:tcPr>
          <w:p>
            <w:pPr>
              <w:jc w:val="center"/>
              <w:ind w:right="29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20" w:type="dxa"/>
            <w:vAlign w:val="bottom"/>
            <w:gridSpan w:val="5"/>
          </w:tcPr>
          <w:p>
            <w:pPr>
              <w:jc w:val="center"/>
              <w:ind w:right="54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20" w:type="dxa"/>
            <w:vAlign w:val="bottom"/>
            <w:gridSpan w:val="5"/>
          </w:tcPr>
          <w:p>
            <w:pPr>
              <w:jc w:val="center"/>
              <w:ind w:left="47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Pr>
          <w:p>
            <w:pPr>
              <w:spacing w:after="0"/>
              <w:rPr>
                <w:sz w:val="24"/>
                <w:szCs w:val="24"/>
                <w:color w:val="auto"/>
              </w:rPr>
            </w:pPr>
          </w:p>
        </w:tc>
      </w:tr>
      <w:tr>
        <w:trPr>
          <w:trHeight w:val="264"/>
        </w:trPr>
        <w:tc>
          <w:tcPr>
            <w:tcW w:w="488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c>
          <w:tcPr>
            <w:tcW w:w="220" w:type="dxa"/>
            <w:vAlign w:val="bottom"/>
            <w:tcBorders>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95"/>
              </w:rPr>
              <w:t>2016</w:t>
            </w:r>
          </w:p>
        </w:tc>
      </w:tr>
      <w:tr>
        <w:trPr>
          <w:trHeight w:val="247"/>
        </w:trPr>
        <w:tc>
          <w:tcPr>
            <w:tcW w:w="4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160" w:type="dxa"/>
            <w:vAlign w:val="bottom"/>
            <w:gridSpan w:val="7"/>
          </w:tcPr>
          <w:p>
            <w:pPr>
              <w:ind w:left="80"/>
              <w:spacing w:after="0"/>
              <w:rPr>
                <w:sz w:val="20"/>
                <w:szCs w:val="20"/>
                <w:color w:val="auto"/>
              </w:rPr>
            </w:pPr>
            <w:r>
              <w:rPr>
                <w:rFonts w:ascii="Arial" w:cs="Arial" w:eastAsia="Arial" w:hAnsi="Arial"/>
                <w:sz w:val="16"/>
                <w:szCs w:val="16"/>
                <w:b w:val="1"/>
                <w:bCs w:val="1"/>
                <w:color w:val="auto"/>
              </w:rPr>
              <w:t>(in thousands, except percentages)</w:t>
            </w: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63"/>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23,863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17,626</w:t>
            </w:r>
          </w:p>
        </w:tc>
        <w:tc>
          <w:tcPr>
            <w:tcW w:w="2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61,090</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49,498</w:t>
            </w:r>
          </w:p>
        </w:tc>
      </w:tr>
      <w:tr>
        <w:trPr>
          <w:trHeight w:val="20"/>
        </w:trPr>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0"/>
        </w:trPr>
        <w:tc>
          <w:tcPr>
            <w:tcW w:w="48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r>
      <w:tr>
        <w:trPr>
          <w:trHeight w:val="386"/>
        </w:trPr>
        <w:tc>
          <w:tcPr>
            <w:tcW w:w="4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60" w:type="dxa"/>
            <w:vAlign w:val="bottom"/>
            <w:gridSpan w:val="6"/>
          </w:tcPr>
          <w:p>
            <w:pPr>
              <w:jc w:val="center"/>
              <w:ind w:right="19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left="55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4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4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20" w:type="dxa"/>
            <w:vAlign w:val="bottom"/>
            <w:gridSpan w:val="5"/>
          </w:tcPr>
          <w:p>
            <w:pPr>
              <w:jc w:val="center"/>
              <w:ind w:left="61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63"/>
        </w:trPr>
        <w:tc>
          <w:tcPr>
            <w:tcW w:w="4880" w:type="dxa"/>
            <w:vAlign w:val="bottom"/>
            <w:shd w:val="clear" w:color="auto" w:fill="CCEEFF"/>
          </w:tcPr>
          <w:p>
            <w:pPr>
              <w:ind w:left="40"/>
              <w:spacing w:after="0"/>
              <w:rPr>
                <w:sz w:val="20"/>
                <w:szCs w:val="20"/>
                <w:color w:val="auto"/>
              </w:rPr>
            </w:pPr>
            <w:r>
              <w:rPr>
                <w:rFonts w:ascii="Arial" w:cs="Arial" w:eastAsia="Arial" w:hAnsi="Arial"/>
                <w:sz w:val="16"/>
                <w:szCs w:val="16"/>
                <w:color w:val="auto"/>
              </w:rPr>
              <w:t>Free cash flow</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55,167</w:t>
            </w:r>
          </w:p>
        </w:tc>
        <w:tc>
          <w:tcPr>
            <w:tcW w:w="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35,895</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Adjusted EBITDA</w:t>
      </w:r>
    </w:p>
    <w:p>
      <w:pPr>
        <w:spacing w:after="0" w:line="24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209"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(5) stock-based compensation and (6) other non-recurring adjustments.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unaudited table presents the reconciliation of net income to Adjusted EBITDA for the three and nine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and 2016:</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8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8"/>
                <w:szCs w:val="18"/>
                <w:color w:val="auto"/>
              </w:rPr>
            </w:pPr>
          </w:p>
        </w:tc>
        <w:tc>
          <w:tcPr>
            <w:tcW w:w="24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2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5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5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8,452</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4,996</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37,584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13,317</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(671)</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3,068</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3,221</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8,417</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5,098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4,426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14,662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12,035</w:t>
            </w:r>
          </w:p>
        </w:tc>
      </w:tr>
      <w:tr>
        <w:trPr>
          <w:trHeight w:val="28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329</w:t>
            </w:r>
          </w:p>
        </w:tc>
      </w:tr>
      <w:tr>
        <w:trPr>
          <w:trHeight w:val="260"/>
        </w:trPr>
        <w:tc>
          <w:tcPr>
            <w:tcW w:w="526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7,743</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5,103</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18,522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15,122</w:t>
            </w:r>
          </w:p>
        </w:tc>
      </w:tr>
      <w:tr>
        <w:trPr>
          <w:trHeight w:val="273"/>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One-time tax related expense</w:t>
            </w:r>
          </w:p>
        </w:tc>
        <w:tc>
          <w:tcPr>
            <w:tcW w:w="3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716</w:t>
            </w:r>
          </w:p>
        </w:tc>
      </w:tr>
      <w:tr>
        <w:trPr>
          <w:trHeight w:val="243"/>
        </w:trPr>
        <w:tc>
          <w:tcPr>
            <w:tcW w:w="5260" w:type="dxa"/>
            <w:vAlign w:val="bottom"/>
          </w:tcPr>
          <w:p>
            <w:pPr>
              <w:ind w:left="40"/>
              <w:spacing w:after="0"/>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23,863</w:t>
            </w:r>
          </w:p>
        </w:tc>
        <w:tc>
          <w:tcPr>
            <w:tcW w:w="12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17,626</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61,090</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49,498</w:t>
            </w:r>
          </w:p>
        </w:tc>
      </w:tr>
      <w:tr>
        <w:trPr>
          <w:trHeight w:val="20"/>
        </w:trPr>
        <w:tc>
          <w:tcPr>
            <w:tcW w:w="5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right="20" w:firstLine="8"/>
        <w:spacing w:after="0" w:line="250" w:lineRule="auto"/>
        <w:tabs>
          <w:tab w:leader="none" w:pos="216" w:val="left"/>
        </w:tabs>
        <w:numPr>
          <w:ilvl w:val="0"/>
          <w:numId w:val="4"/>
        </w:numPr>
        <w:rPr>
          <w:rFonts w:ascii="Arial" w:cs="Arial" w:eastAsia="Arial" w:hAnsi="Arial"/>
          <w:sz w:val="14"/>
          <w:szCs w:val="14"/>
          <w:color w:val="auto"/>
        </w:rPr>
      </w:pPr>
      <w:r>
        <w:rPr>
          <w:rFonts w:ascii="Arial" w:cs="Arial" w:eastAsia="Arial" w:hAnsi="Arial"/>
          <w:sz w:val="14"/>
          <w:szCs w:val="14"/>
          <w:color w:val="auto"/>
        </w:rPr>
        <w:t>Adjusted EBITDA for the nine months ended September 30, 2016 excludes approximately $0.7 million of a non-recurring expense related to the remittance of payroll taxes from fiscal year 2013 through May 2016. During this same period 2017, we have not excluded any amounts related to other non-recurring items from Adjusted EBITDA because we have considered such amounts to be immaterial in any given quarter during such period.</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Free Cash Flow</w:t>
      </w:r>
    </w:p>
    <w:p>
      <w:pPr>
        <w:spacing w:after="0" w:line="247"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We define free cash flow, a non-GAAP measure, as net cash provided by operating activities less purchases of property and equipment and capitalization of software development costs. We monitor free cash flow as a liquidity measure because we believe it provides useful information to management and investors about the amount of cash we generated, that, after the acquisition of property and equipment and capitalized software development costs, can be used for strategic opportunities, including investing in our business, making strategic acquisitions and strengthening the balance sheet. We also believe free cash flow provides an additional tool for investors to use in comparing our recurring core business operating results over multiple periods.</w:t>
      </w:r>
    </w:p>
    <w:p>
      <w:pPr>
        <w:spacing w:after="0" w:line="20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A limitation of using free cash flow as a means for evaluating liquidity is that free cash flow does not represent the total increase or decrease in cash and cash equivalents for the period because it excludes cash provided by or used in other investing and financing activities.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net cash provided by operating activities, the most directly comparable financial measure calculated and presented in accordance with GAAP, is provided below:</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26"/>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center"/>
              <w:ind w:left="523"/>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6"/>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gridSpan w:val="3"/>
          </w:tcPr>
          <w:p>
            <w:pPr>
              <w:jc w:val="center"/>
              <w:ind w:left="583"/>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4"/>
                <w:szCs w:val="14"/>
                <w:color w:val="auto"/>
              </w:rPr>
              <w:t>81,779</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6"/>
              <w:spacing w:after="0"/>
              <w:rPr>
                <w:sz w:val="20"/>
                <w:szCs w:val="20"/>
                <w:color w:val="auto"/>
              </w:rPr>
            </w:pPr>
            <w:r>
              <w:rPr>
                <w:rFonts w:ascii="Arial" w:cs="Arial" w:eastAsia="Arial" w:hAnsi="Arial"/>
                <w:sz w:val="14"/>
                <w:szCs w:val="14"/>
                <w:color w:val="auto"/>
              </w:rPr>
              <w:t>54,704</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Less: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0"/>
        </w:trPr>
        <w:tc>
          <w:tcPr>
            <w:tcW w:w="8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and equipment</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4"/>
                <w:szCs w:val="14"/>
                <w:color w:val="auto"/>
              </w:rPr>
              <w:t>(26,612)</w:t>
            </w: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(18,809)</w:t>
            </w:r>
          </w:p>
        </w:tc>
      </w:tr>
      <w:tr>
        <w:trPr>
          <w:trHeight w:val="243"/>
        </w:trPr>
        <w:tc>
          <w:tcPr>
            <w:tcW w:w="8340" w:type="dxa"/>
            <w:vAlign w:val="bottom"/>
          </w:tcPr>
          <w:p>
            <w:pPr>
              <w:ind w:left="40"/>
              <w:spacing w:after="0"/>
              <w:rPr>
                <w:sz w:val="20"/>
                <w:szCs w:val="20"/>
                <w:color w:val="auto"/>
              </w:rPr>
            </w:pPr>
            <w:r>
              <w:rPr>
                <w:rFonts w:ascii="Arial" w:cs="Arial" w:eastAsia="Arial" w:hAnsi="Arial"/>
                <w:sz w:val="14"/>
                <w:szCs w:val="14"/>
                <w:color w:val="auto"/>
              </w:rPr>
              <w:t>Free cash flow</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color w:val="auto"/>
              </w:rPr>
              <w:t>55,167</w:t>
            </w:r>
          </w:p>
        </w:tc>
        <w:tc>
          <w:tcPr>
            <w:tcW w:w="120" w:type="dxa"/>
            <w:vAlign w:val="bottom"/>
          </w:tcPr>
          <w:p>
            <w:pPr>
              <w:spacing w:after="0"/>
              <w:rPr>
                <w:sz w:val="21"/>
                <w:szCs w:val="21"/>
                <w:color w:val="auto"/>
              </w:rPr>
            </w:pPr>
          </w:p>
        </w:tc>
        <w:tc>
          <w:tcPr>
            <w:tcW w:w="5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color w:val="auto"/>
              </w:rPr>
              <w:t>35,895</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Adjusted EBITDA and Free Cash Flow</w:t>
      </w:r>
    </w:p>
    <w:p>
      <w:pPr>
        <w:spacing w:after="0" w:line="288"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color w:val="auto"/>
        </w:rPr>
        <w:t>Adjusted EBITDA and free cash flow, non-GAAP financial measures, have limitations as analytical tools, and should not be considered in isolation from or as a substitute for the measures presented in accordance with U.S. GAAP. Some of these limitations are:</w:t>
      </w:r>
    </w:p>
    <w:p>
      <w:pPr>
        <w:spacing w:after="0" w:line="19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although these are non-cash charges, the assets being depreciated and amortized may have to be replaced in the future;</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Free cash flow does not represent the total increase or decrease in the cash and cash equivalents for the period; and</w:t>
      </w:r>
    </w:p>
    <w:p>
      <w:pPr>
        <w:spacing w:after="0" w:line="9"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and free cash flow differently or not at all, which reduces their usefulness as a comparative measure.</w:t>
      </w:r>
    </w:p>
    <w:p>
      <w:pPr>
        <w:spacing w:after="0" w:line="196" w:lineRule="exact"/>
        <w:rPr>
          <w:sz w:val="20"/>
          <w:szCs w:val="20"/>
          <w:color w:val="auto"/>
        </w:rPr>
      </w:pPr>
    </w:p>
    <w:p>
      <w:pPr>
        <w:ind w:right="60" w:firstLine="405"/>
        <w:spacing w:after="0" w:line="291" w:lineRule="auto"/>
        <w:rPr>
          <w:sz w:val="20"/>
          <w:szCs w:val="20"/>
          <w:color w:val="auto"/>
        </w:rPr>
      </w:pPr>
      <w:r>
        <w:rPr>
          <w:rFonts w:ascii="Arial" w:cs="Arial" w:eastAsia="Arial" w:hAnsi="Arial"/>
          <w:sz w:val="17"/>
          <w:szCs w:val="17"/>
          <w:color w:val="auto"/>
        </w:rPr>
        <w:t>Because of these limitations, Adjusted EBITDA and free cash flow should be considered alongside other financial performance measures, including revenues, net income, cash flows from operating activities and our financial results presented in accordance with U.S. GAAP.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85"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Subscriptions to our solutions allow customers to access our cloud-based security and compliance solutions through a unified, web-based interface. Customers generally enter into one 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limited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321" w:lineRule="exact"/>
        <w:rPr>
          <w:sz w:val="20"/>
          <w:szCs w:val="20"/>
          <w:color w:val="auto"/>
        </w:rPr>
      </w:pPr>
    </w:p>
    <w:p>
      <w:pPr>
        <w:jc w:val="both"/>
        <w:ind w:right="6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7"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auto"/>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and computer hardware provided to certain customers as part of their subscriptions, expenses related to the use of third-party data centers, amortization of third-party technology licensing fees and related maintenance support, fees paid to contractors who supplement or support our operations center personnel, amortization of intangible assets related to acquisitions and allocation of overhead costs. We expect to continue to make capital investments to expand and support our data center operations, which will increase the cost of revenues in absolute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Research and Development</w:t>
      </w:r>
    </w:p>
    <w:p>
      <w:pPr>
        <w:spacing w:after="0" w:line="243" w:lineRule="exact"/>
        <w:rPr>
          <w:sz w:val="20"/>
          <w:szCs w:val="20"/>
          <w:color w:val="auto"/>
        </w:rPr>
      </w:pPr>
    </w:p>
    <w:p>
      <w:pPr>
        <w:ind w:right="160" w:firstLine="486"/>
        <w:spacing w:after="0" w:line="271" w:lineRule="auto"/>
        <w:rPr>
          <w:sz w:val="20"/>
          <w:szCs w:val="20"/>
          <w:color w:val="auto"/>
        </w:rPr>
      </w:pPr>
      <w:r>
        <w:rPr>
          <w:rFonts w:ascii="Arial" w:cs="Arial" w:eastAsia="Arial" w:hAnsi="Arial"/>
          <w:sz w:val="17"/>
          <w:szCs w:val="17"/>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allocation of overhead costs. All research and development costs are expensed as incurred. We expect to continue to devote substantial resources to research and development in an effort to continuously improve our existing solutions as well as develop new solutions and capabilities, which will increase research and development expenses in absolute dollars.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Sales and Marketing</w:t>
      </w:r>
    </w:p>
    <w:p>
      <w:pPr>
        <w:spacing w:after="0" w:line="24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 and maintenance costs for sales-related software, and allocation of overhead costs.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231F20"/>
        </w:rPr>
        <w:t>General and Administrative</w:t>
      </w:r>
    </w:p>
    <w:p>
      <w:pPr>
        <w:spacing w:after="0" w:line="243"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and human resources support teams, as well as professional services, insurance, fees, and allocation of overhead costs. We expect that general and administrative expenses will increase in absolute dollars, as we continue to add personnel and incur professional services to support our growth and compliance with legal requirements.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247" w:lineRule="exact"/>
        <w:rPr>
          <w:sz w:val="20"/>
          <w:szCs w:val="20"/>
          <w:color w:val="auto"/>
        </w:rPr>
      </w:pPr>
    </w:p>
    <w:p>
      <w:pPr>
        <w:ind w:right="360" w:firstLine="486"/>
        <w:spacing w:after="0" w:line="256" w:lineRule="auto"/>
        <w:rPr>
          <w:sz w:val="20"/>
          <w:szCs w:val="20"/>
          <w:color w:val="auto"/>
        </w:rPr>
      </w:pPr>
      <w:r>
        <w:rPr>
          <w:rFonts w:ascii="Arial" w:cs="Arial" w:eastAsia="Arial" w:hAnsi="Arial"/>
          <w:sz w:val="18"/>
          <w:szCs w:val="18"/>
          <w:color w:val="231F20"/>
        </w:rPr>
        <w:t>Our other income (expense), net consists primarily of interest and investment income from our short-term and long-term investments; foreign exchange gains and losses, the majority of which result from fluctuations between the U.S. dollar and the Euro, British Pound and Indian Rupee; and losses on disposal of property and equipment.</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We are subject to federal, state and foreign income taxes for jurisdictions in which we operate, and we use estimates in determining our provision for these income taxes and deferred tax assets. Earnings from our non-U.S. activities are subject to income taxes in the local country which are generally lower than U.S. tax rates, and may be subject to U.S. income taxes. Our effective rates differ from the U.S. statutory rate primarily due to foreign income subject to different tax rates than the U.S., research and development tax credits, deductible and non-deductible stock-based compensation expense and other adjustments.</w:t>
      </w:r>
    </w:p>
    <w:p>
      <w:pPr>
        <w:spacing w:after="0" w:line="206"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231F20"/>
        </w:rPr>
        <w:t>liabilities of a change in tax rates is recognized in income in the period when the statutory rate change is enacted into law.</w:t>
      </w:r>
    </w:p>
    <w:p>
      <w:pPr>
        <w:spacing w:after="0" w:line="225"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231F20"/>
        </w:rPr>
        <w:t>We assess the likelihood that deferred tax assets will be realized, and we recognize a valuation allowance if it is more likely than not that some portion of the deferred tax assets will not be recognized. This assessment requires judgment as to the likelihood and amounts of future taxable income.</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Taxes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We present our revenues net of sales tax in our condensed consolidated statements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00" w:type="dxa"/>
            <w:vAlign w:val="bottom"/>
            <w:gridSpan w:val="8"/>
          </w:tcPr>
          <w:p>
            <w:pPr>
              <w:jc w:val="right"/>
              <w:ind w:right="86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6"/>
          </w:tcPr>
          <w:p>
            <w:pPr>
              <w:jc w:val="right"/>
              <w:ind w:right="6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81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gridSpan w:val="5"/>
          </w:tcPr>
          <w:p>
            <w:pPr>
              <w:jc w:val="right"/>
              <w:ind w:right="20"/>
              <w:spacing w:after="0"/>
              <w:rPr>
                <w:sz w:val="20"/>
                <w:szCs w:val="20"/>
                <w:color w:val="auto"/>
              </w:rPr>
            </w:pPr>
            <w:r>
              <w:rPr>
                <w:rFonts w:ascii="Arial" w:cs="Arial" w:eastAsia="Arial" w:hAnsi="Arial"/>
                <w:sz w:val="16"/>
                <w:szCs w:val="16"/>
                <w:b w:val="1"/>
                <w:bCs w:val="1"/>
                <w:color w:val="auto"/>
              </w:rPr>
              <w:t>(in thousands)</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Condensed Consolidated Statements of Operations data:</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231F20"/>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31F20"/>
              </w:rPr>
              <w:t>59,490</w:t>
            </w: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231F20"/>
              </w:rPr>
              <w:t>$</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50,987</w:t>
            </w:r>
          </w:p>
        </w:tc>
        <w:tc>
          <w:tcPr>
            <w:tcW w:w="120" w:type="dxa"/>
            <w:vAlign w:val="bottom"/>
          </w:tcPr>
          <w:p>
            <w:pPr>
              <w:spacing w:after="0"/>
              <w:rPr>
                <w:sz w:val="22"/>
                <w:szCs w:val="22"/>
                <w:color w:val="auto"/>
              </w:rPr>
            </w:pPr>
          </w:p>
        </w:tc>
        <w:tc>
          <w:tcPr>
            <w:tcW w:w="160" w:type="dxa"/>
            <w:vAlign w:val="bottom"/>
            <w:gridSpan w:val="2"/>
          </w:tcPr>
          <w:p>
            <w:pPr>
              <w:jc w:val="center"/>
              <w:ind w:right="20"/>
              <w:spacing w:after="0"/>
              <w:rPr>
                <w:sz w:val="20"/>
                <w:szCs w:val="20"/>
                <w:color w:val="auto"/>
              </w:rPr>
            </w:pPr>
            <w:r>
              <w:rPr>
                <w:rFonts w:ascii="Arial" w:cs="Arial" w:eastAsia="Arial" w:hAnsi="Arial"/>
                <w:sz w:val="16"/>
                <w:szCs w:val="16"/>
                <w:color w:val="231F20"/>
              </w:rPr>
              <w:t>$</w:t>
            </w:r>
          </w:p>
        </w:tc>
        <w:tc>
          <w:tcPr>
            <w:tcW w:w="3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167,913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gridSpan w:val="2"/>
          </w:tcPr>
          <w:p>
            <w:pPr>
              <w:jc w:val="center"/>
              <w:ind w:right="220"/>
              <w:spacing w:after="0"/>
              <w:rPr>
                <w:sz w:val="20"/>
                <w:szCs w:val="20"/>
                <w:color w:val="auto"/>
              </w:rPr>
            </w:pPr>
            <w:r>
              <w:rPr>
                <w:rFonts w:ascii="Arial" w:cs="Arial" w:eastAsia="Arial" w:hAnsi="Arial"/>
                <w:sz w:val="16"/>
                <w:szCs w:val="16"/>
                <w:color w:val="231F20"/>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145,701</w:t>
            </w:r>
          </w:p>
        </w:tc>
        <w:tc>
          <w:tcPr>
            <w:tcW w:w="0" w:type="dxa"/>
            <w:vAlign w:val="bottom"/>
          </w:tcPr>
          <w:p>
            <w:pPr>
              <w:spacing w:after="0"/>
              <w:rPr>
                <w:sz w:val="1"/>
                <w:szCs w:val="1"/>
                <w:color w:val="auto"/>
              </w:rPr>
            </w:pPr>
          </w:p>
        </w:tc>
      </w:tr>
      <w:tr>
        <w:trPr>
          <w:trHeight w:val="28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 (2)</w:t>
            </w:r>
          </w:p>
        </w:tc>
        <w:tc>
          <w:tcPr>
            <w:tcW w:w="360" w:type="dxa"/>
            <w:vAlign w:val="bottom"/>
            <w:tcBorders>
              <w:bottom w:val="single" w:sz="8" w:color="231F20"/>
            </w:tcBorders>
            <w:shd w:val="clear" w:color="auto" w:fill="CCEEFF"/>
          </w:tcPr>
          <w:p>
            <w:pPr>
              <w:spacing w:after="0"/>
              <w:rPr>
                <w:sz w:val="24"/>
                <w:szCs w:val="24"/>
                <w:color w:val="auto"/>
              </w:rPr>
            </w:pPr>
          </w:p>
        </w:tc>
        <w:tc>
          <w:tcPr>
            <w:tcW w:w="160" w:type="dxa"/>
            <w:vAlign w:val="bottom"/>
            <w:tcBorders>
              <w:bottom w:val="single" w:sz="8" w:color="231F20"/>
            </w:tcBorders>
            <w:shd w:val="clear" w:color="auto" w:fill="CCEEFF"/>
          </w:tcPr>
          <w:p>
            <w:pPr>
              <w:spacing w:after="0"/>
              <w:rPr>
                <w:sz w:val="24"/>
                <w:szCs w:val="24"/>
                <w:color w:val="auto"/>
              </w:rPr>
            </w:pPr>
          </w:p>
        </w:tc>
        <w:tc>
          <w:tcPr>
            <w:tcW w:w="8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12,728</w:t>
            </w:r>
          </w:p>
        </w:tc>
        <w:tc>
          <w:tcPr>
            <w:tcW w:w="120" w:type="dxa"/>
            <w:vAlign w:val="bottom"/>
            <w:tcBorders>
              <w:bottom w:val="single" w:sz="8" w:color="231F20"/>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28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11,465</w:t>
            </w:r>
          </w:p>
        </w:tc>
        <w:tc>
          <w:tcPr>
            <w:tcW w:w="120" w:type="dxa"/>
            <w:vAlign w:val="bottom"/>
            <w:shd w:val="clear" w:color="auto" w:fill="CCEEFF"/>
          </w:tcPr>
          <w:p>
            <w:pPr>
              <w:spacing w:after="0"/>
              <w:rPr>
                <w:sz w:val="24"/>
                <w:szCs w:val="24"/>
                <w:color w:val="auto"/>
              </w:rPr>
            </w:pPr>
          </w:p>
        </w:tc>
        <w:tc>
          <w:tcPr>
            <w:tcW w:w="4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300" w:type="dxa"/>
            <w:vAlign w:val="bottom"/>
            <w:tcBorders>
              <w:bottom w:val="single" w:sz="8" w:color="231F20"/>
            </w:tcBorders>
            <w:shd w:val="clear" w:color="auto" w:fill="CCEEFF"/>
          </w:tcPr>
          <w:p>
            <w:pPr>
              <w:spacing w:after="0"/>
              <w:rPr>
                <w:sz w:val="24"/>
                <w:szCs w:val="24"/>
                <w:color w:val="auto"/>
              </w:rPr>
            </w:pPr>
          </w:p>
        </w:tc>
        <w:tc>
          <w:tcPr>
            <w:tcW w:w="90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37,175</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tcBorders>
              <w:bottom w:val="single" w:sz="8" w:color="231F20"/>
            </w:tcBorders>
            <w:shd w:val="clear" w:color="auto" w:fill="CCEEFF"/>
          </w:tcPr>
          <w:p>
            <w:pPr>
              <w:spacing w:after="0"/>
              <w:rPr>
                <w:sz w:val="24"/>
                <w:szCs w:val="24"/>
                <w:color w:val="auto"/>
              </w:rPr>
            </w:pPr>
          </w:p>
        </w:tc>
        <w:tc>
          <w:tcPr>
            <w:tcW w:w="300" w:type="dxa"/>
            <w:vAlign w:val="bottom"/>
            <w:tcBorders>
              <w:bottom w:val="single" w:sz="8" w:color="231F20"/>
            </w:tcBorders>
            <w:shd w:val="clear" w:color="auto" w:fill="CCEEFF"/>
          </w:tcPr>
          <w:p>
            <w:pPr>
              <w:spacing w:after="0"/>
              <w:rPr>
                <w:sz w:val="24"/>
                <w:szCs w:val="24"/>
                <w:color w:val="auto"/>
              </w:rPr>
            </w:pPr>
          </w:p>
        </w:tc>
        <w:tc>
          <w:tcPr>
            <w:tcW w:w="110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31,276</w:t>
            </w: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5060" w:type="dxa"/>
            <w:vAlign w:val="bottom"/>
            <w:gridSpan w:val="2"/>
          </w:tcPr>
          <w:p>
            <w:pPr>
              <w:ind w:left="80"/>
              <w:spacing w:after="0"/>
              <w:rPr>
                <w:sz w:val="20"/>
                <w:szCs w:val="20"/>
                <w:color w:val="auto"/>
              </w:rPr>
            </w:pPr>
            <w:r>
              <w:rPr>
                <w:rFonts w:ascii="Arial" w:cs="Arial" w:eastAsia="Arial" w:hAnsi="Arial"/>
                <w:sz w:val="16"/>
                <w:szCs w:val="16"/>
                <w:color w:val="auto"/>
              </w:rPr>
              <w:t>Gross profit</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46,762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39,522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130,738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114,425</w:t>
            </w:r>
          </w:p>
        </w:tc>
        <w:tc>
          <w:tcPr>
            <w:tcW w:w="0" w:type="dxa"/>
            <w:vAlign w:val="bottom"/>
          </w:tcPr>
          <w:p>
            <w:pPr>
              <w:spacing w:after="0"/>
              <w:rPr>
                <w:sz w:val="1"/>
                <w:szCs w:val="1"/>
                <w:color w:val="auto"/>
              </w:rPr>
            </w:pPr>
          </w:p>
        </w:tc>
      </w:tr>
      <w:tr>
        <w:trPr>
          <w:trHeight w:val="280"/>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5060" w:type="dxa"/>
            <w:vAlign w:val="bottom"/>
            <w:gridSpan w:val="2"/>
          </w:tcPr>
          <w:p>
            <w:pPr>
              <w:ind w:left="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 (2)</w:t>
            </w: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231F20"/>
              </w:rPr>
              <w:t>10,892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231F20"/>
              </w:rPr>
              <w:t>9,756</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231F20"/>
              </w:rPr>
              <w:t>31,240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231F20"/>
              </w:rPr>
              <w:t>27,353</w:t>
            </w:r>
          </w:p>
        </w:tc>
        <w:tc>
          <w:tcPr>
            <w:tcW w:w="0" w:type="dxa"/>
            <w:vAlign w:val="bottom"/>
          </w:tcPr>
          <w:p>
            <w:pPr>
              <w:spacing w:after="0"/>
              <w:rPr>
                <w:sz w:val="1"/>
                <w:szCs w:val="1"/>
                <w:color w:val="auto"/>
              </w:rPr>
            </w:pPr>
          </w:p>
        </w:tc>
      </w:tr>
      <w:tr>
        <w:trPr>
          <w:trHeight w:val="270"/>
        </w:trPr>
        <w:tc>
          <w:tcPr>
            <w:tcW w:w="200" w:type="dxa"/>
            <w:vAlign w:val="bottom"/>
            <w:shd w:val="clear" w:color="auto" w:fill="CCEEFF"/>
          </w:tcPr>
          <w:p>
            <w:pPr>
              <w:spacing w:after="0"/>
              <w:rPr>
                <w:sz w:val="23"/>
                <w:szCs w:val="23"/>
                <w:color w:val="auto"/>
              </w:rPr>
            </w:pPr>
          </w:p>
        </w:tc>
        <w:tc>
          <w:tcPr>
            <w:tcW w:w="506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 (2)</w:t>
            </w:r>
          </w:p>
        </w:tc>
        <w:tc>
          <w:tcPr>
            <w:tcW w:w="3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15,475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14,498</w:t>
            </w:r>
          </w:p>
        </w:tc>
        <w:tc>
          <w:tcPr>
            <w:tcW w:w="1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46,872</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231F20"/>
              </w:rPr>
              <w:t>43,393</w:t>
            </w:r>
          </w:p>
        </w:tc>
        <w:tc>
          <w:tcPr>
            <w:tcW w:w="0" w:type="dxa"/>
            <w:vAlign w:val="bottom"/>
          </w:tcPr>
          <w:p>
            <w:pPr>
              <w:spacing w:after="0"/>
              <w:rPr>
                <w:sz w:val="1"/>
                <w:szCs w:val="1"/>
                <w:color w:val="auto"/>
              </w:rPr>
            </w:pPr>
          </w:p>
        </w:tc>
      </w:tr>
      <w:tr>
        <w:trPr>
          <w:trHeight w:val="270"/>
        </w:trPr>
        <w:tc>
          <w:tcPr>
            <w:tcW w:w="200" w:type="dxa"/>
            <w:vAlign w:val="bottom"/>
            <w:tcBorders>
              <w:bottom w:val="single" w:sz="8" w:color="CCEEFF"/>
            </w:tcBorders>
          </w:tcPr>
          <w:p>
            <w:pPr>
              <w:spacing w:after="0"/>
              <w:rPr>
                <w:sz w:val="23"/>
                <w:szCs w:val="23"/>
                <w:color w:val="auto"/>
              </w:rPr>
            </w:pPr>
          </w:p>
        </w:tc>
        <w:tc>
          <w:tcPr>
            <w:tcW w:w="5060" w:type="dxa"/>
            <w:vAlign w:val="bottom"/>
            <w:tcBorders>
              <w:bottom w:val="single" w:sz="8" w:color="CCEEFF"/>
            </w:tcBorders>
            <w:gridSpan w:val="2"/>
          </w:tcPr>
          <w:p>
            <w:pPr>
              <w:ind w:left="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 (2)</w:t>
            </w:r>
          </w:p>
        </w:tc>
        <w:tc>
          <w:tcPr>
            <w:tcW w:w="360" w:type="dxa"/>
            <w:vAlign w:val="bottom"/>
            <w:tcBorders>
              <w:bottom w:val="single" w:sz="8" w:color="231F20"/>
            </w:tcBorders>
          </w:tcPr>
          <w:p>
            <w:pPr>
              <w:spacing w:after="0"/>
              <w:rPr>
                <w:sz w:val="23"/>
                <w:szCs w:val="23"/>
                <w:color w:val="auto"/>
              </w:rPr>
            </w:pPr>
          </w:p>
        </w:tc>
        <w:tc>
          <w:tcPr>
            <w:tcW w:w="160" w:type="dxa"/>
            <w:vAlign w:val="bottom"/>
            <w:tcBorders>
              <w:bottom w:val="single" w:sz="8" w:color="231F20"/>
            </w:tcBorders>
          </w:tcPr>
          <w:p>
            <w:pPr>
              <w:spacing w:after="0"/>
              <w:rPr>
                <w:sz w:val="23"/>
                <w:szCs w:val="23"/>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9,546</w:t>
            </w:r>
          </w:p>
        </w:tc>
        <w:tc>
          <w:tcPr>
            <w:tcW w:w="120" w:type="dxa"/>
            <w:vAlign w:val="bottom"/>
            <w:tcBorders>
              <w:bottom w:val="single" w:sz="8" w:color="231F20"/>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28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7,281</w:t>
            </w:r>
          </w:p>
        </w:tc>
        <w:tc>
          <w:tcPr>
            <w:tcW w:w="120" w:type="dxa"/>
            <w:vAlign w:val="bottom"/>
            <w:tcBorders>
              <w:bottom w:val="single" w:sz="8" w:color="CCEEFF"/>
            </w:tcBorders>
          </w:tcPr>
          <w:p>
            <w:pPr>
              <w:spacing w:after="0"/>
              <w:rPr>
                <w:sz w:val="23"/>
                <w:szCs w:val="23"/>
                <w:color w:val="auto"/>
              </w:rPr>
            </w:pPr>
          </w:p>
        </w:tc>
        <w:tc>
          <w:tcPr>
            <w:tcW w:w="4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90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25,112</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231F20"/>
            </w:tcBorders>
          </w:tcPr>
          <w:p>
            <w:pPr>
              <w:spacing w:after="0"/>
              <w:rPr>
                <w:sz w:val="23"/>
                <w:szCs w:val="23"/>
                <w:color w:val="auto"/>
              </w:rPr>
            </w:pPr>
          </w:p>
        </w:tc>
        <w:tc>
          <w:tcPr>
            <w:tcW w:w="300" w:type="dxa"/>
            <w:vAlign w:val="bottom"/>
            <w:tcBorders>
              <w:bottom w:val="single" w:sz="8" w:color="231F20"/>
            </w:tcBorders>
          </w:tcPr>
          <w:p>
            <w:pPr>
              <w:spacing w:after="0"/>
              <w:rPr>
                <w:sz w:val="23"/>
                <w:szCs w:val="23"/>
                <w:color w:val="auto"/>
              </w:rPr>
            </w:pPr>
          </w:p>
        </w:tc>
        <w:tc>
          <w:tcPr>
            <w:tcW w:w="1100" w:type="dxa"/>
            <w:vAlign w:val="bottom"/>
            <w:tcBorders>
              <w:bottom w:val="single" w:sz="8" w:color="231F20"/>
            </w:tcBorders>
          </w:tcPr>
          <w:p>
            <w:pPr>
              <w:jc w:val="right"/>
              <w:ind w:right="19"/>
              <w:spacing w:after="0"/>
              <w:rPr>
                <w:sz w:val="20"/>
                <w:szCs w:val="20"/>
                <w:color w:val="auto"/>
              </w:rPr>
            </w:pPr>
            <w:r>
              <w:rPr>
                <w:rFonts w:ascii="Arial" w:cs="Arial" w:eastAsia="Arial" w:hAnsi="Arial"/>
                <w:sz w:val="16"/>
                <w:szCs w:val="16"/>
                <w:color w:val="231F20"/>
              </w:rPr>
              <w:t>22,383</w:t>
            </w:r>
          </w:p>
        </w:tc>
        <w:tc>
          <w:tcPr>
            <w:tcW w:w="0" w:type="dxa"/>
            <w:vAlign w:val="bottom"/>
          </w:tcPr>
          <w:p>
            <w:pPr>
              <w:spacing w:after="0"/>
              <w:rPr>
                <w:sz w:val="1"/>
                <w:szCs w:val="1"/>
                <w:color w:val="auto"/>
              </w:rPr>
            </w:pPr>
          </w:p>
        </w:tc>
      </w:tr>
      <w:tr>
        <w:trPr>
          <w:trHeight w:val="244"/>
        </w:trPr>
        <w:tc>
          <w:tcPr>
            <w:tcW w:w="200" w:type="dxa"/>
            <w:vAlign w:val="bottom"/>
            <w:shd w:val="clear" w:color="auto" w:fill="CCEEFF"/>
          </w:tcPr>
          <w:p>
            <w:pPr>
              <w:spacing w:after="0"/>
              <w:rPr>
                <w:sz w:val="21"/>
                <w:szCs w:val="21"/>
                <w:color w:val="auto"/>
              </w:rPr>
            </w:pPr>
          </w:p>
        </w:tc>
        <w:tc>
          <w:tcPr>
            <w:tcW w:w="50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35,913</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31,535</w:t>
            </w:r>
          </w:p>
        </w:tc>
        <w:tc>
          <w:tcPr>
            <w:tcW w:w="1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103,224</w:t>
            </w: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93,129</w:t>
            </w:r>
          </w:p>
        </w:tc>
        <w:tc>
          <w:tcPr>
            <w:tcW w:w="0" w:type="dxa"/>
            <w:vAlign w:val="bottom"/>
          </w:tcPr>
          <w:p>
            <w:pPr>
              <w:spacing w:after="0"/>
              <w:rPr>
                <w:sz w:val="1"/>
                <w:szCs w:val="1"/>
                <w:color w:val="auto"/>
              </w:rPr>
            </w:pPr>
          </w:p>
        </w:tc>
      </w:tr>
      <w:tr>
        <w:trPr>
          <w:trHeight w:val="26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Income from operations</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7,987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27,514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21,296</w:t>
            </w:r>
          </w:p>
        </w:tc>
        <w:tc>
          <w:tcPr>
            <w:tcW w:w="0" w:type="dxa"/>
            <w:vAlign w:val="bottom"/>
          </w:tcPr>
          <w:p>
            <w:pPr>
              <w:spacing w:after="0"/>
              <w:rPr>
                <w:sz w:val="1"/>
                <w:szCs w:val="1"/>
                <w:color w:val="auto"/>
              </w:rPr>
            </w:pPr>
          </w:p>
        </w:tc>
      </w:tr>
      <w:tr>
        <w:trPr>
          <w:trHeight w:val="273"/>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36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1,484</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c>
          <w:tcPr>
            <w:tcW w:w="0" w:type="dxa"/>
            <w:vAlign w:val="bottom"/>
          </w:tcPr>
          <w:p>
            <w:pPr>
              <w:spacing w:after="0"/>
              <w:rPr>
                <w:sz w:val="1"/>
                <w:szCs w:val="1"/>
                <w:color w:val="auto"/>
              </w:rPr>
            </w:pPr>
          </w:p>
        </w:tc>
      </w:tr>
      <w:tr>
        <w:trPr>
          <w:trHeight w:val="24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8,217</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28,998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21,734</w:t>
            </w:r>
          </w:p>
        </w:tc>
        <w:tc>
          <w:tcPr>
            <w:tcW w:w="0" w:type="dxa"/>
            <w:vAlign w:val="bottom"/>
          </w:tcPr>
          <w:p>
            <w:pPr>
              <w:spacing w:after="0"/>
              <w:rPr>
                <w:sz w:val="1"/>
                <w:szCs w:val="1"/>
                <w:color w:val="auto"/>
              </w:rPr>
            </w:pPr>
          </w:p>
        </w:tc>
      </w:tr>
      <w:tr>
        <w:trPr>
          <w:trHeight w:val="273"/>
        </w:trPr>
        <w:tc>
          <w:tcPr>
            <w:tcW w:w="52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360" w:type="dxa"/>
            <w:vAlign w:val="bottom"/>
            <w:tcBorders>
              <w:bottom w:val="single" w:sz="8" w:color="231F20"/>
            </w:tcBorders>
            <w:shd w:val="clear" w:color="auto" w:fill="CCEEFF"/>
          </w:tcPr>
          <w:p>
            <w:pPr>
              <w:spacing w:after="0"/>
              <w:rPr>
                <w:sz w:val="23"/>
                <w:szCs w:val="23"/>
                <w:color w:val="auto"/>
              </w:rPr>
            </w:pPr>
          </w:p>
        </w:tc>
        <w:tc>
          <w:tcPr>
            <w:tcW w:w="160" w:type="dxa"/>
            <w:vAlign w:val="bottom"/>
            <w:tcBorders>
              <w:bottom w:val="single" w:sz="8" w:color="231F20"/>
            </w:tcBorders>
            <w:shd w:val="clear" w:color="auto" w:fill="CCEEFF"/>
          </w:tcPr>
          <w:p>
            <w:pPr>
              <w:spacing w:after="0"/>
              <w:rPr>
                <w:sz w:val="23"/>
                <w:szCs w:val="23"/>
                <w:color w:val="auto"/>
              </w:rPr>
            </w:pPr>
          </w:p>
        </w:tc>
        <w:tc>
          <w:tcPr>
            <w:tcW w:w="8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3,068</w:t>
            </w:r>
          </w:p>
        </w:tc>
        <w:tc>
          <w:tcPr>
            <w:tcW w:w="120" w:type="dxa"/>
            <w:vAlign w:val="bottom"/>
            <w:tcBorders>
              <w:bottom w:val="single" w:sz="8" w:color="231F20"/>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28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3,221</w:t>
            </w:r>
          </w:p>
        </w:tc>
        <w:tc>
          <w:tcPr>
            <w:tcW w:w="12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231F20"/>
              </w:rPr>
              <w:t>(8,586)</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tcBorders>
              <w:bottom w:val="single" w:sz="8" w:color="231F20"/>
            </w:tcBorders>
            <w:shd w:val="clear" w:color="auto" w:fill="CCEEFF"/>
          </w:tcPr>
          <w:p>
            <w:pPr>
              <w:spacing w:after="0"/>
              <w:rPr>
                <w:sz w:val="23"/>
                <w:szCs w:val="23"/>
                <w:color w:val="auto"/>
              </w:rPr>
            </w:pPr>
          </w:p>
        </w:tc>
        <w:tc>
          <w:tcPr>
            <w:tcW w:w="300" w:type="dxa"/>
            <w:vAlign w:val="bottom"/>
            <w:tcBorders>
              <w:bottom w:val="single" w:sz="8" w:color="231F20"/>
            </w:tcBorders>
            <w:shd w:val="clear" w:color="auto" w:fill="CCEEFF"/>
          </w:tcPr>
          <w:p>
            <w:pPr>
              <w:spacing w:after="0"/>
              <w:rPr>
                <w:sz w:val="23"/>
                <w:szCs w:val="23"/>
                <w:color w:val="auto"/>
              </w:rPr>
            </w:pPr>
          </w:p>
        </w:tc>
        <w:tc>
          <w:tcPr>
            <w:tcW w:w="1100" w:type="dxa"/>
            <w:vAlign w:val="bottom"/>
            <w:tcBorders>
              <w:bottom w:val="single" w:sz="8" w:color="231F20"/>
            </w:tcBorders>
            <w:shd w:val="clear" w:color="auto" w:fill="CCEEFF"/>
          </w:tcPr>
          <w:p>
            <w:pPr>
              <w:jc w:val="right"/>
              <w:ind w:right="19"/>
              <w:spacing w:after="0"/>
              <w:rPr>
                <w:sz w:val="20"/>
                <w:szCs w:val="20"/>
                <w:color w:val="auto"/>
              </w:rPr>
            </w:pPr>
            <w:r>
              <w:rPr>
                <w:rFonts w:ascii="Arial" w:cs="Arial" w:eastAsia="Arial" w:hAnsi="Arial"/>
                <w:sz w:val="16"/>
                <w:szCs w:val="16"/>
                <w:color w:val="231F20"/>
              </w:rPr>
              <w:t>8,417</w:t>
            </w:r>
          </w:p>
        </w:tc>
        <w:tc>
          <w:tcPr>
            <w:tcW w:w="0" w:type="dxa"/>
            <w:vAlign w:val="bottom"/>
          </w:tcPr>
          <w:p>
            <w:pPr>
              <w:spacing w:after="0"/>
              <w:rPr>
                <w:sz w:val="1"/>
                <w:szCs w:val="1"/>
                <w:color w:val="auto"/>
              </w:rPr>
            </w:pPr>
          </w:p>
        </w:tc>
      </w:tr>
      <w:tr>
        <w:trPr>
          <w:trHeight w:val="237"/>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8,452</w:t>
            </w:r>
          </w:p>
        </w:tc>
        <w:tc>
          <w:tcPr>
            <w:tcW w:w="3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4,996</w:t>
            </w:r>
          </w:p>
        </w:tc>
        <w:tc>
          <w:tcPr>
            <w:tcW w:w="120" w:type="dxa"/>
            <w:vAlign w:val="bottom"/>
          </w:tcPr>
          <w:p>
            <w:pPr>
              <w:spacing w:after="0"/>
              <w:rPr>
                <w:sz w:val="20"/>
                <w:szCs w:val="20"/>
                <w:color w:val="auto"/>
              </w:rPr>
            </w:pPr>
          </w:p>
        </w:tc>
        <w:tc>
          <w:tcPr>
            <w:tcW w:w="160" w:type="dxa"/>
            <w:vAlign w:val="bottom"/>
            <w:gridSpan w:val="2"/>
          </w:tcPr>
          <w:p>
            <w:pPr>
              <w:jc w:val="center"/>
              <w:ind w:right="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37,584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gridSpan w:val="2"/>
          </w:tcPr>
          <w:p>
            <w:pPr>
              <w:jc w:val="center"/>
              <w:ind w:right="220"/>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13,317</w:t>
            </w:r>
          </w:p>
        </w:tc>
        <w:tc>
          <w:tcPr>
            <w:tcW w:w="0" w:type="dxa"/>
            <w:vAlign w:val="bottom"/>
          </w:tcPr>
          <w:p>
            <w:pPr>
              <w:spacing w:after="0"/>
              <w:rPr>
                <w:sz w:val="1"/>
                <w:szCs w:val="1"/>
                <w:color w:val="auto"/>
              </w:rPr>
            </w:pPr>
          </w:p>
        </w:tc>
      </w:tr>
      <w:tr>
        <w:trPr>
          <w:trHeight w:val="20"/>
        </w:trPr>
        <w:tc>
          <w:tcPr>
            <w:tcW w:w="5260" w:type="dxa"/>
            <w:vAlign w:val="bottom"/>
            <w:gridSpan w:val="3"/>
            <w:vMerge w:val="restart"/>
          </w:tcPr>
          <w:p>
            <w:pPr>
              <w:spacing w:after="0"/>
              <w:rPr>
                <w:sz w:val="20"/>
                <w:szCs w:val="20"/>
                <w:color w:val="auto"/>
              </w:rPr>
            </w:pPr>
            <w:r>
              <w:rPr>
                <w:rFonts w:ascii="Arial" w:cs="Arial" w:eastAsia="Arial" w:hAnsi="Arial"/>
                <w:sz w:val="9"/>
                <w:szCs w:val="9"/>
                <w:color w:val="231F20"/>
              </w:rPr>
              <w:t>____________________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52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 w:type="dxa"/>
            <w:vAlign w:val="bottom"/>
          </w:tcPr>
          <w:p>
            <w:pPr>
              <w:spacing w:after="0"/>
              <w:rPr>
                <w:sz w:val="20"/>
                <w:szCs w:val="20"/>
                <w:color w:val="auto"/>
              </w:rPr>
            </w:pPr>
            <w:r>
              <w:rPr>
                <w:rFonts w:ascii="Arial" w:cs="Arial" w:eastAsia="Arial" w:hAnsi="Arial"/>
                <w:sz w:val="9"/>
                <w:szCs w:val="9"/>
                <w:color w:val="231F20"/>
              </w:rPr>
              <w:t>(1)</w:t>
            </w:r>
          </w:p>
        </w:tc>
        <w:tc>
          <w:tcPr>
            <w:tcW w:w="5060" w:type="dxa"/>
            <w:vAlign w:val="bottom"/>
            <w:gridSpan w:val="2"/>
            <w:vMerge w:val="restart"/>
          </w:tcPr>
          <w:p>
            <w:pPr>
              <w:ind w:left="460"/>
              <w:spacing w:after="0"/>
              <w:rPr>
                <w:sz w:val="20"/>
                <w:szCs w:val="20"/>
                <w:color w:val="auto"/>
              </w:rPr>
            </w:pPr>
            <w:r>
              <w:rPr>
                <w:rFonts w:ascii="Arial" w:cs="Arial" w:eastAsia="Arial" w:hAnsi="Arial"/>
                <w:sz w:val="14"/>
                <w:szCs w:val="14"/>
                <w:color w:val="231F20"/>
              </w:rPr>
              <w:t>Includes stock-based compensation as follows:</w:t>
            </w: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0" w:type="dxa"/>
            <w:vAlign w:val="bottom"/>
          </w:tcPr>
          <w:p>
            <w:pPr>
              <w:spacing w:after="0"/>
              <w:rPr>
                <w:sz w:val="7"/>
                <w:szCs w:val="7"/>
                <w:color w:val="auto"/>
              </w:rPr>
            </w:pPr>
          </w:p>
        </w:tc>
        <w:tc>
          <w:tcPr>
            <w:tcW w:w="50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0"/>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00" w:type="dxa"/>
            <w:vAlign w:val="bottom"/>
            <w:gridSpan w:val="8"/>
          </w:tcPr>
          <w:p>
            <w:pPr>
              <w:jc w:val="right"/>
              <w:ind w:right="60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6"/>
          </w:tcPr>
          <w:p>
            <w:pPr>
              <w:jc w:val="right"/>
              <w:ind w:right="53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83"/>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right"/>
              <w:ind w:right="84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19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2017</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47"/>
        </w:trPr>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99"/>
              </w:rPr>
              <w:t>(in thousands)</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spacing w:after="0"/>
              <w:rPr>
                <w:sz w:val="24"/>
                <w:szCs w:val="24"/>
                <w:color w:val="auto"/>
              </w:rPr>
            </w:pP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7"/>
              </w:rPr>
              <w:t>532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516</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1,318</w:t>
            </w:r>
          </w:p>
        </w:tc>
        <w:tc>
          <w:tcPr>
            <w:tcW w:w="0" w:type="dxa"/>
            <w:vAlign w:val="bottom"/>
          </w:tcPr>
          <w:p>
            <w:pPr>
              <w:spacing w:after="0"/>
              <w:rPr>
                <w:sz w:val="1"/>
                <w:szCs w:val="1"/>
                <w:color w:val="auto"/>
              </w:rPr>
            </w:pPr>
          </w:p>
        </w:tc>
      </w:tr>
      <w:tr>
        <w:trPr>
          <w:trHeight w:val="260"/>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6"/>
                <w:szCs w:val="16"/>
                <w:color w:val="auto"/>
              </w:rPr>
              <w:t>1,503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1,585</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4,229</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4,373</w:t>
            </w:r>
          </w:p>
        </w:tc>
        <w:tc>
          <w:tcPr>
            <w:tcW w:w="0" w:type="dxa"/>
            <w:vAlign w:val="bottom"/>
          </w:tcPr>
          <w:p>
            <w:pPr>
              <w:spacing w:after="0"/>
              <w:rPr>
                <w:sz w:val="1"/>
                <w:szCs w:val="1"/>
                <w:color w:val="auto"/>
              </w:rPr>
            </w:pPr>
          </w:p>
        </w:tc>
      </w:tr>
      <w:tr>
        <w:trPr>
          <w:trHeight w:val="280"/>
        </w:trPr>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1,231</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821</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3,444</w:t>
            </w: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3,459</w:t>
            </w:r>
          </w:p>
        </w:tc>
        <w:tc>
          <w:tcPr>
            <w:tcW w:w="0" w:type="dxa"/>
            <w:vAlign w:val="bottom"/>
          </w:tcPr>
          <w:p>
            <w:pPr>
              <w:spacing w:after="0"/>
              <w:rPr>
                <w:sz w:val="1"/>
                <w:szCs w:val="1"/>
                <w:color w:val="auto"/>
              </w:rPr>
            </w:pPr>
          </w:p>
        </w:tc>
      </w:tr>
      <w:tr>
        <w:trPr>
          <w:trHeight w:val="264"/>
        </w:trPr>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color w:val="auto"/>
              </w:rPr>
              <w:t>4,477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2,181</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9,280</w:t>
            </w: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5,972</w:t>
            </w:r>
          </w:p>
        </w:tc>
        <w:tc>
          <w:tcPr>
            <w:tcW w:w="0" w:type="dxa"/>
            <w:vAlign w:val="bottom"/>
          </w:tcPr>
          <w:p>
            <w:pPr>
              <w:spacing w:after="0"/>
              <w:rPr>
                <w:sz w:val="1"/>
                <w:szCs w:val="1"/>
                <w:color w:val="auto"/>
              </w:rPr>
            </w:pPr>
          </w:p>
        </w:tc>
      </w:tr>
      <w:tr>
        <w:trPr>
          <w:trHeight w:val="240"/>
        </w:trPr>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Total stock-based compensation</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7,743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5,103</w:t>
            </w:r>
          </w:p>
        </w:tc>
        <w:tc>
          <w:tcPr>
            <w:tcW w:w="46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15,122</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660" w:right="340" w:hanging="652"/>
        <w:spacing w:after="0" w:line="273" w:lineRule="auto"/>
        <w:tabs>
          <w:tab w:leader="none" w:pos="66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 xml:space="preserve">We </w:t>
      </w:r>
      <w:r>
        <w:rPr>
          <w:rFonts w:ascii="Arial" w:cs="Arial" w:eastAsia="Arial" w:hAnsi="Arial"/>
          <w:sz w:val="14"/>
          <w:szCs w:val="14"/>
          <w:color w:val="231F20"/>
        </w:rPr>
        <w:t>reclassified certain information technology expenses across the functions that benefit from their support. For the three months ended September 30, 2016, we</w:t>
      </w:r>
      <w:r>
        <w:rPr>
          <w:rFonts w:ascii="Arial" w:cs="Arial" w:eastAsia="Arial" w:hAnsi="Arial"/>
          <w:sz w:val="14"/>
          <w:szCs w:val="14"/>
          <w:color w:val="auto"/>
        </w:rPr>
        <w:t xml:space="preserve"> </w:t>
      </w:r>
      <w:r>
        <w:rPr>
          <w:rFonts w:ascii="Arial" w:cs="Arial" w:eastAsia="Arial" w:hAnsi="Arial"/>
          <w:sz w:val="14"/>
          <w:szCs w:val="14"/>
          <w:color w:val="231F20"/>
        </w:rPr>
        <w:t>reclassified $0.8 million out of general and administrative expenses. Of this amount we reclassified $0.2 million to cost of revenues, $0.3 million to research and development and $0.3 million to sales and marketing. For the nine months ended September 30, 2016, we reclassified $2.2 million out of general and administrative expenses. Of this amount we reclassified $0.5 million to cost of revenues, $1.0 million to research and development and $0.7 million to sales and marketing.</w:t>
      </w:r>
    </w:p>
    <w:p>
      <w:pPr>
        <w:sectPr>
          <w:pgSz w:w="11900" w:h="16838" w:orient="portrait"/>
          <w:cols w:equalWidth="0" w:num="1">
            <w:col w:w="11420"/>
          </w:cols>
          <w:pgMar w:left="240" w:top="1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20"/>
          </w:cols>
          <w:pgMar w:left="240" w:top="141" w:right="239" w:bottom="1440" w:gutter="0" w:footer="0" w:header="0"/>
          <w:type w:val="continuous"/>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20" w:type="dxa"/>
            <w:vAlign w:val="bottom"/>
          </w:tcPr>
          <w:p>
            <w:pPr>
              <w:spacing w:after="0"/>
              <w:rPr>
                <w:sz w:val="18"/>
                <w:szCs w:val="18"/>
                <w:color w:val="auto"/>
              </w:rPr>
            </w:pPr>
          </w:p>
        </w:tc>
        <w:tc>
          <w:tcPr>
            <w:tcW w:w="2620" w:type="dxa"/>
            <w:vAlign w:val="bottom"/>
            <w:gridSpan w:val="4"/>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center"/>
              <w:ind w:right="37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tcBorders>
              <w:bottom w:val="single" w:sz="8" w:color="auto"/>
            </w:tcBorders>
            <w:gridSpan w:val="3"/>
          </w:tcPr>
          <w:p>
            <w:pPr>
              <w:jc w:val="center"/>
              <w:ind w:left="899"/>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r>
      <w:tr>
        <w:trPr>
          <w:trHeight w:val="264"/>
        </w:trPr>
        <w:tc>
          <w:tcPr>
            <w:tcW w:w="5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257"/>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w:t>
            </w:r>
          </w:p>
        </w:tc>
      </w:tr>
      <w:tr>
        <w:trPr>
          <w:trHeight w:val="257"/>
        </w:trPr>
        <w:tc>
          <w:tcPr>
            <w:tcW w:w="61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79</w:t>
            </w:r>
          </w:p>
        </w:tc>
      </w:tr>
      <w:tr>
        <w:trPr>
          <w:trHeight w:val="260"/>
        </w:trPr>
        <w:tc>
          <w:tcPr>
            <w:tcW w:w="610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610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w:t>
            </w:r>
          </w:p>
        </w:tc>
      </w:tr>
      <w:tr>
        <w:trPr>
          <w:trHeight w:val="260"/>
        </w:trPr>
        <w:tc>
          <w:tcPr>
            <w:tcW w:w="610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jc w:val="right"/>
              <w:ind w:right="7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1440" w:type="dxa"/>
            <w:vAlign w:val="bottom"/>
          </w:tcPr>
          <w:p>
            <w:pPr>
              <w:jc w:val="right"/>
              <w:ind w:right="15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60" w:type="dxa"/>
            <w:vAlign w:val="bottom"/>
          </w:tcPr>
          <w:p>
            <w:pPr>
              <w:jc w:val="right"/>
              <w:ind w:right="99"/>
              <w:spacing w:after="0"/>
              <w:rPr>
                <w:sz w:val="20"/>
                <w:szCs w:val="20"/>
                <w:color w:val="auto"/>
              </w:rPr>
            </w:pPr>
            <w:r>
              <w:rPr>
                <w:rFonts w:ascii="Arial" w:cs="Arial" w:eastAsia="Arial" w:hAnsi="Arial"/>
                <w:sz w:val="16"/>
                <w:szCs w:val="16"/>
                <w:color w:val="auto"/>
              </w:rPr>
              <w:t>30</w:t>
            </w:r>
          </w:p>
        </w:tc>
      </w:tr>
      <w:tr>
        <w:trPr>
          <w:trHeight w:val="273"/>
        </w:trPr>
        <w:tc>
          <w:tcPr>
            <w:tcW w:w="5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r>
      <w:tr>
        <w:trPr>
          <w:trHeight w:val="250"/>
        </w:trPr>
        <w:tc>
          <w:tcPr>
            <w:tcW w:w="5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w:t>
            </w:r>
          </w:p>
        </w:tc>
      </w:tr>
      <w:tr>
        <w:trPr>
          <w:trHeight w:val="257"/>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w:t>
            </w:r>
          </w:p>
        </w:tc>
      </w:tr>
      <w:tr>
        <w:trPr>
          <w:trHeight w:val="257"/>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5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w:t>
            </w:r>
          </w:p>
        </w:tc>
      </w:tr>
      <w:tr>
        <w:trPr>
          <w:trHeight w:val="264"/>
        </w:trPr>
        <w:tc>
          <w:tcPr>
            <w:tcW w:w="5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(Benefit from) provision for income taxes</w:t>
            </w:r>
          </w:p>
        </w:tc>
        <w:tc>
          <w:tcPr>
            <w:tcW w:w="98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w:t>
            </w:r>
          </w:p>
        </w:tc>
      </w:tr>
      <w:tr>
        <w:trPr>
          <w:trHeight w:val="240"/>
        </w:trPr>
        <w:tc>
          <w:tcPr>
            <w:tcW w:w="61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and Nine Months Ended September 30, 2017</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2016</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283"/>
        </w:trPr>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4"/>
          </w:tcPr>
          <w:p>
            <w:pPr>
              <w:ind w:left="32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r>
      <w:tr>
        <w:trPr>
          <w:trHeight w:val="264"/>
        </w:trPr>
        <w:tc>
          <w:tcPr>
            <w:tcW w:w="234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2017</w:t>
            </w:r>
          </w:p>
        </w:tc>
        <w:tc>
          <w:tcPr>
            <w:tcW w:w="3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r>
      <w:tr>
        <w:trPr>
          <w:trHeight w:val="247"/>
        </w:trPr>
        <w:tc>
          <w:tcPr>
            <w:tcW w:w="2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(in thousands, except percentages)</w:t>
            </w: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80"/>
        </w:trPr>
        <w:tc>
          <w:tcPr>
            <w:tcW w:w="2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59,490</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50,987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8,503</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17%  $</w:t>
            </w:r>
          </w:p>
        </w:tc>
        <w:tc>
          <w:tcPr>
            <w:tcW w:w="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167,913</w:t>
            </w:r>
          </w:p>
        </w:tc>
        <w:tc>
          <w:tcPr>
            <w:tcW w:w="3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6"/>
                <w:szCs w:val="16"/>
                <w:color w:val="auto"/>
              </w:rPr>
              <w:t>145,701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22,212</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bl>
    <w:p>
      <w:pPr>
        <w:spacing w:after="0" w:line="215"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231F20"/>
        </w:rPr>
        <w:t xml:space="preserve">Revenues increased $8.5 million for the </w:t>
      </w:r>
      <w:r>
        <w:rPr>
          <w:rFonts w:ascii="Arial" w:cs="Arial" w:eastAsia="Arial" w:hAnsi="Arial"/>
          <w:sz w:val="18"/>
          <w:szCs w:val="18"/>
          <w:color w:val="000000"/>
        </w:rPr>
        <w:t>three months ended September 30,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September 30,</w:t>
      </w:r>
      <w:r>
        <w:rPr>
          <w:rFonts w:ascii="Arial" w:cs="Arial" w:eastAsia="Arial" w:hAnsi="Arial"/>
          <w:sz w:val="18"/>
          <w:szCs w:val="18"/>
          <w:color w:val="231F20"/>
        </w:rPr>
        <w:t xml:space="preserve"> </w:t>
      </w:r>
      <w:r>
        <w:rPr>
          <w:rFonts w:ascii="Arial" w:cs="Arial" w:eastAsia="Arial" w:hAnsi="Arial"/>
          <w:sz w:val="18"/>
          <w:szCs w:val="18"/>
          <w:color w:val="000000"/>
        </w:rPr>
        <w:t>2016</w:t>
      </w:r>
      <w:r>
        <w:rPr>
          <w:rFonts w:ascii="Arial" w:cs="Arial" w:eastAsia="Arial" w:hAnsi="Arial"/>
          <w:sz w:val="18"/>
          <w:szCs w:val="18"/>
          <w:color w:val="231F20"/>
        </w:rPr>
        <w:t>, due to an increase in the purchase of subscriptions from existing customers and new customer subscriptions entered into after</w:t>
      </w:r>
      <w:r>
        <w:rPr>
          <w:rFonts w:ascii="Arial" w:cs="Arial" w:eastAsia="Arial" w:hAnsi="Arial"/>
          <w:sz w:val="18"/>
          <w:szCs w:val="18"/>
          <w:color w:val="000000"/>
        </w:rPr>
        <w:t xml:space="preserve"> </w:t>
      </w:r>
      <w:r>
        <w:rPr>
          <w:rFonts w:ascii="Arial" w:cs="Arial" w:eastAsia="Arial" w:hAnsi="Arial"/>
          <w:sz w:val="18"/>
          <w:szCs w:val="18"/>
          <w:color w:val="231F20"/>
        </w:rPr>
        <w:t xml:space="preserve">September 30, 2016. Of the total increase of </w:t>
      </w:r>
      <w:r>
        <w:rPr>
          <w:rFonts w:ascii="Arial" w:cs="Arial" w:eastAsia="Arial" w:hAnsi="Arial"/>
          <w:sz w:val="18"/>
          <w:szCs w:val="18"/>
          <w:color w:val="000000"/>
        </w:rPr>
        <w:t>$8.5 million</w:t>
      </w:r>
      <w:r>
        <w:rPr>
          <w:rFonts w:ascii="Arial" w:cs="Arial" w:eastAsia="Arial" w:hAnsi="Arial"/>
          <w:sz w:val="18"/>
          <w:szCs w:val="18"/>
          <w:color w:val="231F20"/>
        </w:rPr>
        <w:t>, $6.3 million was from customers in the United States and the remaining $2.2 million was from customers in foreign countries. The growth in revenues reflects the continued demand for our solutions.</w:t>
      </w:r>
    </w:p>
    <w:p>
      <w:pPr>
        <w:spacing w:after="0" w:line="20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Revenues increased $22.2 million for the nine </w:t>
      </w:r>
      <w:r>
        <w:rPr>
          <w:rFonts w:ascii="Arial" w:cs="Arial" w:eastAsia="Arial" w:hAnsi="Arial"/>
          <w:sz w:val="18"/>
          <w:szCs w:val="18"/>
          <w:color w:val="000000"/>
        </w:rPr>
        <w:t>months ended September 30, 2017</w:t>
      </w:r>
      <w:r>
        <w:rPr>
          <w:rFonts w:ascii="Arial" w:cs="Arial" w:eastAsia="Arial" w:hAnsi="Arial"/>
          <w:sz w:val="18"/>
          <w:szCs w:val="18"/>
          <w:color w:val="231F20"/>
        </w:rPr>
        <w:t xml:space="preserve"> compared to the same period a year ago, due to an increase in the purchase of subscriptions from existing customers and new customer subscriptions entered into after September 30, 2016. Of the total increase of $22.2 million, $15.9 million was from customers in the United States and the remaining $6.3 million was from customers in foreign countries.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r>
      <w:tr>
        <w:trPr>
          <w:trHeight w:val="283"/>
        </w:trPr>
        <w:tc>
          <w:tcPr>
            <w:tcW w:w="2240" w:type="dxa"/>
            <w:vAlign w:val="bottom"/>
          </w:tcPr>
          <w:p>
            <w:pPr>
              <w:spacing w:after="0"/>
              <w:rPr>
                <w:sz w:val="24"/>
                <w:szCs w:val="24"/>
                <w:color w:val="auto"/>
              </w:rPr>
            </w:pPr>
          </w:p>
        </w:tc>
        <w:tc>
          <w:tcPr>
            <w:tcW w:w="2380" w:type="dxa"/>
            <w:vAlign w:val="bottom"/>
            <w:gridSpan w:val="4"/>
          </w:tcPr>
          <w:p>
            <w:pPr>
              <w:ind w:left="60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r>
      <w:tr>
        <w:trPr>
          <w:trHeight w:val="264"/>
        </w:trPr>
        <w:tc>
          <w:tcPr>
            <w:tcW w:w="224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(in thousands, except percentages)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12,728</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11,465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1,263</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11%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37,175</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31,276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5,899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60"/>
        </w:trPr>
        <w:tc>
          <w:tcPr>
            <w:tcW w:w="2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w:t>
            </w: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3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bl>
    <w:p>
      <w:pPr>
        <w:spacing w:after="0" w:line="215"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231F20"/>
        </w:rPr>
        <w:t xml:space="preserve">Cost of revenues increased $1.3 million for the </w:t>
      </w:r>
      <w:r>
        <w:rPr>
          <w:rFonts w:ascii="Arial" w:cs="Arial" w:eastAsia="Arial" w:hAnsi="Arial"/>
          <w:sz w:val="18"/>
          <w:szCs w:val="18"/>
          <w:color w:val="000000"/>
        </w:rPr>
        <w:t>three months ended September 30,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 xml:space="preserve">September 30, 2016, </w:t>
      </w:r>
      <w:r>
        <w:rPr>
          <w:rFonts w:ascii="Arial" w:cs="Arial" w:eastAsia="Arial" w:hAnsi="Arial"/>
          <w:sz w:val="18"/>
          <w:szCs w:val="18"/>
          <w:color w:val="231F20"/>
        </w:rPr>
        <w:t>primarily due to increased personnel expenses of $ 0.8 million to support continued growth of the business and increased</w:t>
      </w:r>
      <w:r>
        <w:rPr>
          <w:rFonts w:ascii="Arial" w:cs="Arial" w:eastAsia="Arial" w:hAnsi="Arial"/>
          <w:sz w:val="18"/>
          <w:szCs w:val="18"/>
          <w:color w:val="000000"/>
        </w:rPr>
        <w:t xml:space="preserve"> </w:t>
      </w:r>
      <w:r>
        <w:rPr>
          <w:rFonts w:ascii="Arial" w:cs="Arial" w:eastAsia="Arial" w:hAnsi="Arial"/>
          <w:sz w:val="18"/>
          <w:szCs w:val="18"/>
          <w:color w:val="231F20"/>
        </w:rPr>
        <w:t>depreciation expense of $0.6 million related to the expansion of our data centers, computer hardware and software.</w:t>
      </w:r>
    </w:p>
    <w:p>
      <w:pPr>
        <w:spacing w:after="0" w:line="20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 xml:space="preserve">For the nine months ended September 30, 2017, cost of revenues increased $5.9 million compared to the nine </w:t>
      </w:r>
      <w:r>
        <w:rPr>
          <w:rFonts w:ascii="Arial" w:cs="Arial" w:eastAsia="Arial" w:hAnsi="Arial"/>
          <w:sz w:val="18"/>
          <w:szCs w:val="18"/>
          <w:color w:val="000000"/>
        </w:rPr>
        <w:t>months ended September</w:t>
      </w:r>
      <w:r>
        <w:rPr>
          <w:rFonts w:ascii="Arial" w:cs="Arial" w:eastAsia="Arial" w:hAnsi="Arial"/>
          <w:sz w:val="18"/>
          <w:szCs w:val="18"/>
          <w:color w:val="231F20"/>
        </w:rPr>
        <w:t xml:space="preserve"> </w:t>
      </w:r>
      <w:r>
        <w:rPr>
          <w:rFonts w:ascii="Arial" w:cs="Arial" w:eastAsia="Arial" w:hAnsi="Arial"/>
          <w:sz w:val="18"/>
          <w:szCs w:val="18"/>
          <w:color w:val="000000"/>
        </w:rPr>
        <w:t xml:space="preserve">30, 2016, </w:t>
      </w:r>
      <w:r>
        <w:rPr>
          <w:rFonts w:ascii="Arial" w:cs="Arial" w:eastAsia="Arial" w:hAnsi="Arial"/>
          <w:sz w:val="18"/>
          <w:szCs w:val="18"/>
          <w:color w:val="231F20"/>
        </w:rPr>
        <w:t>primarily due to increased personnel expenses of $ 2.7 million to support continued growth of the business, an increase in</w:t>
      </w:r>
      <w:r>
        <w:rPr>
          <w:rFonts w:ascii="Arial" w:cs="Arial" w:eastAsia="Arial" w:hAnsi="Arial"/>
          <w:sz w:val="18"/>
          <w:szCs w:val="18"/>
          <w:color w:val="000000"/>
        </w:rPr>
        <w:t xml:space="preserve"> </w:t>
      </w:r>
      <w:r>
        <w:rPr>
          <w:rFonts w:ascii="Arial" w:cs="Arial" w:eastAsia="Arial" w:hAnsi="Arial"/>
          <w:sz w:val="18"/>
          <w:szCs w:val="18"/>
          <w:color w:val="231F20"/>
        </w:rPr>
        <w:t>depreciation expense of $ 2.3 million related to the expansion of our data centers, computer hardware, and software, and an increase in the allocated IT, software and facility costs of $0.9 million.</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r>
      <w:tr>
        <w:trPr>
          <w:trHeight w:val="283"/>
        </w:trPr>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r>
      <w:tr>
        <w:trPr>
          <w:trHeight w:val="264"/>
        </w:trPr>
        <w:tc>
          <w:tcPr>
            <w:tcW w:w="22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(in thousands, except percentages)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Research and development   $</w:t>
            </w:r>
          </w:p>
        </w:tc>
        <w:tc>
          <w:tcPr>
            <w:tcW w:w="9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10,892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9,756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1,136</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12%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31,240</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27,353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3,887</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51"/>
        </w:trPr>
        <w:tc>
          <w:tcPr>
            <w:tcW w:w="2500" w:type="dxa"/>
            <w:vAlign w:val="bottom"/>
            <w:gridSpan w:val="2"/>
          </w:tcPr>
          <w:p>
            <w:pPr>
              <w:ind w:left="4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89" w:lineRule="exact"/>
        <w:rPr>
          <w:sz w:val="20"/>
          <w:szCs w:val="20"/>
          <w:color w:val="auto"/>
        </w:rPr>
      </w:pPr>
    </w:p>
    <w:p>
      <w:pPr>
        <w:jc w:val="both"/>
        <w:ind w:right="380" w:firstLine="486"/>
        <w:spacing w:after="0" w:line="256" w:lineRule="auto"/>
        <w:rPr>
          <w:sz w:val="20"/>
          <w:szCs w:val="20"/>
          <w:color w:val="auto"/>
        </w:rPr>
      </w:pPr>
      <w:r>
        <w:rPr>
          <w:rFonts w:ascii="Arial" w:cs="Arial" w:eastAsia="Arial" w:hAnsi="Arial"/>
          <w:sz w:val="18"/>
          <w:szCs w:val="18"/>
          <w:color w:val="231F20"/>
        </w:rPr>
        <w:t xml:space="preserve">Research and development expenses increased $1.1 million for the three months ended September 30, 2017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2016</w:t>
      </w:r>
      <w:r>
        <w:rPr>
          <w:rFonts w:ascii="Arial" w:cs="Arial" w:eastAsia="Arial" w:hAnsi="Arial"/>
          <w:sz w:val="18"/>
          <w:szCs w:val="18"/>
          <w:color w:val="231F20"/>
        </w:rPr>
        <w:t>, primarily due to increased personnel expenses of $1.1 million which was driven by the increase in the</w:t>
      </w:r>
      <w:r>
        <w:rPr>
          <w:rFonts w:ascii="Arial" w:cs="Arial" w:eastAsia="Arial" w:hAnsi="Arial"/>
          <w:sz w:val="18"/>
          <w:szCs w:val="18"/>
          <w:color w:val="000000"/>
        </w:rPr>
        <w:t xml:space="preserve"> </w:t>
      </w:r>
      <w:r>
        <w:rPr>
          <w:rFonts w:ascii="Arial" w:cs="Arial" w:eastAsia="Arial" w:hAnsi="Arial"/>
          <w:sz w:val="18"/>
          <w:szCs w:val="18"/>
          <w:color w:val="231F20"/>
        </w:rPr>
        <w:t>number of employees to support the growth of our business.</w:t>
      </w:r>
    </w:p>
    <w:p>
      <w:pPr>
        <w:spacing w:after="0" w:line="310"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231F20"/>
        </w:rPr>
        <w:t>Research and development expenses increased $3.9 million for the nine months ended September 30, 2017 compared to the same period a year ago, primarily due to increased personnel expenses of $3.8 million which was driven by the increase in the number of employees to support the growth of business.</w:t>
      </w:r>
    </w:p>
    <w:p>
      <w:pPr>
        <w:spacing w:after="0" w:line="2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r>
      <w:tr>
        <w:trPr>
          <w:trHeight w:val="283"/>
        </w:trPr>
        <w:tc>
          <w:tcPr>
            <w:tcW w:w="2240" w:type="dxa"/>
            <w:vAlign w:val="bottom"/>
          </w:tcPr>
          <w:p>
            <w:pPr>
              <w:spacing w:after="0"/>
              <w:rPr>
                <w:sz w:val="24"/>
                <w:szCs w:val="24"/>
                <w:color w:val="auto"/>
              </w:rPr>
            </w:pPr>
          </w:p>
        </w:tc>
        <w:tc>
          <w:tcPr>
            <w:tcW w:w="2380" w:type="dxa"/>
            <w:vAlign w:val="bottom"/>
            <w:gridSpan w:val="4"/>
          </w:tcPr>
          <w:p>
            <w:pPr>
              <w:ind w:left="60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r>
      <w:tr>
        <w:trPr>
          <w:trHeight w:val="264"/>
        </w:trPr>
        <w:tc>
          <w:tcPr>
            <w:tcW w:w="224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(in thousands, except percentages)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15,475</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14,498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977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46,872</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43,393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3,479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51"/>
        </w:trPr>
        <w:tc>
          <w:tcPr>
            <w:tcW w:w="224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1140" w:type="dxa"/>
            <w:vAlign w:val="bottom"/>
          </w:tcPr>
          <w:p>
            <w:pPr>
              <w:jc w:val="right"/>
              <w:spacing w:after="0"/>
              <w:rPr>
                <w:sz w:val="20"/>
                <w:szCs w:val="20"/>
                <w:color w:val="auto"/>
              </w:rPr>
            </w:pPr>
            <w:r>
              <w:rPr>
                <w:rFonts w:ascii="Arial" w:cs="Arial" w:eastAsia="Arial" w:hAnsi="Arial"/>
                <w:sz w:val="16"/>
                <w:szCs w:val="16"/>
                <w:color w:val="auto"/>
              </w:rPr>
              <w:t>26%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35"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231F20"/>
        </w:rPr>
        <w:t xml:space="preserve">Sales and marketing expenses increased $1.0 million for the </w:t>
      </w:r>
      <w:r>
        <w:rPr>
          <w:rFonts w:ascii="Arial" w:cs="Arial" w:eastAsia="Arial" w:hAnsi="Arial"/>
          <w:sz w:val="18"/>
          <w:szCs w:val="18"/>
          <w:color w:val="000000"/>
        </w:rPr>
        <w:t>three months ended September 30,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2016</w:t>
      </w:r>
      <w:r>
        <w:rPr>
          <w:rFonts w:ascii="Arial" w:cs="Arial" w:eastAsia="Arial" w:hAnsi="Arial"/>
          <w:sz w:val="18"/>
          <w:szCs w:val="18"/>
          <w:color w:val="231F20"/>
        </w:rPr>
        <w:t>, primarily due to increased personnel expenses of $0.8 million and increased allocated costs of $0.4 million to</w:t>
      </w:r>
      <w:r>
        <w:rPr>
          <w:rFonts w:ascii="Arial" w:cs="Arial" w:eastAsia="Arial" w:hAnsi="Arial"/>
          <w:sz w:val="18"/>
          <w:szCs w:val="18"/>
          <w:color w:val="000000"/>
        </w:rPr>
        <w:t xml:space="preserve"> </w:t>
      </w:r>
      <w:r>
        <w:rPr>
          <w:rFonts w:ascii="Arial" w:cs="Arial" w:eastAsia="Arial" w:hAnsi="Arial"/>
          <w:sz w:val="18"/>
          <w:szCs w:val="18"/>
          <w:color w:val="231F20"/>
        </w:rPr>
        <w:t>support the growth of our business.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41"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40" w:firstLine="486"/>
        <w:spacing w:after="0" w:line="256" w:lineRule="auto"/>
        <w:rPr>
          <w:sz w:val="20"/>
          <w:szCs w:val="20"/>
          <w:color w:val="auto"/>
        </w:rPr>
      </w:pPr>
      <w:r>
        <w:rPr>
          <w:rFonts w:ascii="Arial" w:cs="Arial" w:eastAsia="Arial" w:hAnsi="Arial"/>
          <w:sz w:val="18"/>
          <w:szCs w:val="18"/>
          <w:color w:val="231F20"/>
        </w:rPr>
        <w:t xml:space="preserve">Sales and marketing expenses increased $3.5 million for the nine </w:t>
      </w:r>
      <w:r>
        <w:rPr>
          <w:rFonts w:ascii="Arial" w:cs="Arial" w:eastAsia="Arial" w:hAnsi="Arial"/>
          <w:sz w:val="18"/>
          <w:szCs w:val="18"/>
          <w:color w:val="000000"/>
        </w:rPr>
        <w:t>months ended September 30, 2017</w:t>
      </w:r>
      <w:r>
        <w:rPr>
          <w:rFonts w:ascii="Arial" w:cs="Arial" w:eastAsia="Arial" w:hAnsi="Arial"/>
          <w:sz w:val="18"/>
          <w:szCs w:val="18"/>
          <w:color w:val="231F20"/>
        </w:rPr>
        <w:t xml:space="preserve"> compared to the nine </w:t>
      </w:r>
      <w:r>
        <w:rPr>
          <w:rFonts w:ascii="Arial" w:cs="Arial" w:eastAsia="Arial" w:hAnsi="Arial"/>
          <w:sz w:val="18"/>
          <w:szCs w:val="18"/>
          <w:color w:val="000000"/>
        </w:rPr>
        <w:t>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2016</w:t>
      </w:r>
      <w:r>
        <w:rPr>
          <w:rFonts w:ascii="Arial" w:cs="Arial" w:eastAsia="Arial" w:hAnsi="Arial"/>
          <w:sz w:val="18"/>
          <w:szCs w:val="18"/>
          <w:color w:val="231F20"/>
        </w:rPr>
        <w:t>, primarily due to increased personnel expenses of $2.1 million as a result of an increase in the number of</w:t>
      </w:r>
      <w:r>
        <w:rPr>
          <w:rFonts w:ascii="Arial" w:cs="Arial" w:eastAsia="Arial" w:hAnsi="Arial"/>
          <w:sz w:val="18"/>
          <w:szCs w:val="18"/>
          <w:color w:val="000000"/>
        </w:rPr>
        <w:t xml:space="preserve"> </w:t>
      </w:r>
      <w:r>
        <w:rPr>
          <w:rFonts w:ascii="Arial" w:cs="Arial" w:eastAsia="Arial" w:hAnsi="Arial"/>
          <w:sz w:val="18"/>
          <w:szCs w:val="18"/>
          <w:color w:val="231F20"/>
        </w:rPr>
        <w:t>employees and increased allocated costs of $1.3 million to support the growth of our business.</w:t>
      </w:r>
    </w:p>
    <w:p>
      <w:pPr>
        <w:spacing w:after="0" w:line="12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r>
      <w:tr>
        <w:trPr>
          <w:trHeight w:val="283"/>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ind w:left="34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r>
      <w:tr>
        <w:trPr>
          <w:trHeight w:val="264"/>
        </w:trPr>
        <w:tc>
          <w:tcPr>
            <w:tcW w:w="22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6"/>
          </w:tcPr>
          <w:p>
            <w:pPr>
              <w:jc w:val="right"/>
              <w:spacing w:after="0"/>
              <w:rPr>
                <w:sz w:val="20"/>
                <w:szCs w:val="20"/>
                <w:color w:val="auto"/>
              </w:rPr>
            </w:pPr>
            <w:r>
              <w:rPr>
                <w:rFonts w:ascii="Arial" w:cs="Arial" w:eastAsia="Arial" w:hAnsi="Arial"/>
                <w:sz w:val="16"/>
                <w:szCs w:val="16"/>
                <w:b w:val="1"/>
                <w:bCs w:val="1"/>
                <w:color w:val="auto"/>
              </w:rPr>
              <w:t>(in thousands, except percentages)</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80"/>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9,546</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7,281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2,265</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31%  $</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25,112</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22,383</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2,729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51"/>
        </w:trPr>
        <w:tc>
          <w:tcPr>
            <w:tcW w:w="22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80" w:type="dxa"/>
            <w:vAlign w:val="bottom"/>
          </w:tcPr>
          <w:p>
            <w:pPr>
              <w:spacing w:after="0"/>
              <w:rPr>
                <w:sz w:val="21"/>
                <w:szCs w:val="21"/>
                <w:color w:val="auto"/>
              </w:rPr>
            </w:pPr>
          </w:p>
        </w:tc>
      </w:tr>
    </w:tbl>
    <w:p>
      <w:pPr>
        <w:spacing w:after="0" w:line="235"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231F20"/>
        </w:rPr>
        <w:t xml:space="preserve">General and administrative expenses increased for $2.3 million for the </w:t>
      </w:r>
      <w:r>
        <w:rPr>
          <w:rFonts w:ascii="Arial" w:cs="Arial" w:eastAsia="Arial" w:hAnsi="Arial"/>
          <w:sz w:val="18"/>
          <w:szCs w:val="18"/>
          <w:color w:val="000000"/>
        </w:rPr>
        <w:t>three months ended September 30, 2017</w:t>
      </w:r>
      <w:r>
        <w:rPr>
          <w:rFonts w:ascii="Arial" w:cs="Arial" w:eastAsia="Arial" w:hAnsi="Arial"/>
          <w:sz w:val="18"/>
          <w:szCs w:val="18"/>
          <w:color w:val="231F20"/>
        </w:rPr>
        <w:t xml:space="preserve">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 xml:space="preserve">months ended September 30, 2016 </w:t>
      </w:r>
      <w:r>
        <w:rPr>
          <w:rFonts w:ascii="Arial" w:cs="Arial" w:eastAsia="Arial" w:hAnsi="Arial"/>
          <w:sz w:val="18"/>
          <w:szCs w:val="18"/>
          <w:color w:val="231F20"/>
        </w:rPr>
        <w:t>due to increased stock-based compensation costs of $2.3 million.</w:t>
      </w:r>
    </w:p>
    <w:p>
      <w:pPr>
        <w:spacing w:after="0" w:line="196" w:lineRule="exact"/>
        <w:rPr>
          <w:sz w:val="20"/>
          <w:szCs w:val="20"/>
          <w:color w:val="auto"/>
        </w:rPr>
      </w:pPr>
    </w:p>
    <w:p>
      <w:pPr>
        <w:ind w:right="380" w:firstLine="486"/>
        <w:spacing w:after="0" w:line="254" w:lineRule="auto"/>
        <w:rPr>
          <w:sz w:val="20"/>
          <w:szCs w:val="20"/>
          <w:color w:val="auto"/>
        </w:rPr>
      </w:pPr>
      <w:r>
        <w:rPr>
          <w:rFonts w:ascii="Arial" w:cs="Arial" w:eastAsia="Arial" w:hAnsi="Arial"/>
          <w:sz w:val="18"/>
          <w:szCs w:val="18"/>
          <w:color w:val="231F20"/>
        </w:rPr>
        <w:t xml:space="preserve">General and administrative expenses increased $2.7 million for the nine </w:t>
      </w:r>
      <w:r>
        <w:rPr>
          <w:rFonts w:ascii="Arial" w:cs="Arial" w:eastAsia="Arial" w:hAnsi="Arial"/>
          <w:sz w:val="18"/>
          <w:szCs w:val="18"/>
          <w:color w:val="000000"/>
        </w:rPr>
        <w:t>months ended September 30, 2017</w:t>
      </w:r>
      <w:r>
        <w:rPr>
          <w:rFonts w:ascii="Arial" w:cs="Arial" w:eastAsia="Arial" w:hAnsi="Arial"/>
          <w:sz w:val="18"/>
          <w:szCs w:val="18"/>
          <w:color w:val="231F20"/>
        </w:rPr>
        <w:t xml:space="preserve"> compared to the same period a year ago, primarily driven by increased stock-based compensation of $3.3 million and increased bad debt expense of $0.2 million. These increases were partially offset by a decrease in legal expenses of $0.9 million resulting from lower costs with legal and regulatory requirements in 2017 compared to 2016.</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41" w:right="25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Total Other Income (Expense),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c>
          <w:tcPr>
            <w:tcW w:w="680" w:type="dxa"/>
            <w:vAlign w:val="bottom"/>
          </w:tcPr>
          <w:p>
            <w:pPr>
              <w:spacing w:after="0"/>
              <w:rPr>
                <w:sz w:val="18"/>
                <w:szCs w:val="18"/>
                <w:color w:val="auto"/>
              </w:rPr>
            </w:pPr>
          </w:p>
        </w:tc>
      </w:tr>
      <w:tr>
        <w:trPr>
          <w:trHeight w:val="283"/>
        </w:trPr>
        <w:tc>
          <w:tcPr>
            <w:tcW w:w="2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ind w:left="340"/>
              <w:spacing w:after="0"/>
              <w:rPr>
                <w:sz w:val="20"/>
                <w:szCs w:val="20"/>
                <w:color w:val="auto"/>
              </w:rPr>
            </w:pPr>
            <w:r>
              <w:rPr>
                <w:rFonts w:ascii="Arial" w:cs="Arial" w:eastAsia="Arial" w:hAnsi="Arial"/>
                <w:sz w:val="16"/>
                <w:szCs w:val="16"/>
                <w:b w:val="1"/>
                <w:bCs w:val="1"/>
                <w:color w:val="auto"/>
              </w:rPr>
              <w:t>September 30,</w:t>
            </w:r>
          </w:p>
        </w:tc>
        <w:tc>
          <w:tcPr>
            <w:tcW w:w="3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ind w:left="34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24"/>
                <w:szCs w:val="24"/>
                <w:color w:val="auto"/>
              </w:rPr>
            </w:pPr>
          </w:p>
        </w:tc>
      </w:tr>
      <w:tr>
        <w:trPr>
          <w:trHeight w:val="264"/>
        </w:trPr>
        <w:tc>
          <w:tcPr>
            <w:tcW w:w="22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r>
      <w:tr>
        <w:trPr>
          <w:trHeight w:val="247"/>
        </w:trPr>
        <w:tc>
          <w:tcPr>
            <w:tcW w:w="2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380" w:type="dxa"/>
            <w:vAlign w:val="bottom"/>
            <w:gridSpan w:val="6"/>
          </w:tcPr>
          <w:p>
            <w:pPr>
              <w:jc w:val="right"/>
              <w:spacing w:after="0"/>
              <w:rPr>
                <w:sz w:val="20"/>
                <w:szCs w:val="20"/>
                <w:color w:val="auto"/>
              </w:rPr>
            </w:pPr>
            <w:r>
              <w:rPr>
                <w:rFonts w:ascii="Arial" w:cs="Arial" w:eastAsia="Arial" w:hAnsi="Arial"/>
                <w:sz w:val="16"/>
                <w:szCs w:val="16"/>
                <w:b w:val="1"/>
                <w:bCs w:val="1"/>
                <w:color w:val="auto"/>
              </w:rPr>
              <w:t>(in thousands, except percentages)</w:t>
            </w: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8"/>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income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14"/>
        </w:trPr>
        <w:tc>
          <w:tcPr>
            <w:tcW w:w="2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57"/>
              <w:spacing w:after="0"/>
              <w:rPr>
                <w:sz w:val="20"/>
                <w:szCs w:val="20"/>
                <w:color w:val="auto"/>
              </w:rPr>
            </w:pPr>
            <w:r>
              <w:rPr>
                <w:rFonts w:ascii="Arial" w:cs="Arial" w:eastAsia="Arial" w:hAnsi="Arial"/>
                <w:sz w:val="16"/>
                <w:szCs w:val="16"/>
                <w:color w:val="auto"/>
              </w:rPr>
              <w:t>671</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17"/>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441</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192%  $</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1,484</w:t>
            </w:r>
          </w:p>
        </w:tc>
        <w:tc>
          <w:tcPr>
            <w:tcW w:w="3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438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1,046</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57"/>
        </w:trPr>
        <w:tc>
          <w:tcPr>
            <w:tcW w:w="228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80" w:type="dxa"/>
            <w:vAlign w:val="bottom"/>
          </w:tcPr>
          <w:p>
            <w:pPr>
              <w:spacing w:after="0"/>
              <w:rPr>
                <w:sz w:val="22"/>
                <w:szCs w:val="22"/>
                <w:color w:val="auto"/>
              </w:rPr>
            </w:pPr>
          </w:p>
        </w:tc>
      </w:tr>
    </w:tbl>
    <w:p>
      <w:pPr>
        <w:spacing w:after="0" w:line="229"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231F20"/>
        </w:rPr>
        <w:t>Total other income (expense), net increased by $0.4 million for the three months ended September 30, 2017 compared to the three months ended September 30, 2016, and by $1.0 million for the nine months ended September 30, 2017 compared to the nine months ended September 30, 2016 due to an increase in interest income as our cash and investment balances increased year over year.</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4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c>
          <w:tcPr>
            <w:tcW w:w="700" w:type="dxa"/>
            <w:vAlign w:val="bottom"/>
          </w:tcPr>
          <w:p>
            <w:pPr>
              <w:spacing w:after="0"/>
              <w:rPr>
                <w:sz w:val="18"/>
                <w:szCs w:val="18"/>
                <w:color w:val="auto"/>
              </w:rPr>
            </w:pPr>
          </w:p>
        </w:tc>
      </w:tr>
      <w:tr>
        <w:trPr>
          <w:trHeight w:val="283"/>
        </w:trPr>
        <w:tc>
          <w:tcPr>
            <w:tcW w:w="2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ind w:left="340"/>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gridSpan w:val="4"/>
          </w:tcPr>
          <w:p>
            <w:pPr>
              <w:ind w:left="36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24"/>
                <w:szCs w:val="24"/>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b w:val="1"/>
                <w:bCs w:val="1"/>
                <w:color w:val="auto"/>
              </w:rPr>
              <w:t>Change</w:t>
            </w:r>
          </w:p>
        </w:tc>
        <w:tc>
          <w:tcPr>
            <w:tcW w:w="700" w:type="dxa"/>
            <w:vAlign w:val="bottom"/>
          </w:tcPr>
          <w:p>
            <w:pPr>
              <w:spacing w:after="0"/>
              <w:rPr>
                <w:sz w:val="24"/>
                <w:szCs w:val="24"/>
                <w:color w:val="auto"/>
              </w:rPr>
            </w:pPr>
          </w:p>
        </w:tc>
      </w:tr>
      <w:tr>
        <w:trPr>
          <w:trHeight w:val="264"/>
        </w:trPr>
        <w:tc>
          <w:tcPr>
            <w:tcW w:w="22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2017</w:t>
            </w: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2017</w:t>
            </w:r>
          </w:p>
        </w:tc>
        <w:tc>
          <w:tcPr>
            <w:tcW w:w="3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r>
      <w:tr>
        <w:trPr>
          <w:trHeight w:val="247"/>
        </w:trPr>
        <w:tc>
          <w:tcPr>
            <w:tcW w:w="2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60" w:type="dxa"/>
            <w:vAlign w:val="bottom"/>
            <w:gridSpan w:val="6"/>
          </w:tcPr>
          <w:p>
            <w:pPr>
              <w:jc w:val="right"/>
              <w:ind w:right="19"/>
              <w:spacing w:after="0"/>
              <w:rPr>
                <w:sz w:val="20"/>
                <w:szCs w:val="20"/>
                <w:color w:val="auto"/>
              </w:rPr>
            </w:pPr>
            <w:r>
              <w:rPr>
                <w:rFonts w:ascii="Arial" w:cs="Arial" w:eastAsia="Arial" w:hAnsi="Arial"/>
                <w:sz w:val="16"/>
                <w:szCs w:val="16"/>
                <w:b w:val="1"/>
                <w:bCs w:val="1"/>
                <w:color w:val="auto"/>
              </w:rPr>
              <w:t>(in thousands, except percentages)</w:t>
            </w: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00" w:type="dxa"/>
            <w:vAlign w:val="bottom"/>
          </w:tcPr>
          <w:p>
            <w:pPr>
              <w:spacing w:after="0"/>
              <w:rPr>
                <w:sz w:val="21"/>
                <w:szCs w:val="21"/>
                <w:color w:val="auto"/>
              </w:rPr>
            </w:pPr>
          </w:p>
        </w:tc>
      </w:tr>
      <w:tr>
        <w:trPr>
          <w:trHeight w:val="228"/>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(Benefit from) provision for</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4"/>
        </w:trPr>
        <w:tc>
          <w:tcPr>
            <w:tcW w:w="220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3,068</w:t>
            </w:r>
          </w:p>
        </w:tc>
        <w:tc>
          <w:tcPr>
            <w:tcW w:w="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3,221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(153)</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(5)%  $</w:t>
            </w:r>
          </w:p>
        </w:tc>
        <w:tc>
          <w:tcPr>
            <w:tcW w:w="9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(8,586)</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(17,003)</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r>
      <w:tr>
        <w:trPr>
          <w:trHeight w:val="251"/>
        </w:trPr>
        <w:tc>
          <w:tcPr>
            <w:tcW w:w="220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26.6%</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(29.6)%</w:t>
            </w: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700" w:type="dxa"/>
            <w:vAlign w:val="bottom"/>
          </w:tcPr>
          <w:p>
            <w:pPr>
              <w:spacing w:after="0"/>
              <w:rPr>
                <w:sz w:val="21"/>
                <w:szCs w:val="21"/>
                <w:color w:val="auto"/>
              </w:rPr>
            </w:pPr>
          </w:p>
        </w:tc>
      </w:tr>
    </w:tbl>
    <w:p>
      <w:pPr>
        <w:spacing w:after="0" w:line="262"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 xml:space="preserve">We recorded </w:t>
      </w:r>
      <w:r>
        <w:rPr>
          <w:rFonts w:ascii="Arial" w:cs="Arial" w:eastAsia="Arial" w:hAnsi="Arial"/>
          <w:sz w:val="18"/>
          <w:szCs w:val="18"/>
          <w:color w:val="000000"/>
        </w:rPr>
        <w:t>an income tax provision of $3.1 million and $3.2 million for the three months ended September 30, 2017 and 2016,</w:t>
      </w:r>
      <w:r>
        <w:rPr>
          <w:rFonts w:ascii="Arial" w:cs="Arial" w:eastAsia="Arial" w:hAnsi="Arial"/>
          <w:sz w:val="18"/>
          <w:szCs w:val="18"/>
          <w:color w:val="231F20"/>
        </w:rPr>
        <w:t xml:space="preserve"> </w:t>
      </w:r>
      <w:r>
        <w:rPr>
          <w:rFonts w:ascii="Arial" w:cs="Arial" w:eastAsia="Arial" w:hAnsi="Arial"/>
          <w:sz w:val="18"/>
          <w:szCs w:val="18"/>
          <w:color w:val="000000"/>
        </w:rPr>
        <w:t>respectively. The tax provision for the three months ended September 30, 2017 compared to the three months ended September 30, 2016 was relatively flat. While we had higher taxable income in the three months ended September 30, 2017, we also had a greater amount of excess tax benefits related to stock-based compensation to offset our tax provision expense. The decrease in the effective tax rate for the three months ended September 30, 2017 compared to the three months ended September 30, 2016 was primarily due to the impact of excess tax benefits.</w:t>
      </w:r>
    </w:p>
    <w:p>
      <w:pPr>
        <w:spacing w:after="0" w:line="206" w:lineRule="exact"/>
        <w:rPr>
          <w:sz w:val="20"/>
          <w:szCs w:val="20"/>
          <w:color w:val="auto"/>
        </w:rPr>
      </w:pPr>
    </w:p>
    <w:p>
      <w:pPr>
        <w:jc w:val="both"/>
        <w:ind w:right="40" w:firstLine="486"/>
        <w:spacing w:after="0" w:line="250" w:lineRule="auto"/>
        <w:rPr>
          <w:sz w:val="20"/>
          <w:szCs w:val="20"/>
          <w:color w:val="auto"/>
        </w:rPr>
      </w:pPr>
      <w:r>
        <w:rPr>
          <w:rFonts w:ascii="Arial" w:cs="Arial" w:eastAsia="Arial" w:hAnsi="Arial"/>
          <w:sz w:val="18"/>
          <w:szCs w:val="18"/>
          <w:color w:val="auto"/>
        </w:rPr>
        <w:t xml:space="preserve">We recorded an income tax benefit of $(8.6) million and an income tax provision of $ 8.4 million for the nine months ended September 30, 2017 and 2016, respectively. The benefit from income taxes and the negative effective tax rate for the nine months ended September 30, 2017 was primarily due to </w:t>
      </w:r>
      <w:r>
        <w:rPr>
          <w:rFonts w:ascii="Arial" w:cs="Arial" w:eastAsia="Arial" w:hAnsi="Arial"/>
          <w:sz w:val="18"/>
          <w:szCs w:val="18"/>
          <w:color w:val="231F20"/>
        </w:rPr>
        <w:t>recognizing excess tax benefits related to stock-based compensation that were recorded to the income statement in 2017</w:t>
      </w:r>
      <w:r>
        <w:rPr>
          <w:rFonts w:ascii="Arial" w:cs="Arial" w:eastAsia="Arial" w:hAnsi="Arial"/>
          <w:sz w:val="18"/>
          <w:szCs w:val="18"/>
          <w:color w:val="auto"/>
        </w:rPr>
        <w:t xml:space="preserve"> </w:t>
      </w:r>
      <w:r>
        <w:rPr>
          <w:rFonts w:ascii="Arial" w:cs="Arial" w:eastAsia="Arial" w:hAnsi="Arial"/>
          <w:sz w:val="18"/>
          <w:szCs w:val="18"/>
          <w:color w:val="231F20"/>
        </w:rPr>
        <w:t>and were previously recognized in 2016 as an increase to additional paid in capital.</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24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September 30, 2017</w:t>
      </w:r>
      <w:r>
        <w:rPr>
          <w:rFonts w:ascii="Arial" w:cs="Arial" w:eastAsia="Arial" w:hAnsi="Arial"/>
          <w:sz w:val="18"/>
          <w:szCs w:val="18"/>
          <w:color w:val="231F20"/>
        </w:rPr>
        <w:t xml:space="preserve">, our principal source of liquidity was cash, cash equivalents, and short-term and long-term investments of </w:t>
      </w:r>
      <w:r>
        <w:rPr>
          <w:rFonts w:ascii="Arial" w:cs="Arial" w:eastAsia="Arial" w:hAnsi="Arial"/>
          <w:sz w:val="18"/>
          <w:szCs w:val="18"/>
          <w:color w:val="000000"/>
        </w:rPr>
        <w:t>$343</w:t>
      </w:r>
      <w:r>
        <w:rPr>
          <w:rFonts w:ascii="Arial" w:cs="Arial" w:eastAsia="Arial" w:hAnsi="Arial"/>
          <w:sz w:val="18"/>
          <w:szCs w:val="18"/>
          <w:color w:val="231F20"/>
        </w:rPr>
        <w:t xml:space="preserve"> </w:t>
      </w:r>
      <w:r>
        <w:rPr>
          <w:rFonts w:ascii="Arial" w:cs="Arial" w:eastAsia="Arial" w:hAnsi="Arial"/>
          <w:sz w:val="18"/>
          <w:szCs w:val="18"/>
          <w:color w:val="000000"/>
        </w:rPr>
        <w:t>million</w:t>
      </w:r>
      <w:r>
        <w:rPr>
          <w:rFonts w:ascii="Arial" w:cs="Arial" w:eastAsia="Arial" w:hAnsi="Arial"/>
          <w:sz w:val="18"/>
          <w:szCs w:val="18"/>
          <w:color w:val="231F20"/>
        </w:rPr>
        <w:t>, including $4.5 million held outside of the United States by our foreign subsidiaries. We do not intend to repatriate these funds generated</w:t>
      </w:r>
      <w:r>
        <w:rPr>
          <w:rFonts w:ascii="Arial" w:cs="Arial" w:eastAsia="Arial" w:hAnsi="Arial"/>
          <w:sz w:val="18"/>
          <w:szCs w:val="18"/>
          <w:color w:val="000000"/>
        </w:rPr>
        <w:t xml:space="preserve"> </w:t>
      </w:r>
      <w:r>
        <w:rPr>
          <w:rFonts w:ascii="Arial" w:cs="Arial" w:eastAsia="Arial" w:hAnsi="Arial"/>
          <w:sz w:val="18"/>
          <w:szCs w:val="18"/>
          <w:color w:val="231F20"/>
        </w:rPr>
        <w:t>from foreign operations to fund our domestic operations.</w:t>
      </w:r>
    </w:p>
    <w:p>
      <w:pPr>
        <w:spacing w:after="0" w:line="202"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We experienced positive cash flows from operations during the nine months ended September 30, 2017 and 2016. We believe our existing cash, cash equivalents, short-term and long-term investments, and cash from operations will be sufficient to fund our operations for at least the next twelve months.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4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247" w:lineRule="exact"/>
        <w:rPr>
          <w:sz w:val="20"/>
          <w:szCs w:val="20"/>
          <w:color w:val="auto"/>
        </w:rPr>
      </w:pPr>
    </w:p>
    <w:p>
      <w:pPr>
        <w:ind w:right="560" w:firstLine="162"/>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4"/>
          </w:tcPr>
          <w:p>
            <w:pPr>
              <w:jc w:val="center"/>
              <w:ind w:right="2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83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center"/>
              <w:ind w:left="539"/>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83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47"/>
        </w:trPr>
        <w:tc>
          <w:tcPr>
            <w:tcW w:w="8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3"/>
          </w:tcPr>
          <w:p>
            <w:pPr>
              <w:jc w:val="center"/>
              <w:ind w:left="559"/>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81,779</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54,704</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(83,206)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(65,262)</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financing activities</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5,207</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17,159</w:t>
            </w: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Net increase in cash and cash equivalents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3,780</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6,601</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247"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231F20"/>
        </w:rPr>
        <w:t xml:space="preserve">For the nine months ended September 30, 2017, cash flows from operating activities of $81.8 million primarily resulted from our net income of approximately $37.6 million, as adjusted by an increase in deferred revenues of </w:t>
      </w:r>
      <w:r>
        <w:rPr>
          <w:rFonts w:ascii="Arial" w:cs="Arial" w:eastAsia="Arial" w:hAnsi="Arial"/>
          <w:sz w:val="18"/>
          <w:szCs w:val="18"/>
          <w:color w:val="000000"/>
        </w:rPr>
        <w:t>$17.7 million</w:t>
      </w:r>
      <w:r>
        <w:rPr>
          <w:rFonts w:ascii="Arial" w:cs="Arial" w:eastAsia="Arial" w:hAnsi="Arial"/>
          <w:sz w:val="18"/>
          <w:szCs w:val="18"/>
          <w:color w:val="231F20"/>
        </w:rPr>
        <w:t xml:space="preserve"> attributable to our continued growth. This working capital increase was further increased by non-cash items including stock-based compensation of $18.5 million, depreciation and amortization expense of $15.1 million and excess tax benefits included in deferred tax assets of $7.9 million. These increases were partially offset by the increase to our deferred tax asset </w:t>
      </w:r>
      <w:r>
        <w:rPr>
          <w:rFonts w:ascii="Arial" w:cs="Arial" w:eastAsia="Arial" w:hAnsi="Arial"/>
          <w:sz w:val="18"/>
          <w:szCs w:val="18"/>
          <w:color w:val="000000"/>
        </w:rPr>
        <w:t>of</w:t>
      </w:r>
      <w:r>
        <w:rPr>
          <w:rFonts w:ascii="Arial" w:cs="Arial" w:eastAsia="Arial" w:hAnsi="Arial"/>
          <w:sz w:val="18"/>
          <w:szCs w:val="18"/>
          <w:color w:val="231F20"/>
        </w:rPr>
        <w:t xml:space="preserve"> $17.6 million which has resulted in our benefit from income taxes for the nine months ended September 30, 2017, and was primarily driven by excess tax benefits from stock option exercises.</w:t>
      </w:r>
    </w:p>
    <w:p>
      <w:pPr>
        <w:spacing w:after="0" w:line="200" w:lineRule="exact"/>
        <w:rPr>
          <w:sz w:val="20"/>
          <w:szCs w:val="20"/>
          <w:color w:val="auto"/>
        </w:rPr>
      </w:pPr>
    </w:p>
    <w:p>
      <w:pPr>
        <w:spacing w:after="0" w:line="22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2016</w:t>
      </w:r>
      <w:r>
        <w:rPr>
          <w:rFonts w:ascii="Arial" w:cs="Arial" w:eastAsia="Arial" w:hAnsi="Arial"/>
          <w:sz w:val="18"/>
          <w:szCs w:val="18"/>
          <w:color w:val="231F20"/>
        </w:rPr>
        <w:t xml:space="preserve">, cash flows from operating activities of $54.7 million resulted from our net income of approximately $13.3 million, as adjusted by an increase in deferred revenues of </w:t>
      </w:r>
      <w:r>
        <w:rPr>
          <w:rFonts w:ascii="Arial" w:cs="Arial" w:eastAsia="Arial" w:hAnsi="Arial"/>
          <w:sz w:val="18"/>
          <w:szCs w:val="18"/>
          <w:color w:val="000000"/>
        </w:rPr>
        <w:t>$10.9 million</w:t>
      </w:r>
      <w:r>
        <w:rPr>
          <w:rFonts w:ascii="Arial" w:cs="Arial" w:eastAsia="Arial" w:hAnsi="Arial"/>
          <w:sz w:val="18"/>
          <w:szCs w:val="18"/>
          <w:color w:val="231F20"/>
        </w:rPr>
        <w:t xml:space="preserve">, attributable to our continued growth, an increase in accounts payable and accrued liabilities of $5.9 million due to the purchase of a large software license in the period. These working capital increases were further increased by non -cash items including depreciation and amortization expense of </w:t>
      </w:r>
      <w:r>
        <w:rPr>
          <w:rFonts w:ascii="Arial" w:cs="Arial" w:eastAsia="Arial" w:hAnsi="Arial"/>
          <w:sz w:val="18"/>
          <w:szCs w:val="18"/>
          <w:color w:val="000000"/>
        </w:rPr>
        <w:t>$ 12.4 million</w:t>
      </w:r>
      <w:r>
        <w:rPr>
          <w:rFonts w:ascii="Arial" w:cs="Arial" w:eastAsia="Arial" w:hAnsi="Arial"/>
          <w:sz w:val="18"/>
          <w:szCs w:val="18"/>
          <w:color w:val="231F20"/>
        </w:rPr>
        <w:t xml:space="preserve"> and stock-based compensation expense of $15.1 million. These increases were partially offset by excess tax benefits from stock-based compensation of $4.8 million.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247" w:lineRule="exact"/>
        <w:rPr>
          <w:sz w:val="20"/>
          <w:szCs w:val="20"/>
          <w:color w:val="auto"/>
        </w:rPr>
      </w:pPr>
    </w:p>
    <w:p>
      <w:pPr>
        <w:ind w:right="100" w:firstLine="486"/>
        <w:spacing w:after="0" w:line="256"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2017</w:t>
      </w:r>
      <w:r>
        <w:rPr>
          <w:rFonts w:ascii="Arial" w:cs="Arial" w:eastAsia="Arial" w:hAnsi="Arial"/>
          <w:sz w:val="18"/>
          <w:szCs w:val="18"/>
          <w:color w:val="231F20"/>
        </w:rPr>
        <w:t xml:space="preserve">, cash used in investing activities of </w:t>
      </w:r>
      <w:r>
        <w:rPr>
          <w:rFonts w:ascii="Arial" w:cs="Arial" w:eastAsia="Arial" w:hAnsi="Arial"/>
          <w:sz w:val="18"/>
          <w:szCs w:val="18"/>
          <w:color w:val="000000"/>
        </w:rPr>
        <w:t>$83.2 million was primarily attributable to purchases</w:t>
      </w:r>
      <w:r>
        <w:rPr>
          <w:rFonts w:ascii="Arial" w:cs="Arial" w:eastAsia="Arial" w:hAnsi="Arial"/>
          <w:sz w:val="18"/>
          <w:szCs w:val="18"/>
          <w:color w:val="231F20"/>
        </w:rPr>
        <w:t xml:space="preserve"> </w:t>
      </w:r>
      <w:r>
        <w:rPr>
          <w:rFonts w:ascii="Arial" w:cs="Arial" w:eastAsia="Arial" w:hAnsi="Arial"/>
          <w:sz w:val="18"/>
          <w:szCs w:val="18"/>
          <w:color w:val="000000"/>
        </w:rPr>
        <w:t>of investments, net of sales and maturities of $50.8 million, $ 26.6 million of cash used for capital expenditures, including computer hardware and software for our data centers to support our growth, and $5.8 million used in the purchase of Nevis.</w:t>
      </w:r>
    </w:p>
    <w:p>
      <w:pPr>
        <w:spacing w:after="0" w:line="20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2016, cash used in investing activities of $65.3 million was primarily attributable to purchases</w:t>
      </w:r>
      <w:r>
        <w:rPr>
          <w:rFonts w:ascii="Arial" w:cs="Arial" w:eastAsia="Arial" w:hAnsi="Arial"/>
          <w:sz w:val="18"/>
          <w:szCs w:val="18"/>
          <w:color w:val="231F20"/>
        </w:rPr>
        <w:t xml:space="preserve"> </w:t>
      </w:r>
      <w:r>
        <w:rPr>
          <w:rFonts w:ascii="Arial" w:cs="Arial" w:eastAsia="Arial" w:hAnsi="Arial"/>
          <w:sz w:val="18"/>
          <w:szCs w:val="18"/>
          <w:color w:val="000000"/>
        </w:rPr>
        <w:t>of investments, net of sales and maturities of $46.5 million and $18.8 million of cash used for capital expenditures, including computer hardware and software for our data centers to support our growth and development, and physical scanner appliances and computer hardware provided to certain customers as part of their subscriptions.</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247"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2017</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$5.2 million</w:t>
      </w:r>
      <w:r>
        <w:rPr>
          <w:rFonts w:ascii="Arial" w:cs="Arial" w:eastAsia="Arial" w:hAnsi="Arial"/>
          <w:sz w:val="18"/>
          <w:szCs w:val="18"/>
          <w:color w:val="231F20"/>
        </w:rPr>
        <w:t xml:space="preserve"> was primarily attributable to the proceeds from the exercise of stock options of $22.8 million, partially offset by payments for taxes related to employee net share settlement of equity awards of $17.6 million.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231F20"/>
        </w:rPr>
        <w:t xml:space="preserve">For the </w:t>
      </w:r>
      <w:r>
        <w:rPr>
          <w:rFonts w:ascii="Arial" w:cs="Arial" w:eastAsia="Arial" w:hAnsi="Arial"/>
          <w:sz w:val="18"/>
          <w:szCs w:val="18"/>
          <w:color w:val="000000"/>
        </w:rPr>
        <w:t>nine months ended September 30, 2016</w:t>
      </w:r>
      <w:r>
        <w:rPr>
          <w:rFonts w:ascii="Arial" w:cs="Arial" w:eastAsia="Arial" w:hAnsi="Arial"/>
          <w:sz w:val="18"/>
          <w:szCs w:val="18"/>
          <w:color w:val="231F20"/>
        </w:rPr>
        <w:t xml:space="preserve">, cash provided by financing activities of </w:t>
      </w:r>
      <w:r>
        <w:rPr>
          <w:rFonts w:ascii="Arial" w:cs="Arial" w:eastAsia="Arial" w:hAnsi="Arial"/>
          <w:sz w:val="18"/>
          <w:szCs w:val="18"/>
          <w:color w:val="000000"/>
        </w:rPr>
        <w:t>$17.2 million</w:t>
      </w:r>
      <w:r>
        <w:rPr>
          <w:rFonts w:ascii="Arial" w:cs="Arial" w:eastAsia="Arial" w:hAnsi="Arial"/>
          <w:sz w:val="18"/>
          <w:szCs w:val="18"/>
          <w:color w:val="231F20"/>
        </w:rPr>
        <w:t xml:space="preserve"> was primarily attributable to </w:t>
      </w:r>
      <w:r>
        <w:rPr>
          <w:rFonts w:ascii="Arial" w:cs="Arial" w:eastAsia="Arial" w:hAnsi="Arial"/>
          <w:sz w:val="18"/>
          <w:szCs w:val="18"/>
          <w:color w:val="000000"/>
        </w:rPr>
        <w:t>$12.5</w:t>
      </w:r>
      <w:r>
        <w:rPr>
          <w:rFonts w:ascii="Arial" w:cs="Arial" w:eastAsia="Arial" w:hAnsi="Arial"/>
          <w:sz w:val="18"/>
          <w:szCs w:val="18"/>
          <w:color w:val="231F20"/>
        </w:rPr>
        <w:t xml:space="preserve"> </w:t>
      </w:r>
      <w:r>
        <w:rPr>
          <w:rFonts w:ascii="Arial" w:cs="Arial" w:eastAsia="Arial" w:hAnsi="Arial"/>
          <w:sz w:val="18"/>
          <w:szCs w:val="18"/>
          <w:color w:val="000000"/>
        </w:rPr>
        <w:t xml:space="preserve">million </w:t>
      </w:r>
      <w:r>
        <w:rPr>
          <w:rFonts w:ascii="Arial" w:cs="Arial" w:eastAsia="Arial" w:hAnsi="Arial"/>
          <w:sz w:val="18"/>
          <w:szCs w:val="18"/>
          <w:color w:val="231F20"/>
        </w:rPr>
        <w:t>of proceeds from the exercise of stock options and $4.8 million of tax benefit from the exercise of stock options.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247"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231F20"/>
        </w:rPr>
        <w:t xml:space="preserve">Our principal commitments consist of obligations under our outstanding leases for office space, third-party data centers and certain office equipment. The following table summarizes our contractual cash obligations at </w:t>
      </w:r>
      <w:r>
        <w:rPr>
          <w:rFonts w:ascii="Arial" w:cs="Arial" w:eastAsia="Arial" w:hAnsi="Arial"/>
          <w:sz w:val="18"/>
          <w:szCs w:val="18"/>
          <w:color w:val="000000"/>
        </w:rPr>
        <w:t>September 30, 2017</w:t>
      </w:r>
      <w:r>
        <w:rPr>
          <w:rFonts w:ascii="Arial" w:cs="Arial" w:eastAsia="Arial" w:hAnsi="Arial"/>
          <w:sz w:val="18"/>
          <w:szCs w:val="18"/>
          <w:color w:val="231F20"/>
        </w:rPr>
        <w:t xml:space="preserve"> and the effect such obligations are expected to have on our liquidity and cash flows in future periods: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Payment Due by Period</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 of</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2022 and</w:t>
            </w:r>
          </w:p>
        </w:tc>
      </w:tr>
      <w:tr>
        <w:trPr>
          <w:trHeight w:val="180"/>
        </w:trPr>
        <w:tc>
          <w:tcPr>
            <w:tcW w:w="41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20" w:type="dxa"/>
            <w:vAlign w:val="bottom"/>
          </w:tcPr>
          <w:p>
            <w:pPr>
              <w:spacing w:after="0"/>
              <w:rPr>
                <w:sz w:val="15"/>
                <w:szCs w:val="15"/>
                <w:color w:val="auto"/>
              </w:rPr>
            </w:pPr>
          </w:p>
        </w:tc>
        <w:tc>
          <w:tcPr>
            <w:tcW w:w="120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5"/>
                <w:szCs w:val="15"/>
                <w:color w:val="auto"/>
              </w:rPr>
            </w:pPr>
          </w:p>
        </w:tc>
        <w:tc>
          <w:tcPr>
            <w:tcW w:w="1220" w:type="dxa"/>
            <w:vAlign w:val="bottom"/>
          </w:tcPr>
          <w:p>
            <w:pPr>
              <w:ind w:left="360"/>
              <w:spacing w:after="0" w:line="181" w:lineRule="exact"/>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2018-2019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99"/>
              <w:spacing w:after="0" w:line="181" w:lineRule="exact"/>
              <w:rPr>
                <w:sz w:val="20"/>
                <w:szCs w:val="20"/>
                <w:color w:val="auto"/>
              </w:rPr>
            </w:pPr>
            <w:r>
              <w:rPr>
                <w:rFonts w:ascii="Arial" w:cs="Arial" w:eastAsia="Arial" w:hAnsi="Arial"/>
                <w:sz w:val="16"/>
                <w:szCs w:val="16"/>
                <w:b w:val="1"/>
                <w:bCs w:val="1"/>
                <w:color w:val="auto"/>
              </w:rPr>
              <w:t>2020-2021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4"/>
        </w:trPr>
        <w:tc>
          <w:tcPr>
            <w:tcW w:w="4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0" w:type="dxa"/>
            <w:vAlign w:val="bottom"/>
            <w:gridSpan w:val="5"/>
          </w:tcPr>
          <w:p>
            <w:pPr>
              <w:ind w:left="7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0"/>
        </w:trPr>
        <w:tc>
          <w:tcPr>
            <w:tcW w:w="40" w:type="dxa"/>
            <w:vAlign w:val="bottom"/>
            <w:tcBorders>
              <w:bottom w:val="single" w:sz="8" w:color="CCEEFF"/>
            </w:tcBorders>
            <w:shd w:val="clear" w:color="auto" w:fill="CCEEFF"/>
          </w:tcPr>
          <w:p>
            <w:pPr>
              <w:spacing w:after="0"/>
              <w:rPr>
                <w:sz w:val="24"/>
                <w:szCs w:val="24"/>
                <w:color w:val="auto"/>
              </w:rPr>
            </w:pPr>
          </w:p>
        </w:tc>
        <w:tc>
          <w:tcPr>
            <w:tcW w:w="4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Operating lease obligations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48,167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1,384</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11,125</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9,522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26,136</w:t>
            </w:r>
          </w:p>
        </w:tc>
      </w:tr>
      <w:tr>
        <w:trPr>
          <w:trHeight w:val="234"/>
        </w:trPr>
        <w:tc>
          <w:tcPr>
            <w:tcW w:w="40" w:type="dxa"/>
            <w:vAlign w:val="bottom"/>
          </w:tcPr>
          <w:p>
            <w:pPr>
              <w:spacing w:after="0"/>
              <w:rPr>
                <w:sz w:val="20"/>
                <w:szCs w:val="20"/>
                <w:color w:val="auto"/>
              </w:rPr>
            </w:pPr>
          </w:p>
        </w:tc>
        <w:tc>
          <w:tcPr>
            <w:tcW w:w="408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48,167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6"/>
                <w:szCs w:val="16"/>
                <w:color w:val="auto"/>
              </w:rPr>
              <w:t>1,384</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11,125</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9,522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26,136</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On October 14, 2016, we entered into a lease agreement (included in the table above) for our new headquarter office facility. The lease payments commence on May 1, 2018 and the lease has a ten-year term through April 2028. The total commitment of $38.6 million is payable monthly with escalating rental payments throughout the lease term. We gained access to the facility on May 1, 2017 and began construction of certain leasehold improvements.</w:t>
      </w:r>
    </w:p>
    <w:p>
      <w:pPr>
        <w:spacing w:after="0" w:line="204" w:lineRule="exact"/>
        <w:rPr>
          <w:sz w:val="20"/>
          <w:szCs w:val="20"/>
          <w:color w:val="auto"/>
        </w:rPr>
      </w:pPr>
    </w:p>
    <w:p>
      <w:pPr>
        <w:ind w:right="300" w:firstLine="486"/>
        <w:spacing w:after="0" w:line="262" w:lineRule="auto"/>
        <w:rPr>
          <w:sz w:val="20"/>
          <w:szCs w:val="20"/>
          <w:color w:val="auto"/>
        </w:rPr>
      </w:pPr>
      <w:r>
        <w:rPr>
          <w:rFonts w:ascii="Arial" w:cs="Arial" w:eastAsia="Arial" w:hAnsi="Arial"/>
          <w:sz w:val="18"/>
          <w:szCs w:val="18"/>
          <w:color w:val="231F20"/>
        </w:rPr>
        <w:t>In connection with this lease, we have provided the landlord with a $1.2 million standby letter of credit (classified as restricted cash) to secure our obligations through the end of the lease term.</w:t>
      </w:r>
    </w:p>
    <w:p>
      <w:pPr>
        <w:spacing w:after="0" w:line="196"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231F20"/>
        </w:rPr>
        <w:t xml:space="preserve">Operating lease obligations represent our obligations to make payments under the lease agreements for our facilities, data centers, and office equipment leases. During the </w:t>
      </w:r>
      <w:r>
        <w:rPr>
          <w:rFonts w:ascii="Arial" w:cs="Arial" w:eastAsia="Arial" w:hAnsi="Arial"/>
          <w:sz w:val="18"/>
          <w:szCs w:val="18"/>
          <w:color w:val="000000"/>
        </w:rPr>
        <w:t>nine months ended September 30, 2017</w:t>
      </w:r>
      <w:r>
        <w:rPr>
          <w:rFonts w:ascii="Arial" w:cs="Arial" w:eastAsia="Arial" w:hAnsi="Arial"/>
          <w:sz w:val="18"/>
          <w:szCs w:val="18"/>
          <w:color w:val="231F20"/>
        </w:rPr>
        <w:t>, we made regular payments on our operating lease obligations of $3.4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247"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Form 10-Q for a discussion of recent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247" w:lineRule="exact"/>
        <w:rPr>
          <w:sz w:val="20"/>
          <w:szCs w:val="20"/>
          <w:color w:val="auto"/>
        </w:rPr>
      </w:pPr>
    </w:p>
    <w:p>
      <w:pPr>
        <w:ind w:right="46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204"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consolidated financial statements in our Annual Report on Form 10-K for the fiscal year ended December 31, 2016, filed with the SEC on February 24, 2017, the accounting policies related to revenue recognition, income taxes and stock-based compensation involve the greatest degree of judgment and complexity and have the 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jc w:val="both"/>
        <w:spacing w:after="0" w:line="256" w:lineRule="auto"/>
        <w:rPr>
          <w:sz w:val="20"/>
          <w:szCs w:val="20"/>
          <w:color w:val="auto"/>
        </w:rPr>
      </w:pPr>
      <w:r>
        <w:rPr>
          <w:rFonts w:ascii="Arial" w:cs="Arial" w:eastAsia="Arial" w:hAnsi="Arial"/>
          <w:sz w:val="18"/>
          <w:szCs w:val="18"/>
          <w:color w:val="231F20"/>
        </w:rPr>
        <w:t>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Annual Report on Form 10-K for the fiscal year ended December 31, 2016.</w:t>
      </w:r>
    </w:p>
    <w:p>
      <w:pPr>
        <w:spacing w:after="0" w:line="200" w:lineRule="exact"/>
        <w:rPr>
          <w:sz w:val="20"/>
          <w:szCs w:val="20"/>
          <w:color w:val="auto"/>
        </w:r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60"/>
          </w:cols>
          <w:pgMar w:left="240" w:top="382" w:right="39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color w:val="231F20"/>
        </w:rPr>
        <w:t>Quantitative and Qualitative Disclosures about Market Risk</w:t>
      </w:r>
    </w:p>
    <w:p>
      <w:pPr>
        <w:spacing w:after="0" w:line="315"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British Pound, and Indian Rupee,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We use foreign currency forward contracts to partially mitigate the impact of fluctuations in cash and accounts receivable balances denominated in Euros and British Pound. We do not use these contracts for speculative or trading purposes, nor are they designated as hedges. These contracts typically have a maturity of one month, and we record gains and losses from these instruments in other income (expense), net. The effect of an immediate 10% adverse change in foreign exchange rates would not be material to our financial condition, operating results or cash flows.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47"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 xml:space="preserve">We have $343 million in cash, cash equivalents and short-term and long-term investments at September 30, 2017. Cash and cash equivalents include cash held in banks, highly liquid money market funds, U.S. government agency securities, and commercial paper. Investments consist of fixed-income U.S. government agency securities, corporate bonds, asset-backed securities, and commercial paper. We </w:t>
      </w:r>
      <w:r>
        <w:rPr>
          <w:rFonts w:ascii="Arial" w:cs="Arial" w:eastAsia="Arial" w:hAnsi="Arial"/>
          <w:sz w:val="18"/>
          <w:szCs w:val="18"/>
          <w:color w:val="231F20"/>
        </w:rPr>
        <w:t>determine the appropriate classification of our investments at the time of purchase and reevaluate such designation at each balance sheet date. We classify our investments as either short-term or long-term based on each instrument's underlying contractual maturity date.</w:t>
      </w:r>
    </w:p>
    <w:p>
      <w:pPr>
        <w:spacing w:after="0" w:line="206"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auto"/>
        </w:rPr>
        <w:t>The primary objectives of our investment activities are the preservation of principal and support of our liquidity requirements. We do not enter into investments for trading or speculative purposes. Our investments are subject to market risk due to changes in interest rates, which may affect the interest income we earn and the fair market value. We do not believe that a 10% increase or decrease in interest rates would have a material impact on our operating results or cash flows.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1"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47"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2017.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2017, our Chief Executive Officer and Chief Financial Officer concluded that, as of such date, our disclosure controls and procedures were effective at the reasonable assurance level.</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247" w:lineRule="exact"/>
        <w:rPr>
          <w:sz w:val="20"/>
          <w:szCs w:val="20"/>
          <w:color w:val="auto"/>
        </w:rPr>
      </w:pPr>
    </w:p>
    <w:p>
      <w:pPr>
        <w:jc w:val="both"/>
        <w:ind w:right="24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41" w:right="29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 Legal Proceedings</w:t>
      </w:r>
    </w:p>
    <w:p>
      <w:pPr>
        <w:spacing w:after="0" w:line="247" w:lineRule="exact"/>
        <w:rPr>
          <w:sz w:val="20"/>
          <w:szCs w:val="20"/>
          <w:color w:val="auto"/>
        </w:rPr>
      </w:pPr>
    </w:p>
    <w:p>
      <w:pPr>
        <w:jc w:val="both"/>
        <w:ind w:right="8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Subscriptions to our Qualys Vulnerability Management solutions generate most of our revenues, and if we are unable to continue to renew and grow subscriptions for these solutions, our operating results would suffer.</w:t>
      </w:r>
    </w:p>
    <w:p>
      <w:pPr>
        <w:spacing w:after="0" w:line="175" w:lineRule="exact"/>
        <w:rPr>
          <w:sz w:val="20"/>
          <w:szCs w:val="20"/>
          <w:color w:val="auto"/>
        </w:rPr>
      </w:pPr>
    </w:p>
    <w:p>
      <w:pPr>
        <w:jc w:val="both"/>
        <w:ind w:right="160" w:firstLine="392"/>
        <w:spacing w:after="0" w:line="256" w:lineRule="auto"/>
        <w:rPr>
          <w:sz w:val="20"/>
          <w:szCs w:val="20"/>
          <w:color w:val="auto"/>
        </w:rPr>
      </w:pPr>
      <w:r>
        <w:rPr>
          <w:rFonts w:ascii="Arial" w:cs="Arial" w:eastAsia="Arial" w:hAnsi="Arial"/>
          <w:sz w:val="18"/>
          <w:szCs w:val="18"/>
          <w:color w:val="231F20"/>
        </w:rPr>
        <w:t xml:space="preserve">We derived approximately 75% of our revenues from subscriptions to our core Vulnerability Management solutions for the nine months ended September 30, 2017. In the nine months ended September 30, 2017 and </w:t>
      </w:r>
      <w:r>
        <w:rPr>
          <w:rFonts w:ascii="Arial" w:cs="Arial" w:eastAsia="Arial" w:hAnsi="Arial"/>
          <w:sz w:val="18"/>
          <w:szCs w:val="18"/>
          <w:color w:val="000000"/>
        </w:rPr>
        <w:t>2016</w:t>
      </w:r>
      <w:r>
        <w:rPr>
          <w:rFonts w:ascii="Arial" w:cs="Arial" w:eastAsia="Arial" w:hAnsi="Arial"/>
          <w:sz w:val="18"/>
          <w:szCs w:val="18"/>
          <w:color w:val="231F20"/>
        </w:rPr>
        <w:t>, our VM Solutions included revenues from VM, Private Cloud Platform, Continuous Monitoring, Cloud Agent for VM, AssetView, and Threat Protection.</w:t>
      </w:r>
    </w:p>
    <w:p>
      <w:pPr>
        <w:spacing w:after="0" w:line="202"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We expect to continue to derive a significant majority of our revenues from subscriptions to our VM solutions. As a result, the market demand for our Vulnerability Management solutions is critical to our continued success. Demand for these solutions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229" w:lineRule="exact"/>
        <w:rPr>
          <w:sz w:val="20"/>
          <w:szCs w:val="20"/>
          <w:color w:val="auto"/>
        </w:rPr>
      </w:pPr>
    </w:p>
    <w:p>
      <w:pPr>
        <w:ind w:right="60" w:firstLine="392"/>
        <w:spacing w:after="0" w:line="35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perceived threats to IT security;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 breaches, technical difficulties or interruptions with our service;</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40"/>
          </w:cols>
          <w:pgMar w:left="240" w:top="141" w:right="31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9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103" w:lineRule="exact"/>
        <w:rPr>
          <w:rFonts w:ascii="Arial" w:cs="Arial" w:eastAsia="Arial" w:hAnsi="Arial"/>
          <w:sz w:val="18"/>
          <w:szCs w:val="18"/>
          <w:color w:val="auto"/>
        </w:rPr>
      </w:pPr>
    </w:p>
    <w:p>
      <w:pPr>
        <w:ind w:left="660" w:right="580" w:hanging="328"/>
        <w:spacing w:after="0" w:line="3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invoicing or change in billing terms of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03" w:lineRule="exact"/>
        <w:rPr>
          <w:rFonts w:ascii="Arial" w:cs="Arial" w:eastAsia="Arial" w:hAnsi="Arial"/>
          <w:sz w:val="18"/>
          <w:szCs w:val="18"/>
          <w:color w:val="auto"/>
        </w:rPr>
      </w:pPr>
    </w:p>
    <w:p>
      <w:pPr>
        <w:ind w:left="660" w:hanging="328"/>
        <w:spacing w:after="0" w:line="352"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may acquire in the future into our product suite or migrate existing customers of any companies that we may acquire in the future to our products and services;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income tax credits that we recognize resulting from excess tax benefits related to stock-based compensation;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66"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41" w:right="27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75" w:lineRule="exact"/>
        <w:rPr>
          <w:sz w:val="20"/>
          <w:szCs w:val="20"/>
          <w:color w:val="auto"/>
        </w:rPr>
      </w:pPr>
    </w:p>
    <w:p>
      <w:pPr>
        <w:ind w:right="40" w:firstLine="392"/>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11" w:lineRule="exact"/>
        <w:rPr>
          <w:sz w:val="20"/>
          <w:szCs w:val="20"/>
          <w:color w:val="auto"/>
        </w:rPr>
      </w:pPr>
    </w:p>
    <w:p>
      <w:pPr>
        <w:jc w:val="both"/>
        <w:ind w:right="140" w:firstLine="392"/>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80"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90"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231F20"/>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206" w:lineRule="exact"/>
        <w:rPr>
          <w:sz w:val="20"/>
          <w:szCs w:val="20"/>
          <w:color w:val="auto"/>
        </w:rPr>
      </w:pPr>
    </w:p>
    <w:p>
      <w:pPr>
        <w:ind w:firstLine="392"/>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33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1" w:right="2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171" w:lineRule="exact"/>
        <w:rPr>
          <w:sz w:val="20"/>
          <w:szCs w:val="20"/>
          <w:color w:val="auto"/>
        </w:rPr>
      </w:pPr>
    </w:p>
    <w:p>
      <w:pPr>
        <w:ind w:right="60" w:firstLine="392"/>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204" w:lineRule="exact"/>
        <w:rPr>
          <w:sz w:val="20"/>
          <w:szCs w:val="20"/>
          <w:color w:val="auto"/>
        </w:rPr>
      </w:pPr>
    </w:p>
    <w:p>
      <w:pPr>
        <w:ind w:right="420" w:firstLine="392"/>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8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175" w:lineRule="exact"/>
        <w:rPr>
          <w:sz w:val="20"/>
          <w:szCs w:val="20"/>
          <w:color w:val="auto"/>
        </w:rPr>
      </w:pPr>
    </w:p>
    <w:p>
      <w:pPr>
        <w:ind w:right="140" w:firstLine="392"/>
        <w:spacing w:after="0" w:line="250" w:lineRule="auto"/>
        <w:rPr>
          <w:sz w:val="20"/>
          <w:szCs w:val="20"/>
          <w:color w:val="auto"/>
        </w:rPr>
      </w:pPr>
      <w:r>
        <w:rPr>
          <w:rFonts w:ascii="Arial" w:cs="Arial" w:eastAsia="Arial" w:hAnsi="Arial"/>
          <w:sz w:val="18"/>
          <w:szCs w:val="18"/>
          <w:color w:val="231F20"/>
        </w:rPr>
        <w:t>Our future growth depends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18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Our current research and development efforts may not produce successful products or enhancements to our platform that result in significant revenue, cost savings or other benefits in the near future, if at all.</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4"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platform, website and internal systems may be subject to intentional disruption or other security incidents that could result in liability and adversely impact our reputation and future sales.</w:t>
      </w:r>
    </w:p>
    <w:p>
      <w:pPr>
        <w:spacing w:after="0" w:line="175" w:lineRule="exact"/>
        <w:rPr>
          <w:sz w:val="20"/>
          <w:szCs w:val="20"/>
          <w:color w:val="auto"/>
        </w:rPr>
      </w:pPr>
    </w:p>
    <w:p>
      <w:pPr>
        <w:ind w:right="20" w:firstLine="392"/>
        <w:spacing w:after="0" w:line="251" w:lineRule="auto"/>
        <w:rPr>
          <w:sz w:val="20"/>
          <w:szCs w:val="20"/>
          <w:color w:val="auto"/>
        </w:rPr>
      </w:pPr>
      <w:r>
        <w:rPr>
          <w:rFonts w:ascii="Arial" w:cs="Arial" w:eastAsia="Arial" w:hAnsi="Arial"/>
          <w:sz w:val="18"/>
          <w:szCs w:val="18"/>
          <w:color w:val="231F20"/>
        </w:rPr>
        <w:t>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Our solutions, platforms, and system may also suffer security incidents as a result of non-technical issues, including intentional or inadvertent breaches by our employees or service providers. Because our operations involve providing IT security solutions to our customers, we may be targeted for cyber-attacks and other security incidents. If an actual or perceived breach of our security measures or those of our service providers occurs, it could adversely affect the market perception of our solutions, negatively affecting our reputation, and may expose us to the loss of information, litigation, regulatory actions and possible liability. Any such actual or perceived security breach could also divert the efforts of our technical and management personnel.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75" w:lineRule="exact"/>
        <w:rPr>
          <w:sz w:val="20"/>
          <w:szCs w:val="20"/>
          <w:color w:val="auto"/>
        </w:rPr>
      </w:pPr>
    </w:p>
    <w:p>
      <w:pPr>
        <w:ind w:right="120" w:firstLine="405"/>
        <w:spacing w:after="0" w:line="251" w:lineRule="auto"/>
        <w:rPr>
          <w:sz w:val="20"/>
          <w:szCs w:val="20"/>
          <w:color w:val="auto"/>
        </w:rPr>
      </w:pPr>
      <w:r>
        <w:rPr>
          <w:rFonts w:ascii="Arial" w:cs="Arial" w:eastAsia="Arial" w:hAnsi="Arial"/>
          <w:sz w:val="18"/>
          <w:szCs w:val="18"/>
          <w:color w:val="231F20"/>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19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75"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247"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 Vulnerability Management for our business and revenues to grow as we expect. Revenues from our other solutions such as Policy Compliance, PCI Compliance, Security Assessment Questionnaire, Web Application Scanning, and Web Application Firewall have been relatively modest compared to revenues from our Qualys Vulnerability Management solutions.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The timing of sales of subscriptions for our solutions can be difficult to forecast because of the length and unpredictability of our sales cycle, particularly with large transactions.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47" w:lineRule="exact"/>
        <w:rPr>
          <w:sz w:val="20"/>
          <w:szCs w:val="20"/>
          <w:color w:val="auto"/>
        </w:rPr>
      </w:pPr>
    </w:p>
    <w:p>
      <w:pPr>
        <w:ind w:right="80" w:firstLine="392"/>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Economic weakness, customer financial difficulties,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and geopolitical turmoil in many parts of the world have and may continue to put pressure on global economic conditions and overall spending on IT security. General economic weakness may also lead to longer collection</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231F20"/>
        </w:rPr>
        <w:t>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customers' available budgetary spending, which could lead to delays in planned purchases of our solutions.</w:t>
      </w:r>
    </w:p>
    <w:p>
      <w:pPr>
        <w:spacing w:after="0" w:line="204" w:lineRule="exact"/>
        <w:rPr>
          <w:sz w:val="20"/>
          <w:szCs w:val="20"/>
          <w:color w:val="auto"/>
        </w:rPr>
      </w:pPr>
    </w:p>
    <w:p>
      <w:pPr>
        <w:ind w:right="360" w:firstLine="405"/>
        <w:spacing w:after="0" w:line="254" w:lineRule="auto"/>
        <w:rPr>
          <w:sz w:val="20"/>
          <w:szCs w:val="20"/>
          <w:color w:val="auto"/>
        </w:rPr>
      </w:pPr>
      <w:r>
        <w:rPr>
          <w:rFonts w:ascii="Arial" w:cs="Arial" w:eastAsia="Arial" w:hAnsi="Arial"/>
          <w:sz w:val="18"/>
          <w:szCs w:val="18"/>
          <w:color w:val="231F20"/>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2" w:lineRule="exact"/>
        <w:rPr>
          <w:sz w:val="20"/>
          <w:szCs w:val="20"/>
          <w:color w:val="auto"/>
        </w:rPr>
      </w:pPr>
    </w:p>
    <w:p>
      <w:pPr>
        <w:jc w:val="both"/>
        <w:ind w:right="38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delivered from six data centers, and any disruption of service at these facilities would interrupt or delay our ability to deliver our solutions to our customers which could reduce our revenues and harm our operating results.</w:t>
      </w:r>
    </w:p>
    <w:p>
      <w:pPr>
        <w:spacing w:after="0" w:line="190" w:lineRule="exact"/>
        <w:rPr>
          <w:sz w:val="20"/>
          <w:szCs w:val="20"/>
          <w:color w:val="auto"/>
        </w:rPr>
      </w:pPr>
    </w:p>
    <w:p>
      <w:pPr>
        <w:ind w:right="100" w:firstLine="392"/>
        <w:spacing w:after="0" w:line="253" w:lineRule="auto"/>
        <w:rPr>
          <w:sz w:val="20"/>
          <w:szCs w:val="20"/>
          <w:color w:val="auto"/>
        </w:rPr>
      </w:pPr>
      <w:r>
        <w:rPr>
          <w:rFonts w:ascii="Arial" w:cs="Arial" w:eastAsia="Arial" w:hAnsi="Arial"/>
          <w:sz w:val="18"/>
          <w:szCs w:val="18"/>
          <w:color w:val="231F20"/>
        </w:rPr>
        <w:t>We currently host substantially all of our solutions from third-party data centers located in the United States, Switzerland, the Netherlands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60" w:firstLine="392"/>
        <w:spacing w:after="0" w:line="254" w:lineRule="auto"/>
        <w:rPr>
          <w:sz w:val="20"/>
          <w:szCs w:val="20"/>
          <w:color w:val="auto"/>
        </w:rPr>
      </w:pPr>
      <w:r>
        <w:rPr>
          <w:rFonts w:ascii="Arial" w:cs="Arial" w:eastAsia="Arial" w:hAnsi="Arial"/>
          <w:sz w:val="18"/>
          <w:szCs w:val="18"/>
          <w:color w:val="auto"/>
        </w:rPr>
        <w:t xml:space="preserve">Some of our data centers are not currently redundant and we may not be able to rapidly move our customers from one data center to another, which may increase delays in the restoration of our service for our customers if an adverse event occurs. </w:t>
      </w:r>
      <w:r>
        <w:rPr>
          <w:rFonts w:ascii="Arial" w:cs="Arial" w:eastAsia="Arial" w:hAnsi="Arial"/>
          <w:sz w:val="18"/>
          <w:szCs w:val="18"/>
          <w:color w:val="231F20"/>
        </w:rPr>
        <w:t>We have added data center</w:t>
      </w:r>
      <w:r>
        <w:rPr>
          <w:rFonts w:ascii="Arial" w:cs="Arial" w:eastAsia="Arial" w:hAnsi="Arial"/>
          <w:sz w:val="18"/>
          <w:szCs w:val="18"/>
          <w:color w:val="auto"/>
        </w:rPr>
        <w:t xml:space="preserve"> </w:t>
      </w:r>
      <w:r>
        <w:rPr>
          <w:rFonts w:ascii="Arial" w:cs="Arial" w:eastAsia="Arial" w:hAnsi="Arial"/>
          <w:sz w:val="18"/>
          <w:szCs w:val="18"/>
          <w:color w:val="231F20"/>
        </w:rPr>
        <w:t>facilities to provide additional capacity for our cloud platform and to enable disaster recovery. We continue to build out these facilities; however, these additional facilities may not be operational in the anticipated time-frame and we may incur unplanned expenses.</w:t>
      </w:r>
    </w:p>
    <w:p>
      <w:pPr>
        <w:spacing w:after="0" w:line="204" w:lineRule="exact"/>
        <w:rPr>
          <w:sz w:val="20"/>
          <w:szCs w:val="20"/>
          <w:color w:val="auto"/>
        </w:rPr>
      </w:pPr>
    </w:p>
    <w:p>
      <w:pPr>
        <w:ind w:firstLine="392"/>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204" w:lineRule="exact"/>
        <w:rPr>
          <w:sz w:val="20"/>
          <w:szCs w:val="20"/>
          <w:color w:val="auto"/>
        </w:rPr>
      </w:pPr>
    </w:p>
    <w:p>
      <w:pPr>
        <w:ind w:right="220" w:firstLine="392"/>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0"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75" w:lineRule="exact"/>
        <w:rPr>
          <w:sz w:val="20"/>
          <w:szCs w:val="20"/>
          <w:color w:val="auto"/>
        </w:rPr>
      </w:pPr>
    </w:p>
    <w:p>
      <w:pPr>
        <w:ind w:right="380" w:firstLine="392"/>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75" w:lineRule="exact"/>
        <w:rPr>
          <w:sz w:val="20"/>
          <w:szCs w:val="20"/>
          <w:color w:val="auto"/>
        </w:rPr>
      </w:pPr>
    </w:p>
    <w:p>
      <w:pPr>
        <w:ind w:right="280" w:firstLine="392"/>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41" w:right="25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340" w:firstLine="392"/>
        <w:spacing w:after="0" w:line="252" w:lineRule="auto"/>
        <w:rPr>
          <w:sz w:val="20"/>
          <w:szCs w:val="20"/>
          <w:color w:val="auto"/>
        </w:rPr>
      </w:pPr>
      <w:r>
        <w:rPr>
          <w:rFonts w:ascii="Arial" w:cs="Arial" w:eastAsia="Arial" w:hAnsi="Arial"/>
          <w:sz w:val="18"/>
          <w:szCs w:val="18"/>
          <w:color w:val="231F20"/>
        </w:rPr>
        <w:t>We compete with large and small public companies, such as Barracuda Networks, Inc., Hewlett-Packard Company, Imperva, Inc., International Business Machines Corporation, Symantec Corporation and Rapid7, Inc., as well as privately held security providers including BeyondTrust Software, Inc., Tripwire, Inc., NetIQ Corporation,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7" w:lineRule="exact"/>
        <w:rPr>
          <w:sz w:val="20"/>
          <w:szCs w:val="20"/>
          <w:color w:val="auto"/>
        </w:rPr>
      </w:pPr>
    </w:p>
    <w:p>
      <w:pPr>
        <w:jc w:val="both"/>
        <w:ind w:right="580" w:firstLine="392"/>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2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66" w:lineRule="exact"/>
        <w:rPr>
          <w:sz w:val="20"/>
          <w:szCs w:val="20"/>
          <w:color w:val="auto"/>
        </w:rPr>
      </w:pPr>
    </w:p>
    <w:p>
      <w:pPr>
        <w:ind w:right="420" w:firstLine="392"/>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right="20" w:firstLine="392"/>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0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141" w:right="25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75" w:lineRule="exact"/>
        <w:rPr>
          <w:sz w:val="20"/>
          <w:szCs w:val="20"/>
          <w:color w:val="auto"/>
        </w:rPr>
      </w:pPr>
    </w:p>
    <w:p>
      <w:pPr>
        <w:ind w:right="80" w:firstLine="392"/>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09"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may not maintain profitability in the future.</w:t>
      </w:r>
    </w:p>
    <w:p>
      <w:pPr>
        <w:spacing w:after="0" w:line="247" w:lineRule="exact"/>
        <w:rPr>
          <w:sz w:val="20"/>
          <w:szCs w:val="20"/>
          <w:color w:val="auto"/>
        </w:rPr>
      </w:pPr>
    </w:p>
    <w:p>
      <w:pPr>
        <w:ind w:right="140" w:firstLine="405"/>
        <w:spacing w:after="0" w:line="252" w:lineRule="auto"/>
        <w:rPr>
          <w:sz w:val="20"/>
          <w:szCs w:val="20"/>
          <w:color w:val="auto"/>
        </w:rPr>
      </w:pPr>
      <w:r>
        <w:rPr>
          <w:rFonts w:ascii="Arial" w:cs="Arial" w:eastAsia="Arial" w:hAnsi="Arial"/>
          <w:sz w:val="18"/>
          <w:szCs w:val="18"/>
          <w:color w:val="231F20"/>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87"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5"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 and Japanese Yen,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achieve profitability.</w:t>
      </w:r>
    </w:p>
    <w:p>
      <w:pPr>
        <w:spacing w:after="0" w:line="19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75" w:lineRule="exact"/>
        <w:rPr>
          <w:sz w:val="20"/>
          <w:szCs w:val="20"/>
          <w:color w:val="auto"/>
        </w:rPr>
      </w:pPr>
    </w:p>
    <w:p>
      <w:pPr>
        <w:ind w:right="120" w:firstLine="392"/>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231F20"/>
        </w:rPr>
        <w:t>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202" w:lineRule="exact"/>
        <w:rPr>
          <w:sz w:val="20"/>
          <w:szCs w:val="20"/>
          <w:color w:val="auto"/>
        </w:rPr>
      </w:pPr>
    </w:p>
    <w:p>
      <w:pPr>
        <w:ind w:right="400" w:firstLine="392"/>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202" w:lineRule="exact"/>
        <w:rPr>
          <w:sz w:val="20"/>
          <w:szCs w:val="20"/>
          <w:color w:val="auto"/>
        </w:rPr>
      </w:pPr>
    </w:p>
    <w:p>
      <w:pPr>
        <w:ind w:right="840" w:firstLine="392"/>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75" w:lineRule="exact"/>
        <w:rPr>
          <w:sz w:val="20"/>
          <w:szCs w:val="20"/>
          <w:color w:val="auto"/>
        </w:rPr>
      </w:pPr>
    </w:p>
    <w:p>
      <w:pPr>
        <w:ind w:right="140" w:firstLine="405"/>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84"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and other data handling concerns could result in additional cost and liability to us or inhibit sales of our solutions.</w:t>
      </w:r>
    </w:p>
    <w:p>
      <w:pPr>
        <w:spacing w:after="0" w:line="175" w:lineRule="exact"/>
        <w:rPr>
          <w:sz w:val="20"/>
          <w:szCs w:val="20"/>
          <w:color w:val="auto"/>
        </w:rPr>
      </w:pPr>
    </w:p>
    <w:p>
      <w:pPr>
        <w:ind w:right="20" w:firstLine="392"/>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41"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212" w:lineRule="exact"/>
        <w:rPr>
          <w:sz w:val="20"/>
          <w:szCs w:val="20"/>
          <w:color w:val="auto"/>
        </w:rPr>
      </w:pPr>
    </w:p>
    <w:p>
      <w:pPr>
        <w:ind w:right="20" w:firstLine="392"/>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0"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7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especially in the San Francisco Bay Area, one of the locations in which we have a substantial presence and need for highly skilled personnel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91" w:lineRule="exact"/>
        <w:rPr>
          <w:sz w:val="20"/>
          <w:szCs w:val="20"/>
          <w:color w:val="auto"/>
        </w:rPr>
      </w:pPr>
    </w:p>
    <w:p>
      <w:pPr>
        <w:ind w:right="14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90" w:lineRule="exact"/>
        <w:rPr>
          <w:sz w:val="20"/>
          <w:szCs w:val="20"/>
          <w:color w:val="auto"/>
        </w:rPr>
      </w:pPr>
    </w:p>
    <w:p>
      <w:pPr>
        <w:ind w:right="80" w:firstLine="392"/>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31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1" w:right="25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53" w:lineRule="exact"/>
        <w:rPr>
          <w:sz w:val="20"/>
          <w:szCs w:val="20"/>
          <w:color w:val="auto"/>
        </w:rPr>
      </w:pPr>
    </w:p>
    <w:p>
      <w:pPr>
        <w:jc w:val="both"/>
        <w:ind w:left="660" w:right="20" w:hanging="328"/>
        <w:spacing w:after="0" w:line="256"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93"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13"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 xml:space="preserve">In addition, as of September </w:t>
      </w:r>
      <w:r>
        <w:rPr>
          <w:rFonts w:ascii="Arial" w:cs="Arial" w:eastAsia="Arial" w:hAnsi="Arial"/>
          <w:sz w:val="18"/>
          <w:szCs w:val="18"/>
          <w:color w:val="000000"/>
        </w:rPr>
        <w:t>30, 2017</w:t>
      </w:r>
      <w:r>
        <w:rPr>
          <w:rFonts w:ascii="Arial" w:cs="Arial" w:eastAsia="Arial" w:hAnsi="Arial"/>
          <w:sz w:val="18"/>
          <w:szCs w:val="18"/>
          <w:color w:val="231F20"/>
        </w:rPr>
        <w:t>, approximately 56% of our employees were located outside of the United States, with a significant number of these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8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75" w:lineRule="exact"/>
        <w:rPr>
          <w:sz w:val="20"/>
          <w:szCs w:val="20"/>
          <w:color w:val="auto"/>
        </w:rPr>
      </w:pPr>
    </w:p>
    <w:p>
      <w:pPr>
        <w:ind w:right="20" w:firstLine="392"/>
        <w:spacing w:after="0" w:line="253"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significant growth, and if we do not appropriately manage any future growth, or are unable to improve our systems and processes, our operating results may be negatively affected.</w:t>
      </w:r>
    </w:p>
    <w:p>
      <w:pPr>
        <w:spacing w:after="0" w:line="175" w:lineRule="exact"/>
        <w:rPr>
          <w:sz w:val="20"/>
          <w:szCs w:val="20"/>
          <w:color w:val="auto"/>
        </w:rPr>
      </w:pPr>
    </w:p>
    <w:p>
      <w:pPr>
        <w:ind w:left="400"/>
        <w:spacing w:after="0"/>
        <w:rPr>
          <w:sz w:val="20"/>
          <w:szCs w:val="20"/>
          <w:color w:val="auto"/>
        </w:rPr>
      </w:pPr>
      <w:r>
        <w:rPr>
          <w:rFonts w:ascii="Arial" w:cs="Arial" w:eastAsia="Arial" w:hAnsi="Arial"/>
          <w:sz w:val="18"/>
          <w:szCs w:val="18"/>
          <w:color w:val="231F20"/>
        </w:rPr>
        <w:t xml:space="preserve">We have experienced significant growth over the last several years. Our headcount increased from 431 employees at January 1, </w:t>
      </w:r>
      <w:r>
        <w:rPr>
          <w:rFonts w:ascii="Arial" w:cs="Arial" w:eastAsia="Arial" w:hAnsi="Arial"/>
          <w:sz w:val="18"/>
          <w:szCs w:val="18"/>
          <w:color w:val="000000"/>
        </w:rPr>
        <w:t>2015</w:t>
      </w:r>
      <w:r>
        <w:rPr>
          <w:rFonts w:ascii="Arial" w:cs="Arial" w:eastAsia="Arial" w:hAnsi="Arial"/>
          <w:sz w:val="18"/>
          <w:szCs w:val="18"/>
          <w:color w:val="231F20"/>
        </w:rPr>
        <w:t xml:space="preserve"> to</w:t>
      </w:r>
    </w:p>
    <w:p>
      <w:pPr>
        <w:spacing w:after="0" w:line="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231F20"/>
        </w:rPr>
        <w:t xml:space="preserve">832 employees at September </w:t>
      </w:r>
      <w:r>
        <w:rPr>
          <w:rFonts w:ascii="Arial" w:cs="Arial" w:eastAsia="Arial" w:hAnsi="Arial"/>
          <w:sz w:val="18"/>
          <w:szCs w:val="18"/>
          <w:color w:val="000000"/>
        </w:rPr>
        <w:t>30, 2017</w:t>
      </w:r>
      <w:r>
        <w:rPr>
          <w:rFonts w:ascii="Arial" w:cs="Arial" w:eastAsia="Arial" w:hAnsi="Arial"/>
          <w:sz w:val="18"/>
          <w:szCs w:val="18"/>
          <w:color w:val="231F20"/>
        </w:rPr>
        <w:t>.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1" w:right="25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100" w:firstLine="392"/>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75" w:lineRule="exact"/>
        <w:rPr>
          <w:sz w:val="20"/>
          <w:szCs w:val="20"/>
          <w:color w:val="auto"/>
        </w:rPr>
      </w:pPr>
    </w:p>
    <w:p>
      <w:pPr>
        <w:ind w:right="100" w:firstLine="392"/>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8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7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 xml:space="preserve">Our success significantly depends upon establishing and maintaining relationships with a variety of channel partners and we anticipate that we will continue to depend on these partners in order to grow our business. For the nine months ended September 30, 2017, we derived approximately </w:t>
      </w:r>
      <w:r>
        <w:rPr>
          <w:rFonts w:ascii="Arial" w:cs="Arial" w:eastAsia="Arial" w:hAnsi="Arial"/>
          <w:sz w:val="18"/>
          <w:szCs w:val="18"/>
          <w:color w:val="000000"/>
        </w:rPr>
        <w:t>41%</w:t>
      </w:r>
      <w:r>
        <w:rPr>
          <w:rFonts w:ascii="Arial" w:cs="Arial" w:eastAsia="Arial" w:hAnsi="Arial"/>
          <w:sz w:val="18"/>
          <w:szCs w:val="18"/>
          <w:color w:val="231F20"/>
        </w:rPr>
        <w:t xml:space="preserve">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21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231F20"/>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pacing w:after="0" w:line="187"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41" w:right="25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231F20"/>
        </w:rPr>
        <w:t>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212"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85"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207" w:lineRule="exact"/>
        <w:rPr>
          <w:sz w:val="20"/>
          <w:szCs w:val="20"/>
          <w:color w:val="auto"/>
        </w:rPr>
      </w:pPr>
    </w:p>
    <w:p>
      <w:pPr>
        <w:ind w:right="320" w:firstLine="392"/>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0"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75" w:lineRule="exact"/>
        <w:rPr>
          <w:sz w:val="20"/>
          <w:szCs w:val="20"/>
          <w:color w:val="auto"/>
        </w:rPr>
      </w:pPr>
    </w:p>
    <w:p>
      <w:pPr>
        <w:ind w:right="80" w:firstLine="392"/>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2" w:lineRule="exact"/>
        <w:rPr>
          <w:sz w:val="20"/>
          <w:szCs w:val="20"/>
          <w:color w:val="auto"/>
        </w:rPr>
      </w:pPr>
    </w:p>
    <w:p>
      <w:pPr>
        <w:ind w:right="20" w:firstLine="405"/>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4"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75" w:lineRule="exact"/>
        <w:rPr>
          <w:sz w:val="20"/>
          <w:szCs w:val="20"/>
          <w:color w:val="auto"/>
        </w:rPr>
      </w:pPr>
    </w:p>
    <w:p>
      <w:pPr>
        <w:ind w:firstLine="405"/>
        <w:spacing w:after="0" w:line="251"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for the nine months ended September 30, 2017, we incurred approximately 18% of our expenses outside of the United States in foreign currencies, primarily Euros, British Pounds, and Indian Rupee, principally with respect to salaries and related personnel expenses associated with our European and Indian operations. Additionally, for the nine months ended September 30, 2017, approximately 16%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 British Pound and Indian Rupee. The results of our operations may be adversely affected by foreign exchange fluctuations.</w:t>
      </w:r>
    </w:p>
    <w:p>
      <w:pPr>
        <w:spacing w:after="0" w:line="212" w:lineRule="exact"/>
        <w:rPr>
          <w:sz w:val="20"/>
          <w:szCs w:val="20"/>
          <w:color w:val="auto"/>
        </w:rPr>
      </w:pPr>
    </w:p>
    <w:p>
      <w:pPr>
        <w:ind w:right="100" w:firstLine="405"/>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certain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8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75" w:lineRule="exact"/>
        <w:rPr>
          <w:sz w:val="20"/>
          <w:szCs w:val="20"/>
          <w:color w:val="auto"/>
        </w:rPr>
      </w:pPr>
    </w:p>
    <w:p>
      <w:pPr>
        <w:jc w:val="both"/>
        <w:ind w:right="200" w:firstLine="392"/>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right="40" w:firstLine="392"/>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right="20" w:firstLine="392"/>
        <w:spacing w:after="0" w:line="254" w:lineRule="auto"/>
        <w:rPr>
          <w:sz w:val="20"/>
          <w:szCs w:val="20"/>
          <w:color w:val="auto"/>
        </w:rPr>
      </w:pPr>
      <w:r>
        <w:rPr>
          <w:rFonts w:ascii="Arial" w:cs="Arial" w:eastAsia="Arial" w:hAnsi="Arial"/>
          <w:sz w:val="18"/>
          <w:szCs w:val="18"/>
          <w:color w:val="231F20"/>
        </w:rPr>
        <w:t>We have nine issued patents and several pending U.S. patent applications, and may file additional patent applications in the future. Additionally, we have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1"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firstLine="392"/>
        <w:spacing w:after="0" w:line="253" w:lineRule="auto"/>
        <w:rPr>
          <w:sz w:val="20"/>
          <w:szCs w:val="20"/>
          <w:color w:val="auto"/>
        </w:rPr>
      </w:pPr>
      <w:r>
        <w:rPr>
          <w:rFonts w:ascii="Arial" w:cs="Arial" w:eastAsia="Arial" w:hAnsi="Arial"/>
          <w:sz w:val="18"/>
          <w:szCs w:val="18"/>
          <w:color w:val="231F20"/>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06" w:lineRule="exact"/>
        <w:rPr>
          <w:sz w:val="20"/>
          <w:szCs w:val="20"/>
          <w:color w:val="auto"/>
        </w:rPr>
      </w:pPr>
    </w:p>
    <w:p>
      <w:pPr>
        <w:ind w:right="100" w:firstLine="392"/>
        <w:spacing w:after="0" w:line="252"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87"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206"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209"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An adverse outcome of a dispute may require us to:</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11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spacing w:after="0" w:line="88" w:lineRule="exact"/>
        <w:rPr>
          <w:rFonts w:ascii="Arial" w:cs="Arial" w:eastAsia="Arial" w:hAnsi="Arial"/>
          <w:sz w:val="18"/>
          <w:szCs w:val="18"/>
          <w:color w:val="auto"/>
        </w:rPr>
      </w:pPr>
    </w:p>
    <w:p>
      <w:pPr>
        <w:ind w:left="660" w:right="40" w:hanging="328"/>
        <w:spacing w:after="0" w:line="26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25" w:lineRule="exact"/>
        <w:rPr>
          <w:sz w:val="20"/>
          <w:szCs w:val="20"/>
          <w:color w:val="auto"/>
        </w:rPr>
      </w:pPr>
    </w:p>
    <w:p>
      <w:pPr>
        <w:jc w:val="both"/>
        <w:ind w:right="360" w:firstLine="405"/>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41" w:right="27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175" w:lineRule="exact"/>
        <w:rPr>
          <w:sz w:val="20"/>
          <w:szCs w:val="20"/>
          <w:color w:val="auto"/>
        </w:rPr>
      </w:pPr>
    </w:p>
    <w:p>
      <w:pPr>
        <w:ind w:right="80" w:firstLine="405"/>
        <w:spacing w:after="0" w:line="252" w:lineRule="auto"/>
        <w:rPr>
          <w:sz w:val="20"/>
          <w:szCs w:val="20"/>
          <w:color w:val="auto"/>
        </w:rPr>
      </w:pPr>
      <w:r>
        <w:rPr>
          <w:rFonts w:ascii="Arial" w:cs="Arial" w:eastAsia="Arial" w:hAnsi="Arial"/>
          <w:sz w:val="18"/>
          <w:szCs w:val="18"/>
          <w:color w:val="231F20"/>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depend on the continued services and performance of our senior management and other key employees, the loss of any of whom could adversely affect our business, operating results and financial condition.</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247" w:lineRule="exact"/>
        <w:rPr>
          <w:sz w:val="20"/>
          <w:szCs w:val="20"/>
          <w:color w:val="auto"/>
        </w:rPr>
      </w:pPr>
    </w:p>
    <w:p>
      <w:pPr>
        <w:ind w:right="20" w:firstLine="392"/>
        <w:spacing w:after="0" w:line="253"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 skilled personnel and we may not be able to compete for these employees.</w:t>
      </w:r>
    </w:p>
    <w:p>
      <w:pPr>
        <w:spacing w:after="0" w:line="200" w:lineRule="exact"/>
        <w:rPr>
          <w:sz w:val="20"/>
          <w:szCs w:val="20"/>
          <w:color w:val="auto"/>
        </w:rPr>
      </w:pPr>
    </w:p>
    <w:p>
      <w:pPr>
        <w:spacing w:after="0" w:line="222" w:lineRule="exact"/>
        <w:rPr>
          <w:sz w:val="20"/>
          <w:szCs w:val="20"/>
          <w:color w:val="auto"/>
        </w:rPr>
      </w:pPr>
    </w:p>
    <w:p>
      <w:pPr>
        <w:ind w:right="160" w:firstLine="392"/>
        <w:spacing w:after="0" w:line="253" w:lineRule="auto"/>
        <w:rPr>
          <w:sz w:val="20"/>
          <w:szCs w:val="20"/>
          <w:color w:val="auto"/>
        </w:rPr>
      </w:pPr>
      <w:r>
        <w:rPr>
          <w:rFonts w:ascii="Arial" w:cs="Arial" w:eastAsia="Arial" w:hAnsi="Arial"/>
          <w:sz w:val="18"/>
          <w:szCs w:val="18"/>
          <w:color w:val="231F20"/>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184"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75"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41" w:right="25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247"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89"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175"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 xml:space="preserve">Our solutions are subject to U.S. export controls, </w:t>
      </w:r>
      <w:r>
        <w:rPr>
          <w:rFonts w:ascii="Arial" w:cs="Arial" w:eastAsia="Arial" w:hAnsi="Arial"/>
          <w:sz w:val="18"/>
          <w:szCs w:val="18"/>
          <w:color w:val="000000"/>
        </w:rPr>
        <w:t>specifically, the Export Administration Regulations and economic sanctions enforced by</w:t>
      </w:r>
      <w:r>
        <w:rPr>
          <w:rFonts w:ascii="Arial" w:cs="Arial" w:eastAsia="Arial" w:hAnsi="Arial"/>
          <w:sz w:val="18"/>
          <w:szCs w:val="18"/>
          <w:color w:val="231F20"/>
        </w:rPr>
        <w:t xml:space="preserve"> </w:t>
      </w:r>
      <w:r>
        <w:rPr>
          <w:rFonts w:ascii="Arial" w:cs="Arial" w:eastAsia="Arial" w:hAnsi="Arial"/>
          <w:sz w:val="18"/>
          <w:szCs w:val="18"/>
          <w:color w:val="000000"/>
        </w:rPr>
        <w:t xml:space="preserve">the Office of Foreign Assets Control. </w:t>
      </w:r>
      <w:r>
        <w:rPr>
          <w:rFonts w:ascii="Arial" w:cs="Arial" w:eastAsia="Arial" w:hAnsi="Arial"/>
          <w:sz w:val="18"/>
          <w:szCs w:val="18"/>
          <w:color w:val="231F20"/>
        </w:rPr>
        <w:t>We incorporate encryption technology into certain of our solutions. These encryption solutions and the</w:t>
      </w:r>
      <w:r>
        <w:rPr>
          <w:rFonts w:ascii="Arial" w:cs="Arial" w:eastAsia="Arial" w:hAnsi="Arial"/>
          <w:sz w:val="18"/>
          <w:szCs w:val="18"/>
          <w:color w:val="000000"/>
        </w:rPr>
        <w:t xml:space="preserve"> </w:t>
      </w:r>
      <w:r>
        <w:rPr>
          <w:rFonts w:ascii="Arial" w:cs="Arial" w:eastAsia="Arial" w:hAnsi="Arial"/>
          <w:sz w:val="18"/>
          <w:szCs w:val="18"/>
          <w:color w:val="231F20"/>
        </w:rPr>
        <w:t>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247" w:lineRule="exact"/>
        <w:rPr>
          <w:sz w:val="20"/>
          <w:szCs w:val="20"/>
          <w:color w:val="auto"/>
        </w:rPr>
      </w:pPr>
    </w:p>
    <w:p>
      <w:pPr>
        <w:ind w:right="80" w:firstLine="392"/>
        <w:spacing w:after="0" w:line="251"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services or technologies. The environment for acquisitions in our industry is very competitive and acquisition candidate purchase prices may exceed what we would prefer to pay. Moreover, achieving the anticipated benefits of future acquisitions will depend in part upon whether we can integrate acquired operations, products and technology in a timely and cost-effective manner</w:t>
      </w:r>
      <w:r>
        <w:rPr>
          <w:rFonts w:ascii="Arial" w:cs="Arial" w:eastAsia="Arial" w:hAnsi="Arial"/>
          <w:sz w:val="18"/>
          <w:szCs w:val="18"/>
          <w:color w:val="000000"/>
        </w:rPr>
        <w:t>, and even if we achieve benefits from acquisitions, such</w:t>
      </w:r>
      <w:r>
        <w:rPr>
          <w:rFonts w:ascii="Arial" w:cs="Arial" w:eastAsia="Arial" w:hAnsi="Arial"/>
          <w:sz w:val="18"/>
          <w:szCs w:val="18"/>
          <w:color w:val="231F20"/>
        </w:rPr>
        <w:t xml:space="preserve"> </w:t>
      </w:r>
      <w:r>
        <w:rPr>
          <w:rFonts w:ascii="Arial" w:cs="Arial" w:eastAsia="Arial" w:hAnsi="Arial"/>
          <w:sz w:val="18"/>
          <w:szCs w:val="18"/>
          <w:color w:val="000000"/>
        </w:rPr>
        <w:t xml:space="preserve">acquisitions may still be viewed negatively by customers, financial markets or investors. </w:t>
      </w:r>
      <w:r>
        <w:rPr>
          <w:rFonts w:ascii="Arial" w:cs="Arial" w:eastAsia="Arial" w:hAnsi="Arial"/>
          <w:sz w:val="18"/>
          <w:szCs w:val="18"/>
          <w:color w:val="231F20"/>
        </w:rPr>
        <w:t>The acquisition and integration process is complex,</w:t>
      </w:r>
      <w:r>
        <w:rPr>
          <w:rFonts w:ascii="Arial" w:cs="Arial" w:eastAsia="Arial" w:hAnsi="Arial"/>
          <w:sz w:val="18"/>
          <w:szCs w:val="18"/>
          <w:color w:val="000000"/>
        </w:rPr>
        <w:t xml:space="preserve"> </w:t>
      </w:r>
      <w:r>
        <w:rPr>
          <w:rFonts w:ascii="Arial" w:cs="Arial" w:eastAsia="Arial" w:hAnsi="Arial"/>
          <w:sz w:val="18"/>
          <w:szCs w:val="18"/>
          <w:color w:val="231F20"/>
        </w:rPr>
        <w:t xml:space="preserve">expensive and time-consuming, and may cause an interruption of, or loss of momentum in, product development and sales activities and operations of both companies </w:t>
      </w:r>
      <w:r>
        <w:rPr>
          <w:rFonts w:ascii="Arial" w:cs="Arial" w:eastAsia="Arial" w:hAnsi="Arial"/>
          <w:sz w:val="18"/>
          <w:szCs w:val="18"/>
          <w:color w:val="000000"/>
        </w:rPr>
        <w:t>and we may incur substantial cost and expense, as well as divert the attention of management. We may issue</w:t>
      </w:r>
      <w:r>
        <w:rPr>
          <w:rFonts w:ascii="Arial" w:cs="Arial" w:eastAsia="Arial" w:hAnsi="Arial"/>
          <w:sz w:val="18"/>
          <w:szCs w:val="18"/>
          <w:color w:val="231F20"/>
        </w:rPr>
        <w:t xml:space="preserve"> </w:t>
      </w:r>
      <w:r>
        <w:rPr>
          <w:rFonts w:ascii="Arial" w:cs="Arial" w:eastAsia="Arial" w:hAnsi="Arial"/>
          <w:sz w:val="18"/>
          <w:szCs w:val="18"/>
          <w:color w:val="000000"/>
        </w:rPr>
        <w:t xml:space="preserve">equity securities which could dilute current stockholders’ ownership, incur debt, assume contingent or other liabilities and expend cash in acquisitions, which could negatively impact our financial position, stockholder equity and stock price. </w:t>
      </w:r>
      <w:r>
        <w:rPr>
          <w:rFonts w:ascii="Arial" w:cs="Arial" w:eastAsia="Arial" w:hAnsi="Arial"/>
          <w:sz w:val="18"/>
          <w:szCs w:val="18"/>
          <w:color w:val="231F20"/>
        </w:rPr>
        <w:t>We may not find suitable acquisition</w:t>
      </w:r>
      <w:r>
        <w:rPr>
          <w:rFonts w:ascii="Arial" w:cs="Arial" w:eastAsia="Arial" w:hAnsi="Arial"/>
          <w:sz w:val="18"/>
          <w:szCs w:val="18"/>
          <w:color w:val="000000"/>
        </w:rPr>
        <w:t xml:space="preserve"> </w:t>
      </w:r>
      <w:r>
        <w:rPr>
          <w:rFonts w:ascii="Arial" w:cs="Arial" w:eastAsia="Arial" w:hAnsi="Arial"/>
          <w:sz w:val="18"/>
          <w:szCs w:val="18"/>
          <w:color w:val="231F20"/>
        </w:rPr>
        <w:t>candidates, and acquisitions we complete may be unsuccessful. If we consummate a transaction, we may be unable to integrate and manage acquired products</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141" w:right="29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231F20"/>
        </w:rPr>
        <w:t>and businesses effectively or retain key personnel. If we are unable to effectively execute acquisitions, our business, financial condition and operating results could be adversely affected.</w:t>
      </w:r>
    </w:p>
    <w:p>
      <w:pPr>
        <w:spacing w:after="0" w:line="17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5" w:lineRule="exact"/>
        <w:rPr>
          <w:sz w:val="20"/>
          <w:szCs w:val="20"/>
          <w:color w:val="auto"/>
        </w:rPr>
      </w:pPr>
    </w:p>
    <w:p>
      <w:pPr>
        <w:ind w:right="80" w:firstLine="405"/>
        <w:spacing w:after="0" w:line="251"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stock-based compensation, and fair value measurement.</w:t>
      </w:r>
    </w:p>
    <w:p>
      <w:pPr>
        <w:spacing w:after="0" w:line="19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175" w:lineRule="exact"/>
        <w:rPr>
          <w:sz w:val="20"/>
          <w:szCs w:val="20"/>
          <w:color w:val="auto"/>
        </w:rPr>
      </w:pPr>
    </w:p>
    <w:p>
      <w:pPr>
        <w:ind w:right="60" w:firstLine="392"/>
        <w:spacing w:after="0" w:line="252" w:lineRule="auto"/>
        <w:rPr>
          <w:sz w:val="20"/>
          <w:szCs w:val="20"/>
          <w:color w:val="auto"/>
        </w:rPr>
      </w:pPr>
      <w:r>
        <w:rPr>
          <w:rFonts w:ascii="Arial" w:cs="Arial" w:eastAsia="Arial" w:hAnsi="Arial"/>
          <w:sz w:val="18"/>
          <w:szCs w:val="18"/>
          <w:color w:val="231F20"/>
        </w:rPr>
        <w:t xml:space="preserve">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w:t>
      </w:r>
      <w:r>
        <w:rPr>
          <w:rFonts w:ascii="Arial" w:cs="Arial" w:eastAsia="Arial" w:hAnsi="Arial"/>
          <w:sz w:val="18"/>
          <w:szCs w:val="18"/>
          <w:color w:val="000000"/>
        </w:rPr>
        <w:t>reported results and may even retroactively affect</w:t>
      </w:r>
      <w:r>
        <w:rPr>
          <w:rFonts w:ascii="Arial" w:cs="Arial" w:eastAsia="Arial" w:hAnsi="Arial"/>
          <w:sz w:val="18"/>
          <w:szCs w:val="18"/>
          <w:color w:val="231F20"/>
        </w:rPr>
        <w:t xml:space="preserve"> </w:t>
      </w:r>
      <w:r>
        <w:rPr>
          <w:rFonts w:ascii="Arial" w:cs="Arial" w:eastAsia="Arial" w:hAnsi="Arial"/>
          <w:sz w:val="18"/>
          <w:szCs w:val="18"/>
          <w:color w:val="000000"/>
        </w:rPr>
        <w:t xml:space="preserve">previously reported transactions. </w:t>
      </w:r>
      <w:r>
        <w:rPr>
          <w:rFonts w:ascii="Arial" w:cs="Arial" w:eastAsia="Arial" w:hAnsi="Arial"/>
          <w:sz w:val="18"/>
          <w:szCs w:val="18"/>
          <w:color w:val="231F20"/>
        </w:rPr>
        <w:t>New accounting pronouncements and varying interpretations of accounting pronouncements have occurred</w:t>
      </w:r>
      <w:r>
        <w:rPr>
          <w:rFonts w:ascii="Arial" w:cs="Arial" w:eastAsia="Arial" w:hAnsi="Arial"/>
          <w:sz w:val="18"/>
          <w:szCs w:val="18"/>
          <w:color w:val="000000"/>
        </w:rPr>
        <w:t xml:space="preserve"> </w:t>
      </w:r>
      <w:r>
        <w:rPr>
          <w:rFonts w:ascii="Arial" w:cs="Arial" w:eastAsia="Arial" w:hAnsi="Arial"/>
          <w:sz w:val="18"/>
          <w:szCs w:val="18"/>
          <w:color w:val="231F20"/>
        </w:rPr>
        <w:t xml:space="preserve">and may occur in the future. Changes to existing rules or the questioning of current practices may harm our operating results, </w:t>
      </w:r>
      <w:r>
        <w:rPr>
          <w:rFonts w:ascii="Arial" w:cs="Arial" w:eastAsia="Arial" w:hAnsi="Arial"/>
          <w:sz w:val="18"/>
          <w:szCs w:val="18"/>
          <w:color w:val="000000"/>
        </w:rPr>
        <w:t>require that we</w:t>
      </w:r>
      <w:r>
        <w:rPr>
          <w:rFonts w:ascii="Arial" w:cs="Arial" w:eastAsia="Arial" w:hAnsi="Arial"/>
          <w:sz w:val="18"/>
          <w:szCs w:val="18"/>
          <w:color w:val="231F20"/>
        </w:rPr>
        <w:t xml:space="preserve"> </w:t>
      </w:r>
      <w:r>
        <w:rPr>
          <w:rFonts w:ascii="Arial" w:cs="Arial" w:eastAsia="Arial" w:hAnsi="Arial"/>
          <w:sz w:val="18"/>
          <w:szCs w:val="18"/>
          <w:color w:val="000000"/>
        </w:rPr>
        <w:t xml:space="preserve">make significant changes to our systems, processes and controls </w:t>
      </w:r>
      <w:r>
        <w:rPr>
          <w:rFonts w:ascii="Arial" w:cs="Arial" w:eastAsia="Arial" w:hAnsi="Arial"/>
          <w:sz w:val="18"/>
          <w:szCs w:val="18"/>
          <w:color w:val="231F20"/>
        </w:rPr>
        <w:t>or the way we conduct our business.</w:t>
      </w:r>
    </w:p>
    <w:p>
      <w:pPr>
        <w:spacing w:after="0" w:line="187" w:lineRule="exact"/>
        <w:rPr>
          <w:sz w:val="20"/>
          <w:szCs w:val="20"/>
          <w:color w:val="auto"/>
        </w:rPr>
      </w:pPr>
    </w:p>
    <w:p>
      <w:pPr>
        <w:jc w:val="both"/>
        <w:ind w:right="22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90" w:lineRule="exact"/>
        <w:rPr>
          <w:sz w:val="20"/>
          <w:szCs w:val="20"/>
          <w:color w:val="auto"/>
        </w:rPr>
      </w:pPr>
    </w:p>
    <w:p>
      <w:pPr>
        <w:ind w:right="140" w:firstLine="392"/>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1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75" w:lineRule="exact"/>
        <w:rPr>
          <w:sz w:val="20"/>
          <w:szCs w:val="20"/>
          <w:color w:val="auto"/>
        </w:rPr>
      </w:pPr>
    </w:p>
    <w:p>
      <w:pPr>
        <w:ind w:firstLine="392"/>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1" w:right="25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 We could be subject to additional taxes.</w:t>
      </w:r>
    </w:p>
    <w:p>
      <w:pPr>
        <w:spacing w:after="0" w:line="175" w:lineRule="exact"/>
        <w:rPr>
          <w:sz w:val="20"/>
          <w:szCs w:val="20"/>
          <w:color w:val="auto"/>
        </w:rPr>
      </w:pPr>
    </w:p>
    <w:p>
      <w:pPr>
        <w:ind w:right="120" w:firstLine="405"/>
        <w:spacing w:after="0" w:line="253" w:lineRule="auto"/>
        <w:rPr>
          <w:sz w:val="20"/>
          <w:szCs w:val="20"/>
          <w:color w:val="auto"/>
        </w:rPr>
      </w:pPr>
      <w:r>
        <w:rPr>
          <w:rFonts w:ascii="Arial" w:cs="Arial" w:eastAsia="Arial" w:hAnsi="Arial"/>
          <w:sz w:val="18"/>
          <w:szCs w:val="18"/>
          <w:color w:val="231F20"/>
        </w:rPr>
        <w:t xml:space="preserve">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w:t>
      </w:r>
      <w:r>
        <w:rPr>
          <w:rFonts w:ascii="Arial" w:cs="Arial" w:eastAsia="Arial" w:hAnsi="Arial"/>
          <w:sz w:val="18"/>
          <w:szCs w:val="18"/>
          <w:color w:val="000000"/>
        </w:rPr>
        <w:t>$6 million</w:t>
      </w:r>
      <w:r>
        <w:rPr>
          <w:rFonts w:ascii="Arial" w:cs="Arial" w:eastAsia="Arial" w:hAnsi="Arial"/>
          <w:sz w:val="18"/>
          <w:szCs w:val="18"/>
          <w:color w:val="231F20"/>
        </w:rPr>
        <w:t xml:space="preserve"> as of </w:t>
      </w:r>
      <w:r>
        <w:rPr>
          <w:rFonts w:ascii="Arial" w:cs="Arial" w:eastAsia="Arial" w:hAnsi="Arial"/>
          <w:sz w:val="18"/>
          <w:szCs w:val="18"/>
          <w:color w:val="000000"/>
        </w:rPr>
        <w:t>December 31,</w:t>
      </w:r>
      <w:r>
        <w:rPr>
          <w:rFonts w:ascii="Arial" w:cs="Arial" w:eastAsia="Arial" w:hAnsi="Arial"/>
          <w:sz w:val="18"/>
          <w:szCs w:val="18"/>
          <w:color w:val="231F20"/>
        </w:rPr>
        <w:t xml:space="preserve"> </w:t>
      </w:r>
      <w:r>
        <w:rPr>
          <w:rFonts w:ascii="Arial" w:cs="Arial" w:eastAsia="Arial" w:hAnsi="Arial"/>
          <w:sz w:val="18"/>
          <w:szCs w:val="18"/>
          <w:color w:val="000000"/>
        </w:rPr>
        <w:t>2016</w:t>
      </w:r>
      <w:r>
        <w:rPr>
          <w:rFonts w:ascii="Arial" w:cs="Arial" w:eastAsia="Arial" w:hAnsi="Arial"/>
          <w:sz w:val="18"/>
          <w:szCs w:val="18"/>
          <w:color w:val="231F20"/>
        </w:rPr>
        <w:t>. Increases in our effective tax rate could harm our operating results.</w:t>
      </w:r>
    </w:p>
    <w:p>
      <w:pPr>
        <w:spacing w:after="0" w:line="206" w:lineRule="exact"/>
        <w:rPr>
          <w:sz w:val="20"/>
          <w:szCs w:val="20"/>
          <w:color w:val="auto"/>
        </w:rPr>
      </w:pPr>
    </w:p>
    <w:p>
      <w:pPr>
        <w:ind w:firstLine="392"/>
        <w:spacing w:after="0" w:line="251" w:lineRule="auto"/>
        <w:rPr>
          <w:sz w:val="20"/>
          <w:szCs w:val="20"/>
          <w:color w:val="auto"/>
        </w:rPr>
      </w:pPr>
      <w:r>
        <w:rPr>
          <w:rFonts w:ascii="Arial" w:cs="Arial" w:eastAsia="Arial" w:hAnsi="Arial"/>
          <w:sz w:val="18"/>
          <w:szCs w:val="18"/>
          <w:color w:val="231F20"/>
        </w:rPr>
        <w:t xml:space="preserve">Additionally, </w:t>
      </w:r>
      <w:r>
        <w:rPr>
          <w:rFonts w:ascii="Arial" w:cs="Arial" w:eastAsia="Arial" w:hAnsi="Arial"/>
          <w:sz w:val="18"/>
          <w:szCs w:val="18"/>
          <w:color w:val="000000"/>
        </w:rPr>
        <w:t>significant judgment is required in evaluating our tax positions and our worldwide provision for taxes. During the ordinary</w:t>
      </w:r>
      <w:r>
        <w:rPr>
          <w:rFonts w:ascii="Arial" w:cs="Arial" w:eastAsia="Arial" w:hAnsi="Arial"/>
          <w:sz w:val="18"/>
          <w:szCs w:val="18"/>
          <w:color w:val="231F20"/>
        </w:rPr>
        <w:t xml:space="preserve"> </w:t>
      </w:r>
      <w:r>
        <w:rPr>
          <w:rFonts w:ascii="Arial" w:cs="Arial" w:eastAsia="Arial" w:hAnsi="Arial"/>
          <w:sz w:val="18"/>
          <w:szCs w:val="18"/>
          <w:color w:val="000000"/>
        </w:rPr>
        <w:t>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19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75" w:lineRule="exact"/>
        <w:rPr>
          <w:sz w:val="20"/>
          <w:szCs w:val="20"/>
          <w:color w:val="auto"/>
        </w:rPr>
      </w:pPr>
    </w:p>
    <w:p>
      <w:pPr>
        <w:ind w:right="20" w:firstLine="392"/>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90"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75" w:lineRule="exact"/>
        <w:rPr>
          <w:sz w:val="20"/>
          <w:szCs w:val="20"/>
          <w:color w:val="auto"/>
        </w:rPr>
      </w:pPr>
    </w:p>
    <w:p>
      <w:pPr>
        <w:ind w:right="120" w:firstLine="405"/>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additional internal controls and procedures and hiring accounting or internal audit staff.</w:t>
      </w:r>
    </w:p>
    <w:p>
      <w:pPr>
        <w:spacing w:after="0" w:line="204" w:lineRule="exact"/>
        <w:rPr>
          <w:sz w:val="20"/>
          <w:szCs w:val="20"/>
          <w:color w:val="auto"/>
        </w:rPr>
      </w:pPr>
    </w:p>
    <w:p>
      <w:pPr>
        <w:ind w:right="40" w:firstLine="405"/>
        <w:spacing w:after="0" w:line="269" w:lineRule="auto"/>
        <w:rPr>
          <w:sz w:val="20"/>
          <w:szCs w:val="20"/>
          <w:color w:val="auto"/>
        </w:rPr>
      </w:pPr>
      <w:r>
        <w:rPr>
          <w:rFonts w:ascii="Arial" w:cs="Arial" w:eastAsia="Arial" w:hAnsi="Arial"/>
          <w:sz w:val="17"/>
          <w:szCs w:val="17"/>
          <w:color w:val="231F20"/>
        </w:rPr>
        <w:t xml:space="preserve">Our </w:t>
      </w:r>
      <w:r>
        <w:rPr>
          <w:rFonts w:ascii="Arial" w:cs="Arial" w:eastAsia="Arial" w:hAnsi="Arial"/>
          <w:sz w:val="17"/>
          <w:szCs w:val="17"/>
          <w:color w:val="000000"/>
        </w:rPr>
        <w:t>internal control over financial reporting is a process designed to provide reasonable assurance regarding the reliability of financial</w:t>
      </w:r>
      <w:r>
        <w:rPr>
          <w:rFonts w:ascii="Arial" w:cs="Arial" w:eastAsia="Arial" w:hAnsi="Arial"/>
          <w:sz w:val="17"/>
          <w:szCs w:val="17"/>
          <w:color w:val="231F20"/>
        </w:rPr>
        <w:t xml:space="preserve"> </w:t>
      </w:r>
      <w:r>
        <w:rPr>
          <w:rFonts w:ascii="Arial" w:cs="Arial" w:eastAsia="Arial" w:hAnsi="Arial"/>
          <w:sz w:val="17"/>
          <w:szCs w:val="17"/>
          <w:color w:val="000000"/>
        </w:rPr>
        <w:t xml:space="preserve">reporting and the preparation of financial statements in accordance with GAAP. Our </w:t>
      </w:r>
      <w:r>
        <w:rPr>
          <w:rFonts w:ascii="Arial" w:cs="Arial" w:eastAsia="Arial" w:hAnsi="Arial"/>
          <w:sz w:val="17"/>
          <w:szCs w:val="17"/>
          <w:color w:val="231F20"/>
        </w:rPr>
        <w:t>current controls and any new controls that we develop may</w:t>
      </w:r>
      <w:r>
        <w:rPr>
          <w:rFonts w:ascii="Arial" w:cs="Arial" w:eastAsia="Arial" w:hAnsi="Arial"/>
          <w:sz w:val="17"/>
          <w:szCs w:val="17"/>
          <w:color w:val="000000"/>
        </w:rPr>
        <w:t xml:space="preserve"> </w:t>
      </w:r>
      <w:r>
        <w:rPr>
          <w:rFonts w:ascii="Arial" w:cs="Arial" w:eastAsia="Arial" w:hAnsi="Arial"/>
          <w:sz w:val="17"/>
          <w:szCs w:val="17"/>
          <w:color w:val="231F20"/>
        </w:rPr>
        <w:t>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231F20"/>
        </w:rPr>
        <w:t>was effective as of December 31, 2016,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247" w:lineRule="exact"/>
        <w:rPr>
          <w:sz w:val="20"/>
          <w:szCs w:val="20"/>
          <w:color w:val="auto"/>
        </w:rPr>
      </w:pPr>
    </w:p>
    <w:p>
      <w:pPr>
        <w:ind w:right="260" w:firstLine="405"/>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34" w:lineRule="exact"/>
        <w:rPr>
          <w:sz w:val="20"/>
          <w:szCs w:val="20"/>
          <w:color w:val="auto"/>
        </w:rPr>
      </w:pPr>
    </w:p>
    <w:p>
      <w:pPr>
        <w:ind w:left="660" w:right="700" w:hanging="328"/>
        <w:spacing w:after="0" w:line="35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of new solutions, services or technologies, commercial relationships, acquisitions or other events by us or our competitors;</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66" w:lineRule="exact"/>
        <w:rPr>
          <w:sz w:val="20"/>
          <w:szCs w:val="20"/>
          <w:color w:val="auto"/>
        </w:rPr>
      </w:pPr>
    </w:p>
    <w:p>
      <w:pPr>
        <w:ind w:right="100" w:firstLine="392"/>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actual operating results may differ significantly from our guidance.</w:t>
      </w:r>
    </w:p>
    <w:p>
      <w:pPr>
        <w:spacing w:after="0" w:line="247" w:lineRule="exact"/>
        <w:rPr>
          <w:sz w:val="20"/>
          <w:szCs w:val="20"/>
          <w:color w:val="auto"/>
        </w:rPr>
      </w:pPr>
    </w:p>
    <w:p>
      <w:pPr>
        <w:ind w:right="40" w:firstLine="392"/>
        <w:spacing w:after="0" w:line="252" w:lineRule="auto"/>
        <w:rPr>
          <w:sz w:val="20"/>
          <w:szCs w:val="20"/>
          <w:color w:val="auto"/>
        </w:rPr>
      </w:pPr>
      <w:r>
        <w:rPr>
          <w:rFonts w:ascii="Arial" w:cs="Arial" w:eastAsia="Arial" w:hAnsi="Arial"/>
          <w:sz w:val="18"/>
          <w:szCs w:val="18"/>
          <w:color w:val="231F20"/>
        </w:rPr>
        <w:t>From time to time, we have released, and may continue to release guidance in our quarterly earnings conference calls, quarterly earnings releases, or otherwise, regarding our future performance that represents our management's estimates as of the date of release. These estimates include, but are not limited to, certain items such as the amount and timing of income tax credits that we recognize resulting from excess tax benefits from stock-based compensation. Our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206" w:lineRule="exact"/>
        <w:rPr>
          <w:sz w:val="20"/>
          <w:szCs w:val="20"/>
          <w:color w:val="auto"/>
        </w:rPr>
      </w:pPr>
    </w:p>
    <w:p>
      <w:pPr>
        <w:ind w:firstLine="392"/>
        <w:spacing w:after="0" w:line="253" w:lineRule="auto"/>
        <w:rPr>
          <w:sz w:val="20"/>
          <w:szCs w:val="20"/>
          <w:color w:val="auto"/>
        </w:rPr>
      </w:pPr>
      <w:r>
        <w:rPr>
          <w:rFonts w:ascii="Arial" w:cs="Arial" w:eastAsia="Arial" w:hAnsi="Arial"/>
          <w:sz w:val="18"/>
          <w:szCs w:val="18"/>
          <w:color w:val="231F20"/>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141" w:right="27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231F20"/>
        </w:rPr>
        <w:t>to provide a basis for our management to discuss our business outlook with analysts and investors. We do not accept any responsibility for any projections or reports published by any such third parties.</w:t>
      </w:r>
    </w:p>
    <w:p>
      <w:pPr>
        <w:spacing w:after="0" w:line="196" w:lineRule="exact"/>
        <w:rPr>
          <w:sz w:val="20"/>
          <w:szCs w:val="20"/>
          <w:color w:val="auto"/>
        </w:rPr>
      </w:pPr>
    </w:p>
    <w:p>
      <w:pPr>
        <w:ind w:right="140" w:firstLine="392"/>
        <w:spacing w:after="0" w:line="254" w:lineRule="auto"/>
        <w:rPr>
          <w:sz w:val="20"/>
          <w:szCs w:val="20"/>
          <w:color w:val="auto"/>
        </w:rPr>
      </w:pPr>
      <w:r>
        <w:rPr>
          <w:rFonts w:ascii="Arial" w:cs="Arial" w:eastAsia="Arial" w:hAnsi="Arial"/>
          <w:sz w:val="18"/>
          <w:szCs w:val="18"/>
          <w:color w:val="231F20"/>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204" w:lineRule="exact"/>
        <w:rPr>
          <w:sz w:val="20"/>
          <w:szCs w:val="20"/>
          <w:color w:val="auto"/>
        </w:rPr>
      </w:pPr>
    </w:p>
    <w:p>
      <w:pPr>
        <w:ind w:right="80" w:firstLine="405"/>
        <w:spacing w:after="0" w:line="256" w:lineRule="auto"/>
        <w:rPr>
          <w:sz w:val="20"/>
          <w:szCs w:val="20"/>
          <w:color w:val="auto"/>
        </w:rPr>
      </w:pPr>
      <w:r>
        <w:rPr>
          <w:rFonts w:ascii="Arial" w:cs="Arial" w:eastAsia="Arial" w:hAnsi="Arial"/>
          <w:sz w:val="18"/>
          <w:szCs w:val="18"/>
          <w:color w:val="231F20"/>
        </w:rPr>
        <w:t>Any failure to successfully implement our operating strategy or the occurrence of any of the events or circumstances set forth in this “Risk Factors” section in this Quarterly Report on Form 10-Q could result in the actual operating results being different from our guidance, and the differences may be adverse and material.</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10% or more of our outstanding common stock may prevent new investors from influencing significant corporate decisions.</w:t>
      </w:r>
    </w:p>
    <w:p>
      <w:pPr>
        <w:spacing w:after="0" w:line="17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As of September 30, 2017, our executive officers, directors and holders of 10% or more of our outstanding common stock beneficially owned, in the aggregate, approximately 15% of our outstanding common stock. As a result, such persons, acting together, have significant ability to control our management and affairs and substantially all matters submitted to our stockholders for approval, including the election and removal of directors and approval of any significant transaction. These persons also have significant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24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September 30, 2017, we had approximately 37.9 million shares of our common stock outstanding. Certain holders of shares of common stock have rights, subject to some conditions, to require us to file registration statements covering their shares or to include these shares in registration statements that we may file for ourselves or other stockholders.</w:t>
      </w:r>
    </w:p>
    <w:p>
      <w:pPr>
        <w:spacing w:after="0" w:line="209" w:lineRule="exact"/>
        <w:rPr>
          <w:sz w:val="20"/>
          <w:szCs w:val="20"/>
          <w:color w:val="auto"/>
        </w:rPr>
      </w:pPr>
    </w:p>
    <w:p>
      <w:pPr>
        <w:ind w:right="240" w:firstLine="405"/>
        <w:spacing w:after="0" w:line="253" w:lineRule="auto"/>
        <w:rPr>
          <w:sz w:val="20"/>
          <w:szCs w:val="20"/>
          <w:color w:val="auto"/>
        </w:rPr>
      </w:pPr>
      <w:r>
        <w:rPr>
          <w:rFonts w:ascii="Arial" w:cs="Arial" w:eastAsia="Arial" w:hAnsi="Arial"/>
          <w:sz w:val="18"/>
          <w:szCs w:val="18"/>
          <w:color w:val="231F20"/>
        </w:rPr>
        <w:t>In addition, as of September 30, 2017, there were approximately 1.2 million of restricted stock units and options to purchase approximately 5.2 million shares of our common stock outstanding. If such restricted stock units are released or options are exercised, these additional shares will become available for sale. As of September 30, 2017, we had an aggregate of 2.3 million shares of our common stock reserved for future issuance under our 2012 Equity Incentive Plan, which can be freely sold in the public market upon issuance. If a large number of these shares are sold in the public market, the sales could reduce the trading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247" w:lineRule="exact"/>
        <w:rPr>
          <w:sz w:val="20"/>
          <w:szCs w:val="20"/>
          <w:color w:val="auto"/>
        </w:rPr>
      </w:pPr>
    </w:p>
    <w:p>
      <w:pPr>
        <w:jc w:val="both"/>
        <w:ind w:right="20" w:firstLine="392"/>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141" w:right="2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5" w:lineRule="exact"/>
        <w:rPr>
          <w:sz w:val="20"/>
          <w:szCs w:val="20"/>
          <w:color w:val="auto"/>
        </w:rPr>
      </w:pPr>
    </w:p>
    <w:p>
      <w:pPr>
        <w:ind w:right="40" w:firstLine="405"/>
        <w:spacing w:after="0" w:line="262" w:lineRule="auto"/>
        <w:rPr>
          <w:sz w:val="20"/>
          <w:szCs w:val="20"/>
          <w:color w:val="auto"/>
        </w:rPr>
      </w:pPr>
      <w:r>
        <w:rPr>
          <w:rFonts w:ascii="Arial" w:cs="Arial" w:eastAsia="Arial" w:hAnsi="Arial"/>
          <w:sz w:val="18"/>
          <w:szCs w:val="18"/>
          <w:color w:val="231F20"/>
        </w:rPr>
        <w:t>Our amended and restated certificate of incorporation and amended and restated bylaws contain provisions that may delay or prevent an acquisition of us or a change in our management. These provisions include:</w:t>
      </w:r>
    </w:p>
    <w:p>
      <w:pPr>
        <w:spacing w:after="0" w:line="88" w:lineRule="exact"/>
        <w:rPr>
          <w:sz w:val="20"/>
          <w:szCs w:val="20"/>
          <w:color w:val="auto"/>
        </w:rPr>
      </w:pPr>
    </w:p>
    <w:p>
      <w:pPr>
        <w:ind w:left="66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117"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25" w:lineRule="exact"/>
        <w:rPr>
          <w:sz w:val="20"/>
          <w:szCs w:val="20"/>
          <w:color w:val="auto"/>
        </w:rPr>
      </w:pPr>
    </w:p>
    <w:p>
      <w:pPr>
        <w:ind w:right="40" w:firstLine="405"/>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247"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141" w:right="31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88"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November 2, 2017.</w:t>
      </w:r>
    </w:p>
    <w:p>
      <w:pPr>
        <w:spacing w:after="0" w:line="336"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Melissa B. Fisher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41" w:right="25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Exhibit</w:t>
      </w:r>
    </w:p>
    <w:p>
      <w:pPr>
        <w:jc w:val="right"/>
        <w:spacing w:after="0"/>
        <w:rPr>
          <w:sz w:val="20"/>
          <w:szCs w:val="20"/>
          <w:color w:val="auto"/>
        </w:rPr>
      </w:pPr>
      <w:r>
        <w:rPr>
          <w:rFonts w:ascii="Arial" w:cs="Arial" w:eastAsia="Arial" w:hAnsi="Arial"/>
          <w:sz w:val="18"/>
          <w:szCs w:val="18"/>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7632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101 INS</w:t>
      </w:r>
    </w:p>
    <w:p>
      <w:pPr>
        <w:spacing w:after="0" w:line="293" w:lineRule="exact"/>
        <w:rPr>
          <w:sz w:val="20"/>
          <w:szCs w:val="20"/>
          <w:color w:val="auto"/>
        </w:rPr>
      </w:pPr>
    </w:p>
    <w:p>
      <w:pPr>
        <w:ind w:left="880" w:hanging="359"/>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SCH</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CAL</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DEF</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w:t>
      </w:r>
    </w:p>
    <w:p>
      <w:pPr>
        <w:spacing w:after="0" w:line="252" w:lineRule="exact"/>
        <w:rPr>
          <w:rFonts w:ascii="Arial" w:cs="Arial" w:eastAsia="Arial" w:hAnsi="Arial"/>
          <w:sz w:val="18"/>
          <w:szCs w:val="18"/>
          <w:color w:val="auto"/>
        </w:rPr>
      </w:pPr>
    </w:p>
    <w:p>
      <w:pPr>
        <w:ind w:left="880" w:hanging="359"/>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w:t>
      </w:r>
    </w:p>
    <w:p>
      <w:pPr>
        <w:spacing w:after="0" w:line="20" w:lineRule="exact"/>
        <w:rPr>
          <w:sz w:val="20"/>
          <w:szCs w:val="20"/>
          <w:color w:val="auto"/>
        </w:rPr>
      </w:pPr>
      <w:r>
        <w:rPr>
          <w:sz w:val="20"/>
          <w:szCs w:val="20"/>
          <w:color w:val="auto"/>
        </w:rPr>
        <w:br w:type="column"/>
      </w:r>
    </w:p>
    <w:p>
      <w:pPr>
        <w:spacing w:after="0" w:line="38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6089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pacing w:after="0" w:line="246" w:lineRule="exact"/>
        <w:rPr>
          <w:sz w:val="20"/>
          <w:szCs w:val="20"/>
          <w:color w:val="auto"/>
        </w:rPr>
      </w:pPr>
    </w:p>
    <w:p>
      <w:pPr>
        <w:spacing w:after="0" w:line="246" w:lineRule="auto"/>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Certification of Chief Executive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60">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ind w:right="60"/>
        <w:spacing w:after="0" w:line="246" w:lineRule="auto"/>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Certification of Chief Financial Officer pursuant to Rule 13a-14(a) or Rule 15d-14(a) of the Securities Exchange Act of</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1934, as adopted pursuant to Section 302 of The Sarbanes-Oxley Act of 2002.</w:t>
        </w:r>
      </w:hyperlink>
    </w:p>
    <w:p>
      <w:pPr>
        <w:spacing w:after="0" w:line="237" w:lineRule="exact"/>
        <w:rPr>
          <w:sz w:val="20"/>
          <w:szCs w:val="20"/>
          <w:color w:val="auto"/>
        </w:rPr>
      </w:pPr>
    </w:p>
    <w:p>
      <w:pPr>
        <w:spacing w:after="0" w:line="246" w:lineRule="auto"/>
        <w:rPr>
          <w:rFonts w:ascii="Arial" w:cs="Arial" w:eastAsia="Arial" w:hAnsi="Arial"/>
          <w:sz w:val="18"/>
          <w:szCs w:val="18"/>
          <w:u w:val="single" w:color="auto"/>
          <w:color w:val="0000FF"/>
        </w:rPr>
      </w:pPr>
      <w:hyperlink w:anchor="page62">
        <w:r>
          <w:rPr>
            <w:rFonts w:ascii="Arial" w:cs="Arial" w:eastAsia="Arial" w:hAnsi="Arial"/>
            <w:sz w:val="18"/>
            <w:szCs w:val="18"/>
            <w:u w:val="single" w:color="auto"/>
            <w:color w:val="0000FF"/>
          </w:rPr>
          <w:t>Certification of Chief Executive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62">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78" w:lineRule="exact"/>
        <w:rPr>
          <w:sz w:val="20"/>
          <w:szCs w:val="20"/>
          <w:color w:val="auto"/>
        </w:rPr>
      </w:pPr>
    </w:p>
    <w:p>
      <w:pPr>
        <w:ind w:right="60"/>
        <w:spacing w:after="0" w:line="246" w:lineRule="auto"/>
        <w:rPr>
          <w:rFonts w:ascii="Arial" w:cs="Arial" w:eastAsia="Arial" w:hAnsi="Arial"/>
          <w:sz w:val="18"/>
          <w:szCs w:val="18"/>
          <w:u w:val="single" w:color="auto"/>
          <w:color w:val="0000FF"/>
        </w:rPr>
      </w:pPr>
      <w:hyperlink w:anchor="page63">
        <w:r>
          <w:rPr>
            <w:rFonts w:ascii="Arial" w:cs="Arial" w:eastAsia="Arial" w:hAnsi="Arial"/>
            <w:sz w:val="18"/>
            <w:szCs w:val="18"/>
            <w:u w:val="single" w:color="auto"/>
            <w:color w:val="0000FF"/>
          </w:rPr>
          <w:t>Certification of Chief Financial Officer pursuant to Rule 13a-14(b) or Rule 15d-14(b) of the Securities Exchange Act of</w:t>
        </w:r>
      </w:hyperlink>
      <w:r>
        <w:rPr>
          <w:rFonts w:ascii="Arial" w:cs="Arial" w:eastAsia="Arial" w:hAnsi="Arial"/>
          <w:sz w:val="18"/>
          <w:szCs w:val="18"/>
          <w:u w:val="single" w:color="auto"/>
          <w:color w:val="0000FF"/>
        </w:rPr>
        <w:t xml:space="preserve"> </w:t>
      </w:r>
      <w:hyperlink w:anchor="page63">
        <w:r>
          <w:rPr>
            <w:rFonts w:ascii="Arial" w:cs="Arial" w:eastAsia="Arial" w:hAnsi="Arial"/>
            <w:sz w:val="18"/>
            <w:szCs w:val="18"/>
            <w:u w:val="single" w:color="auto"/>
            <w:color w:val="0000FF"/>
          </w:rPr>
          <w:t>1934 and 18 U.S.C. Section 1350 as adopted pursuant to Section 906 of The Sarbanes-Oxley Act of 2002.</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231F20"/>
        </w:rPr>
        <w:t>XBRL Instance Document</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Schema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Calculation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Definition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Labels Linkbase Document.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231F20"/>
        </w:rPr>
        <w:t>XBRL Taxonomy Extension Presentation Linkbase Document.</w:t>
      </w:r>
    </w:p>
    <w:p>
      <w:pPr>
        <w:spacing w:after="0" w:line="200" w:lineRule="exact"/>
        <w:rPr>
          <w:sz w:val="20"/>
          <w:szCs w:val="20"/>
          <w:color w:val="auto"/>
        </w:rPr>
      </w:pPr>
    </w:p>
    <w:p>
      <w:pPr>
        <w:sectPr>
          <w:pgSz w:w="11900" w:h="16838" w:orient="portrait"/>
          <w:cols w:equalWidth="0" w:num="2">
            <w:col w:w="1420" w:space="420"/>
            <w:col w:w="9380"/>
          </w:cols>
          <w:pgMar w:left="240" w:top="141" w:right="439" w:bottom="1440" w:gutter="0" w:footer="0" w:header="0"/>
        </w:sectPr>
      </w:pPr>
    </w:p>
    <w:p>
      <w:pPr>
        <w:spacing w:after="0" w:line="66" w:lineRule="exact"/>
        <w:rPr>
          <w:sz w:val="20"/>
          <w:szCs w:val="20"/>
          <w:color w:val="auto"/>
        </w:rPr>
      </w:pPr>
    </w:p>
    <w:p>
      <w:pPr>
        <w:ind w:left="500" w:right="80" w:hanging="6"/>
        <w:spacing w:after="0" w:line="254" w:lineRule="auto"/>
        <w:tabs>
          <w:tab w:leader="none" w:pos="785"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141" w:right="439" w:bottom="1440" w:gutter="0" w:footer="0" w:header="0"/>
          <w:type w:val="continuous"/>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33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2, 2017</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Melissa B. Fisher, certify that:</w:t>
      </w:r>
    </w:p>
    <w:p>
      <w:pPr>
        <w:spacing w:after="0" w:line="33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39"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27"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44"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right="20" w:hanging="324"/>
        <w:spacing w:after="0" w:line="256" w:lineRule="auto"/>
        <w:tabs>
          <w:tab w:leader="none" w:pos="941"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Arial" w:cs="Arial" w:eastAsia="Arial" w:hAnsi="Arial"/>
          <w:sz w:val="18"/>
          <w:szCs w:val="18"/>
          <w:color w:val="auto"/>
        </w:rPr>
      </w:pPr>
    </w:p>
    <w:p>
      <w:pPr>
        <w:ind w:left="980" w:hanging="324"/>
        <w:spacing w:after="0" w:line="262" w:lineRule="auto"/>
        <w:tabs>
          <w:tab w:leader="none" w:pos="93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right="20" w:hanging="324"/>
        <w:spacing w:after="0" w:line="262" w:lineRule="auto"/>
        <w:tabs>
          <w:tab w:leader="none" w:pos="9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2, 2017</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3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2017,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204" w:lineRule="exact"/>
        <w:rPr>
          <w:sz w:val="20"/>
          <w:szCs w:val="20"/>
          <w:color w:val="auto"/>
        </w:rPr>
      </w:pPr>
    </w:p>
    <w:p>
      <w:pPr>
        <w:ind w:left="780" w:hanging="272"/>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2, 2017</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Chairman, President and Chief Executive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2" w:name="page63"/>
    <w:bookmarkEnd w:id="62"/>
    <w:p>
      <w:pPr>
        <w:ind w:left="10420"/>
        <w:spacing w:after="0"/>
        <w:rPr>
          <w:sz w:val="20"/>
          <w:szCs w:val="20"/>
          <w:color w:val="auto"/>
        </w:rPr>
      </w:pPr>
      <w:r>
        <w:rPr>
          <w:rFonts w:ascii="Arial" w:cs="Arial" w:eastAsia="Arial" w:hAnsi="Arial"/>
          <w:sz w:val="17"/>
          <w:szCs w:val="17"/>
          <w:b w:val="1"/>
          <w:bCs w:val="1"/>
          <w:color w:val="auto"/>
        </w:rPr>
        <w:t>Exhibit 32.2</w:t>
      </w:r>
    </w:p>
    <w:p>
      <w:pPr>
        <w:spacing w:after="0" w:line="250"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2017, as filed with the Securities and Exchange Commission on the date hereof (the “Report”), I, Melissa B. Fisher, Chief Financial Officer of the Company, certify, pursuant to 18 U.S.C. § 1350, as adopted pursuant to § 906 of the Sarbanes-Oxley Act of 2002, that, to the best of my knowledge:</w:t>
      </w:r>
    </w:p>
    <w:p>
      <w:pPr>
        <w:spacing w:after="0" w:line="175" w:lineRule="exact"/>
        <w:rPr>
          <w:sz w:val="20"/>
          <w:szCs w:val="20"/>
          <w:color w:val="auto"/>
        </w:rPr>
      </w:pPr>
    </w:p>
    <w:p>
      <w:pPr>
        <w:ind w:left="780" w:hanging="27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2, 2017</w:t>
      </w:r>
    </w:p>
    <w:p>
      <w:pPr>
        <w:spacing w:after="0" w:line="15"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MELISSA B.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36830</wp:posOffset>
            </wp:positionV>
            <wp:extent cx="31216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Melissa B. Fisher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x"/>
      <w:numFmt w:val="bullet"/>
      <w:start w:val="1"/>
    </w:lvl>
  </w:abstractNum>
  <w:abstractNum w:abstractNumId="1">
    <w:nsid w:val="DED7263"/>
    <w:multiLevelType w:val="hybridMultilevel"/>
    <w:lvl w:ilvl="0">
      <w:lvlJc w:val="left"/>
      <w:lvlText w:val="o"/>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decimal"/>
      <w:start w:val="2"/>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1"/>
      <w:numFmt w:val="decimal"/>
      <w:start w:val="101"/>
    </w:lvl>
  </w:abstractNum>
  <w:abstractNum w:abstractNumId="17">
    <w:nsid w:val="721DA317"/>
    <w:multiLevelType w:val="hybridMultilevel"/>
    <w:lvl w:ilvl="0">
      <w:lvlJc w:val="left"/>
      <w:lvlText w:val="%1"/>
      <w:numFmt w:val="decimal"/>
      <w:start w:val="101"/>
    </w:lvl>
  </w:abstractNum>
  <w:abstractNum w:abstractNumId="18">
    <w:nsid w:val="2443A858"/>
    <w:multiLevelType w:val="hybridMultilevel"/>
    <w:lvl w:ilvl="0">
      <w:lvlJc w:val="left"/>
      <w:lvlText w:val="%1"/>
      <w:numFmt w:val="decimal"/>
      <w:start w:val="101"/>
    </w:lvl>
  </w:abstractNum>
  <w:abstractNum w:abstractNumId="19">
    <w:nsid w:val="2D1D5AE9"/>
    <w:multiLevelType w:val="hybridMultilevel"/>
    <w:lvl w:ilvl="0">
      <w:lvlJc w:val="left"/>
      <w:lvlText w:val="%1"/>
      <w:numFmt w:val="decimal"/>
      <w:start w:val="101"/>
    </w:lvl>
  </w:abstractNum>
  <w:abstractNum w:abstractNumId="20">
    <w:nsid w:val="6763845E"/>
    <w:multiLevelType w:val="hybridMultilevel"/>
    <w:lvl w:ilvl="0">
      <w:lvlJc w:val="left"/>
      <w:lvlText w:val="%1"/>
      <w:numFmt w:val="decimal"/>
      <w:start w:val="10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decimal"/>
      <w:start w:val="2"/>
    </w:lvl>
  </w:abstractNum>
  <w:abstractNum w:abstractNumId="25">
    <w:nsid w:val="B03E0C6"/>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2019-12-29T03:05:32Z</dcterms:created>
  <dcterms:modified xsi:type="dcterms:W3CDTF">2019-12-29T03:05:32Z</dcterms:modified>
</cp:coreProperties>
</file>