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79"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231F20"/>
        </w:rPr>
        <w:t>UNITED STATES</w:t>
      </w:r>
    </w:p>
    <w:p>
      <w:pPr>
        <w:spacing w:after="0" w:line="49" w:lineRule="exact"/>
        <w:rPr>
          <w:sz w:val="24"/>
          <w:szCs w:val="24"/>
          <w:color w:val="auto"/>
        </w:rPr>
      </w:pPr>
    </w:p>
    <w:p>
      <w:pPr>
        <w:jc w:val="center"/>
        <w:ind w:right="-99"/>
        <w:spacing w:after="0"/>
        <w:rPr>
          <w:sz w:val="20"/>
          <w:szCs w:val="20"/>
          <w:color w:val="auto"/>
        </w:rPr>
      </w:pPr>
      <w:r>
        <w:rPr>
          <w:rFonts w:ascii="Arial" w:cs="Arial" w:eastAsia="Arial" w:hAnsi="Arial"/>
          <w:sz w:val="28"/>
          <w:szCs w:val="28"/>
          <w:b w:val="1"/>
          <w:bCs w:val="1"/>
          <w:color w:val="231F20"/>
        </w:rPr>
        <w:t>SECURITIES AND EXCHANGE COMMISSION</w:t>
      </w:r>
    </w:p>
    <w:p>
      <w:pPr>
        <w:spacing w:after="0" w:line="100"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231F20"/>
        </w:rPr>
        <w:t>Washington, D.C. 20549</w:t>
      </w:r>
    </w:p>
    <w:p>
      <w:pPr>
        <w:spacing w:after="0" w:line="33"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231F20"/>
        </w:rPr>
        <w:t>FORM 10-Q</w:t>
      </w:r>
    </w:p>
    <w:p>
      <w:pPr>
        <w:spacing w:after="0" w:line="3"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231F20"/>
        </w:rPr>
        <w:t>__________________</w:t>
      </w:r>
    </w:p>
    <w:p>
      <w:pPr>
        <w:spacing w:after="0" w:line="136" w:lineRule="exact"/>
        <w:rPr>
          <w:sz w:val="24"/>
          <w:szCs w:val="24"/>
          <w:color w:val="auto"/>
        </w:rPr>
      </w:pPr>
    </w:p>
    <w:p>
      <w:pPr>
        <w:ind w:left="380" w:hanging="345"/>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43" w:lineRule="exact"/>
        <w:rPr>
          <w:rFonts w:ascii="Arial" w:cs="Arial" w:eastAsia="Arial" w:hAnsi="Arial"/>
          <w:sz w:val="18"/>
          <w:szCs w:val="18"/>
          <w:color w:val="auto"/>
        </w:rPr>
      </w:pPr>
    </w:p>
    <w:p>
      <w:pPr>
        <w:ind w:left="3740"/>
        <w:spacing w:after="0"/>
        <w:rPr>
          <w:rFonts w:ascii="Arial" w:cs="Arial" w:eastAsia="Arial" w:hAnsi="Arial"/>
          <w:sz w:val="18"/>
          <w:szCs w:val="18"/>
          <w:color w:val="auto"/>
        </w:rPr>
      </w:pPr>
      <w:r>
        <w:rPr>
          <w:rFonts w:ascii="Arial" w:cs="Arial" w:eastAsia="Arial" w:hAnsi="Arial"/>
          <w:sz w:val="16"/>
          <w:szCs w:val="16"/>
          <w:b w:val="1"/>
          <w:bCs w:val="1"/>
          <w:color w:val="auto"/>
        </w:rPr>
        <w:t>For the Quarterly Period Ended September 30, 2014</w:t>
      </w:r>
    </w:p>
    <w:p>
      <w:pPr>
        <w:spacing w:after="0" w:line="365" w:lineRule="exact"/>
        <w:rPr>
          <w:sz w:val="24"/>
          <w:szCs w:val="24"/>
          <w:color w:val="auto"/>
        </w:rPr>
      </w:pPr>
    </w:p>
    <w:p>
      <w:pPr>
        <w:ind w:left="540" w:hanging="505"/>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ectPr>
          <w:pgSz w:w="11900" w:h="16838" w:orient="portrait"/>
          <w:cols w:equalWidth="0" w:num="1">
            <w:col w:w="11340"/>
          </w:cols>
          <w:pgMar w:left="240" w:top="249" w:right="319" w:bottom="1440" w:gutter="0" w:footer="0" w:header="0"/>
        </w:sectPr>
      </w:pPr>
    </w:p>
    <w:p>
      <w:pPr>
        <w:spacing w:after="0" w:line="216" w:lineRule="exact"/>
        <w:rPr>
          <w:sz w:val="24"/>
          <w:szCs w:val="24"/>
          <w:color w:val="auto"/>
        </w:rPr>
      </w:pPr>
    </w:p>
    <w:p>
      <w:pPr>
        <w:ind w:left="42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94" w:lineRule="exact"/>
        <w:rPr>
          <w:sz w:val="24"/>
          <w:szCs w:val="24"/>
          <w:color w:val="auto"/>
        </w:rPr>
      </w:pPr>
    </w:p>
    <w:p>
      <w:pPr>
        <w:sectPr>
          <w:pgSz w:w="11900" w:h="16838" w:orient="portrait"/>
          <w:cols w:equalWidth="0" w:num="2">
            <w:col w:w="6560" w:space="440"/>
            <w:col w:w="4340"/>
          </w:cols>
          <w:pgMar w:left="240" w:top="249" w:right="319" w:bottom="1440" w:gutter="0" w:footer="0" w:header="0"/>
          <w:type w:val="continuous"/>
        </w:sectPr>
      </w:pPr>
    </w:p>
    <w:p>
      <w:pPr>
        <w:jc w:val="center"/>
        <w:ind w:right="-79"/>
        <w:spacing w:after="0"/>
        <w:rPr>
          <w:sz w:val="20"/>
          <w:szCs w:val="20"/>
          <w:color w:val="auto"/>
        </w:rPr>
      </w:pPr>
      <w:r>
        <w:rPr>
          <w:rFonts w:ascii="Arial" w:cs="Arial" w:eastAsia="Arial" w:hAnsi="Arial"/>
          <w:sz w:val="16"/>
          <w:szCs w:val="16"/>
          <w:b w:val="1"/>
          <w:bCs w:val="1"/>
          <w:color w:val="auto"/>
        </w:rPr>
        <w:t>Commission file number 001-35662</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231F20"/>
        </w:rPr>
        <w:t>__________________</w:t>
      </w:r>
    </w:p>
    <w:p>
      <w:pPr>
        <w:sectPr>
          <w:pgSz w:w="11900" w:h="16838" w:orient="portrait"/>
          <w:cols w:equalWidth="0" w:num="1">
            <w:col w:w="11340"/>
          </w:cols>
          <w:pgMar w:left="240" w:top="249" w:right="319" w:bottom="1440" w:gutter="0" w:footer="0" w:header="0"/>
          <w:type w:val="continuous"/>
        </w:sectPr>
      </w:pPr>
    </w:p>
    <w:tbl>
      <w:tblPr>
        <w:tblLayout w:type="fixed"/>
        <w:tblInd w:w="1440" w:type="dxa"/>
        <w:tblCellMar>
          <w:top w:w="0" w:type="dxa"/>
          <w:left w:w="0" w:type="dxa"/>
          <w:bottom w:w="0" w:type="dxa"/>
          <w:right w:w="0" w:type="dxa"/>
        </w:tblCellMar>
      </w:tblPr>
      <w:tr>
        <w:trPr>
          <w:trHeight w:val="442"/>
        </w:trPr>
        <w:tc>
          <w:tcPr>
            <w:tcW w:w="2160" w:type="dxa"/>
            <w:vAlign w:val="bottom"/>
          </w:tcPr>
          <w:p>
            <w:pPr>
              <w:spacing w:after="0"/>
              <w:rPr>
                <w:sz w:val="24"/>
                <w:szCs w:val="24"/>
                <w:color w:val="auto"/>
              </w:rPr>
            </w:pPr>
          </w:p>
        </w:tc>
        <w:tc>
          <w:tcPr>
            <w:tcW w:w="6140" w:type="dxa"/>
            <w:vAlign w:val="bottom"/>
          </w:tcPr>
          <w:p>
            <w:pPr>
              <w:jc w:val="center"/>
              <w:ind w:right="1833"/>
              <w:spacing w:after="0" w:line="441" w:lineRule="exact"/>
              <w:rPr>
                <w:sz w:val="20"/>
                <w:szCs w:val="20"/>
                <w:color w:val="auto"/>
              </w:rPr>
            </w:pPr>
            <w:r>
              <w:rPr>
                <w:rFonts w:ascii="Arial" w:cs="Arial" w:eastAsia="Arial" w:hAnsi="Arial"/>
                <w:sz w:val="40"/>
                <w:szCs w:val="40"/>
                <w:b w:val="1"/>
                <w:bCs w:val="1"/>
                <w:color w:val="231F20"/>
                <w:w w:val="97"/>
              </w:rPr>
              <w:t>QUALYS, INC.</w:t>
            </w:r>
          </w:p>
        </w:tc>
      </w:tr>
      <w:tr>
        <w:trPr>
          <w:trHeight w:val="148"/>
        </w:trPr>
        <w:tc>
          <w:tcPr>
            <w:tcW w:w="2160" w:type="dxa"/>
            <w:vAlign w:val="bottom"/>
          </w:tcPr>
          <w:p>
            <w:pPr>
              <w:spacing w:after="0"/>
              <w:rPr>
                <w:sz w:val="12"/>
                <w:szCs w:val="12"/>
                <w:color w:val="auto"/>
              </w:rPr>
            </w:pPr>
          </w:p>
        </w:tc>
        <w:tc>
          <w:tcPr>
            <w:tcW w:w="6140" w:type="dxa"/>
            <w:vAlign w:val="bottom"/>
          </w:tcPr>
          <w:p>
            <w:pPr>
              <w:jc w:val="center"/>
              <w:ind w:right="1833"/>
              <w:spacing w:after="0" w:line="149" w:lineRule="exact"/>
              <w:rPr>
                <w:sz w:val="20"/>
                <w:szCs w:val="20"/>
                <w:color w:val="auto"/>
              </w:rPr>
            </w:pPr>
            <w:r>
              <w:rPr>
                <w:rFonts w:ascii="Arial" w:cs="Arial" w:eastAsia="Arial" w:hAnsi="Arial"/>
                <w:sz w:val="14"/>
                <w:szCs w:val="14"/>
                <w:b w:val="1"/>
                <w:bCs w:val="1"/>
                <w:color w:val="231F20"/>
              </w:rPr>
              <w:t>(Exact name of registrant as specified in its charter)</w:t>
            </w:r>
          </w:p>
        </w:tc>
      </w:tr>
      <w:tr>
        <w:trPr>
          <w:trHeight w:val="239"/>
        </w:trPr>
        <w:tc>
          <w:tcPr>
            <w:tcW w:w="2160" w:type="dxa"/>
            <w:vAlign w:val="bottom"/>
          </w:tcPr>
          <w:p>
            <w:pPr>
              <w:spacing w:after="0"/>
              <w:rPr>
                <w:sz w:val="20"/>
                <w:szCs w:val="20"/>
                <w:color w:val="auto"/>
              </w:rPr>
            </w:pPr>
          </w:p>
        </w:tc>
        <w:tc>
          <w:tcPr>
            <w:tcW w:w="6140" w:type="dxa"/>
            <w:vAlign w:val="bottom"/>
          </w:tcPr>
          <w:p>
            <w:pPr>
              <w:jc w:val="center"/>
              <w:ind w:right="1813"/>
              <w:spacing w:after="0"/>
              <w:rPr>
                <w:sz w:val="20"/>
                <w:szCs w:val="20"/>
                <w:color w:val="auto"/>
              </w:rPr>
            </w:pPr>
            <w:r>
              <w:rPr>
                <w:rFonts w:ascii="Arial" w:cs="Arial" w:eastAsia="Arial" w:hAnsi="Arial"/>
                <w:sz w:val="18"/>
                <w:szCs w:val="18"/>
                <w:b w:val="1"/>
                <w:bCs w:val="1"/>
                <w:color w:val="231F20"/>
                <w:w w:val="99"/>
              </w:rPr>
              <w:t>__________________</w:t>
            </w:r>
          </w:p>
        </w:tc>
      </w:tr>
      <w:tr>
        <w:trPr>
          <w:trHeight w:val="357"/>
        </w:trPr>
        <w:tc>
          <w:tcPr>
            <w:tcW w:w="2160" w:type="dxa"/>
            <w:vAlign w:val="bottom"/>
          </w:tcPr>
          <w:p>
            <w:pPr>
              <w:jc w:val="center"/>
              <w:ind w:right="48"/>
              <w:spacing w:after="0"/>
              <w:rPr>
                <w:sz w:val="20"/>
                <w:szCs w:val="20"/>
                <w:color w:val="auto"/>
              </w:rPr>
            </w:pPr>
            <w:r>
              <w:rPr>
                <w:rFonts w:ascii="Arial" w:cs="Arial" w:eastAsia="Arial" w:hAnsi="Arial"/>
                <w:sz w:val="14"/>
                <w:szCs w:val="14"/>
                <w:b w:val="1"/>
                <w:bCs w:val="1"/>
                <w:color w:val="auto"/>
              </w:rPr>
              <w:t>Delaware</w:t>
            </w:r>
          </w:p>
        </w:tc>
        <w:tc>
          <w:tcPr>
            <w:tcW w:w="6140" w:type="dxa"/>
            <w:vAlign w:val="bottom"/>
          </w:tcPr>
          <w:p>
            <w:pPr>
              <w:jc w:val="center"/>
              <w:ind w:left="4513"/>
              <w:spacing w:after="0"/>
              <w:rPr>
                <w:sz w:val="20"/>
                <w:szCs w:val="20"/>
                <w:color w:val="auto"/>
              </w:rPr>
            </w:pPr>
            <w:r>
              <w:rPr>
                <w:rFonts w:ascii="Arial" w:cs="Arial" w:eastAsia="Arial" w:hAnsi="Arial"/>
                <w:sz w:val="14"/>
                <w:szCs w:val="14"/>
                <w:b w:val="1"/>
                <w:bCs w:val="1"/>
                <w:color w:val="auto"/>
              </w:rPr>
              <w:t>77-0534145</w:t>
            </w:r>
          </w:p>
        </w:tc>
      </w:tr>
      <w:tr>
        <w:trPr>
          <w:trHeight w:val="270"/>
        </w:trPr>
        <w:tc>
          <w:tcPr>
            <w:tcW w:w="2160" w:type="dxa"/>
            <w:vAlign w:val="bottom"/>
          </w:tcPr>
          <w:p>
            <w:pPr>
              <w:jc w:val="center"/>
              <w:ind w:right="28"/>
              <w:spacing w:after="0"/>
              <w:rPr>
                <w:sz w:val="20"/>
                <w:szCs w:val="20"/>
                <w:color w:val="auto"/>
              </w:rPr>
            </w:pPr>
            <w:r>
              <w:rPr>
                <w:rFonts w:ascii="Arial" w:cs="Arial" w:eastAsia="Arial" w:hAnsi="Arial"/>
                <w:sz w:val="14"/>
                <w:szCs w:val="14"/>
                <w:b w:val="1"/>
                <w:bCs w:val="1"/>
                <w:color w:val="auto"/>
              </w:rPr>
              <w:t>(State or other jurisdiction of</w:t>
            </w:r>
          </w:p>
        </w:tc>
        <w:tc>
          <w:tcPr>
            <w:tcW w:w="6140" w:type="dxa"/>
            <w:vAlign w:val="bottom"/>
          </w:tcPr>
          <w:p>
            <w:pPr>
              <w:jc w:val="center"/>
              <w:ind w:left="4513"/>
              <w:spacing w:after="0"/>
              <w:rPr>
                <w:sz w:val="20"/>
                <w:szCs w:val="20"/>
                <w:color w:val="auto"/>
              </w:rPr>
            </w:pPr>
            <w:r>
              <w:rPr>
                <w:rFonts w:ascii="Arial" w:cs="Arial" w:eastAsia="Arial" w:hAnsi="Arial"/>
                <w:sz w:val="14"/>
                <w:szCs w:val="14"/>
                <w:b w:val="1"/>
                <w:bCs w:val="1"/>
                <w:color w:val="auto"/>
              </w:rPr>
              <w:t>(I.R.S. Employer</w:t>
            </w:r>
          </w:p>
        </w:tc>
      </w:tr>
      <w:tr>
        <w:trPr>
          <w:trHeight w:val="270"/>
        </w:trPr>
        <w:tc>
          <w:tcPr>
            <w:tcW w:w="2160" w:type="dxa"/>
            <w:vAlign w:val="bottom"/>
          </w:tcPr>
          <w:p>
            <w:pPr>
              <w:jc w:val="center"/>
              <w:ind w:right="28"/>
              <w:spacing w:after="0"/>
              <w:rPr>
                <w:sz w:val="20"/>
                <w:szCs w:val="20"/>
                <w:color w:val="auto"/>
              </w:rPr>
            </w:pPr>
            <w:r>
              <w:rPr>
                <w:rFonts w:ascii="Arial" w:cs="Arial" w:eastAsia="Arial" w:hAnsi="Arial"/>
                <w:sz w:val="14"/>
                <w:szCs w:val="14"/>
                <w:b w:val="1"/>
                <w:bCs w:val="1"/>
                <w:color w:val="auto"/>
              </w:rPr>
              <w:t>incorporation or organization)</w:t>
            </w:r>
          </w:p>
        </w:tc>
        <w:tc>
          <w:tcPr>
            <w:tcW w:w="6140" w:type="dxa"/>
            <w:vAlign w:val="bottom"/>
          </w:tcPr>
          <w:p>
            <w:pPr>
              <w:jc w:val="center"/>
              <w:ind w:left="4513"/>
              <w:spacing w:after="0"/>
              <w:rPr>
                <w:sz w:val="20"/>
                <w:szCs w:val="20"/>
                <w:color w:val="auto"/>
              </w:rPr>
            </w:pPr>
            <w:r>
              <w:rPr>
                <w:rFonts w:ascii="Arial" w:cs="Arial" w:eastAsia="Arial" w:hAnsi="Arial"/>
                <w:sz w:val="14"/>
                <w:szCs w:val="14"/>
                <w:b w:val="1"/>
                <w:bCs w:val="1"/>
                <w:color w:val="auto"/>
              </w:rPr>
              <w:t>Identification Number)</w:t>
            </w:r>
          </w:p>
        </w:tc>
      </w:tr>
      <w:tr>
        <w:trPr>
          <w:trHeight w:val="323"/>
        </w:trPr>
        <w:tc>
          <w:tcPr>
            <w:tcW w:w="2160" w:type="dxa"/>
            <w:vAlign w:val="bottom"/>
          </w:tcPr>
          <w:p>
            <w:pPr>
              <w:spacing w:after="0"/>
              <w:rPr>
                <w:sz w:val="24"/>
                <w:szCs w:val="24"/>
                <w:color w:val="auto"/>
              </w:rPr>
            </w:pPr>
          </w:p>
        </w:tc>
        <w:tc>
          <w:tcPr>
            <w:tcW w:w="6140" w:type="dxa"/>
            <w:vAlign w:val="bottom"/>
          </w:tcPr>
          <w:p>
            <w:pPr>
              <w:jc w:val="center"/>
              <w:ind w:right="1813"/>
              <w:spacing w:after="0"/>
              <w:rPr>
                <w:sz w:val="20"/>
                <w:szCs w:val="20"/>
                <w:color w:val="auto"/>
              </w:rPr>
            </w:pPr>
            <w:r>
              <w:rPr>
                <w:rFonts w:ascii="Arial" w:cs="Arial" w:eastAsia="Arial" w:hAnsi="Arial"/>
                <w:sz w:val="14"/>
                <w:szCs w:val="14"/>
                <w:b w:val="1"/>
                <w:bCs w:val="1"/>
                <w:color w:val="auto"/>
              </w:rPr>
              <w:t>1600 Bridge Parkway, Redwood City, California 94065</w:t>
            </w:r>
          </w:p>
        </w:tc>
      </w:tr>
      <w:tr>
        <w:trPr>
          <w:trHeight w:val="190"/>
        </w:trPr>
        <w:tc>
          <w:tcPr>
            <w:tcW w:w="2160" w:type="dxa"/>
            <w:vAlign w:val="bottom"/>
          </w:tcPr>
          <w:p>
            <w:pPr>
              <w:spacing w:after="0"/>
              <w:rPr>
                <w:sz w:val="16"/>
                <w:szCs w:val="16"/>
                <w:color w:val="auto"/>
              </w:rPr>
            </w:pPr>
          </w:p>
        </w:tc>
        <w:tc>
          <w:tcPr>
            <w:tcW w:w="6140" w:type="dxa"/>
            <w:vAlign w:val="bottom"/>
          </w:tcPr>
          <w:p>
            <w:pPr>
              <w:jc w:val="center"/>
              <w:ind w:right="1833"/>
              <w:spacing w:after="0"/>
              <w:rPr>
                <w:sz w:val="20"/>
                <w:szCs w:val="20"/>
                <w:color w:val="auto"/>
              </w:rPr>
            </w:pPr>
            <w:r>
              <w:rPr>
                <w:rFonts w:ascii="Arial" w:cs="Arial" w:eastAsia="Arial" w:hAnsi="Arial"/>
                <w:sz w:val="14"/>
                <w:szCs w:val="14"/>
                <w:b w:val="1"/>
                <w:bCs w:val="1"/>
                <w:color w:val="auto"/>
              </w:rPr>
              <w:t>(Address of principal executive offices, including zip code)</w:t>
            </w:r>
          </w:p>
        </w:tc>
      </w:tr>
      <w:tr>
        <w:trPr>
          <w:trHeight w:val="485"/>
        </w:trPr>
        <w:tc>
          <w:tcPr>
            <w:tcW w:w="2160" w:type="dxa"/>
            <w:vAlign w:val="bottom"/>
          </w:tcPr>
          <w:p>
            <w:pPr>
              <w:spacing w:after="0"/>
              <w:rPr>
                <w:sz w:val="24"/>
                <w:szCs w:val="24"/>
                <w:color w:val="auto"/>
              </w:rPr>
            </w:pPr>
          </w:p>
        </w:tc>
        <w:tc>
          <w:tcPr>
            <w:tcW w:w="6140" w:type="dxa"/>
            <w:vAlign w:val="bottom"/>
          </w:tcPr>
          <w:p>
            <w:pPr>
              <w:jc w:val="center"/>
              <w:ind w:right="1833"/>
              <w:spacing w:after="0"/>
              <w:rPr>
                <w:sz w:val="20"/>
                <w:szCs w:val="20"/>
                <w:color w:val="auto"/>
              </w:rPr>
            </w:pPr>
            <w:r>
              <w:rPr>
                <w:rFonts w:ascii="Arial" w:cs="Arial" w:eastAsia="Arial" w:hAnsi="Arial"/>
                <w:sz w:val="14"/>
                <w:szCs w:val="14"/>
                <w:b w:val="1"/>
                <w:bCs w:val="1"/>
                <w:color w:val="auto"/>
              </w:rPr>
              <w:t>(650) 801-6100</w:t>
            </w:r>
          </w:p>
        </w:tc>
      </w:tr>
      <w:tr>
        <w:trPr>
          <w:trHeight w:val="148"/>
        </w:trPr>
        <w:tc>
          <w:tcPr>
            <w:tcW w:w="2160" w:type="dxa"/>
            <w:vAlign w:val="bottom"/>
          </w:tcPr>
          <w:p>
            <w:pPr>
              <w:spacing w:after="0"/>
              <w:rPr>
                <w:sz w:val="12"/>
                <w:szCs w:val="12"/>
                <w:color w:val="auto"/>
              </w:rPr>
            </w:pPr>
          </w:p>
        </w:tc>
        <w:tc>
          <w:tcPr>
            <w:tcW w:w="6140" w:type="dxa"/>
            <w:vAlign w:val="bottom"/>
          </w:tcPr>
          <w:p>
            <w:pPr>
              <w:jc w:val="center"/>
              <w:ind w:right="1813"/>
              <w:spacing w:after="0" w:line="149" w:lineRule="exact"/>
              <w:rPr>
                <w:sz w:val="20"/>
                <w:szCs w:val="20"/>
                <w:color w:val="auto"/>
              </w:rPr>
            </w:pPr>
            <w:r>
              <w:rPr>
                <w:rFonts w:ascii="Arial" w:cs="Arial" w:eastAsia="Arial" w:hAnsi="Arial"/>
                <w:sz w:val="14"/>
                <w:szCs w:val="14"/>
                <w:b w:val="1"/>
                <w:bCs w:val="1"/>
                <w:color w:val="auto"/>
              </w:rPr>
              <w:t>(Registrant’s telephone number, including area code)</w:t>
            </w:r>
          </w:p>
        </w:tc>
      </w:tr>
      <w:tr>
        <w:trPr>
          <w:trHeight w:val="239"/>
        </w:trPr>
        <w:tc>
          <w:tcPr>
            <w:tcW w:w="2160" w:type="dxa"/>
            <w:vAlign w:val="bottom"/>
          </w:tcPr>
          <w:p>
            <w:pPr>
              <w:spacing w:after="0"/>
              <w:rPr>
                <w:sz w:val="20"/>
                <w:szCs w:val="20"/>
                <w:color w:val="auto"/>
              </w:rPr>
            </w:pPr>
          </w:p>
        </w:tc>
        <w:tc>
          <w:tcPr>
            <w:tcW w:w="6140" w:type="dxa"/>
            <w:vAlign w:val="bottom"/>
          </w:tcPr>
          <w:p>
            <w:pPr>
              <w:jc w:val="center"/>
              <w:ind w:right="1813"/>
              <w:spacing w:after="0"/>
              <w:rPr>
                <w:sz w:val="20"/>
                <w:szCs w:val="20"/>
                <w:color w:val="auto"/>
              </w:rPr>
            </w:pPr>
            <w:r>
              <w:rPr>
                <w:rFonts w:ascii="Arial" w:cs="Arial" w:eastAsia="Arial" w:hAnsi="Arial"/>
                <w:sz w:val="18"/>
                <w:szCs w:val="18"/>
                <w:b w:val="1"/>
                <w:bCs w:val="1"/>
                <w:color w:val="231F20"/>
                <w:w w:val="99"/>
              </w:rPr>
              <w:t>__________________</w:t>
            </w:r>
          </w:p>
        </w:tc>
      </w:tr>
    </w:tbl>
    <w:p>
      <w:pPr>
        <w:spacing w:after="0" w:line="128"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168"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141" w:lineRule="exact"/>
        <w:rPr>
          <w:sz w:val="24"/>
          <w:szCs w:val="24"/>
          <w:color w:val="auto"/>
        </w:rPr>
      </w:pPr>
    </w:p>
    <w:p>
      <w:pPr>
        <w:ind w:right="80"/>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40"/>
          </w:cols>
          <w:pgMar w:left="240" w:top="249" w:right="319" w:bottom="1440" w:gutter="0" w:footer="0" w:header="0"/>
          <w:type w:val="continuous"/>
        </w:sectPr>
      </w:pPr>
    </w:p>
    <w:p>
      <w:pPr>
        <w:spacing w:after="0" w:line="236" w:lineRule="exact"/>
        <w:rPr>
          <w:sz w:val="24"/>
          <w:szCs w:val="24"/>
          <w:color w:val="auto"/>
        </w:rPr>
      </w:pPr>
    </w:p>
    <w:p>
      <w:pPr>
        <w:ind w:left="40"/>
        <w:spacing w:after="0"/>
        <w:rPr>
          <w:sz w:val="20"/>
          <w:szCs w:val="20"/>
          <w:color w:val="auto"/>
        </w:rPr>
      </w:pPr>
      <w:r>
        <w:rPr>
          <w:rFonts w:ascii="Arial" w:cs="Arial" w:eastAsia="Arial" w:hAnsi="Arial"/>
          <w:sz w:val="16"/>
          <w:szCs w:val="16"/>
          <w:color w:val="231F20"/>
        </w:rPr>
        <w:t>Large accelerated filer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spacing w:after="0"/>
        <w:rPr>
          <w:sz w:val="20"/>
          <w:szCs w:val="20"/>
          <w:color w:val="auto"/>
        </w:rPr>
      </w:pPr>
      <w:r>
        <w:rPr>
          <w:rFonts w:ascii="Arial" w:cs="Arial" w:eastAsia="Arial" w:hAnsi="Arial"/>
          <w:sz w:val="16"/>
          <w:szCs w:val="16"/>
          <w:color w:val="231F20"/>
        </w:rPr>
        <w:t>Accelerated filer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spacing w:after="0"/>
        <w:rPr>
          <w:sz w:val="20"/>
          <w:szCs w:val="20"/>
          <w:color w:val="auto"/>
        </w:rPr>
      </w:pPr>
      <w:r>
        <w:rPr>
          <w:rFonts w:ascii="Arial" w:cs="Arial" w:eastAsia="Arial" w:hAnsi="Arial"/>
          <w:sz w:val="16"/>
          <w:szCs w:val="16"/>
          <w:color w:val="231F20"/>
        </w:rPr>
        <w:t>Non-accelerated filer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spacing w:after="0"/>
        <w:rPr>
          <w:sz w:val="20"/>
          <w:szCs w:val="20"/>
          <w:color w:val="auto"/>
        </w:rPr>
      </w:pPr>
      <w:r>
        <w:rPr>
          <w:rFonts w:ascii="Arial" w:cs="Arial" w:eastAsia="Arial" w:hAnsi="Arial"/>
          <w:sz w:val="16"/>
          <w:szCs w:val="16"/>
          <w:color w:val="231F20"/>
        </w:rPr>
        <w:t>Smaller reporting company</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107" w:lineRule="exact"/>
        <w:rPr>
          <w:sz w:val="24"/>
          <w:szCs w:val="24"/>
          <w:color w:val="auto"/>
        </w:rPr>
      </w:pPr>
    </w:p>
    <w:p>
      <w:pPr>
        <w:sectPr>
          <w:pgSz w:w="11900" w:h="16838" w:orient="portrait"/>
          <w:cols w:equalWidth="0" w:num="8">
            <w:col w:w="1640" w:space="660"/>
            <w:col w:w="80" w:space="520"/>
            <w:col w:w="1320" w:space="720"/>
            <w:col w:w="80" w:space="480"/>
            <w:col w:w="1500" w:space="640"/>
            <w:col w:w="200" w:space="720"/>
            <w:col w:w="1940" w:space="660"/>
            <w:col w:w="180"/>
          </w:cols>
          <w:pgMar w:left="240" w:top="249" w:right="319" w:bottom="1440" w:gutter="0" w:footer="0" w:header="0"/>
          <w:type w:val="continuous"/>
        </w:sectPr>
      </w:pPr>
    </w:p>
    <w:p>
      <w:pPr>
        <w:jc w:val="center"/>
        <w:ind w:left="1920"/>
        <w:spacing w:after="0"/>
        <w:rPr>
          <w:sz w:val="20"/>
          <w:szCs w:val="20"/>
          <w:color w:val="auto"/>
        </w:rPr>
      </w:pPr>
      <w:r>
        <w:rPr>
          <w:rFonts w:ascii="Arial" w:cs="Arial" w:eastAsia="Arial" w:hAnsi="Arial"/>
          <w:sz w:val="16"/>
          <w:szCs w:val="16"/>
          <w:color w:val="auto"/>
        </w:rPr>
        <w:t>(Do not check if a smaller</w:t>
      </w:r>
    </w:p>
    <w:p>
      <w:pPr>
        <w:spacing w:after="0" w:line="5" w:lineRule="exact"/>
        <w:rPr>
          <w:sz w:val="24"/>
          <w:szCs w:val="24"/>
          <w:color w:val="auto"/>
        </w:rPr>
      </w:pPr>
    </w:p>
    <w:p>
      <w:pPr>
        <w:jc w:val="center"/>
        <w:ind w:left="1920"/>
        <w:spacing w:after="0"/>
        <w:rPr>
          <w:sz w:val="20"/>
          <w:szCs w:val="20"/>
          <w:color w:val="auto"/>
        </w:rPr>
      </w:pPr>
      <w:r>
        <w:rPr>
          <w:rFonts w:ascii="Arial" w:cs="Arial" w:eastAsia="Arial" w:hAnsi="Arial"/>
          <w:sz w:val="16"/>
          <w:szCs w:val="16"/>
          <w:color w:val="auto"/>
        </w:rPr>
        <w:t>reporting company)</w:t>
      </w:r>
    </w:p>
    <w:p>
      <w:pPr>
        <w:sectPr>
          <w:pgSz w:w="11900" w:h="16838" w:orient="portrait"/>
          <w:cols w:equalWidth="0" w:num="1">
            <w:col w:w="11340"/>
          </w:cols>
          <w:pgMar w:left="240" w:top="249" w:right="319" w:bottom="1440" w:gutter="0" w:footer="0" w:header="0"/>
          <w:type w:val="continuous"/>
        </w:sectPr>
      </w:pPr>
    </w:p>
    <w:p>
      <w:pPr>
        <w:spacing w:after="0" w:line="220" w:lineRule="exact"/>
        <w:rPr>
          <w:sz w:val="24"/>
          <w:szCs w:val="24"/>
          <w:color w:val="auto"/>
        </w:rPr>
      </w:pPr>
    </w:p>
    <w:p>
      <w:pPr>
        <w:spacing w:after="0" w:line="184" w:lineRule="exact"/>
        <w:tabs>
          <w:tab w:leader="none" w:pos="82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179" w:lineRule="exact"/>
        <w:rPr>
          <w:sz w:val="24"/>
          <w:szCs w:val="24"/>
          <w:color w:val="auto"/>
        </w:rPr>
      </w:pPr>
    </w:p>
    <w:p>
      <w:pPr>
        <w:sectPr>
          <w:pgSz w:w="11900" w:h="16838" w:orient="portrait"/>
          <w:cols w:equalWidth="0" w:num="3">
            <w:col w:w="8780" w:space="160"/>
            <w:col w:w="200" w:space="80"/>
            <w:col w:w="2120"/>
          </w:cols>
          <w:pgMar w:left="240" w:top="249" w:right="319" w:bottom="1440" w:gutter="0" w:footer="0" w:header="0"/>
          <w:type w:val="continuous"/>
        </w:sectPr>
      </w:pPr>
    </w:p>
    <w:p>
      <w:pPr>
        <w:spacing w:after="0"/>
        <w:rPr>
          <w:sz w:val="20"/>
          <w:szCs w:val="20"/>
          <w:color w:val="auto"/>
        </w:rPr>
      </w:pPr>
      <w:r>
        <w:rPr>
          <w:rFonts w:ascii="Arial" w:cs="Arial" w:eastAsia="Arial" w:hAnsi="Arial"/>
          <w:sz w:val="16"/>
          <w:szCs w:val="16"/>
          <w:color w:val="auto"/>
        </w:rPr>
        <w:t>The number of shares of the Registrant's common stock outstanding as of October 31, 2014 was 33,320,475.</w:t>
      </w:r>
    </w:p>
    <w:p>
      <w:pPr>
        <w:sectPr>
          <w:pgSz w:w="11900" w:h="16838" w:orient="portrait"/>
          <w:cols w:equalWidth="0" w:num="1">
            <w:col w:w="11340"/>
          </w:cols>
          <w:pgMar w:left="240" w:top="249" w:right="319" w:bottom="1440" w:gutter="0" w:footer="0" w:header="0"/>
          <w:type w:val="continuous"/>
        </w:sectPr>
      </w:pPr>
    </w:p>
    <w:bookmarkStart w:id="1" w:name="page2"/>
    <w:bookmarkEnd w:id="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4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231F20"/>
        </w:rPr>
        <w:t>Qualys, Inc.</w:t>
      </w:r>
    </w:p>
    <w:p>
      <w:pPr>
        <w:spacing w:after="0" w:line="13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231F20"/>
        </w:rPr>
        <w:t>TABLE OF CONTENTS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gridSpan w:val="3"/>
          </w:tcPr>
          <w:p>
            <w:pPr>
              <w:spacing w:after="0"/>
              <w:rPr>
                <w:sz w:val="20"/>
                <w:szCs w:val="20"/>
                <w:color w:val="auto"/>
              </w:rPr>
            </w:pPr>
            <w:r>
              <w:rPr>
                <w:rFonts w:ascii="Arial" w:cs="Arial" w:eastAsia="Arial" w:hAnsi="Arial"/>
                <w:sz w:val="16"/>
                <w:szCs w:val="16"/>
                <w:color w:val="auto"/>
                <w:w w:val="96"/>
              </w:rPr>
              <w:t>Page</w:t>
            </w:r>
          </w:p>
        </w:tc>
      </w:tr>
      <w:tr>
        <w:trPr>
          <w:trHeight w:val="243"/>
        </w:trPr>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20" w:type="dxa"/>
            <w:vAlign w:val="bottom"/>
            <w:gridSpan w:val="9"/>
          </w:tcPr>
          <w:p>
            <w:pPr>
              <w:ind w:left="880"/>
              <w:spacing w:after="0"/>
              <w:rPr>
                <w:sz w:val="20"/>
                <w:szCs w:val="20"/>
                <w:color w:val="auto"/>
              </w:rPr>
            </w:pPr>
            <w:r>
              <w:rPr>
                <w:rFonts w:ascii="Arial" w:cs="Arial" w:eastAsia="Arial" w:hAnsi="Arial"/>
                <w:sz w:val="16"/>
                <w:szCs w:val="16"/>
                <w:b w:val="1"/>
                <w:bCs w:val="1"/>
                <w:color w:val="auto"/>
              </w:rPr>
              <w:t>PART I – FINANCIAL INFORMATION</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36"/>
        </w:trPr>
        <w:tc>
          <w:tcPr>
            <w:tcW w:w="1140" w:type="dxa"/>
            <w:vAlign w:val="bottom"/>
          </w:tcPr>
          <w:p>
            <w:pPr>
              <w:spacing w:after="0"/>
              <w:rPr>
                <w:sz w:val="20"/>
                <w:szCs w:val="20"/>
                <w:color w:val="auto"/>
              </w:rPr>
            </w:pPr>
            <w:r>
              <w:rPr>
                <w:rFonts w:ascii="Arial" w:cs="Arial" w:eastAsia="Arial" w:hAnsi="Arial"/>
                <w:sz w:val="16"/>
                <w:szCs w:val="16"/>
                <w:color w:val="auto"/>
              </w:rPr>
              <w:t>Item 1.</w:t>
            </w:r>
          </w:p>
        </w:tc>
        <w:tc>
          <w:tcPr>
            <w:tcW w:w="1520" w:type="dxa"/>
            <w:vAlign w:val="bottom"/>
            <w:tcBorders>
              <w:bottom w:val="single" w:sz="8" w:color="0000FF"/>
            </w:tcBorders>
            <w:gridSpan w:val="6"/>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Financial Statements</w:t>
              </w:r>
            </w:hyperlink>
          </w:p>
        </w:tc>
        <w:tc>
          <w:tcPr>
            <w:tcW w:w="8180" w:type="dxa"/>
            <w:vAlign w:val="bottom"/>
            <w:gridSpan w:val="12"/>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50"/>
        </w:trPr>
        <w:tc>
          <w:tcPr>
            <w:tcW w:w="1140" w:type="dxa"/>
            <w:vAlign w:val="bottom"/>
          </w:tcPr>
          <w:p>
            <w:pPr>
              <w:spacing w:after="0"/>
              <w:rPr>
                <w:sz w:val="21"/>
                <w:szCs w:val="21"/>
                <w:color w:val="auto"/>
              </w:rPr>
            </w:pPr>
          </w:p>
        </w:tc>
        <w:tc>
          <w:tcPr>
            <w:tcW w:w="6700" w:type="dxa"/>
            <w:vAlign w:val="bottom"/>
            <w:tcBorders>
              <w:bottom w:val="single" w:sz="8" w:color="0000FF"/>
            </w:tcBorders>
            <w:gridSpan w:val="14"/>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 xml:space="preserve">Condensed Consolidated Balance Sheets as of </w:t>
              </w:r>
            </w:hyperlink>
            <w:r>
              <w:rPr>
                <w:rFonts w:ascii="Arial" w:cs="Arial" w:eastAsia="Arial" w:hAnsi="Arial"/>
                <w:sz w:val="16"/>
                <w:szCs w:val="16"/>
                <w:color w:val="0000FF"/>
              </w:rPr>
              <w:t>September 30, 2014 and December 31, 2013</w:t>
            </w:r>
          </w:p>
        </w:tc>
        <w:tc>
          <w:tcPr>
            <w:tcW w:w="3000" w:type="dxa"/>
            <w:vAlign w:val="bottom"/>
            <w:gridSpan w:val="4"/>
          </w:tcPr>
          <w:p>
            <w:pPr>
              <w:spacing w:after="0"/>
              <w:rPr>
                <w:sz w:val="21"/>
                <w:szCs w:val="21"/>
                <w:color w:val="auto"/>
              </w:rPr>
            </w:pPr>
          </w:p>
        </w:tc>
        <w:tc>
          <w:tcPr>
            <w:tcW w:w="80" w:type="dxa"/>
            <w:vAlign w:val="bottom"/>
            <w:tcBorders>
              <w:bottom w:val="single" w:sz="8" w:color="0000FF"/>
            </w:tcBorders>
          </w:tcPr>
          <w:p>
            <w:pPr>
              <w:spacing w:after="0"/>
              <w:rPr>
                <w:rFonts w:ascii="Arial" w:cs="Arial" w:eastAsia="Arial" w:hAnsi="Arial"/>
                <w:sz w:val="15"/>
                <w:szCs w:val="15"/>
                <w:color w:val="0000FF"/>
                <w:w w:val="71"/>
              </w:rPr>
            </w:pPr>
            <w:hyperlink w:anchor="page3">
              <w:r>
                <w:rPr>
                  <w:rFonts w:ascii="Arial" w:cs="Arial" w:eastAsia="Arial" w:hAnsi="Arial"/>
                  <w:sz w:val="15"/>
                  <w:szCs w:val="15"/>
                  <w:color w:val="0000FF"/>
                  <w:w w:val="71"/>
                </w:rPr>
                <w:t>3</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50"/>
        </w:trPr>
        <w:tc>
          <w:tcPr>
            <w:tcW w:w="1140" w:type="dxa"/>
            <w:vAlign w:val="bottom"/>
          </w:tcPr>
          <w:p>
            <w:pPr>
              <w:spacing w:after="0"/>
              <w:rPr>
                <w:sz w:val="21"/>
                <w:szCs w:val="21"/>
                <w:color w:val="auto"/>
              </w:rPr>
            </w:pPr>
          </w:p>
        </w:tc>
        <w:tc>
          <w:tcPr>
            <w:tcW w:w="8600" w:type="dxa"/>
            <w:vAlign w:val="bottom"/>
            <w:tcBorders>
              <w:bottom w:val="single" w:sz="8" w:color="0000FF"/>
            </w:tcBorders>
            <w:gridSpan w:val="16"/>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 xml:space="preserve">Condensed Consolidated Statements of Operations for the three </w:t>
              </w:r>
            </w:hyperlink>
            <w:r>
              <w:rPr>
                <w:rFonts w:ascii="Arial" w:cs="Arial" w:eastAsia="Arial" w:hAnsi="Arial"/>
                <w:sz w:val="16"/>
                <w:szCs w:val="16"/>
                <w:color w:val="0000FF"/>
              </w:rPr>
              <w:t>and nine months ended September 30, 2014 and 2013</w:t>
            </w:r>
          </w:p>
        </w:tc>
        <w:tc>
          <w:tcPr>
            <w:tcW w:w="1100" w:type="dxa"/>
            <w:vAlign w:val="bottom"/>
            <w:gridSpan w:val="2"/>
          </w:tcPr>
          <w:p>
            <w:pPr>
              <w:spacing w:after="0"/>
              <w:rPr>
                <w:sz w:val="21"/>
                <w:szCs w:val="21"/>
                <w:color w:val="auto"/>
              </w:rPr>
            </w:pPr>
          </w:p>
        </w:tc>
        <w:tc>
          <w:tcPr>
            <w:tcW w:w="80" w:type="dxa"/>
            <w:vAlign w:val="bottom"/>
            <w:tcBorders>
              <w:bottom w:val="single" w:sz="8" w:color="0000FF"/>
            </w:tcBorders>
          </w:tcPr>
          <w:p>
            <w:pPr>
              <w:spacing w:after="0"/>
              <w:rPr>
                <w:rFonts w:ascii="Arial" w:cs="Arial" w:eastAsia="Arial" w:hAnsi="Arial"/>
                <w:sz w:val="15"/>
                <w:szCs w:val="15"/>
                <w:color w:val="0000FF"/>
                <w:w w:val="71"/>
              </w:rPr>
            </w:pPr>
            <w:hyperlink w:anchor="page3">
              <w:r>
                <w:rPr>
                  <w:rFonts w:ascii="Arial" w:cs="Arial" w:eastAsia="Arial" w:hAnsi="Arial"/>
                  <w:sz w:val="15"/>
                  <w:szCs w:val="15"/>
                  <w:color w:val="0000FF"/>
                  <w:w w:val="71"/>
                </w:rPr>
                <w:t>4</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50"/>
        </w:trPr>
        <w:tc>
          <w:tcPr>
            <w:tcW w:w="1140" w:type="dxa"/>
            <w:vAlign w:val="bottom"/>
          </w:tcPr>
          <w:p>
            <w:pPr>
              <w:spacing w:after="0"/>
              <w:rPr>
                <w:sz w:val="21"/>
                <w:szCs w:val="21"/>
                <w:color w:val="auto"/>
              </w:rPr>
            </w:pPr>
          </w:p>
        </w:tc>
        <w:tc>
          <w:tcPr>
            <w:tcW w:w="9520" w:type="dxa"/>
            <w:vAlign w:val="bottom"/>
            <w:tcBorders>
              <w:bottom w:val="single" w:sz="8" w:color="0000FF"/>
            </w:tcBorders>
            <w:gridSpan w:val="17"/>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 xml:space="preserve">Condensed Consolidated Statements of Comprehensive Income for the three </w:t>
              </w:r>
            </w:hyperlink>
            <w:r>
              <w:rPr>
                <w:rFonts w:ascii="Arial" w:cs="Arial" w:eastAsia="Arial" w:hAnsi="Arial"/>
                <w:sz w:val="16"/>
                <w:szCs w:val="16"/>
                <w:color w:val="0000FF"/>
              </w:rPr>
              <w:t>and nine months ended September 30, 2014 and 2013</w:t>
            </w:r>
          </w:p>
        </w:tc>
        <w:tc>
          <w:tcPr>
            <w:tcW w:w="180" w:type="dxa"/>
            <w:vAlign w:val="bottom"/>
          </w:tcPr>
          <w:p>
            <w:pPr>
              <w:spacing w:after="0"/>
              <w:rPr>
                <w:sz w:val="21"/>
                <w:szCs w:val="21"/>
                <w:color w:val="auto"/>
              </w:rPr>
            </w:pPr>
          </w:p>
        </w:tc>
        <w:tc>
          <w:tcPr>
            <w:tcW w:w="80" w:type="dxa"/>
            <w:vAlign w:val="bottom"/>
            <w:tcBorders>
              <w:bottom w:val="single" w:sz="8" w:color="0000FF"/>
            </w:tcBorders>
          </w:tcPr>
          <w:p>
            <w:pPr>
              <w:spacing w:after="0"/>
              <w:rPr>
                <w:rFonts w:ascii="Arial" w:cs="Arial" w:eastAsia="Arial" w:hAnsi="Arial"/>
                <w:sz w:val="15"/>
                <w:szCs w:val="15"/>
                <w:color w:val="0000FF"/>
                <w:w w:val="71"/>
              </w:rPr>
            </w:pPr>
            <w:hyperlink w:anchor="page4">
              <w:r>
                <w:rPr>
                  <w:rFonts w:ascii="Arial" w:cs="Arial" w:eastAsia="Arial" w:hAnsi="Arial"/>
                  <w:sz w:val="15"/>
                  <w:szCs w:val="15"/>
                  <w:color w:val="0000FF"/>
                  <w:w w:val="71"/>
                </w:rPr>
                <w:t>5</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50"/>
        </w:trPr>
        <w:tc>
          <w:tcPr>
            <w:tcW w:w="1140" w:type="dxa"/>
            <w:vAlign w:val="bottom"/>
          </w:tcPr>
          <w:p>
            <w:pPr>
              <w:spacing w:after="0"/>
              <w:rPr>
                <w:sz w:val="21"/>
                <w:szCs w:val="21"/>
                <w:color w:val="auto"/>
              </w:rPr>
            </w:pPr>
          </w:p>
        </w:tc>
        <w:tc>
          <w:tcPr>
            <w:tcW w:w="9700" w:type="dxa"/>
            <w:vAlign w:val="bottom"/>
            <w:gridSpan w:val="18"/>
          </w:tcPr>
          <w:p>
            <w:pPr>
              <w:spacing w:after="0"/>
              <w:rPr>
                <w:rFonts w:ascii="Arial" w:cs="Arial" w:eastAsia="Arial" w:hAnsi="Arial"/>
                <w:sz w:val="16"/>
                <w:szCs w:val="16"/>
                <w:color w:val="0000FF"/>
              </w:rPr>
            </w:pPr>
            <w:hyperlink w:anchor="page5">
              <w:r>
                <w:rPr>
                  <w:rFonts w:ascii="Arial" w:cs="Arial" w:eastAsia="Arial" w:hAnsi="Arial"/>
                  <w:sz w:val="16"/>
                  <w:szCs w:val="16"/>
                  <w:color w:val="0000FF"/>
                </w:rPr>
                <w:t xml:space="preserve">Condensed Consolidated Statements of Cash Flows for the </w:t>
              </w:r>
            </w:hyperlink>
            <w:r>
              <w:rPr>
                <w:rFonts w:ascii="Arial" w:cs="Arial" w:eastAsia="Arial" w:hAnsi="Arial"/>
                <w:sz w:val="16"/>
                <w:szCs w:val="16"/>
                <w:color w:val="0000FF"/>
              </w:rPr>
              <w:t>nine months ended September 30, 2014 and 2013</w:t>
            </w:r>
          </w:p>
        </w:tc>
        <w:tc>
          <w:tcPr>
            <w:tcW w:w="80" w:type="dxa"/>
            <w:vAlign w:val="bottom"/>
          </w:tcPr>
          <w:p>
            <w:pPr>
              <w:spacing w:after="0"/>
              <w:rPr>
                <w:rFonts w:ascii="Arial" w:cs="Arial" w:eastAsia="Arial" w:hAnsi="Arial"/>
                <w:sz w:val="15"/>
                <w:szCs w:val="15"/>
                <w:color w:val="0000FF"/>
                <w:w w:val="71"/>
              </w:rPr>
            </w:pPr>
            <w:hyperlink w:anchor="page5">
              <w:r>
                <w:rPr>
                  <w:rFonts w:ascii="Arial" w:cs="Arial" w:eastAsia="Arial" w:hAnsi="Arial"/>
                  <w:sz w:val="15"/>
                  <w:szCs w:val="15"/>
                  <w:color w:val="0000FF"/>
                  <w:w w:val="71"/>
                </w:rPr>
                <w:t>6</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50"/>
        </w:trPr>
        <w:tc>
          <w:tcPr>
            <w:tcW w:w="1140" w:type="dxa"/>
            <w:vAlign w:val="bottom"/>
          </w:tcPr>
          <w:p>
            <w:pPr>
              <w:spacing w:after="0"/>
              <w:rPr>
                <w:sz w:val="21"/>
                <w:szCs w:val="21"/>
                <w:color w:val="auto"/>
              </w:rPr>
            </w:pPr>
          </w:p>
        </w:tc>
        <w:tc>
          <w:tcPr>
            <w:tcW w:w="7920" w:type="dxa"/>
            <w:vAlign w:val="bottom"/>
            <w:tcBorders>
              <w:top w:val="single" w:sz="8" w:color="0000FF"/>
            </w:tcBorders>
            <w:gridSpan w:val="15"/>
          </w:tcPr>
          <w:p>
            <w:pPr>
              <w:spacing w:after="0"/>
              <w:rPr>
                <w:rFonts w:ascii="Arial" w:cs="Arial" w:eastAsia="Arial" w:hAnsi="Arial"/>
                <w:sz w:val="16"/>
                <w:szCs w:val="16"/>
                <w:color w:val="0000FF"/>
              </w:rPr>
            </w:pPr>
            <w:hyperlink w:anchor="page6">
              <w:r>
                <w:rPr>
                  <w:rFonts w:ascii="Arial" w:cs="Arial" w:eastAsia="Arial" w:hAnsi="Arial"/>
                  <w:sz w:val="16"/>
                  <w:szCs w:val="16"/>
                  <w:color w:val="0000FF"/>
                </w:rPr>
                <w:t>Notes to Condensed Consolidated Financial Statements</w:t>
              </w:r>
            </w:hyperlink>
          </w:p>
        </w:tc>
        <w:tc>
          <w:tcPr>
            <w:tcW w:w="1780" w:type="dxa"/>
            <w:vAlign w:val="bottom"/>
            <w:gridSpan w:val="3"/>
          </w:tcPr>
          <w:p>
            <w:pPr>
              <w:spacing w:after="0"/>
              <w:rPr>
                <w:sz w:val="21"/>
                <w:szCs w:val="21"/>
                <w:color w:val="auto"/>
              </w:rPr>
            </w:pPr>
          </w:p>
        </w:tc>
        <w:tc>
          <w:tcPr>
            <w:tcW w:w="80" w:type="dxa"/>
            <w:vAlign w:val="bottom"/>
            <w:tcBorders>
              <w:top w:val="single" w:sz="8" w:color="0000FF"/>
            </w:tcBorders>
          </w:tcPr>
          <w:p>
            <w:pPr>
              <w:spacing w:after="0"/>
              <w:rPr>
                <w:rFonts w:ascii="Arial" w:cs="Arial" w:eastAsia="Arial" w:hAnsi="Arial"/>
                <w:sz w:val="15"/>
                <w:szCs w:val="15"/>
                <w:color w:val="0000FF"/>
                <w:w w:val="71"/>
              </w:rPr>
            </w:pPr>
            <w:hyperlink w:anchor="page6">
              <w:r>
                <w:rPr>
                  <w:rFonts w:ascii="Arial" w:cs="Arial" w:eastAsia="Arial" w:hAnsi="Arial"/>
                  <w:sz w:val="15"/>
                  <w:szCs w:val="15"/>
                  <w:color w:val="0000FF"/>
                  <w:w w:val="71"/>
                </w:rPr>
                <w:t>7</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45"/>
        </w:trPr>
        <w:tc>
          <w:tcPr>
            <w:tcW w:w="1140" w:type="dxa"/>
            <w:vAlign w:val="bottom"/>
          </w:tcPr>
          <w:p>
            <w:pPr>
              <w:spacing w:after="0"/>
              <w:rPr>
                <w:sz w:val="20"/>
                <w:szCs w:val="20"/>
                <w:color w:val="auto"/>
              </w:rPr>
            </w:pPr>
            <w:r>
              <w:rPr>
                <w:rFonts w:ascii="Arial" w:cs="Arial" w:eastAsia="Arial" w:hAnsi="Arial"/>
                <w:sz w:val="16"/>
                <w:szCs w:val="16"/>
                <w:color w:val="auto"/>
              </w:rPr>
              <w:t>Item 2.</w:t>
            </w:r>
          </w:p>
        </w:tc>
        <w:tc>
          <w:tcPr>
            <w:tcW w:w="6380" w:type="dxa"/>
            <w:vAlign w:val="bottom"/>
            <w:tcBorders>
              <w:bottom w:val="single" w:sz="8" w:color="0000FF"/>
            </w:tcBorders>
            <w:gridSpan w:val="13"/>
          </w:tcPr>
          <w:p>
            <w:pPr>
              <w:spacing w:after="0"/>
              <w:rPr>
                <w:rFonts w:ascii="Arial" w:cs="Arial" w:eastAsia="Arial" w:hAnsi="Arial"/>
                <w:sz w:val="16"/>
                <w:szCs w:val="16"/>
                <w:color w:val="0000FF"/>
              </w:rPr>
            </w:pPr>
            <w:hyperlink w:anchor="page22">
              <w:r>
                <w:rPr>
                  <w:rFonts w:ascii="Arial" w:cs="Arial" w:eastAsia="Arial" w:hAnsi="Arial"/>
                  <w:sz w:val="16"/>
                  <w:szCs w:val="16"/>
                  <w:color w:val="0000FF"/>
                </w:rPr>
                <w:t>Management’s Discussion and Analysis of Financial Condition and Results of Operations</w:t>
              </w:r>
            </w:hyperlink>
          </w:p>
        </w:tc>
        <w:tc>
          <w:tcPr>
            <w:tcW w:w="3320" w:type="dxa"/>
            <w:vAlign w:val="bottom"/>
            <w:gridSpan w:val="5"/>
          </w:tcPr>
          <w:p>
            <w:pPr>
              <w:spacing w:after="0"/>
              <w:rPr>
                <w:sz w:val="24"/>
                <w:szCs w:val="24"/>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22">
              <w:r>
                <w:rPr>
                  <w:rFonts w:ascii="Arial" w:cs="Arial" w:eastAsia="Arial" w:hAnsi="Arial"/>
                  <w:sz w:val="16"/>
                  <w:szCs w:val="16"/>
                  <w:color w:val="0000FF"/>
                  <w:w w:val="89"/>
                </w:rPr>
                <w:t>22</w:t>
              </w:r>
            </w:hyperlink>
          </w:p>
        </w:tc>
        <w:tc>
          <w:tcPr>
            <w:tcW w:w="200" w:type="dxa"/>
            <w:vAlign w:val="bottom"/>
          </w:tcPr>
          <w:p>
            <w:pPr>
              <w:spacing w:after="0"/>
              <w:rPr>
                <w:sz w:val="24"/>
                <w:szCs w:val="24"/>
                <w:color w:val="auto"/>
              </w:rPr>
            </w:pPr>
          </w:p>
        </w:tc>
      </w:tr>
      <w:tr>
        <w:trPr>
          <w:trHeight w:val="223"/>
        </w:trPr>
        <w:tc>
          <w:tcPr>
            <w:tcW w:w="1140" w:type="dxa"/>
            <w:vAlign w:val="bottom"/>
          </w:tcPr>
          <w:p>
            <w:pPr>
              <w:spacing w:after="0"/>
              <w:rPr>
                <w:sz w:val="20"/>
                <w:szCs w:val="20"/>
                <w:color w:val="auto"/>
              </w:rPr>
            </w:pPr>
            <w:r>
              <w:rPr>
                <w:rFonts w:ascii="Arial" w:cs="Arial" w:eastAsia="Arial" w:hAnsi="Arial"/>
                <w:sz w:val="16"/>
                <w:szCs w:val="16"/>
                <w:color w:val="auto"/>
              </w:rPr>
              <w:t>Item 3.</w:t>
            </w:r>
          </w:p>
        </w:tc>
        <w:tc>
          <w:tcPr>
            <w:tcW w:w="9700" w:type="dxa"/>
            <w:vAlign w:val="bottom"/>
            <w:gridSpan w:val="18"/>
          </w:tcPr>
          <w:p>
            <w:pPr>
              <w:spacing w:after="0"/>
              <w:rPr>
                <w:rFonts w:ascii="Arial" w:cs="Arial" w:eastAsia="Arial" w:hAnsi="Arial"/>
                <w:sz w:val="16"/>
                <w:szCs w:val="16"/>
                <w:color w:val="0000FF"/>
              </w:rPr>
            </w:pPr>
            <w:hyperlink w:anchor="page35">
              <w:r>
                <w:rPr>
                  <w:rFonts w:ascii="Arial" w:cs="Arial" w:eastAsia="Arial" w:hAnsi="Arial"/>
                  <w:sz w:val="16"/>
                  <w:szCs w:val="16"/>
                  <w:color w:val="0000FF"/>
                </w:rPr>
                <w:t>Quantitative and Qualitative Disclosures About Market Risk</w:t>
              </w:r>
            </w:hyperlink>
          </w:p>
        </w:tc>
        <w:tc>
          <w:tcPr>
            <w:tcW w:w="380" w:type="dxa"/>
            <w:vAlign w:val="bottom"/>
            <w:gridSpan w:val="3"/>
          </w:tcPr>
          <w:p>
            <w:pPr>
              <w:spacing w:after="0"/>
              <w:rPr>
                <w:rFonts w:ascii="Arial" w:cs="Arial" w:eastAsia="Arial" w:hAnsi="Arial"/>
                <w:sz w:val="16"/>
                <w:szCs w:val="16"/>
                <w:color w:val="0000FF"/>
              </w:rPr>
            </w:pPr>
            <w:hyperlink w:anchor="page35">
              <w:r>
                <w:rPr>
                  <w:rFonts w:ascii="Arial" w:cs="Arial" w:eastAsia="Arial" w:hAnsi="Arial"/>
                  <w:sz w:val="16"/>
                  <w:szCs w:val="16"/>
                  <w:color w:val="0000FF"/>
                </w:rPr>
                <w:t>36</w:t>
              </w:r>
            </w:hyperlink>
          </w:p>
        </w:tc>
      </w:tr>
      <w:tr>
        <w:trPr>
          <w:trHeight w:val="223"/>
        </w:trPr>
        <w:tc>
          <w:tcPr>
            <w:tcW w:w="1140" w:type="dxa"/>
            <w:vAlign w:val="bottom"/>
          </w:tcPr>
          <w:p>
            <w:pPr>
              <w:spacing w:after="0"/>
              <w:rPr>
                <w:sz w:val="20"/>
                <w:szCs w:val="20"/>
                <w:color w:val="auto"/>
              </w:rPr>
            </w:pPr>
            <w:r>
              <w:rPr>
                <w:rFonts w:ascii="Arial" w:cs="Arial" w:eastAsia="Arial" w:hAnsi="Arial"/>
                <w:sz w:val="16"/>
                <w:szCs w:val="16"/>
                <w:color w:val="auto"/>
              </w:rPr>
              <w:t>Item 4.</w:t>
            </w:r>
          </w:p>
        </w:tc>
        <w:tc>
          <w:tcPr>
            <w:tcW w:w="4240" w:type="dxa"/>
            <w:vAlign w:val="bottom"/>
            <w:tcBorders>
              <w:top w:val="single" w:sz="8" w:color="0000FF"/>
            </w:tcBorders>
            <w:gridSpan w:val="11"/>
          </w:tcPr>
          <w:p>
            <w:pPr>
              <w:spacing w:after="0"/>
              <w:rPr>
                <w:rFonts w:ascii="Arial" w:cs="Arial" w:eastAsia="Arial" w:hAnsi="Arial"/>
                <w:sz w:val="16"/>
                <w:szCs w:val="16"/>
                <w:color w:val="0000FF"/>
              </w:rPr>
            </w:pPr>
            <w:hyperlink w:anchor="page36">
              <w:r>
                <w:rPr>
                  <w:rFonts w:ascii="Arial" w:cs="Arial" w:eastAsia="Arial" w:hAnsi="Arial"/>
                  <w:sz w:val="16"/>
                  <w:szCs w:val="16"/>
                  <w:color w:val="0000FF"/>
                </w:rPr>
                <w:t>Controls and Procedures</w:t>
              </w:r>
            </w:hyperlink>
          </w:p>
        </w:tc>
        <w:tc>
          <w:tcPr>
            <w:tcW w:w="5460" w:type="dxa"/>
            <w:vAlign w:val="bottom"/>
            <w:gridSpan w:val="7"/>
          </w:tcPr>
          <w:p>
            <w:pPr>
              <w:spacing w:after="0"/>
              <w:rPr>
                <w:sz w:val="19"/>
                <w:szCs w:val="19"/>
                <w:color w:val="auto"/>
              </w:rPr>
            </w:pPr>
          </w:p>
        </w:tc>
        <w:tc>
          <w:tcPr>
            <w:tcW w:w="180" w:type="dxa"/>
            <w:vAlign w:val="bottom"/>
            <w:tcBorders>
              <w:top w:val="single" w:sz="8" w:color="0000FF"/>
            </w:tcBorders>
            <w:gridSpan w:val="2"/>
          </w:tcPr>
          <w:p>
            <w:pPr>
              <w:spacing w:after="0"/>
              <w:rPr>
                <w:rFonts w:ascii="Arial" w:cs="Arial" w:eastAsia="Arial" w:hAnsi="Arial"/>
                <w:sz w:val="16"/>
                <w:szCs w:val="16"/>
                <w:color w:val="0000FF"/>
                <w:w w:val="89"/>
              </w:rPr>
            </w:pPr>
            <w:hyperlink w:anchor="page36">
              <w:r>
                <w:rPr>
                  <w:rFonts w:ascii="Arial" w:cs="Arial" w:eastAsia="Arial" w:hAnsi="Arial"/>
                  <w:sz w:val="16"/>
                  <w:szCs w:val="16"/>
                  <w:color w:val="0000FF"/>
                  <w:w w:val="89"/>
                </w:rPr>
                <w:t>37</w:t>
              </w:r>
            </w:hyperlink>
          </w:p>
        </w:tc>
        <w:tc>
          <w:tcPr>
            <w:tcW w:w="200" w:type="dxa"/>
            <w:vAlign w:val="bottom"/>
          </w:tcPr>
          <w:p>
            <w:pPr>
              <w:spacing w:after="0"/>
              <w:rPr>
                <w:sz w:val="19"/>
                <w:szCs w:val="19"/>
                <w:color w:val="auto"/>
              </w:rPr>
            </w:pPr>
          </w:p>
        </w:tc>
      </w:tr>
      <w:tr>
        <w:trPr>
          <w:trHeight w:val="258"/>
        </w:trPr>
        <w:tc>
          <w:tcPr>
            <w:tcW w:w="1140" w:type="dxa"/>
            <w:vAlign w:val="bottom"/>
          </w:tcPr>
          <w:p>
            <w:pPr>
              <w:spacing w:after="0"/>
              <w:rPr>
                <w:sz w:val="22"/>
                <w:szCs w:val="22"/>
                <w:color w:val="auto"/>
              </w:rPr>
            </w:pPr>
          </w:p>
        </w:tc>
        <w:tc>
          <w:tcPr>
            <w:tcW w:w="58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36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480" w:type="dxa"/>
            <w:vAlign w:val="bottom"/>
          </w:tcPr>
          <w:p>
            <w:pPr>
              <w:spacing w:after="0"/>
              <w:rPr>
                <w:sz w:val="22"/>
                <w:szCs w:val="22"/>
                <w:color w:val="auto"/>
              </w:rPr>
            </w:pPr>
          </w:p>
        </w:tc>
        <w:tc>
          <w:tcPr>
            <w:tcW w:w="7420" w:type="dxa"/>
            <w:vAlign w:val="bottom"/>
            <w:gridSpan w:val="9"/>
          </w:tcPr>
          <w:p>
            <w:pPr>
              <w:ind w:left="1100"/>
              <w:spacing w:after="0"/>
              <w:rPr>
                <w:sz w:val="20"/>
                <w:szCs w:val="20"/>
                <w:color w:val="auto"/>
              </w:rPr>
            </w:pPr>
            <w:r>
              <w:rPr>
                <w:rFonts w:ascii="Arial" w:cs="Arial" w:eastAsia="Arial" w:hAnsi="Arial"/>
                <w:sz w:val="16"/>
                <w:szCs w:val="16"/>
                <w:b w:val="1"/>
                <w:bCs w:val="1"/>
                <w:color w:val="auto"/>
              </w:rPr>
              <w:t>PART II – OTHER INFORMATION</w:t>
            </w: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0" w:type="dxa"/>
            <w:vAlign w:val="bottom"/>
          </w:tcPr>
          <w:p>
            <w:pPr>
              <w:spacing w:after="0"/>
              <w:rPr>
                <w:sz w:val="22"/>
                <w:szCs w:val="22"/>
                <w:color w:val="auto"/>
              </w:rPr>
            </w:pPr>
          </w:p>
        </w:tc>
      </w:tr>
      <w:tr>
        <w:trPr>
          <w:trHeight w:val="209"/>
        </w:trPr>
        <w:tc>
          <w:tcPr>
            <w:tcW w:w="1140" w:type="dxa"/>
            <w:vAlign w:val="bottom"/>
          </w:tcPr>
          <w:p>
            <w:pPr>
              <w:spacing w:after="0"/>
              <w:rPr>
                <w:sz w:val="20"/>
                <w:szCs w:val="20"/>
                <w:color w:val="auto"/>
              </w:rPr>
            </w:pPr>
            <w:r>
              <w:rPr>
                <w:rFonts w:ascii="Arial" w:cs="Arial" w:eastAsia="Arial" w:hAnsi="Arial"/>
                <w:sz w:val="16"/>
                <w:szCs w:val="16"/>
                <w:color w:val="auto"/>
              </w:rPr>
              <w:t>Item 1.</w:t>
            </w:r>
          </w:p>
        </w:tc>
        <w:tc>
          <w:tcPr>
            <w:tcW w:w="9700" w:type="dxa"/>
            <w:vAlign w:val="bottom"/>
            <w:gridSpan w:val="18"/>
          </w:tcPr>
          <w:p>
            <w:pPr>
              <w:spacing w:after="0"/>
              <w:rPr>
                <w:rFonts w:ascii="Arial" w:cs="Arial" w:eastAsia="Arial" w:hAnsi="Arial"/>
                <w:sz w:val="16"/>
                <w:szCs w:val="16"/>
                <w:color w:val="0000FF"/>
              </w:rPr>
            </w:pPr>
            <w:hyperlink w:anchor="page38">
              <w:r>
                <w:rPr>
                  <w:rFonts w:ascii="Arial" w:cs="Arial" w:eastAsia="Arial" w:hAnsi="Arial"/>
                  <w:sz w:val="16"/>
                  <w:szCs w:val="16"/>
                  <w:color w:val="0000FF"/>
                </w:rPr>
                <w:t>Legal Proceedings</w:t>
              </w:r>
            </w:hyperlink>
          </w:p>
        </w:tc>
        <w:tc>
          <w:tcPr>
            <w:tcW w:w="380" w:type="dxa"/>
            <w:vAlign w:val="bottom"/>
            <w:gridSpan w:val="3"/>
          </w:tcPr>
          <w:p>
            <w:pPr>
              <w:spacing w:after="0"/>
              <w:rPr>
                <w:rFonts w:ascii="Arial" w:cs="Arial" w:eastAsia="Arial" w:hAnsi="Arial"/>
                <w:sz w:val="16"/>
                <w:szCs w:val="16"/>
                <w:color w:val="0000FF"/>
              </w:rPr>
            </w:pPr>
            <w:hyperlink w:anchor="page38">
              <w:r>
                <w:rPr>
                  <w:rFonts w:ascii="Arial" w:cs="Arial" w:eastAsia="Arial" w:hAnsi="Arial"/>
                  <w:sz w:val="16"/>
                  <w:szCs w:val="16"/>
                  <w:color w:val="0000FF"/>
                </w:rPr>
                <w:t>38</w:t>
              </w:r>
            </w:hyperlink>
          </w:p>
        </w:tc>
      </w:tr>
      <w:tr>
        <w:trPr>
          <w:trHeight w:val="223"/>
        </w:trPr>
        <w:tc>
          <w:tcPr>
            <w:tcW w:w="1140" w:type="dxa"/>
            <w:vAlign w:val="bottom"/>
          </w:tcPr>
          <w:p>
            <w:pPr>
              <w:spacing w:after="0"/>
              <w:rPr>
                <w:sz w:val="20"/>
                <w:szCs w:val="20"/>
                <w:color w:val="auto"/>
              </w:rPr>
            </w:pPr>
            <w:r>
              <w:rPr>
                <w:rFonts w:ascii="Arial" w:cs="Arial" w:eastAsia="Arial" w:hAnsi="Arial"/>
                <w:sz w:val="16"/>
                <w:szCs w:val="16"/>
                <w:color w:val="auto"/>
              </w:rPr>
              <w:t>Item 1A.</w:t>
            </w:r>
          </w:p>
        </w:tc>
        <w:tc>
          <w:tcPr>
            <w:tcW w:w="1340" w:type="dxa"/>
            <w:vAlign w:val="bottom"/>
            <w:tcBorders>
              <w:top w:val="single" w:sz="8" w:color="0000FF"/>
            </w:tcBorders>
            <w:gridSpan w:val="5"/>
          </w:tcPr>
          <w:p>
            <w:pPr>
              <w:spacing w:after="0"/>
              <w:rPr>
                <w:rFonts w:ascii="Arial" w:cs="Arial" w:eastAsia="Arial" w:hAnsi="Arial"/>
                <w:sz w:val="16"/>
                <w:szCs w:val="16"/>
                <w:color w:val="0000FF"/>
              </w:rPr>
            </w:pPr>
            <w:hyperlink w:anchor="page38">
              <w:r>
                <w:rPr>
                  <w:rFonts w:ascii="Arial" w:cs="Arial" w:eastAsia="Arial" w:hAnsi="Arial"/>
                  <w:sz w:val="16"/>
                  <w:szCs w:val="16"/>
                  <w:color w:val="0000FF"/>
                </w:rPr>
                <w:t>Risk Factors</w:t>
              </w:r>
            </w:hyperlink>
          </w:p>
        </w:tc>
        <w:tc>
          <w:tcPr>
            <w:tcW w:w="8360" w:type="dxa"/>
            <w:vAlign w:val="bottom"/>
            <w:gridSpan w:val="13"/>
          </w:tcPr>
          <w:p>
            <w:pPr>
              <w:spacing w:after="0"/>
              <w:rPr>
                <w:sz w:val="19"/>
                <w:szCs w:val="19"/>
                <w:color w:val="auto"/>
              </w:rPr>
            </w:pPr>
          </w:p>
        </w:tc>
        <w:tc>
          <w:tcPr>
            <w:tcW w:w="180" w:type="dxa"/>
            <w:vAlign w:val="bottom"/>
            <w:tcBorders>
              <w:top w:val="single" w:sz="8" w:color="0000FF"/>
            </w:tcBorders>
            <w:gridSpan w:val="2"/>
          </w:tcPr>
          <w:p>
            <w:pPr>
              <w:spacing w:after="0"/>
              <w:rPr>
                <w:rFonts w:ascii="Arial" w:cs="Arial" w:eastAsia="Arial" w:hAnsi="Arial"/>
                <w:sz w:val="16"/>
                <w:szCs w:val="16"/>
                <w:color w:val="0000FF"/>
                <w:w w:val="89"/>
              </w:rPr>
            </w:pPr>
            <w:hyperlink w:anchor="page38">
              <w:r>
                <w:rPr>
                  <w:rFonts w:ascii="Arial" w:cs="Arial" w:eastAsia="Arial" w:hAnsi="Arial"/>
                  <w:sz w:val="16"/>
                  <w:szCs w:val="16"/>
                  <w:color w:val="0000FF"/>
                  <w:w w:val="89"/>
                </w:rPr>
                <w:t>38</w:t>
              </w:r>
            </w:hyperlink>
          </w:p>
        </w:tc>
        <w:tc>
          <w:tcPr>
            <w:tcW w:w="20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5320" w:type="dxa"/>
            <w:vAlign w:val="bottom"/>
            <w:gridSpan w:val="6"/>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3"/>
        </w:trPr>
        <w:tc>
          <w:tcPr>
            <w:tcW w:w="1140" w:type="dxa"/>
            <w:vAlign w:val="bottom"/>
          </w:tcPr>
          <w:p>
            <w:pPr>
              <w:spacing w:after="0"/>
              <w:rPr>
                <w:sz w:val="20"/>
                <w:szCs w:val="20"/>
                <w:color w:val="auto"/>
              </w:rPr>
            </w:pPr>
            <w:r>
              <w:rPr>
                <w:rFonts w:ascii="Arial" w:cs="Arial" w:eastAsia="Arial" w:hAnsi="Arial"/>
                <w:sz w:val="16"/>
                <w:szCs w:val="16"/>
                <w:color w:val="auto"/>
              </w:rPr>
              <w:t>Item 2.</w:t>
            </w:r>
          </w:p>
        </w:tc>
        <w:tc>
          <w:tcPr>
            <w:tcW w:w="4380" w:type="dxa"/>
            <w:vAlign w:val="bottom"/>
            <w:tcBorders>
              <w:bottom w:val="single" w:sz="8" w:color="0000FF"/>
            </w:tcBorders>
            <w:gridSpan w:val="12"/>
          </w:tcPr>
          <w:p>
            <w:pPr>
              <w:spacing w:after="0"/>
              <w:rPr>
                <w:rFonts w:ascii="Arial" w:cs="Arial" w:eastAsia="Arial" w:hAnsi="Arial"/>
                <w:sz w:val="16"/>
                <w:szCs w:val="16"/>
                <w:color w:val="0000FF"/>
              </w:rPr>
            </w:pPr>
            <w:hyperlink w:anchor="page59">
              <w:r>
                <w:rPr>
                  <w:rFonts w:ascii="Arial" w:cs="Arial" w:eastAsia="Arial" w:hAnsi="Arial"/>
                  <w:sz w:val="16"/>
                  <w:szCs w:val="16"/>
                  <w:color w:val="0000FF"/>
                </w:rPr>
                <w:t>Unregistered Sales of Equity Securities and Use of Proceeds</w:t>
              </w:r>
            </w:hyperlink>
          </w:p>
        </w:tc>
        <w:tc>
          <w:tcPr>
            <w:tcW w:w="5320" w:type="dxa"/>
            <w:vAlign w:val="bottom"/>
            <w:gridSpan w:val="6"/>
          </w:tcPr>
          <w:p>
            <w:pPr>
              <w:spacing w:after="0"/>
              <w:rPr>
                <w:sz w:val="19"/>
                <w:szCs w:val="19"/>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59">
              <w:r>
                <w:rPr>
                  <w:rFonts w:ascii="Arial" w:cs="Arial" w:eastAsia="Arial" w:hAnsi="Arial"/>
                  <w:sz w:val="16"/>
                  <w:szCs w:val="16"/>
                  <w:color w:val="0000FF"/>
                  <w:w w:val="89"/>
                </w:rPr>
                <w:t>60</w:t>
              </w:r>
            </w:hyperlink>
          </w:p>
        </w:tc>
        <w:tc>
          <w:tcPr>
            <w:tcW w:w="200" w:type="dxa"/>
            <w:vAlign w:val="bottom"/>
          </w:tcPr>
          <w:p>
            <w:pPr>
              <w:spacing w:after="0"/>
              <w:rPr>
                <w:sz w:val="19"/>
                <w:szCs w:val="19"/>
                <w:color w:val="auto"/>
              </w:rPr>
            </w:pPr>
          </w:p>
        </w:tc>
      </w:tr>
      <w:tr>
        <w:trPr>
          <w:trHeight w:val="223"/>
        </w:trPr>
        <w:tc>
          <w:tcPr>
            <w:tcW w:w="1140" w:type="dxa"/>
            <w:vAlign w:val="bottom"/>
          </w:tcPr>
          <w:p>
            <w:pPr>
              <w:spacing w:after="0"/>
              <w:rPr>
                <w:sz w:val="20"/>
                <w:szCs w:val="20"/>
                <w:color w:val="auto"/>
              </w:rPr>
            </w:pPr>
            <w:r>
              <w:rPr>
                <w:rFonts w:ascii="Arial" w:cs="Arial" w:eastAsia="Arial" w:hAnsi="Arial"/>
                <w:sz w:val="16"/>
                <w:szCs w:val="16"/>
                <w:color w:val="auto"/>
              </w:rPr>
              <w:t>Item 3.</w:t>
            </w:r>
          </w:p>
        </w:tc>
        <w:tc>
          <w:tcPr>
            <w:tcW w:w="2280" w:type="dxa"/>
            <w:vAlign w:val="bottom"/>
            <w:tcBorders>
              <w:bottom w:val="single" w:sz="8" w:color="0000FF"/>
            </w:tcBorders>
            <w:gridSpan w:val="9"/>
          </w:tcPr>
          <w:p>
            <w:pPr>
              <w:spacing w:after="0"/>
              <w:rPr>
                <w:rFonts w:ascii="Arial" w:cs="Arial" w:eastAsia="Arial" w:hAnsi="Arial"/>
                <w:sz w:val="16"/>
                <w:szCs w:val="16"/>
                <w:color w:val="0000FF"/>
              </w:rPr>
            </w:pPr>
            <w:hyperlink w:anchor="page60">
              <w:r>
                <w:rPr>
                  <w:rFonts w:ascii="Arial" w:cs="Arial" w:eastAsia="Arial" w:hAnsi="Arial"/>
                  <w:sz w:val="16"/>
                  <w:szCs w:val="16"/>
                  <w:color w:val="0000FF"/>
                </w:rPr>
                <w:t>Defaults upon Senior Securities</w:t>
              </w:r>
            </w:hyperlink>
          </w:p>
        </w:tc>
        <w:tc>
          <w:tcPr>
            <w:tcW w:w="7420" w:type="dxa"/>
            <w:vAlign w:val="bottom"/>
            <w:gridSpan w:val="9"/>
          </w:tcPr>
          <w:p>
            <w:pPr>
              <w:spacing w:after="0"/>
              <w:rPr>
                <w:sz w:val="19"/>
                <w:szCs w:val="19"/>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60">
              <w:r>
                <w:rPr>
                  <w:rFonts w:ascii="Arial" w:cs="Arial" w:eastAsia="Arial" w:hAnsi="Arial"/>
                  <w:sz w:val="16"/>
                  <w:szCs w:val="16"/>
                  <w:color w:val="0000FF"/>
                  <w:w w:val="89"/>
                </w:rPr>
                <w:t>60</w:t>
              </w:r>
            </w:hyperlink>
          </w:p>
        </w:tc>
        <w:tc>
          <w:tcPr>
            <w:tcW w:w="200" w:type="dxa"/>
            <w:vAlign w:val="bottom"/>
          </w:tcPr>
          <w:p>
            <w:pPr>
              <w:spacing w:after="0"/>
              <w:rPr>
                <w:sz w:val="19"/>
                <w:szCs w:val="19"/>
                <w:color w:val="auto"/>
              </w:rPr>
            </w:pPr>
          </w:p>
        </w:tc>
      </w:tr>
      <w:tr>
        <w:trPr>
          <w:trHeight w:val="223"/>
        </w:trPr>
        <w:tc>
          <w:tcPr>
            <w:tcW w:w="1140" w:type="dxa"/>
            <w:vAlign w:val="bottom"/>
          </w:tcPr>
          <w:p>
            <w:pPr>
              <w:spacing w:after="0"/>
              <w:rPr>
                <w:sz w:val="20"/>
                <w:szCs w:val="20"/>
                <w:color w:val="auto"/>
              </w:rPr>
            </w:pPr>
            <w:r>
              <w:rPr>
                <w:rFonts w:ascii="Arial" w:cs="Arial" w:eastAsia="Arial" w:hAnsi="Arial"/>
                <w:sz w:val="16"/>
                <w:szCs w:val="16"/>
                <w:color w:val="auto"/>
              </w:rPr>
              <w:t>Item 4.</w:t>
            </w:r>
          </w:p>
        </w:tc>
        <w:tc>
          <w:tcPr>
            <w:tcW w:w="9700" w:type="dxa"/>
            <w:vAlign w:val="bottom"/>
            <w:gridSpan w:val="18"/>
          </w:tcPr>
          <w:p>
            <w:pPr>
              <w:spacing w:after="0"/>
              <w:rPr>
                <w:rFonts w:ascii="Arial" w:cs="Arial" w:eastAsia="Arial" w:hAnsi="Arial"/>
                <w:sz w:val="16"/>
                <w:szCs w:val="16"/>
                <w:color w:val="0000FF"/>
              </w:rPr>
            </w:pPr>
            <w:hyperlink w:anchor="page60">
              <w:r>
                <w:rPr>
                  <w:rFonts w:ascii="Arial" w:cs="Arial" w:eastAsia="Arial" w:hAnsi="Arial"/>
                  <w:sz w:val="16"/>
                  <w:szCs w:val="16"/>
                  <w:color w:val="0000FF"/>
                </w:rPr>
                <w:t>Mine Safety Disclosures</w:t>
              </w:r>
            </w:hyperlink>
          </w:p>
        </w:tc>
        <w:tc>
          <w:tcPr>
            <w:tcW w:w="380" w:type="dxa"/>
            <w:vAlign w:val="bottom"/>
            <w:gridSpan w:val="3"/>
          </w:tcPr>
          <w:p>
            <w:pPr>
              <w:spacing w:after="0"/>
              <w:rPr>
                <w:rFonts w:ascii="Arial" w:cs="Arial" w:eastAsia="Arial" w:hAnsi="Arial"/>
                <w:sz w:val="16"/>
                <w:szCs w:val="16"/>
                <w:color w:val="0000FF"/>
              </w:rPr>
            </w:pPr>
            <w:hyperlink w:anchor="page60">
              <w:r>
                <w:rPr>
                  <w:rFonts w:ascii="Arial" w:cs="Arial" w:eastAsia="Arial" w:hAnsi="Arial"/>
                  <w:sz w:val="16"/>
                  <w:szCs w:val="16"/>
                  <w:color w:val="0000FF"/>
                </w:rPr>
                <w:t>60</w:t>
              </w:r>
            </w:hyperlink>
          </w:p>
        </w:tc>
      </w:tr>
      <w:tr>
        <w:trPr>
          <w:trHeight w:val="223"/>
        </w:trPr>
        <w:tc>
          <w:tcPr>
            <w:tcW w:w="1140" w:type="dxa"/>
            <w:vAlign w:val="bottom"/>
          </w:tcPr>
          <w:p>
            <w:pPr>
              <w:spacing w:after="0"/>
              <w:rPr>
                <w:sz w:val="20"/>
                <w:szCs w:val="20"/>
                <w:color w:val="auto"/>
              </w:rPr>
            </w:pPr>
            <w:r>
              <w:rPr>
                <w:rFonts w:ascii="Arial" w:cs="Arial" w:eastAsia="Arial" w:hAnsi="Arial"/>
                <w:sz w:val="16"/>
                <w:szCs w:val="16"/>
                <w:color w:val="auto"/>
              </w:rPr>
              <w:t>Item 5.</w:t>
            </w:r>
          </w:p>
        </w:tc>
        <w:tc>
          <w:tcPr>
            <w:tcW w:w="1740" w:type="dxa"/>
            <w:vAlign w:val="bottom"/>
            <w:tcBorders>
              <w:top w:val="single" w:sz="8" w:color="0000FF"/>
            </w:tcBorders>
            <w:gridSpan w:val="7"/>
          </w:tcPr>
          <w:p>
            <w:pPr>
              <w:spacing w:after="0"/>
              <w:rPr>
                <w:rFonts w:ascii="Arial" w:cs="Arial" w:eastAsia="Arial" w:hAnsi="Arial"/>
                <w:sz w:val="16"/>
                <w:szCs w:val="16"/>
                <w:color w:val="0000FF"/>
              </w:rPr>
            </w:pPr>
            <w:hyperlink w:anchor="page60">
              <w:r>
                <w:rPr>
                  <w:rFonts w:ascii="Arial" w:cs="Arial" w:eastAsia="Arial" w:hAnsi="Arial"/>
                  <w:sz w:val="16"/>
                  <w:szCs w:val="16"/>
                  <w:color w:val="0000FF"/>
                </w:rPr>
                <w:t>Other Information</w:t>
              </w:r>
            </w:hyperlink>
          </w:p>
        </w:tc>
        <w:tc>
          <w:tcPr>
            <w:tcW w:w="7960" w:type="dxa"/>
            <w:vAlign w:val="bottom"/>
            <w:gridSpan w:val="11"/>
          </w:tcPr>
          <w:p>
            <w:pPr>
              <w:spacing w:after="0"/>
              <w:rPr>
                <w:sz w:val="19"/>
                <w:szCs w:val="19"/>
                <w:color w:val="auto"/>
              </w:rPr>
            </w:pPr>
          </w:p>
        </w:tc>
        <w:tc>
          <w:tcPr>
            <w:tcW w:w="180" w:type="dxa"/>
            <w:vAlign w:val="bottom"/>
            <w:tcBorders>
              <w:top w:val="single" w:sz="8" w:color="0000FF"/>
            </w:tcBorders>
            <w:gridSpan w:val="2"/>
          </w:tcPr>
          <w:p>
            <w:pPr>
              <w:spacing w:after="0"/>
              <w:rPr>
                <w:rFonts w:ascii="Arial" w:cs="Arial" w:eastAsia="Arial" w:hAnsi="Arial"/>
                <w:sz w:val="16"/>
                <w:szCs w:val="16"/>
                <w:color w:val="0000FF"/>
                <w:w w:val="89"/>
              </w:rPr>
            </w:pPr>
            <w:hyperlink w:anchor="page60">
              <w:r>
                <w:rPr>
                  <w:rFonts w:ascii="Arial" w:cs="Arial" w:eastAsia="Arial" w:hAnsi="Arial"/>
                  <w:sz w:val="16"/>
                  <w:szCs w:val="16"/>
                  <w:color w:val="0000FF"/>
                  <w:w w:val="89"/>
                </w:rPr>
                <w:t>60</w:t>
              </w:r>
            </w:hyperlink>
          </w:p>
        </w:tc>
        <w:tc>
          <w:tcPr>
            <w:tcW w:w="200" w:type="dxa"/>
            <w:vAlign w:val="bottom"/>
          </w:tcPr>
          <w:p>
            <w:pPr>
              <w:spacing w:after="0"/>
              <w:rPr>
                <w:sz w:val="19"/>
                <w:szCs w:val="19"/>
                <w:color w:val="auto"/>
              </w:rPr>
            </w:pPr>
          </w:p>
        </w:tc>
      </w:tr>
      <w:tr>
        <w:trPr>
          <w:trHeight w:val="223"/>
        </w:trPr>
        <w:tc>
          <w:tcPr>
            <w:tcW w:w="1140" w:type="dxa"/>
            <w:vAlign w:val="bottom"/>
          </w:tcPr>
          <w:p>
            <w:pPr>
              <w:spacing w:after="0"/>
              <w:rPr>
                <w:sz w:val="20"/>
                <w:szCs w:val="20"/>
                <w:color w:val="auto"/>
              </w:rPr>
            </w:pPr>
            <w:r>
              <w:rPr>
                <w:rFonts w:ascii="Arial" w:cs="Arial" w:eastAsia="Arial" w:hAnsi="Arial"/>
                <w:sz w:val="16"/>
                <w:szCs w:val="16"/>
                <w:color w:val="auto"/>
              </w:rPr>
              <w:t>Item 6.</w:t>
            </w:r>
          </w:p>
        </w:tc>
        <w:tc>
          <w:tcPr>
            <w:tcW w:w="580" w:type="dxa"/>
            <w:vAlign w:val="bottom"/>
            <w:tcBorders>
              <w:top w:val="single" w:sz="8" w:color="0000FF"/>
              <w:bottom w:val="single" w:sz="8" w:color="0000FF"/>
            </w:tcBorders>
          </w:tcPr>
          <w:p>
            <w:pPr>
              <w:spacing w:after="0"/>
              <w:rPr>
                <w:rFonts w:ascii="Arial" w:cs="Arial" w:eastAsia="Arial" w:hAnsi="Arial"/>
                <w:sz w:val="16"/>
                <w:szCs w:val="16"/>
                <w:color w:val="0000FF"/>
                <w:w w:val="99"/>
              </w:rPr>
            </w:pPr>
            <w:hyperlink w:anchor="page60">
              <w:r>
                <w:rPr>
                  <w:rFonts w:ascii="Arial" w:cs="Arial" w:eastAsia="Arial" w:hAnsi="Arial"/>
                  <w:sz w:val="16"/>
                  <w:szCs w:val="16"/>
                  <w:color w:val="0000FF"/>
                  <w:w w:val="99"/>
                </w:rPr>
                <w:t>Exhibits</w:t>
              </w:r>
            </w:hyperlink>
          </w:p>
        </w:tc>
        <w:tc>
          <w:tcPr>
            <w:tcW w:w="680" w:type="dxa"/>
            <w:vAlign w:val="bottom"/>
            <w:tcBorders>
              <w:top w:val="single" w:sz="8" w:color="0000FF"/>
            </w:tcBorders>
            <w:gridSpan w:val="3"/>
          </w:tcPr>
          <w:p>
            <w:pPr>
              <w:spacing w:after="0"/>
              <w:rPr>
                <w:sz w:val="19"/>
                <w:szCs w:val="19"/>
                <w:color w:val="auto"/>
              </w:rPr>
            </w:pPr>
          </w:p>
        </w:tc>
        <w:tc>
          <w:tcPr>
            <w:tcW w:w="8440" w:type="dxa"/>
            <w:vAlign w:val="bottom"/>
            <w:gridSpan w:val="14"/>
          </w:tcPr>
          <w:p>
            <w:pPr>
              <w:spacing w:after="0"/>
              <w:rPr>
                <w:sz w:val="19"/>
                <w:szCs w:val="19"/>
                <w:color w:val="auto"/>
              </w:rPr>
            </w:pPr>
          </w:p>
        </w:tc>
        <w:tc>
          <w:tcPr>
            <w:tcW w:w="180" w:type="dxa"/>
            <w:vAlign w:val="bottom"/>
            <w:tcBorders>
              <w:top w:val="single" w:sz="8" w:color="0000FF"/>
              <w:bottom w:val="single" w:sz="8" w:color="0000FF"/>
            </w:tcBorders>
            <w:gridSpan w:val="2"/>
          </w:tcPr>
          <w:p>
            <w:pPr>
              <w:spacing w:after="0"/>
              <w:rPr>
                <w:rFonts w:ascii="Arial" w:cs="Arial" w:eastAsia="Arial" w:hAnsi="Arial"/>
                <w:sz w:val="16"/>
                <w:szCs w:val="16"/>
                <w:color w:val="0000FF"/>
                <w:w w:val="89"/>
              </w:rPr>
            </w:pPr>
            <w:hyperlink w:anchor="page60">
              <w:r>
                <w:rPr>
                  <w:rFonts w:ascii="Arial" w:cs="Arial" w:eastAsia="Arial" w:hAnsi="Arial"/>
                  <w:sz w:val="16"/>
                  <w:szCs w:val="16"/>
                  <w:color w:val="0000FF"/>
                  <w:w w:val="89"/>
                </w:rPr>
                <w:t>60</w:t>
              </w:r>
            </w:hyperlink>
          </w:p>
        </w:tc>
        <w:tc>
          <w:tcPr>
            <w:tcW w:w="200" w:type="dxa"/>
            <w:vAlign w:val="bottom"/>
          </w:tcPr>
          <w:p>
            <w:pPr>
              <w:spacing w:after="0"/>
              <w:rPr>
                <w:sz w:val="19"/>
                <w:szCs w:val="19"/>
                <w:color w:val="auto"/>
              </w:rPr>
            </w:pPr>
          </w:p>
        </w:tc>
      </w:tr>
      <w:tr>
        <w:trPr>
          <w:trHeight w:val="250"/>
        </w:trPr>
        <w:tc>
          <w:tcPr>
            <w:tcW w:w="1140" w:type="dxa"/>
            <w:vAlign w:val="bottom"/>
          </w:tcPr>
          <w:p>
            <w:pPr>
              <w:spacing w:after="0"/>
              <w:rPr>
                <w:sz w:val="21"/>
                <w:szCs w:val="21"/>
                <w:color w:val="auto"/>
              </w:rPr>
            </w:pPr>
          </w:p>
        </w:tc>
        <w:tc>
          <w:tcPr>
            <w:tcW w:w="780" w:type="dxa"/>
            <w:vAlign w:val="bottom"/>
            <w:tcBorders>
              <w:bottom w:val="single" w:sz="8" w:color="0000FF"/>
            </w:tcBorders>
            <w:gridSpan w:val="2"/>
          </w:tcPr>
          <w:p>
            <w:pPr>
              <w:spacing w:after="0"/>
              <w:rPr>
                <w:rFonts w:ascii="Arial" w:cs="Arial" w:eastAsia="Arial" w:hAnsi="Arial"/>
                <w:sz w:val="16"/>
                <w:szCs w:val="16"/>
                <w:color w:val="0000FF"/>
                <w:w w:val="99"/>
              </w:rPr>
            </w:pPr>
            <w:hyperlink w:anchor="page60">
              <w:r>
                <w:rPr>
                  <w:rFonts w:ascii="Arial" w:cs="Arial" w:eastAsia="Arial" w:hAnsi="Arial"/>
                  <w:sz w:val="16"/>
                  <w:szCs w:val="16"/>
                  <w:color w:val="0000FF"/>
                  <w:w w:val="99"/>
                </w:rPr>
                <w:t>Signatures</w:t>
              </w:r>
            </w:hyperlink>
          </w:p>
        </w:tc>
        <w:tc>
          <w:tcPr>
            <w:tcW w:w="8920" w:type="dxa"/>
            <w:vAlign w:val="bottom"/>
            <w:gridSpan w:val="16"/>
          </w:tcPr>
          <w:p>
            <w:pPr>
              <w:spacing w:after="0"/>
              <w:rPr>
                <w:sz w:val="21"/>
                <w:szCs w:val="21"/>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60">
              <w:r>
                <w:rPr>
                  <w:rFonts w:ascii="Arial" w:cs="Arial" w:eastAsia="Arial" w:hAnsi="Arial"/>
                  <w:sz w:val="16"/>
                  <w:szCs w:val="16"/>
                  <w:color w:val="0000FF"/>
                  <w:w w:val="89"/>
                </w:rPr>
                <w:t>61</w:t>
              </w:r>
            </w:hyperlink>
          </w:p>
        </w:tc>
        <w:tc>
          <w:tcPr>
            <w:tcW w:w="20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141" w:right="39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PART I. FINANCIAL INFORMATION</w:t>
      </w:r>
    </w:p>
    <w:p>
      <w:pPr>
        <w:spacing w:after="0" w:line="10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231F20"/>
        </w:rPr>
        <w:t>Item 1.</w:t>
      </w:r>
      <w:r>
        <w:rPr>
          <w:sz w:val="20"/>
          <w:szCs w:val="20"/>
          <w:color w:val="auto"/>
        </w:rPr>
        <w:tab/>
      </w:r>
      <w:r>
        <w:rPr>
          <w:rFonts w:ascii="Arial" w:cs="Arial" w:eastAsia="Arial" w:hAnsi="Arial"/>
          <w:sz w:val="17"/>
          <w:szCs w:val="17"/>
          <w:b w:val="1"/>
          <w:bCs w:val="1"/>
          <w:color w:val="231F20"/>
        </w:rPr>
        <w:t>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2014</w:t>
            </w:r>
          </w:p>
        </w:tc>
        <w:tc>
          <w:tcPr>
            <w:tcW w:w="180" w:type="dxa"/>
            <w:vAlign w:val="bottom"/>
          </w:tcPr>
          <w:p>
            <w:pPr>
              <w:spacing w:after="0"/>
              <w:rPr>
                <w:sz w:val="17"/>
                <w:szCs w:val="17"/>
                <w:color w:val="auto"/>
              </w:rPr>
            </w:pPr>
          </w:p>
        </w:tc>
        <w:tc>
          <w:tcPr>
            <w:tcW w:w="1620" w:type="dxa"/>
            <w:vAlign w:val="bottom"/>
          </w:tcPr>
          <w:p>
            <w:pPr>
              <w:jc w:val="right"/>
              <w:ind w:right="188"/>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283"/>
        </w:trPr>
        <w:tc>
          <w:tcPr>
            <w:tcW w:w="76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66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1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88,285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42,369</w:t>
            </w:r>
          </w:p>
        </w:tc>
        <w:tc>
          <w:tcPr>
            <w:tcW w:w="0" w:type="dxa"/>
            <w:vAlign w:val="bottom"/>
          </w:tcPr>
          <w:p>
            <w:pPr>
              <w:spacing w:after="0"/>
              <w:rPr>
                <w:sz w:val="1"/>
                <w:szCs w:val="1"/>
                <w:color w:val="auto"/>
              </w:rPr>
            </w:pPr>
          </w:p>
        </w:tc>
      </w:tr>
      <w:tr>
        <w:trPr>
          <w:trHeight w:val="264"/>
        </w:trPr>
        <w:tc>
          <w:tcPr>
            <w:tcW w:w="7660" w:type="dxa"/>
            <w:vAlign w:val="bottom"/>
          </w:tcPr>
          <w:p>
            <w:pPr>
              <w:ind w:left="280"/>
              <w:spacing w:after="0"/>
              <w:rPr>
                <w:sz w:val="20"/>
                <w:szCs w:val="20"/>
                <w:color w:val="auto"/>
              </w:rPr>
            </w:pPr>
            <w:r>
              <w:rPr>
                <w:rFonts w:ascii="Arial" w:cs="Arial" w:eastAsia="Arial" w:hAnsi="Arial"/>
                <w:sz w:val="14"/>
                <w:szCs w:val="14"/>
                <w:color w:val="auto"/>
              </w:rPr>
              <w:t>Short-term investments</w:t>
            </w:r>
          </w:p>
        </w:tc>
        <w:tc>
          <w:tcPr>
            <w:tcW w:w="180" w:type="dxa"/>
            <w:vAlign w:val="bottom"/>
          </w:tcPr>
          <w:p>
            <w:pPr>
              <w:spacing w:after="0"/>
              <w:rPr>
                <w:sz w:val="22"/>
                <w:szCs w:val="22"/>
                <w:color w:val="auto"/>
              </w:rPr>
            </w:pPr>
          </w:p>
        </w:tc>
        <w:tc>
          <w:tcPr>
            <w:tcW w:w="1660" w:type="dxa"/>
            <w:vAlign w:val="bottom"/>
          </w:tcPr>
          <w:p>
            <w:pPr>
              <w:jc w:val="right"/>
              <w:ind w:right="28"/>
              <w:spacing w:after="0"/>
              <w:rPr>
                <w:sz w:val="20"/>
                <w:szCs w:val="20"/>
                <w:color w:val="auto"/>
              </w:rPr>
            </w:pPr>
            <w:r>
              <w:rPr>
                <w:rFonts w:ascii="Arial" w:cs="Arial" w:eastAsia="Arial" w:hAnsi="Arial"/>
                <w:sz w:val="14"/>
                <w:szCs w:val="14"/>
                <w:color w:val="auto"/>
              </w:rPr>
              <w:t>25,133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54,827</w:t>
            </w:r>
          </w:p>
        </w:tc>
        <w:tc>
          <w:tcPr>
            <w:tcW w:w="0" w:type="dxa"/>
            <w:vAlign w:val="bottom"/>
          </w:tcPr>
          <w:p>
            <w:pPr>
              <w:spacing w:after="0"/>
              <w:rPr>
                <w:sz w:val="1"/>
                <w:szCs w:val="1"/>
                <w:color w:val="auto"/>
              </w:rPr>
            </w:pPr>
          </w:p>
        </w:tc>
      </w:tr>
      <w:tr>
        <w:trPr>
          <w:trHeight w:val="200"/>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receivable, net of allowance of $543 and $389 at September 30, 2014 and December 31, 2013,</w:t>
            </w: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76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respectively</w:t>
            </w: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30,278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28,581</w:t>
            </w: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Prepaid expenses and other current assets</w:t>
            </w: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5,901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4,679</w:t>
            </w:r>
          </w:p>
        </w:tc>
        <w:tc>
          <w:tcPr>
            <w:tcW w:w="0" w:type="dxa"/>
            <w:vAlign w:val="bottom"/>
          </w:tcPr>
          <w:p>
            <w:pPr>
              <w:spacing w:after="0"/>
              <w:rPr>
                <w:sz w:val="1"/>
                <w:szCs w:val="1"/>
                <w:color w:val="auto"/>
              </w:rPr>
            </w:pPr>
          </w:p>
        </w:tc>
      </w:tr>
      <w:tr>
        <w:trPr>
          <w:trHeight w:val="256"/>
        </w:trPr>
        <w:tc>
          <w:tcPr>
            <w:tcW w:w="76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current assets</w:t>
            </w:r>
          </w:p>
        </w:tc>
        <w:tc>
          <w:tcPr>
            <w:tcW w:w="18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149,597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130,456</w:t>
            </w:r>
          </w:p>
        </w:tc>
        <w:tc>
          <w:tcPr>
            <w:tcW w:w="0" w:type="dxa"/>
            <w:vAlign w:val="bottom"/>
          </w:tcPr>
          <w:p>
            <w:pPr>
              <w:spacing w:after="0"/>
              <w:rPr>
                <w:sz w:val="1"/>
                <w:szCs w:val="1"/>
                <w:color w:val="auto"/>
              </w:rPr>
            </w:pPr>
          </w:p>
        </w:tc>
      </w:tr>
      <w:tr>
        <w:trPr>
          <w:trHeight w:val="264"/>
        </w:trPr>
        <w:tc>
          <w:tcPr>
            <w:tcW w:w="7660" w:type="dxa"/>
            <w:vAlign w:val="bottom"/>
          </w:tcPr>
          <w:p>
            <w:pPr>
              <w:ind w:left="40"/>
              <w:spacing w:after="0"/>
              <w:rPr>
                <w:sz w:val="20"/>
                <w:szCs w:val="20"/>
                <w:color w:val="auto"/>
              </w:rPr>
            </w:pPr>
            <w:r>
              <w:rPr>
                <w:rFonts w:ascii="Arial" w:cs="Arial" w:eastAsia="Arial" w:hAnsi="Arial"/>
                <w:sz w:val="14"/>
                <w:szCs w:val="14"/>
                <w:color w:val="auto"/>
              </w:rPr>
              <w:t>Long-term investments</w:t>
            </w:r>
          </w:p>
        </w:tc>
        <w:tc>
          <w:tcPr>
            <w:tcW w:w="180" w:type="dxa"/>
            <w:vAlign w:val="bottom"/>
          </w:tcPr>
          <w:p>
            <w:pPr>
              <w:spacing w:after="0"/>
              <w:rPr>
                <w:sz w:val="22"/>
                <w:szCs w:val="22"/>
                <w:color w:val="auto"/>
              </w:rPr>
            </w:pPr>
          </w:p>
        </w:tc>
        <w:tc>
          <w:tcPr>
            <w:tcW w:w="1660" w:type="dxa"/>
            <w:vAlign w:val="bottom"/>
          </w:tcPr>
          <w:p>
            <w:pPr>
              <w:jc w:val="right"/>
              <w:ind w:right="28"/>
              <w:spacing w:after="0"/>
              <w:rPr>
                <w:sz w:val="20"/>
                <w:szCs w:val="20"/>
                <w:color w:val="auto"/>
              </w:rPr>
            </w:pPr>
            <w:r>
              <w:rPr>
                <w:rFonts w:ascii="Arial" w:cs="Arial" w:eastAsia="Arial" w:hAnsi="Arial"/>
                <w:sz w:val="14"/>
                <w:szCs w:val="14"/>
                <w:color w:val="auto"/>
              </w:rPr>
              <w:t>37,896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35,608</w:t>
            </w:r>
          </w:p>
        </w:tc>
        <w:tc>
          <w:tcPr>
            <w:tcW w:w="0" w:type="dxa"/>
            <w:vAlign w:val="bottom"/>
          </w:tcPr>
          <w:p>
            <w:pPr>
              <w:spacing w:after="0"/>
              <w:rPr>
                <w:sz w:val="1"/>
                <w:szCs w:val="1"/>
                <w:color w:val="auto"/>
              </w:rPr>
            </w:pPr>
          </w:p>
        </w:tc>
      </w:tr>
      <w:tr>
        <w:trPr>
          <w:trHeight w:val="276"/>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Property and equipment, net</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24,776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23,075</w:t>
            </w:r>
          </w:p>
        </w:tc>
        <w:tc>
          <w:tcPr>
            <w:tcW w:w="0" w:type="dxa"/>
            <w:vAlign w:val="bottom"/>
          </w:tcPr>
          <w:p>
            <w:pPr>
              <w:spacing w:after="0"/>
              <w:rPr>
                <w:sz w:val="1"/>
                <w:szCs w:val="1"/>
                <w:color w:val="auto"/>
              </w:rPr>
            </w:pPr>
          </w:p>
        </w:tc>
      </w:tr>
      <w:tr>
        <w:trPr>
          <w:trHeight w:val="264"/>
        </w:trPr>
        <w:tc>
          <w:tcPr>
            <w:tcW w:w="7660" w:type="dxa"/>
            <w:vAlign w:val="bottom"/>
          </w:tcPr>
          <w:p>
            <w:pPr>
              <w:ind w:left="40"/>
              <w:spacing w:after="0"/>
              <w:rPr>
                <w:sz w:val="20"/>
                <w:szCs w:val="20"/>
                <w:color w:val="auto"/>
              </w:rPr>
            </w:pPr>
            <w:r>
              <w:rPr>
                <w:rFonts w:ascii="Arial" w:cs="Arial" w:eastAsia="Arial" w:hAnsi="Arial"/>
                <w:sz w:val="14"/>
                <w:szCs w:val="14"/>
                <w:color w:val="auto"/>
              </w:rPr>
              <w:t>Intangible assets, net</w:t>
            </w:r>
          </w:p>
        </w:tc>
        <w:tc>
          <w:tcPr>
            <w:tcW w:w="180" w:type="dxa"/>
            <w:vAlign w:val="bottom"/>
          </w:tcPr>
          <w:p>
            <w:pPr>
              <w:spacing w:after="0"/>
              <w:rPr>
                <w:sz w:val="22"/>
                <w:szCs w:val="22"/>
                <w:color w:val="auto"/>
              </w:rPr>
            </w:pPr>
          </w:p>
        </w:tc>
        <w:tc>
          <w:tcPr>
            <w:tcW w:w="1660" w:type="dxa"/>
            <w:vAlign w:val="bottom"/>
          </w:tcPr>
          <w:p>
            <w:pPr>
              <w:jc w:val="right"/>
              <w:ind w:right="28"/>
              <w:spacing w:after="0"/>
              <w:rPr>
                <w:sz w:val="20"/>
                <w:szCs w:val="20"/>
                <w:color w:val="auto"/>
              </w:rPr>
            </w:pPr>
            <w:r>
              <w:rPr>
                <w:rFonts w:ascii="Arial" w:cs="Arial" w:eastAsia="Arial" w:hAnsi="Arial"/>
                <w:sz w:val="14"/>
                <w:szCs w:val="14"/>
                <w:color w:val="auto"/>
              </w:rPr>
              <w:t>2,099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2,394</w:t>
            </w:r>
          </w:p>
        </w:tc>
        <w:tc>
          <w:tcPr>
            <w:tcW w:w="0" w:type="dxa"/>
            <w:vAlign w:val="bottom"/>
          </w:tcPr>
          <w:p>
            <w:pPr>
              <w:spacing w:after="0"/>
              <w:rPr>
                <w:sz w:val="1"/>
                <w:szCs w:val="1"/>
                <w:color w:val="auto"/>
              </w:rPr>
            </w:pPr>
          </w:p>
        </w:tc>
      </w:tr>
      <w:tr>
        <w:trPr>
          <w:trHeight w:val="276"/>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noncurrent assets</w:t>
            </w: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753</w:t>
            </w:r>
          </w:p>
        </w:tc>
        <w:tc>
          <w:tcPr>
            <w:tcW w:w="0" w:type="dxa"/>
            <w:vAlign w:val="bottom"/>
          </w:tcPr>
          <w:p>
            <w:pPr>
              <w:spacing w:after="0"/>
              <w:rPr>
                <w:sz w:val="1"/>
                <w:szCs w:val="1"/>
                <w:color w:val="auto"/>
              </w:rPr>
            </w:pPr>
          </w:p>
        </w:tc>
      </w:tr>
      <w:tr>
        <w:trPr>
          <w:trHeight w:val="243"/>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215,411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192,603</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66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660" w:type="dxa"/>
            <w:vAlign w:val="bottom"/>
          </w:tcPr>
          <w:p>
            <w:pPr>
              <w:ind w:left="280"/>
              <w:spacing w:after="0"/>
              <w:rPr>
                <w:sz w:val="20"/>
                <w:szCs w:val="20"/>
                <w:color w:val="auto"/>
              </w:rPr>
            </w:pPr>
            <w:r>
              <w:rPr>
                <w:rFonts w:ascii="Arial" w:cs="Arial" w:eastAsia="Arial" w:hAnsi="Arial"/>
                <w:sz w:val="14"/>
                <w:szCs w:val="14"/>
                <w:color w:val="auto"/>
              </w:rPr>
              <w:t>Accounts payable</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28"/>
              <w:spacing w:after="0"/>
              <w:rPr>
                <w:sz w:val="20"/>
                <w:szCs w:val="20"/>
                <w:color w:val="auto"/>
              </w:rPr>
            </w:pPr>
            <w:r>
              <w:rPr>
                <w:rFonts w:ascii="Arial" w:cs="Arial" w:eastAsia="Arial" w:hAnsi="Arial"/>
                <w:sz w:val="14"/>
                <w:szCs w:val="14"/>
                <w:color w:val="auto"/>
              </w:rPr>
              <w:t>1,898</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1,930</w:t>
            </w:r>
          </w:p>
        </w:tc>
        <w:tc>
          <w:tcPr>
            <w:tcW w:w="0" w:type="dxa"/>
            <w:vAlign w:val="bottom"/>
          </w:tcPr>
          <w:p>
            <w:pPr>
              <w:spacing w:after="0"/>
              <w:rPr>
                <w:sz w:val="1"/>
                <w:szCs w:val="1"/>
                <w:color w:val="auto"/>
              </w:rPr>
            </w:pPr>
          </w:p>
        </w:tc>
      </w:tr>
      <w:tr>
        <w:trPr>
          <w:trHeight w:val="276"/>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Accrued liabilities</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9,101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9,037</w:t>
            </w:r>
          </w:p>
        </w:tc>
        <w:tc>
          <w:tcPr>
            <w:tcW w:w="0" w:type="dxa"/>
            <w:vAlign w:val="bottom"/>
          </w:tcPr>
          <w:p>
            <w:pPr>
              <w:spacing w:after="0"/>
              <w:rPr>
                <w:sz w:val="1"/>
                <w:szCs w:val="1"/>
                <w:color w:val="auto"/>
              </w:rPr>
            </w:pPr>
          </w:p>
        </w:tc>
      </w:tr>
      <w:tr>
        <w:trPr>
          <w:trHeight w:val="264"/>
        </w:trPr>
        <w:tc>
          <w:tcPr>
            <w:tcW w:w="7660" w:type="dxa"/>
            <w:vAlign w:val="bottom"/>
          </w:tcPr>
          <w:p>
            <w:pPr>
              <w:ind w:left="280"/>
              <w:spacing w:after="0"/>
              <w:rPr>
                <w:sz w:val="20"/>
                <w:szCs w:val="20"/>
                <w:color w:val="auto"/>
              </w:rPr>
            </w:pPr>
            <w:r>
              <w:rPr>
                <w:rFonts w:ascii="Arial" w:cs="Arial" w:eastAsia="Arial" w:hAnsi="Arial"/>
                <w:sz w:val="14"/>
                <w:szCs w:val="14"/>
                <w:color w:val="auto"/>
              </w:rPr>
              <w:t>Deferred revenues, current</w:t>
            </w:r>
          </w:p>
        </w:tc>
        <w:tc>
          <w:tcPr>
            <w:tcW w:w="180" w:type="dxa"/>
            <w:vAlign w:val="bottom"/>
          </w:tcPr>
          <w:p>
            <w:pPr>
              <w:spacing w:after="0"/>
              <w:rPr>
                <w:sz w:val="22"/>
                <w:szCs w:val="22"/>
                <w:color w:val="auto"/>
              </w:rPr>
            </w:pPr>
          </w:p>
        </w:tc>
        <w:tc>
          <w:tcPr>
            <w:tcW w:w="1660" w:type="dxa"/>
            <w:vAlign w:val="bottom"/>
          </w:tcPr>
          <w:p>
            <w:pPr>
              <w:jc w:val="right"/>
              <w:ind w:right="28"/>
              <w:spacing w:after="0"/>
              <w:rPr>
                <w:sz w:val="20"/>
                <w:szCs w:val="20"/>
                <w:color w:val="auto"/>
              </w:rPr>
            </w:pPr>
            <w:r>
              <w:rPr>
                <w:rFonts w:ascii="Arial" w:cs="Arial" w:eastAsia="Arial" w:hAnsi="Arial"/>
                <w:sz w:val="14"/>
                <w:szCs w:val="14"/>
                <w:color w:val="auto"/>
              </w:rPr>
              <w:t>74,337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67,505</w:t>
            </w:r>
          </w:p>
        </w:tc>
        <w:tc>
          <w:tcPr>
            <w:tcW w:w="0" w:type="dxa"/>
            <w:vAlign w:val="bottom"/>
          </w:tcPr>
          <w:p>
            <w:pPr>
              <w:spacing w:after="0"/>
              <w:rPr>
                <w:sz w:val="1"/>
                <w:szCs w:val="1"/>
                <w:color w:val="auto"/>
              </w:rPr>
            </w:pPr>
          </w:p>
        </w:tc>
      </w:tr>
      <w:tr>
        <w:trPr>
          <w:trHeight w:val="270"/>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Capital lease obligations, current</w:t>
            </w:r>
          </w:p>
        </w:tc>
        <w:tc>
          <w:tcPr>
            <w:tcW w:w="180" w:type="dxa"/>
            <w:vAlign w:val="bottom"/>
            <w:shd w:val="clear" w:color="auto" w:fill="CCEEFF"/>
          </w:tcPr>
          <w:p>
            <w:pPr>
              <w:spacing w:after="0"/>
              <w:rPr>
                <w:sz w:val="23"/>
                <w:szCs w:val="23"/>
                <w:color w:val="auto"/>
              </w:rPr>
            </w:pP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805</w:t>
            </w:r>
          </w:p>
        </w:tc>
        <w:tc>
          <w:tcPr>
            <w:tcW w:w="0" w:type="dxa"/>
            <w:vAlign w:val="bottom"/>
          </w:tcPr>
          <w:p>
            <w:pPr>
              <w:spacing w:after="0"/>
              <w:rPr>
                <w:sz w:val="1"/>
                <w:szCs w:val="1"/>
                <w:color w:val="auto"/>
              </w:rPr>
            </w:pPr>
          </w:p>
        </w:tc>
      </w:tr>
      <w:tr>
        <w:trPr>
          <w:trHeight w:val="250"/>
        </w:trPr>
        <w:tc>
          <w:tcPr>
            <w:tcW w:w="7660" w:type="dxa"/>
            <w:vAlign w:val="bottom"/>
          </w:tcPr>
          <w:p>
            <w:pPr>
              <w:ind w:left="500"/>
              <w:spacing w:after="0"/>
              <w:rPr>
                <w:sz w:val="20"/>
                <w:szCs w:val="20"/>
                <w:color w:val="auto"/>
              </w:rPr>
            </w:pPr>
            <w:r>
              <w:rPr>
                <w:rFonts w:ascii="Arial" w:cs="Arial" w:eastAsia="Arial" w:hAnsi="Arial"/>
                <w:sz w:val="14"/>
                <w:szCs w:val="14"/>
                <w:color w:val="auto"/>
              </w:rPr>
              <w:t>Total current liabilities</w:t>
            </w:r>
          </w:p>
        </w:tc>
        <w:tc>
          <w:tcPr>
            <w:tcW w:w="18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85,336</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79,277</w:t>
            </w:r>
          </w:p>
        </w:tc>
        <w:tc>
          <w:tcPr>
            <w:tcW w:w="0" w:type="dxa"/>
            <w:vAlign w:val="bottom"/>
          </w:tcPr>
          <w:p>
            <w:pPr>
              <w:spacing w:after="0"/>
              <w:rPr>
                <w:sz w:val="1"/>
                <w:szCs w:val="1"/>
                <w:color w:val="auto"/>
              </w:rPr>
            </w:pPr>
          </w:p>
        </w:tc>
      </w:tr>
      <w:tr>
        <w:trPr>
          <w:trHeight w:val="276"/>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revenues, noncurrent</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8,965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8,889</w:t>
            </w: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noncurrent liabilities</w:t>
            </w: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1,417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1,320</w:t>
            </w:r>
          </w:p>
        </w:tc>
        <w:tc>
          <w:tcPr>
            <w:tcW w:w="0" w:type="dxa"/>
            <w:vAlign w:val="bottom"/>
          </w:tcPr>
          <w:p>
            <w:pPr>
              <w:spacing w:after="0"/>
              <w:rPr>
                <w:sz w:val="1"/>
                <w:szCs w:val="1"/>
                <w:color w:val="auto"/>
              </w:rPr>
            </w:pPr>
          </w:p>
        </w:tc>
      </w:tr>
      <w:tr>
        <w:trPr>
          <w:trHeight w:val="256"/>
        </w:trPr>
        <w:tc>
          <w:tcPr>
            <w:tcW w:w="76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liabilities</w:t>
            </w:r>
          </w:p>
        </w:tc>
        <w:tc>
          <w:tcPr>
            <w:tcW w:w="18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95,718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89,486</w:t>
            </w:r>
          </w:p>
        </w:tc>
        <w:tc>
          <w:tcPr>
            <w:tcW w:w="0" w:type="dxa"/>
            <w:vAlign w:val="bottom"/>
          </w:tcPr>
          <w:p>
            <w:pPr>
              <w:spacing w:after="0"/>
              <w:rPr>
                <w:sz w:val="1"/>
                <w:szCs w:val="1"/>
                <w:color w:val="auto"/>
              </w:rPr>
            </w:pPr>
          </w:p>
        </w:tc>
      </w:tr>
      <w:tr>
        <w:trPr>
          <w:trHeight w:val="264"/>
        </w:trPr>
        <w:tc>
          <w:tcPr>
            <w:tcW w:w="7660" w:type="dxa"/>
            <w:vAlign w:val="bottom"/>
          </w:tcPr>
          <w:p>
            <w:pPr>
              <w:ind w:left="40"/>
              <w:spacing w:after="0"/>
              <w:rPr>
                <w:sz w:val="20"/>
                <w:szCs w:val="20"/>
                <w:color w:val="auto"/>
              </w:rPr>
            </w:pPr>
            <w:r>
              <w:rPr>
                <w:rFonts w:ascii="Arial" w:cs="Arial" w:eastAsia="Arial" w:hAnsi="Arial"/>
                <w:sz w:val="14"/>
                <w:szCs w:val="14"/>
                <w:color w:val="auto"/>
              </w:rPr>
              <w:t>Commitments and contingencies (Note 5)</w:t>
            </w:r>
          </w:p>
        </w:tc>
        <w:tc>
          <w:tcPr>
            <w:tcW w:w="1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Stockholders’ equity:</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660" w:type="dxa"/>
            <w:vAlign w:val="bottom"/>
          </w:tcPr>
          <w:p>
            <w:pPr>
              <w:ind w:left="280"/>
              <w:spacing w:after="0"/>
              <w:rPr>
                <w:sz w:val="20"/>
                <w:szCs w:val="20"/>
                <w:color w:val="auto"/>
              </w:rPr>
            </w:pPr>
            <w:r>
              <w:rPr>
                <w:rFonts w:ascii="Arial" w:cs="Arial" w:eastAsia="Arial" w:hAnsi="Arial"/>
                <w:sz w:val="14"/>
                <w:szCs w:val="14"/>
                <w:color w:val="auto"/>
              </w:rPr>
              <w:t>Preferred stock, $0.001 par value; 20,000,000 shares authorized, no shares issued and outstanding at September</w:t>
            </w: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7660" w:type="dxa"/>
            <w:vAlign w:val="bottom"/>
          </w:tcPr>
          <w:p>
            <w:pPr>
              <w:ind w:left="280"/>
              <w:spacing w:after="0"/>
              <w:rPr>
                <w:sz w:val="20"/>
                <w:szCs w:val="20"/>
                <w:color w:val="auto"/>
              </w:rPr>
            </w:pPr>
            <w:r>
              <w:rPr>
                <w:rFonts w:ascii="Arial" w:cs="Arial" w:eastAsia="Arial" w:hAnsi="Arial"/>
                <w:sz w:val="14"/>
                <w:szCs w:val="14"/>
                <w:color w:val="auto"/>
              </w:rPr>
              <w:t>30, 2014 and December 31, 2013</w:t>
            </w:r>
          </w:p>
        </w:tc>
        <w:tc>
          <w:tcPr>
            <w:tcW w:w="180" w:type="dxa"/>
            <w:vAlign w:val="bottom"/>
          </w:tcPr>
          <w:p>
            <w:pPr>
              <w:spacing w:after="0"/>
              <w:rPr>
                <w:sz w:val="15"/>
                <w:szCs w:val="15"/>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Common stock, $0.001 par value; 1,000,000,000 shares authorized, 33,263,309 and 32,375,299 shares issued and</w:t>
            </w: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outstanding at September 30, 2014 and December 31, 2013, respectively</w:t>
            </w: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64"/>
        </w:trPr>
        <w:tc>
          <w:tcPr>
            <w:tcW w:w="7660" w:type="dxa"/>
            <w:vAlign w:val="bottom"/>
          </w:tcPr>
          <w:p>
            <w:pPr>
              <w:ind w:left="280"/>
              <w:spacing w:after="0"/>
              <w:rPr>
                <w:sz w:val="20"/>
                <w:szCs w:val="20"/>
                <w:color w:val="auto"/>
              </w:rPr>
            </w:pPr>
            <w:r>
              <w:rPr>
                <w:rFonts w:ascii="Arial" w:cs="Arial" w:eastAsia="Arial" w:hAnsi="Arial"/>
                <w:sz w:val="14"/>
                <w:szCs w:val="14"/>
                <w:color w:val="auto"/>
              </w:rPr>
              <w:t>Additional paid-in capital</w:t>
            </w:r>
          </w:p>
        </w:tc>
        <w:tc>
          <w:tcPr>
            <w:tcW w:w="180" w:type="dxa"/>
            <w:vAlign w:val="bottom"/>
          </w:tcPr>
          <w:p>
            <w:pPr>
              <w:spacing w:after="0"/>
              <w:rPr>
                <w:sz w:val="22"/>
                <w:szCs w:val="22"/>
                <w:color w:val="auto"/>
              </w:rPr>
            </w:pPr>
          </w:p>
        </w:tc>
        <w:tc>
          <w:tcPr>
            <w:tcW w:w="1660" w:type="dxa"/>
            <w:vAlign w:val="bottom"/>
          </w:tcPr>
          <w:p>
            <w:pPr>
              <w:jc w:val="right"/>
              <w:ind w:right="28"/>
              <w:spacing w:after="0"/>
              <w:rPr>
                <w:sz w:val="20"/>
                <w:szCs w:val="20"/>
                <w:color w:val="auto"/>
              </w:rPr>
            </w:pPr>
            <w:r>
              <w:rPr>
                <w:rFonts w:ascii="Arial" w:cs="Arial" w:eastAsia="Arial" w:hAnsi="Arial"/>
                <w:sz w:val="14"/>
                <w:szCs w:val="14"/>
                <w:color w:val="auto"/>
              </w:rPr>
              <w:t>188,923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176,641</w:t>
            </w:r>
          </w:p>
        </w:tc>
        <w:tc>
          <w:tcPr>
            <w:tcW w:w="0" w:type="dxa"/>
            <w:vAlign w:val="bottom"/>
          </w:tcPr>
          <w:p>
            <w:pPr>
              <w:spacing w:after="0"/>
              <w:rPr>
                <w:sz w:val="1"/>
                <w:szCs w:val="1"/>
                <w:color w:val="auto"/>
              </w:rPr>
            </w:pPr>
          </w:p>
        </w:tc>
      </w:tr>
      <w:tr>
        <w:trPr>
          <w:trHeight w:val="276"/>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Accumulated other comprehensive loss</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(1,088)</w:t>
            </w: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Accumulated deficit</w:t>
            </w: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(67,994)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(72,468)</w:t>
            </w:r>
          </w:p>
        </w:tc>
        <w:tc>
          <w:tcPr>
            <w:tcW w:w="0" w:type="dxa"/>
            <w:vAlign w:val="bottom"/>
          </w:tcPr>
          <w:p>
            <w:pPr>
              <w:spacing w:after="0"/>
              <w:rPr>
                <w:sz w:val="1"/>
                <w:szCs w:val="1"/>
                <w:color w:val="auto"/>
              </w:rPr>
            </w:pPr>
          </w:p>
        </w:tc>
      </w:tr>
      <w:tr>
        <w:trPr>
          <w:trHeight w:val="250"/>
        </w:trPr>
        <w:tc>
          <w:tcPr>
            <w:tcW w:w="76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stockholders’ equity</w:t>
            </w:r>
          </w:p>
        </w:tc>
        <w:tc>
          <w:tcPr>
            <w:tcW w:w="18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119,693</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103,117</w:t>
            </w:r>
          </w:p>
        </w:tc>
        <w:tc>
          <w:tcPr>
            <w:tcW w:w="0" w:type="dxa"/>
            <w:vAlign w:val="bottom"/>
          </w:tcPr>
          <w:p>
            <w:pPr>
              <w:spacing w:after="0"/>
              <w:rPr>
                <w:sz w:val="1"/>
                <w:szCs w:val="1"/>
                <w:color w:val="auto"/>
              </w:rPr>
            </w:pPr>
          </w:p>
        </w:tc>
      </w:tr>
      <w:tr>
        <w:trPr>
          <w:trHeight w:val="243"/>
        </w:trPr>
        <w:tc>
          <w:tcPr>
            <w:tcW w:w="7660" w:type="dxa"/>
            <w:vAlign w:val="bottom"/>
          </w:tcPr>
          <w:p>
            <w:pPr>
              <w:ind w:left="500"/>
              <w:spacing w:after="0"/>
              <w:rPr>
                <w:sz w:val="20"/>
                <w:szCs w:val="20"/>
                <w:color w:val="auto"/>
              </w:rPr>
            </w:pPr>
            <w:r>
              <w:rPr>
                <w:rFonts w:ascii="Arial" w:cs="Arial" w:eastAsia="Arial" w:hAnsi="Arial"/>
                <w:sz w:val="14"/>
                <w:szCs w:val="14"/>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215,411</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192,603</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1" w:right="2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50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34,348</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27,749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97,006</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78,923</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Cost of revenues</w:t>
            </w:r>
          </w:p>
        </w:tc>
        <w:tc>
          <w:tcPr>
            <w:tcW w:w="320" w:type="dxa"/>
            <w:vAlign w:val="bottom"/>
            <w:tcBorders>
              <w:bottom w:val="single" w:sz="8" w:color="231F20"/>
            </w:tcBorders>
          </w:tcPr>
          <w:p>
            <w:pPr>
              <w:spacing w:after="0"/>
              <w:rPr>
                <w:sz w:val="22"/>
                <w:szCs w:val="22"/>
                <w:color w:val="auto"/>
              </w:rPr>
            </w:pPr>
          </w:p>
        </w:tc>
        <w:tc>
          <w:tcPr>
            <w:tcW w:w="106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7,421</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231F20"/>
            </w:tcBorders>
          </w:tcPr>
          <w:p>
            <w:pPr>
              <w:spacing w:after="0"/>
              <w:rPr>
                <w:sz w:val="22"/>
                <w:szCs w:val="22"/>
                <w:color w:val="auto"/>
              </w:rPr>
            </w:pPr>
          </w:p>
        </w:tc>
        <w:tc>
          <w:tcPr>
            <w:tcW w:w="90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6,415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21,442</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231F20"/>
            </w:tcBorders>
          </w:tcPr>
          <w:p>
            <w:pPr>
              <w:spacing w:after="0"/>
              <w:rPr>
                <w:sz w:val="22"/>
                <w:szCs w:val="22"/>
                <w:color w:val="auto"/>
              </w:rPr>
            </w:pPr>
          </w:p>
        </w:tc>
        <w:tc>
          <w:tcPr>
            <w:tcW w:w="86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18,134</w:t>
            </w:r>
          </w:p>
        </w:tc>
        <w:tc>
          <w:tcPr>
            <w:tcW w:w="0" w:type="dxa"/>
            <w:vAlign w:val="bottom"/>
          </w:tcPr>
          <w:p>
            <w:pPr>
              <w:spacing w:after="0"/>
              <w:rPr>
                <w:sz w:val="1"/>
                <w:szCs w:val="1"/>
                <w:color w:val="auto"/>
              </w:rPr>
            </w:pPr>
          </w:p>
        </w:tc>
      </w:tr>
      <w:tr>
        <w:trPr>
          <w:trHeight w:val="256"/>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Gross profit</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26,927</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21,334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75,564</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60,789</w:t>
            </w: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Research and development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6,490</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5,151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19,305</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15,739</w:t>
            </w:r>
          </w:p>
        </w:tc>
        <w:tc>
          <w:tcPr>
            <w:tcW w:w="0" w:type="dxa"/>
            <w:vAlign w:val="bottom"/>
          </w:tcPr>
          <w:p>
            <w:pPr>
              <w:spacing w:after="0"/>
              <w:rPr>
                <w:sz w:val="1"/>
                <w:szCs w:val="1"/>
                <w:color w:val="auto"/>
              </w:rPr>
            </w:pPr>
          </w:p>
        </w:tc>
      </w:tr>
      <w:tr>
        <w:trPr>
          <w:trHeight w:val="264"/>
        </w:trPr>
        <w:tc>
          <w:tcPr>
            <w:tcW w:w="5620" w:type="dxa"/>
            <w:vAlign w:val="bottom"/>
          </w:tcPr>
          <w:p>
            <w:pPr>
              <w:ind w:left="280"/>
              <w:spacing w:after="0"/>
              <w:rPr>
                <w:sz w:val="20"/>
                <w:szCs w:val="20"/>
                <w:color w:val="auto"/>
              </w:rPr>
            </w:pPr>
            <w:r>
              <w:rPr>
                <w:rFonts w:ascii="Arial" w:cs="Arial" w:eastAsia="Arial" w:hAnsi="Arial"/>
                <w:sz w:val="14"/>
                <w:szCs w:val="14"/>
                <w:color w:val="auto"/>
              </w:rPr>
              <w:t>Sales and marketing</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11,774</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10,411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36,111</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30,739</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General and administrative</w:t>
            </w:r>
          </w:p>
        </w:tc>
        <w:tc>
          <w:tcPr>
            <w:tcW w:w="320" w:type="dxa"/>
            <w:vAlign w:val="bottom"/>
            <w:tcBorders>
              <w:bottom w:val="single" w:sz="8" w:color="231F20"/>
            </w:tcBorders>
            <w:shd w:val="clear" w:color="auto" w:fill="CCEEFF"/>
          </w:tcPr>
          <w:p>
            <w:pPr>
              <w:spacing w:after="0"/>
              <w:rPr>
                <w:sz w:val="23"/>
                <w:szCs w:val="23"/>
                <w:color w:val="auto"/>
              </w:rPr>
            </w:pPr>
          </w:p>
        </w:tc>
        <w:tc>
          <w:tcPr>
            <w:tcW w:w="1060" w:type="dxa"/>
            <w:vAlign w:val="bottom"/>
            <w:tcBorders>
              <w:bottom w:val="single" w:sz="8" w:color="231F20"/>
            </w:tcBorders>
            <w:shd w:val="clear" w:color="auto" w:fill="CCEEFF"/>
          </w:tcPr>
          <w:p>
            <w:pPr>
              <w:jc w:val="right"/>
              <w:ind w:right="48"/>
              <w:spacing w:after="0"/>
              <w:rPr>
                <w:sz w:val="20"/>
                <w:szCs w:val="20"/>
                <w:color w:val="auto"/>
              </w:rPr>
            </w:pPr>
            <w:r>
              <w:rPr>
                <w:rFonts w:ascii="Arial" w:cs="Arial" w:eastAsia="Arial" w:hAnsi="Arial"/>
                <w:sz w:val="14"/>
                <w:szCs w:val="14"/>
                <w:color w:val="auto"/>
              </w:rPr>
              <w:t>5,156</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231F20"/>
            </w:tcBorders>
            <w:shd w:val="clear" w:color="auto" w:fill="CCEEFF"/>
          </w:tcPr>
          <w:p>
            <w:pPr>
              <w:spacing w:after="0"/>
              <w:rPr>
                <w:sz w:val="23"/>
                <w:szCs w:val="23"/>
                <w:color w:val="auto"/>
              </w:rPr>
            </w:pPr>
          </w:p>
        </w:tc>
        <w:tc>
          <w:tcPr>
            <w:tcW w:w="900" w:type="dxa"/>
            <w:vAlign w:val="bottom"/>
            <w:tcBorders>
              <w:bottom w:val="single" w:sz="8" w:color="231F20"/>
            </w:tcBorders>
            <w:shd w:val="clear" w:color="auto" w:fill="CCEEFF"/>
          </w:tcPr>
          <w:p>
            <w:pPr>
              <w:jc w:val="right"/>
              <w:ind w:right="28"/>
              <w:spacing w:after="0"/>
              <w:rPr>
                <w:sz w:val="20"/>
                <w:szCs w:val="20"/>
                <w:color w:val="auto"/>
              </w:rPr>
            </w:pPr>
            <w:r>
              <w:rPr>
                <w:rFonts w:ascii="Arial" w:cs="Arial" w:eastAsia="Arial" w:hAnsi="Arial"/>
                <w:sz w:val="14"/>
                <w:szCs w:val="14"/>
                <w:color w:val="auto"/>
              </w:rPr>
              <w:t>4,277</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15,112</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231F20"/>
            </w:tcBorders>
            <w:shd w:val="clear" w:color="auto" w:fill="CCEEFF"/>
          </w:tcPr>
          <w:p>
            <w:pPr>
              <w:spacing w:after="0"/>
              <w:rPr>
                <w:sz w:val="23"/>
                <w:szCs w:val="23"/>
                <w:color w:val="auto"/>
              </w:rPr>
            </w:pPr>
          </w:p>
        </w:tc>
        <w:tc>
          <w:tcPr>
            <w:tcW w:w="860" w:type="dxa"/>
            <w:vAlign w:val="bottom"/>
            <w:tcBorders>
              <w:bottom w:val="single" w:sz="8" w:color="231F20"/>
            </w:tcBorders>
            <w:shd w:val="clear" w:color="auto" w:fill="CCEEFF"/>
          </w:tcPr>
          <w:p>
            <w:pPr>
              <w:jc w:val="right"/>
              <w:ind w:right="28"/>
              <w:spacing w:after="0"/>
              <w:rPr>
                <w:sz w:val="20"/>
                <w:szCs w:val="20"/>
                <w:color w:val="auto"/>
              </w:rPr>
            </w:pPr>
            <w:r>
              <w:rPr>
                <w:rFonts w:ascii="Arial" w:cs="Arial" w:eastAsia="Arial" w:hAnsi="Arial"/>
                <w:sz w:val="14"/>
                <w:szCs w:val="14"/>
                <w:color w:val="auto"/>
              </w:rPr>
              <w:t>12,226</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operating expenses</w:t>
            </w:r>
          </w:p>
        </w:tc>
        <w:tc>
          <w:tcPr>
            <w:tcW w:w="320" w:type="dxa"/>
            <w:vAlign w:val="bottom"/>
            <w:tcBorders>
              <w:bottom w:val="single" w:sz="8" w:color="231F20"/>
            </w:tcBorders>
          </w:tcPr>
          <w:p>
            <w:pPr>
              <w:spacing w:after="0"/>
              <w:rPr>
                <w:sz w:val="21"/>
                <w:szCs w:val="21"/>
                <w:color w:val="auto"/>
              </w:rPr>
            </w:pPr>
          </w:p>
        </w:tc>
        <w:tc>
          <w:tcPr>
            <w:tcW w:w="106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23,420</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231F20"/>
            </w:tcBorders>
          </w:tcPr>
          <w:p>
            <w:pPr>
              <w:spacing w:after="0"/>
              <w:rPr>
                <w:sz w:val="21"/>
                <w:szCs w:val="21"/>
                <w:color w:val="auto"/>
              </w:rPr>
            </w:pPr>
          </w:p>
        </w:tc>
        <w:tc>
          <w:tcPr>
            <w:tcW w:w="90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19,839</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70,528</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231F20"/>
            </w:tcBorders>
          </w:tcPr>
          <w:p>
            <w:pPr>
              <w:spacing w:after="0"/>
              <w:rPr>
                <w:sz w:val="21"/>
                <w:szCs w:val="21"/>
                <w:color w:val="auto"/>
              </w:rPr>
            </w:pPr>
          </w:p>
        </w:tc>
        <w:tc>
          <w:tcPr>
            <w:tcW w:w="86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58,704</w:t>
            </w:r>
          </w:p>
        </w:tc>
        <w:tc>
          <w:tcPr>
            <w:tcW w:w="0" w:type="dxa"/>
            <w:vAlign w:val="bottom"/>
          </w:tcPr>
          <w:p>
            <w:pPr>
              <w:spacing w:after="0"/>
              <w:rPr>
                <w:sz w:val="1"/>
                <w:szCs w:val="1"/>
                <w:color w:val="auto"/>
              </w:rPr>
            </w:pP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operations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3,507</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5,036</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2,085</w:t>
            </w: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color w:val="auto"/>
              </w:rPr>
              <w:t>Other income (expense), net:</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expense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64"/>
        </w:trPr>
        <w:tc>
          <w:tcPr>
            <w:tcW w:w="5620" w:type="dxa"/>
            <w:vAlign w:val="bottom"/>
          </w:tcPr>
          <w:p>
            <w:pPr>
              <w:ind w:left="280"/>
              <w:spacing w:after="0"/>
              <w:rPr>
                <w:sz w:val="20"/>
                <w:szCs w:val="20"/>
                <w:color w:val="auto"/>
              </w:rPr>
            </w:pPr>
            <w:r>
              <w:rPr>
                <w:rFonts w:ascii="Arial" w:cs="Arial" w:eastAsia="Arial" w:hAnsi="Arial"/>
                <w:sz w:val="14"/>
                <w:szCs w:val="14"/>
                <w:color w:val="auto"/>
              </w:rPr>
              <w:t>Interest income</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127</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365</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income (expense), net</w:t>
            </w:r>
          </w:p>
        </w:tc>
        <w:tc>
          <w:tcPr>
            <w:tcW w:w="320" w:type="dxa"/>
            <w:vAlign w:val="bottom"/>
            <w:tcBorders>
              <w:bottom w:val="single" w:sz="8" w:color="231F20"/>
            </w:tcBorders>
            <w:shd w:val="clear" w:color="auto" w:fill="CCEEFF"/>
          </w:tcPr>
          <w:p>
            <w:pPr>
              <w:spacing w:after="0"/>
              <w:rPr>
                <w:sz w:val="23"/>
                <w:szCs w:val="23"/>
                <w:color w:val="auto"/>
              </w:rPr>
            </w:pPr>
          </w:p>
        </w:tc>
        <w:tc>
          <w:tcPr>
            <w:tcW w:w="106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231F20"/>
            </w:tcBorders>
            <w:shd w:val="clear" w:color="auto" w:fill="CCEEFF"/>
          </w:tcPr>
          <w:p>
            <w:pPr>
              <w:spacing w:after="0"/>
              <w:rPr>
                <w:sz w:val="23"/>
                <w:szCs w:val="23"/>
                <w:color w:val="auto"/>
              </w:rPr>
            </w:pPr>
          </w:p>
        </w:tc>
        <w:tc>
          <w:tcPr>
            <w:tcW w:w="90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231F20"/>
            </w:tcBorders>
            <w:shd w:val="clear" w:color="auto" w:fill="CCEEFF"/>
          </w:tcPr>
          <w:p>
            <w:pPr>
              <w:spacing w:after="0"/>
              <w:rPr>
                <w:sz w:val="23"/>
                <w:szCs w:val="23"/>
                <w:color w:val="auto"/>
              </w:rPr>
            </w:pPr>
          </w:p>
        </w:tc>
        <w:tc>
          <w:tcPr>
            <w:tcW w:w="86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other income (expense), net</w:t>
            </w:r>
          </w:p>
        </w:tc>
        <w:tc>
          <w:tcPr>
            <w:tcW w:w="320" w:type="dxa"/>
            <w:vAlign w:val="bottom"/>
            <w:tcBorders>
              <w:bottom w:val="single" w:sz="8" w:color="231F20"/>
            </w:tcBorders>
          </w:tcPr>
          <w:p>
            <w:pPr>
              <w:spacing w:after="0"/>
              <w:rPr>
                <w:sz w:val="21"/>
                <w:szCs w:val="21"/>
                <w:color w:val="auto"/>
              </w:rPr>
            </w:pPr>
          </w:p>
        </w:tc>
        <w:tc>
          <w:tcPr>
            <w:tcW w:w="106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231F20"/>
            </w:tcBorders>
          </w:tcPr>
          <w:p>
            <w:pPr>
              <w:spacing w:after="0"/>
              <w:rPr>
                <w:sz w:val="21"/>
                <w:szCs w:val="21"/>
                <w:color w:val="auto"/>
              </w:rPr>
            </w:pPr>
          </w:p>
        </w:tc>
        <w:tc>
          <w:tcPr>
            <w:tcW w:w="90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24</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231F20"/>
            </w:tcBorders>
          </w:tcPr>
          <w:p>
            <w:pPr>
              <w:spacing w:after="0"/>
              <w:rPr>
                <w:sz w:val="21"/>
                <w:szCs w:val="21"/>
                <w:color w:val="auto"/>
              </w:rPr>
            </w:pPr>
          </w:p>
        </w:tc>
        <w:tc>
          <w:tcPr>
            <w:tcW w:w="86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before provision for income taxes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3,491</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1,519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5,113</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1,951</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Provision for income taxes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283</w:t>
            </w: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210</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639</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3,208</w:t>
            </w:r>
          </w:p>
        </w:tc>
        <w:tc>
          <w:tcPr>
            <w:tcW w:w="12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1,309</w:t>
            </w:r>
          </w:p>
        </w:tc>
        <w:tc>
          <w:tcPr>
            <w:tcW w:w="12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4,474</w:t>
            </w:r>
          </w:p>
        </w:tc>
        <w:tc>
          <w:tcPr>
            <w:tcW w:w="10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1,579</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4"/>
                <w:szCs w:val="14"/>
                <w:color w:val="auto"/>
              </w:rPr>
              <w:t>Net income per share:</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62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0.10</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0.04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Diluted</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0.09</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0.04</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0.12</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251"/>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shares used in computing net income per share:</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Basic</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33,120</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32,088</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32,820</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31,789</w:t>
            </w:r>
          </w:p>
        </w:tc>
        <w:tc>
          <w:tcPr>
            <w:tcW w:w="0" w:type="dxa"/>
            <w:vAlign w:val="bottom"/>
          </w:tcPr>
          <w:p>
            <w:pPr>
              <w:spacing w:after="0"/>
              <w:rPr>
                <w:sz w:val="1"/>
                <w:szCs w:val="1"/>
                <w:color w:val="auto"/>
              </w:rPr>
            </w:pPr>
          </w:p>
        </w:tc>
      </w:tr>
      <w:tr>
        <w:trPr>
          <w:trHeight w:val="21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Diluted</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37,080</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36,247</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37,006</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35,704</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231F20"/>
        </w:rPr>
        <w:t>See accompanying Notes to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41" w:right="2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2380" w:type="dxa"/>
            <w:vAlign w:val="bottom"/>
            <w:gridSpan w:val="4"/>
          </w:tcPr>
          <w:p>
            <w:pPr>
              <w:jc w:val="right"/>
              <w:ind w:right="148"/>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0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56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24"/>
                <w:szCs w:val="24"/>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2013</w:t>
            </w: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3,208</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4,474</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1,579</w:t>
            </w: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color w:val="auto"/>
              </w:rPr>
              <w:t>Change in foreign currency translation loss, net of zero tax</w:t>
            </w:r>
          </w:p>
        </w:tc>
        <w:tc>
          <w:tcPr>
            <w:tcW w:w="8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(73)</w:t>
            </w:r>
          </w:p>
        </w:tc>
      </w:tr>
      <w:tr>
        <w:trPr>
          <w:trHeight w:val="276"/>
        </w:trPr>
        <w:tc>
          <w:tcPr>
            <w:tcW w:w="5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Available-for-sale investments:</w:t>
            </w:r>
          </w:p>
        </w:tc>
        <w:tc>
          <w:tcPr>
            <w:tcW w:w="8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64"/>
        </w:trPr>
        <w:tc>
          <w:tcPr>
            <w:tcW w:w="5620" w:type="dxa"/>
            <w:vAlign w:val="bottom"/>
          </w:tcPr>
          <w:p>
            <w:pPr>
              <w:ind w:left="280"/>
              <w:spacing w:after="0"/>
              <w:rPr>
                <w:sz w:val="20"/>
                <w:szCs w:val="20"/>
                <w:color w:val="auto"/>
              </w:rPr>
            </w:pPr>
            <w:r>
              <w:rPr>
                <w:rFonts w:ascii="Arial" w:cs="Arial" w:eastAsia="Arial" w:hAnsi="Arial"/>
                <w:sz w:val="14"/>
                <w:szCs w:val="14"/>
                <w:color w:val="auto"/>
              </w:rPr>
              <w:t>Change in net unrealized gain (loss) on investments, net of zero tax</w:t>
            </w:r>
          </w:p>
        </w:tc>
        <w:tc>
          <w:tcPr>
            <w:tcW w:w="8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37</w:t>
            </w:r>
          </w:p>
        </w:tc>
      </w:tr>
      <w:tr>
        <w:trPr>
          <w:trHeight w:val="270"/>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Less: reclassification adjustment for net realized gain included in net income</w:t>
            </w:r>
          </w:p>
        </w:tc>
        <w:tc>
          <w:tcPr>
            <w:tcW w:w="88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250"/>
        </w:trPr>
        <w:tc>
          <w:tcPr>
            <w:tcW w:w="56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Net change, net of zero tax</w:t>
            </w:r>
          </w:p>
        </w:tc>
        <w:tc>
          <w:tcPr>
            <w:tcW w:w="8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w:t>
            </w:r>
          </w:p>
        </w:tc>
        <w:tc>
          <w:tcPr>
            <w:tcW w:w="12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w:t>
            </w:r>
          </w:p>
        </w:tc>
      </w:tr>
      <w:tr>
        <w:trPr>
          <w:trHeight w:val="250"/>
        </w:trPr>
        <w:tc>
          <w:tcPr>
            <w:tcW w:w="5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comprehensive income (loss), net</w:t>
            </w:r>
          </w:p>
        </w:tc>
        <w:tc>
          <w:tcPr>
            <w:tcW w:w="880" w:type="dxa"/>
            <w:vAlign w:val="bottom"/>
            <w:tcBorders>
              <w:bottom w:val="single" w:sz="8" w:color="231F20"/>
            </w:tcBorders>
            <w:shd w:val="clear" w:color="auto" w:fill="CCEEFF"/>
          </w:tcPr>
          <w:p>
            <w:pPr>
              <w:spacing w:after="0"/>
              <w:rPr>
                <w:sz w:val="21"/>
                <w:szCs w:val="21"/>
                <w:color w:val="auto"/>
              </w:rPr>
            </w:pPr>
          </w:p>
        </w:tc>
        <w:tc>
          <w:tcPr>
            <w:tcW w:w="50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20" w:type="dxa"/>
            <w:vAlign w:val="bottom"/>
            <w:shd w:val="clear" w:color="auto" w:fill="CCEEFF"/>
          </w:tcPr>
          <w:p>
            <w:pPr>
              <w:spacing w:after="0"/>
              <w:rPr>
                <w:sz w:val="21"/>
                <w:szCs w:val="21"/>
                <w:color w:val="auto"/>
              </w:rPr>
            </w:pPr>
          </w:p>
        </w:tc>
        <w:tc>
          <w:tcPr>
            <w:tcW w:w="880" w:type="dxa"/>
            <w:vAlign w:val="bottom"/>
            <w:tcBorders>
              <w:bottom w:val="single" w:sz="8" w:color="231F20"/>
            </w:tcBorders>
            <w:shd w:val="clear" w:color="auto" w:fill="CCEEFF"/>
          </w:tcPr>
          <w:p>
            <w:pPr>
              <w:spacing w:after="0"/>
              <w:rPr>
                <w:sz w:val="21"/>
                <w:szCs w:val="21"/>
                <w:color w:val="auto"/>
              </w:rPr>
            </w:pPr>
          </w:p>
        </w:tc>
        <w:tc>
          <w:tcPr>
            <w:tcW w:w="500" w:type="dxa"/>
            <w:vAlign w:val="bottom"/>
            <w:tcBorders>
              <w:bottom w:val="single" w:sz="8" w:color="231F20"/>
            </w:tcBorders>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231F20"/>
            </w:tcBorders>
            <w:shd w:val="clear" w:color="auto" w:fill="CCEEFF"/>
          </w:tcPr>
          <w:p>
            <w:pPr>
              <w:spacing w:after="0"/>
              <w:rPr>
                <w:sz w:val="21"/>
                <w:szCs w:val="21"/>
                <w:color w:val="auto"/>
              </w:rPr>
            </w:pPr>
          </w:p>
        </w:tc>
        <w:tc>
          <w:tcPr>
            <w:tcW w:w="104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231F20"/>
            </w:tcBorders>
            <w:shd w:val="clear" w:color="auto" w:fill="CCEEFF"/>
          </w:tcPr>
          <w:p>
            <w:pPr>
              <w:spacing w:after="0"/>
              <w:rPr>
                <w:sz w:val="21"/>
                <w:szCs w:val="21"/>
                <w:color w:val="auto"/>
              </w:rPr>
            </w:pPr>
          </w:p>
        </w:tc>
        <w:tc>
          <w:tcPr>
            <w:tcW w:w="86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(45)</w:t>
            </w:r>
          </w:p>
        </w:tc>
      </w:tr>
      <w:tr>
        <w:trPr>
          <w:trHeight w:val="243"/>
        </w:trPr>
        <w:tc>
          <w:tcPr>
            <w:tcW w:w="5620" w:type="dxa"/>
            <w:vAlign w:val="bottom"/>
          </w:tcPr>
          <w:p>
            <w:pPr>
              <w:ind w:left="40"/>
              <w:spacing w:after="0"/>
              <w:rPr>
                <w:sz w:val="20"/>
                <w:szCs w:val="20"/>
                <w:color w:val="auto"/>
              </w:rPr>
            </w:pPr>
            <w:r>
              <w:rPr>
                <w:rFonts w:ascii="Arial" w:cs="Arial" w:eastAsia="Arial" w:hAnsi="Arial"/>
                <w:sz w:val="14"/>
                <w:szCs w:val="14"/>
                <w:color w:val="auto"/>
              </w:rPr>
              <w:t>Comprehensive income</w:t>
            </w:r>
          </w:p>
        </w:tc>
        <w:tc>
          <w:tcPr>
            <w:tcW w:w="88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3,036</w:t>
            </w:r>
          </w:p>
        </w:tc>
        <w:tc>
          <w:tcPr>
            <w:tcW w:w="120" w:type="dxa"/>
            <w:vAlign w:val="bottom"/>
          </w:tcPr>
          <w:p>
            <w:pPr>
              <w:spacing w:after="0"/>
              <w:rPr>
                <w:sz w:val="21"/>
                <w:szCs w:val="21"/>
                <w:color w:val="auto"/>
              </w:rPr>
            </w:pPr>
          </w:p>
        </w:tc>
        <w:tc>
          <w:tcPr>
            <w:tcW w:w="88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1,348</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4,293</w:t>
            </w:r>
          </w:p>
        </w:tc>
        <w:tc>
          <w:tcPr>
            <w:tcW w:w="100" w:type="dxa"/>
            <w:vAlign w:val="bottom"/>
          </w:tcPr>
          <w:p>
            <w:pPr>
              <w:spacing w:after="0"/>
              <w:rPr>
                <w:sz w:val="21"/>
                <w:szCs w:val="21"/>
                <w:color w:val="auto"/>
              </w:rPr>
            </w:pPr>
          </w:p>
        </w:tc>
        <w:tc>
          <w:tcPr>
            <w:tcW w:w="5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1,534</w:t>
            </w:r>
          </w:p>
        </w:tc>
      </w:tr>
      <w:tr>
        <w:trPr>
          <w:trHeight w:val="20"/>
        </w:trPr>
        <w:tc>
          <w:tcPr>
            <w:tcW w:w="56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231F20"/>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1" w:right="23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858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26035</wp:posOffset>
            </wp:positionV>
            <wp:extent cx="20840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80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2013</w:t>
            </w:r>
          </w:p>
        </w:tc>
      </w:tr>
      <w:tr>
        <w:trPr>
          <w:trHeight w:val="270"/>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64"/>
        </w:trPr>
        <w:tc>
          <w:tcPr>
            <w:tcW w:w="8080" w:type="dxa"/>
            <w:vAlign w:val="bottom"/>
          </w:tcPr>
          <w:p>
            <w:pPr>
              <w:ind w:left="260"/>
              <w:spacing w:after="0"/>
              <w:rPr>
                <w:sz w:val="20"/>
                <w:szCs w:val="20"/>
                <w:color w:val="auto"/>
              </w:rPr>
            </w:pPr>
            <w:r>
              <w:rPr>
                <w:rFonts w:ascii="Arial" w:cs="Arial" w:eastAsia="Arial" w:hAnsi="Arial"/>
                <w:sz w:val="14"/>
                <w:szCs w:val="14"/>
                <w:color w:val="auto"/>
              </w:rPr>
              <w:t>Net income</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4,474</w:t>
            </w:r>
          </w:p>
        </w:tc>
        <w:tc>
          <w:tcPr>
            <w:tcW w:w="100" w:type="dxa"/>
            <w:vAlign w:val="bottom"/>
          </w:tcPr>
          <w:p>
            <w:pPr>
              <w:spacing w:after="0"/>
              <w:rPr>
                <w:sz w:val="22"/>
                <w:szCs w:val="22"/>
                <w:color w:val="auto"/>
              </w:rPr>
            </w:pPr>
          </w:p>
        </w:tc>
        <w:tc>
          <w:tcPr>
            <w:tcW w:w="3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1,579</w:t>
            </w:r>
          </w:p>
        </w:tc>
      </w:tr>
      <w:tr>
        <w:trPr>
          <w:trHeight w:val="276"/>
        </w:trPr>
        <w:tc>
          <w:tcPr>
            <w:tcW w:w="80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4"/>
        </w:trPr>
        <w:tc>
          <w:tcPr>
            <w:tcW w:w="8080" w:type="dxa"/>
            <w:vAlign w:val="bottom"/>
          </w:tcPr>
          <w:p>
            <w:pPr>
              <w:ind w:left="480"/>
              <w:spacing w:after="0"/>
              <w:rPr>
                <w:sz w:val="20"/>
                <w:szCs w:val="20"/>
                <w:color w:val="auto"/>
              </w:rPr>
            </w:pPr>
            <w:r>
              <w:rPr>
                <w:rFonts w:ascii="Arial" w:cs="Arial" w:eastAsia="Arial" w:hAnsi="Arial"/>
                <w:sz w:val="14"/>
                <w:szCs w:val="14"/>
                <w:color w:val="auto"/>
              </w:rPr>
              <w:t>Depreciation and amortization expense</w:t>
            </w:r>
          </w:p>
        </w:tc>
        <w:tc>
          <w:tcPr>
            <w:tcW w:w="3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8,826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7,050</w:t>
            </w:r>
          </w:p>
        </w:tc>
      </w:tr>
      <w:tr>
        <w:trPr>
          <w:trHeight w:val="276"/>
        </w:trPr>
        <w:tc>
          <w:tcPr>
            <w:tcW w:w="80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Bad debt expense</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211</w:t>
            </w:r>
          </w:p>
        </w:tc>
      </w:tr>
      <w:tr>
        <w:trPr>
          <w:trHeight w:val="264"/>
        </w:trPr>
        <w:tc>
          <w:tcPr>
            <w:tcW w:w="8080" w:type="dxa"/>
            <w:vAlign w:val="bottom"/>
          </w:tcPr>
          <w:p>
            <w:pPr>
              <w:ind w:left="480"/>
              <w:spacing w:after="0"/>
              <w:rPr>
                <w:sz w:val="20"/>
                <w:szCs w:val="20"/>
                <w:color w:val="auto"/>
              </w:rPr>
            </w:pPr>
            <w:r>
              <w:rPr>
                <w:rFonts w:ascii="Arial" w:cs="Arial" w:eastAsia="Arial" w:hAnsi="Arial"/>
                <w:sz w:val="14"/>
                <w:szCs w:val="14"/>
                <w:color w:val="auto"/>
              </w:rPr>
              <w:t>Loss on disposal of property and equipment</w:t>
            </w:r>
          </w:p>
        </w:tc>
        <w:tc>
          <w:tcPr>
            <w:tcW w:w="3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12</w:t>
            </w:r>
          </w:p>
        </w:tc>
      </w:tr>
      <w:tr>
        <w:trPr>
          <w:trHeight w:val="276"/>
        </w:trPr>
        <w:tc>
          <w:tcPr>
            <w:tcW w:w="80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Stock-based compensation</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7,100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3,808</w:t>
            </w:r>
          </w:p>
        </w:tc>
      </w:tr>
      <w:tr>
        <w:trPr>
          <w:trHeight w:val="264"/>
        </w:trPr>
        <w:tc>
          <w:tcPr>
            <w:tcW w:w="8080" w:type="dxa"/>
            <w:vAlign w:val="bottom"/>
          </w:tcPr>
          <w:p>
            <w:pPr>
              <w:ind w:left="480"/>
              <w:spacing w:after="0"/>
              <w:rPr>
                <w:sz w:val="20"/>
                <w:szCs w:val="20"/>
                <w:color w:val="auto"/>
              </w:rPr>
            </w:pPr>
            <w:r>
              <w:rPr>
                <w:rFonts w:ascii="Arial" w:cs="Arial" w:eastAsia="Arial" w:hAnsi="Arial"/>
                <w:sz w:val="14"/>
                <w:szCs w:val="14"/>
                <w:color w:val="auto"/>
              </w:rPr>
              <w:t>Amortization of premiums and accretion of discounts on investments</w:t>
            </w:r>
          </w:p>
        </w:tc>
        <w:tc>
          <w:tcPr>
            <w:tcW w:w="3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427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188</w:t>
            </w:r>
          </w:p>
        </w:tc>
      </w:tr>
      <w:tr>
        <w:trPr>
          <w:trHeight w:val="276"/>
        </w:trPr>
        <w:tc>
          <w:tcPr>
            <w:tcW w:w="80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Excess tax benefits from stock-based compensation</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r>
      <w:tr>
        <w:trPr>
          <w:trHeight w:val="264"/>
        </w:trPr>
        <w:tc>
          <w:tcPr>
            <w:tcW w:w="8080" w:type="dxa"/>
            <w:vAlign w:val="bottom"/>
          </w:tcPr>
          <w:p>
            <w:pPr>
              <w:ind w:left="480"/>
              <w:spacing w:after="0"/>
              <w:rPr>
                <w:sz w:val="20"/>
                <w:szCs w:val="20"/>
                <w:color w:val="auto"/>
              </w:rPr>
            </w:pPr>
            <w:r>
              <w:rPr>
                <w:rFonts w:ascii="Arial" w:cs="Arial" w:eastAsia="Arial" w:hAnsi="Arial"/>
                <w:sz w:val="14"/>
                <w:szCs w:val="14"/>
                <w:color w:val="auto"/>
              </w:rPr>
              <w:t>Changes in operating assets and liabilities:</w:t>
            </w: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6"/>
        </w:trPr>
        <w:tc>
          <w:tcPr>
            <w:tcW w:w="8080" w:type="dxa"/>
            <w:vAlign w:val="bottom"/>
            <w:shd w:val="clear" w:color="auto" w:fill="CCEEFF"/>
          </w:tcPr>
          <w:p>
            <w:pPr>
              <w:ind w:left="700"/>
              <w:spacing w:after="0"/>
              <w:rPr>
                <w:sz w:val="20"/>
                <w:szCs w:val="20"/>
                <w:color w:val="auto"/>
              </w:rPr>
            </w:pPr>
            <w:r>
              <w:rPr>
                <w:rFonts w:ascii="Arial" w:cs="Arial" w:eastAsia="Arial" w:hAnsi="Arial"/>
                <w:sz w:val="14"/>
                <w:szCs w:val="14"/>
                <w:color w:val="auto"/>
              </w:rPr>
              <w:t>Accounts receivable</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(2,042)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w:t>
            </w:r>
          </w:p>
        </w:tc>
      </w:tr>
      <w:tr>
        <w:trPr>
          <w:trHeight w:val="264"/>
        </w:trPr>
        <w:tc>
          <w:tcPr>
            <w:tcW w:w="8080" w:type="dxa"/>
            <w:vAlign w:val="bottom"/>
          </w:tcPr>
          <w:p>
            <w:pPr>
              <w:ind w:left="700"/>
              <w:spacing w:after="0"/>
              <w:rPr>
                <w:sz w:val="20"/>
                <w:szCs w:val="20"/>
                <w:color w:val="auto"/>
              </w:rPr>
            </w:pPr>
            <w:r>
              <w:rPr>
                <w:rFonts w:ascii="Arial" w:cs="Arial" w:eastAsia="Arial" w:hAnsi="Arial"/>
                <w:sz w:val="14"/>
                <w:szCs w:val="14"/>
                <w:color w:val="auto"/>
              </w:rPr>
              <w:t>Prepaid expenses and other assets</w:t>
            </w:r>
          </w:p>
        </w:tc>
        <w:tc>
          <w:tcPr>
            <w:tcW w:w="360" w:type="dxa"/>
            <w:vAlign w:val="bottom"/>
          </w:tcPr>
          <w:p>
            <w:pPr>
              <w:spacing w:after="0"/>
              <w:rPr>
                <w:sz w:val="22"/>
                <w:szCs w:val="22"/>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(1,238)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229</w:t>
            </w:r>
          </w:p>
        </w:tc>
      </w:tr>
      <w:tr>
        <w:trPr>
          <w:trHeight w:val="276"/>
        </w:trPr>
        <w:tc>
          <w:tcPr>
            <w:tcW w:w="8080" w:type="dxa"/>
            <w:vAlign w:val="bottom"/>
            <w:shd w:val="clear" w:color="auto" w:fill="CCEEFF"/>
          </w:tcPr>
          <w:p>
            <w:pPr>
              <w:ind w:left="700"/>
              <w:spacing w:after="0"/>
              <w:rPr>
                <w:sz w:val="20"/>
                <w:szCs w:val="20"/>
                <w:color w:val="auto"/>
              </w:rPr>
            </w:pPr>
            <w:r>
              <w:rPr>
                <w:rFonts w:ascii="Arial" w:cs="Arial" w:eastAsia="Arial" w:hAnsi="Arial"/>
                <w:sz w:val="14"/>
                <w:szCs w:val="14"/>
                <w:color w:val="auto"/>
              </w:rPr>
              <w:t>Accounts payable</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(939)</w:t>
            </w:r>
          </w:p>
        </w:tc>
      </w:tr>
      <w:tr>
        <w:trPr>
          <w:trHeight w:val="264"/>
        </w:trPr>
        <w:tc>
          <w:tcPr>
            <w:tcW w:w="8080" w:type="dxa"/>
            <w:vAlign w:val="bottom"/>
          </w:tcPr>
          <w:p>
            <w:pPr>
              <w:ind w:left="700"/>
              <w:spacing w:after="0"/>
              <w:rPr>
                <w:sz w:val="20"/>
                <w:szCs w:val="20"/>
                <w:color w:val="auto"/>
              </w:rPr>
            </w:pPr>
            <w:r>
              <w:rPr>
                <w:rFonts w:ascii="Arial" w:cs="Arial" w:eastAsia="Arial" w:hAnsi="Arial"/>
                <w:sz w:val="14"/>
                <w:szCs w:val="14"/>
                <w:color w:val="auto"/>
              </w:rPr>
              <w:t>Accrued liabilities</w:t>
            </w:r>
          </w:p>
        </w:tc>
        <w:tc>
          <w:tcPr>
            <w:tcW w:w="3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364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(549)</w:t>
            </w:r>
          </w:p>
        </w:tc>
      </w:tr>
      <w:tr>
        <w:trPr>
          <w:trHeight w:val="276"/>
        </w:trPr>
        <w:tc>
          <w:tcPr>
            <w:tcW w:w="8080" w:type="dxa"/>
            <w:vAlign w:val="bottom"/>
            <w:shd w:val="clear" w:color="auto" w:fill="CCEEFF"/>
          </w:tcPr>
          <w:p>
            <w:pPr>
              <w:ind w:left="700"/>
              <w:spacing w:after="0"/>
              <w:rPr>
                <w:sz w:val="20"/>
                <w:szCs w:val="20"/>
                <w:color w:val="auto"/>
              </w:rPr>
            </w:pPr>
            <w:r>
              <w:rPr>
                <w:rFonts w:ascii="Arial" w:cs="Arial" w:eastAsia="Arial" w:hAnsi="Arial"/>
                <w:sz w:val="14"/>
                <w:szCs w:val="14"/>
                <w:color w:val="auto"/>
              </w:rPr>
              <w:t>Deferred revenues</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6,907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4,732</w:t>
            </w:r>
          </w:p>
        </w:tc>
      </w:tr>
      <w:tr>
        <w:trPr>
          <w:trHeight w:val="264"/>
        </w:trPr>
        <w:tc>
          <w:tcPr>
            <w:tcW w:w="8080" w:type="dxa"/>
            <w:vAlign w:val="bottom"/>
            <w:tcBorders>
              <w:bottom w:val="single" w:sz="8" w:color="CCEEFF"/>
            </w:tcBorders>
          </w:tcPr>
          <w:p>
            <w:pPr>
              <w:ind w:left="700"/>
              <w:spacing w:after="0"/>
              <w:rPr>
                <w:sz w:val="20"/>
                <w:szCs w:val="20"/>
                <w:color w:val="auto"/>
              </w:rPr>
            </w:pPr>
            <w:r>
              <w:rPr>
                <w:rFonts w:ascii="Arial" w:cs="Arial" w:eastAsia="Arial" w:hAnsi="Arial"/>
                <w:sz w:val="14"/>
                <w:szCs w:val="14"/>
                <w:color w:val="auto"/>
              </w:rPr>
              <w:t>Other noncurrent liabilities</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(383)</w:t>
            </w:r>
          </w:p>
        </w:tc>
      </w:tr>
      <w:tr>
        <w:trPr>
          <w:trHeight w:val="256"/>
        </w:trPr>
        <w:tc>
          <w:tcPr>
            <w:tcW w:w="8080" w:type="dxa"/>
            <w:vAlign w:val="bottom"/>
            <w:shd w:val="clear" w:color="auto" w:fill="CCEEFF"/>
          </w:tcPr>
          <w:p>
            <w:pPr>
              <w:ind w:left="920"/>
              <w:spacing w:after="0"/>
              <w:rPr>
                <w:sz w:val="20"/>
                <w:szCs w:val="20"/>
                <w:color w:val="auto"/>
              </w:rPr>
            </w:pPr>
            <w:r>
              <w:rPr>
                <w:rFonts w:ascii="Arial" w:cs="Arial" w:eastAsia="Arial" w:hAnsi="Arial"/>
                <w:sz w:val="14"/>
                <w:szCs w:val="14"/>
                <w:color w:val="auto"/>
              </w:rPr>
              <w:t>Net cash provided by operating activities</w:t>
            </w: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25,085</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15,191</w:t>
            </w:r>
          </w:p>
        </w:tc>
      </w:tr>
      <w:tr>
        <w:trPr>
          <w:trHeight w:val="258"/>
        </w:trPr>
        <w:tc>
          <w:tcPr>
            <w:tcW w:w="808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6"/>
        </w:trPr>
        <w:tc>
          <w:tcPr>
            <w:tcW w:w="80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Purchases of investments</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(117,279)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(113,689)</w:t>
            </w:r>
          </w:p>
        </w:tc>
      </w:tr>
      <w:tr>
        <w:trPr>
          <w:trHeight w:val="264"/>
        </w:trPr>
        <w:tc>
          <w:tcPr>
            <w:tcW w:w="8080" w:type="dxa"/>
            <w:vAlign w:val="bottom"/>
          </w:tcPr>
          <w:p>
            <w:pPr>
              <w:ind w:left="260"/>
              <w:spacing w:after="0"/>
              <w:rPr>
                <w:sz w:val="20"/>
                <w:szCs w:val="20"/>
                <w:color w:val="auto"/>
              </w:rPr>
            </w:pPr>
            <w:r>
              <w:rPr>
                <w:rFonts w:ascii="Arial" w:cs="Arial" w:eastAsia="Arial" w:hAnsi="Arial"/>
                <w:sz w:val="14"/>
                <w:szCs w:val="14"/>
                <w:color w:val="auto"/>
              </w:rPr>
              <w:t>Sales and maturities of investments</w:t>
            </w:r>
          </w:p>
        </w:tc>
        <w:tc>
          <w:tcPr>
            <w:tcW w:w="3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144,218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113,524</w:t>
            </w:r>
          </w:p>
        </w:tc>
      </w:tr>
      <w:tr>
        <w:trPr>
          <w:trHeight w:val="276"/>
        </w:trPr>
        <w:tc>
          <w:tcPr>
            <w:tcW w:w="80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Purchases of property and equipment</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(10,252)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(10,364)</w:t>
            </w:r>
          </w:p>
        </w:tc>
      </w:tr>
      <w:tr>
        <w:trPr>
          <w:trHeight w:val="264"/>
        </w:trPr>
        <w:tc>
          <w:tcPr>
            <w:tcW w:w="8080" w:type="dxa"/>
            <w:vAlign w:val="bottom"/>
          </w:tcPr>
          <w:p>
            <w:pPr>
              <w:ind w:left="260"/>
              <w:spacing w:after="0"/>
              <w:rPr>
                <w:sz w:val="20"/>
                <w:szCs w:val="20"/>
                <w:color w:val="auto"/>
              </w:rPr>
            </w:pPr>
            <w:r>
              <w:rPr>
                <w:rFonts w:ascii="Arial" w:cs="Arial" w:eastAsia="Arial" w:hAnsi="Arial"/>
                <w:sz w:val="14"/>
                <w:szCs w:val="14"/>
                <w:color w:val="auto"/>
              </w:rPr>
              <w:t>Release of restricted cash</w:t>
            </w:r>
          </w:p>
        </w:tc>
        <w:tc>
          <w:tcPr>
            <w:tcW w:w="36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114</w:t>
            </w:r>
          </w:p>
        </w:tc>
      </w:tr>
      <w:tr>
        <w:trPr>
          <w:trHeight w:val="256"/>
        </w:trPr>
        <w:tc>
          <w:tcPr>
            <w:tcW w:w="8080" w:type="dxa"/>
            <w:vAlign w:val="bottom"/>
            <w:tcBorders>
              <w:top w:val="single" w:sz="8" w:color="CCEEFF"/>
            </w:tcBorders>
            <w:shd w:val="clear" w:color="auto" w:fill="CCEEFF"/>
          </w:tcPr>
          <w:p>
            <w:pPr>
              <w:ind w:left="920"/>
              <w:spacing w:after="0"/>
              <w:rPr>
                <w:sz w:val="20"/>
                <w:szCs w:val="20"/>
                <w:color w:val="auto"/>
              </w:rPr>
            </w:pPr>
            <w:r>
              <w:rPr>
                <w:rFonts w:ascii="Arial" w:cs="Arial" w:eastAsia="Arial" w:hAnsi="Arial"/>
                <w:sz w:val="14"/>
                <w:szCs w:val="14"/>
                <w:color w:val="auto"/>
              </w:rPr>
              <w:t>Net cash provided by (used in) investing activities</w:t>
            </w:r>
          </w:p>
        </w:tc>
        <w:tc>
          <w:tcPr>
            <w:tcW w:w="360" w:type="dxa"/>
            <w:vAlign w:val="bottom"/>
            <w:tcBorders>
              <w:top w:val="single" w:sz="8" w:color="auto"/>
              <w:bottom w:val="single" w:sz="8" w:color="auto"/>
            </w:tcBorders>
            <w:shd w:val="clear" w:color="auto" w:fill="CCEEFF"/>
          </w:tcPr>
          <w:p>
            <w:pPr>
              <w:spacing w:after="0"/>
              <w:rPr>
                <w:sz w:val="22"/>
                <w:szCs w:val="22"/>
                <w:color w:val="auto"/>
              </w:rPr>
            </w:pPr>
          </w:p>
        </w:tc>
        <w:tc>
          <w:tcPr>
            <w:tcW w:w="1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16,687</w:t>
            </w:r>
          </w:p>
        </w:tc>
        <w:tc>
          <w:tcPr>
            <w:tcW w:w="1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spacing w:after="0"/>
              <w:rPr>
                <w:sz w:val="22"/>
                <w:szCs w:val="22"/>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(10,415)</w:t>
            </w:r>
          </w:p>
        </w:tc>
      </w:tr>
      <w:tr>
        <w:trPr>
          <w:trHeight w:val="258"/>
        </w:trPr>
        <w:tc>
          <w:tcPr>
            <w:tcW w:w="808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6"/>
        </w:trPr>
        <w:tc>
          <w:tcPr>
            <w:tcW w:w="80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Proceeds from exercise of stock options</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5,046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3,374</w:t>
            </w:r>
          </w:p>
        </w:tc>
      </w:tr>
      <w:tr>
        <w:trPr>
          <w:trHeight w:val="264"/>
        </w:trPr>
        <w:tc>
          <w:tcPr>
            <w:tcW w:w="8080" w:type="dxa"/>
            <w:vAlign w:val="bottom"/>
          </w:tcPr>
          <w:p>
            <w:pPr>
              <w:ind w:left="260"/>
              <w:spacing w:after="0"/>
              <w:rPr>
                <w:sz w:val="20"/>
                <w:szCs w:val="20"/>
                <w:color w:val="auto"/>
              </w:rPr>
            </w:pPr>
            <w:r>
              <w:rPr>
                <w:rFonts w:ascii="Arial" w:cs="Arial" w:eastAsia="Arial" w:hAnsi="Arial"/>
                <w:sz w:val="14"/>
                <w:szCs w:val="14"/>
                <w:color w:val="auto"/>
              </w:rPr>
              <w:t>Excess tax benefits from stock-based compensation</w:t>
            </w:r>
          </w:p>
        </w:tc>
        <w:tc>
          <w:tcPr>
            <w:tcW w:w="3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59</w:t>
            </w:r>
          </w:p>
        </w:tc>
      </w:tr>
      <w:tr>
        <w:trPr>
          <w:trHeight w:val="270"/>
        </w:trPr>
        <w:tc>
          <w:tcPr>
            <w:tcW w:w="80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Principal payments under capital lease obligations</w:t>
            </w: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(805)</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(920)</w:t>
            </w:r>
          </w:p>
        </w:tc>
      </w:tr>
      <w:tr>
        <w:trPr>
          <w:trHeight w:val="250"/>
        </w:trPr>
        <w:tc>
          <w:tcPr>
            <w:tcW w:w="8080" w:type="dxa"/>
            <w:vAlign w:val="bottom"/>
            <w:tcBorders>
              <w:bottom w:val="single" w:sz="8" w:color="CCEEFF"/>
            </w:tcBorders>
          </w:tcPr>
          <w:p>
            <w:pPr>
              <w:ind w:left="920"/>
              <w:spacing w:after="0"/>
              <w:rPr>
                <w:sz w:val="20"/>
                <w:szCs w:val="20"/>
                <w:color w:val="auto"/>
              </w:rPr>
            </w:pPr>
            <w:r>
              <w:rPr>
                <w:rFonts w:ascii="Arial" w:cs="Arial" w:eastAsia="Arial" w:hAnsi="Arial"/>
                <w:sz w:val="14"/>
                <w:szCs w:val="14"/>
                <w:color w:val="auto"/>
              </w:rPr>
              <w:t>Net cash provided by financing activities</w:t>
            </w: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4,372</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2,513</w:t>
            </w:r>
          </w:p>
        </w:tc>
      </w:tr>
      <w:tr>
        <w:trPr>
          <w:trHeight w:val="250"/>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(228)</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r>
      <w:tr>
        <w:trPr>
          <w:trHeight w:val="250"/>
        </w:trPr>
        <w:tc>
          <w:tcPr>
            <w:tcW w:w="8080" w:type="dxa"/>
            <w:vAlign w:val="bottom"/>
          </w:tcPr>
          <w:p>
            <w:pPr>
              <w:ind w:left="20"/>
              <w:spacing w:after="0"/>
              <w:rPr>
                <w:sz w:val="20"/>
                <w:szCs w:val="20"/>
                <w:color w:val="auto"/>
              </w:rPr>
            </w:pPr>
            <w:r>
              <w:rPr>
                <w:rFonts w:ascii="Arial" w:cs="Arial" w:eastAsia="Arial" w:hAnsi="Arial"/>
                <w:sz w:val="14"/>
                <w:szCs w:val="14"/>
                <w:color w:val="auto"/>
              </w:rPr>
              <w:t>Net increase in cash and cash equivalents</w:t>
            </w:r>
          </w:p>
        </w:tc>
        <w:tc>
          <w:tcPr>
            <w:tcW w:w="360" w:type="dxa"/>
            <w:vAlign w:val="bottom"/>
          </w:tcPr>
          <w:p>
            <w:pPr>
              <w:spacing w:after="0"/>
              <w:rPr>
                <w:sz w:val="21"/>
                <w:szCs w:val="21"/>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45,916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7,233</w:t>
            </w:r>
          </w:p>
        </w:tc>
      </w:tr>
      <w:tr>
        <w:trPr>
          <w:trHeight w:val="270"/>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42,369</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34,885</w:t>
            </w:r>
          </w:p>
        </w:tc>
      </w:tr>
      <w:tr>
        <w:trPr>
          <w:trHeight w:val="283"/>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88,285</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42,118</w:t>
            </w:r>
          </w:p>
        </w:tc>
      </w:tr>
      <w:tr>
        <w:trPr>
          <w:trHeight w:val="264"/>
        </w:trPr>
        <w:tc>
          <w:tcPr>
            <w:tcW w:w="80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64"/>
        </w:trPr>
        <w:tc>
          <w:tcPr>
            <w:tcW w:w="8080" w:type="dxa"/>
            <w:vAlign w:val="bottom"/>
          </w:tcPr>
          <w:p>
            <w:pPr>
              <w:ind w:left="20"/>
              <w:spacing w:after="0"/>
              <w:rPr>
                <w:sz w:val="20"/>
                <w:szCs w:val="20"/>
                <w:color w:val="auto"/>
              </w:rPr>
            </w:pPr>
            <w:r>
              <w:rPr>
                <w:rFonts w:ascii="Arial" w:cs="Arial" w:eastAsia="Arial" w:hAnsi="Arial"/>
                <w:sz w:val="14"/>
                <w:szCs w:val="14"/>
                <w:color w:val="auto"/>
              </w:rPr>
              <w:t>Non-cash investing and financing activities:</w:t>
            </w: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6"/>
        </w:trPr>
        <w:tc>
          <w:tcPr>
            <w:tcW w:w="80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Purchases of property and equipment recorded in accrued liabilities</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731</w:t>
            </w:r>
          </w:p>
        </w:tc>
      </w:tr>
      <w:tr>
        <w:trPr>
          <w:trHeight w:val="258"/>
        </w:trPr>
        <w:tc>
          <w:tcPr>
            <w:tcW w:w="8080" w:type="dxa"/>
            <w:vAlign w:val="bottom"/>
          </w:tcPr>
          <w:p>
            <w:pPr>
              <w:ind w:left="260"/>
              <w:spacing w:after="0"/>
              <w:rPr>
                <w:sz w:val="20"/>
                <w:szCs w:val="20"/>
                <w:color w:val="auto"/>
              </w:rPr>
            </w:pPr>
            <w:r>
              <w:rPr>
                <w:rFonts w:ascii="Arial" w:cs="Arial" w:eastAsia="Arial" w:hAnsi="Arial"/>
                <w:sz w:val="14"/>
                <w:szCs w:val="14"/>
                <w:color w:val="auto"/>
              </w:rPr>
              <w:t>Vesting of early exercised common stock options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2"/>
                <w:szCs w:val="22"/>
                <w:color w:val="auto"/>
              </w:rPr>
            </w:pPr>
          </w:p>
        </w:tc>
        <w:tc>
          <w:tcPr>
            <w:tcW w:w="3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204</w:t>
            </w:r>
          </w:p>
        </w:tc>
      </w:tr>
    </w:tbl>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31F20"/>
        </w:rPr>
        <w:t>See accompanying Notes to Condensed Consolidated Financial Statements</w:t>
      </w:r>
    </w:p>
    <w:p>
      <w:pPr>
        <w:sectPr>
          <w:pgSz w:w="11900" w:h="16838" w:orient="portrait"/>
          <w:cols w:equalWidth="0" w:num="1">
            <w:col w:w="11400"/>
          </w:cols>
          <w:pgMar w:left="240" w:top="14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141" w:right="259" w:bottom="1440" w:gutter="0" w:footer="0" w:header="0"/>
          <w:type w:val="continuous"/>
        </w:sectPr>
      </w:pPr>
    </w:p>
    <w:bookmarkStart w:id="6" w:name="page7"/>
    <w:bookmarkEnd w:id="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b w:val="1"/>
          <w:bCs w:val="1"/>
          <w:color w:val="231F20"/>
        </w:rPr>
        <w:t>The Company and Summary of Significant Accounting Policies</w:t>
      </w:r>
    </w:p>
    <w:p>
      <w:pPr>
        <w:spacing w:after="0" w:line="3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Description of Business</w:t>
      </w:r>
    </w:p>
    <w:p>
      <w:pPr>
        <w:spacing w:after="0" w:line="193"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231F20"/>
        </w:rPr>
        <w:t>Qualys, Inc. (the “Company”) was incorporated in the state of Delaware on December 30, 1999. The Company is headquartered in Redwood City, California and has majority-owned subsidiaries throughout the world. The Company is a pioneer and leading provider of cloud security and compliance solutions that enable organizations to identify security risks to their IT infrastructures, help protect their IT systems and applications from ever-evolving cyber attacks and achieve compliance with internal policies and external regulations. The Company’s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Organizations can use the Company’s integrated suite of solutions delivered on its QualysGuard Cloud Platform to cost-effectively obtain a unified view of their security and compliance posture across globally-distributed IT infrastructures.</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Basis of Presentation</w:t>
      </w:r>
    </w:p>
    <w:p>
      <w:pPr>
        <w:spacing w:after="0" w:line="193"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231F20"/>
        </w:rPr>
        <w:t xml:space="preserve">The accompanying unaudited condensed consolidated financial statements and condensed footnotes have been prepared by the Company in accordance with accounting principles generally accepted in the United States ("U.S. GAAP") for interim financial information as well as the instructions to Form 10-Q and the rules and regulations of the U.S. Securities and Exchange Commission ("SEC"). Certain information and note disclosures normally included in the financial statements prepared in accordance with U.S. GAAP have been condensed or omitted pursuant to such rules and regulations. The condensed consolidated balance sheet as of </w:t>
      </w:r>
      <w:r>
        <w:rPr>
          <w:rFonts w:ascii="Arial" w:cs="Arial" w:eastAsia="Arial" w:hAnsi="Arial"/>
          <w:sz w:val="18"/>
          <w:szCs w:val="18"/>
          <w:color w:val="000000"/>
        </w:rPr>
        <w:t>December 31, 2013</w:t>
      </w:r>
      <w:r>
        <w:rPr>
          <w:rFonts w:ascii="Arial" w:cs="Arial" w:eastAsia="Arial" w:hAnsi="Arial"/>
          <w:sz w:val="18"/>
          <w:szCs w:val="18"/>
          <w:color w:val="231F20"/>
        </w:rPr>
        <w:t>, included herein, was derived from the audited financial statements as of that date but does not include all disclosures, including notes required by U.S. GAAP. In the opinion of management, the accompanying unaudited condensed consolidated financial statements reflect all adjustments, which include only normal recurring adjustments, necessary for the fair presentation of the financial position, results of operations and cash flows for the interim periods. The results of operations for the three and nine month periods ended September 30, 2014 is not necessarily indicative of the results of operations expected for the entire year ending December 31, 2014 or for any other future annual or interim period. These condensed consolidated financial statements should be read in conjunction with the consolidated financial statements and related notes included in the Company’s Annual Report on Form 10-K for the year ended December 31, 2013 filed with the SEC on February 28, 2014.</w:t>
      </w:r>
    </w:p>
    <w:p>
      <w:pPr>
        <w:spacing w:after="0" w:line="211" w:lineRule="exact"/>
        <w:rPr>
          <w:sz w:val="20"/>
          <w:szCs w:val="20"/>
          <w:color w:val="auto"/>
        </w:rPr>
      </w:pPr>
    </w:p>
    <w:p>
      <w:pPr>
        <w:ind w:right="320" w:firstLine="486"/>
        <w:spacing w:after="0" w:line="262" w:lineRule="auto"/>
        <w:rPr>
          <w:sz w:val="20"/>
          <w:szCs w:val="20"/>
          <w:color w:val="auto"/>
        </w:rPr>
      </w:pPr>
      <w:r>
        <w:rPr>
          <w:rFonts w:ascii="Arial" w:cs="Arial" w:eastAsia="Arial" w:hAnsi="Arial"/>
          <w:sz w:val="18"/>
          <w:szCs w:val="18"/>
          <w:color w:val="231F20"/>
        </w:rPr>
        <w:t>Certain prior year amounts have been reclassified to conform to the current year presentation. These reclassifications did not change previously reported total assets, liabilities, stockholders' equity, income from operations or net income.</w:t>
      </w:r>
    </w:p>
    <w:p>
      <w:pPr>
        <w:spacing w:after="0" w:line="33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Principles of Consolidation</w:t>
      </w:r>
    </w:p>
    <w:p>
      <w:pPr>
        <w:spacing w:after="0" w:line="193" w:lineRule="exact"/>
        <w:rPr>
          <w:sz w:val="20"/>
          <w:szCs w:val="20"/>
          <w:color w:val="auto"/>
        </w:rPr>
      </w:pPr>
    </w:p>
    <w:p>
      <w:pPr>
        <w:ind w:right="880" w:firstLine="486"/>
        <w:spacing w:after="0" w:line="262" w:lineRule="auto"/>
        <w:rPr>
          <w:sz w:val="20"/>
          <w:szCs w:val="20"/>
          <w:color w:val="auto"/>
        </w:rPr>
      </w:pPr>
      <w:r>
        <w:rPr>
          <w:rFonts w:ascii="Arial" w:cs="Arial" w:eastAsia="Arial" w:hAnsi="Arial"/>
          <w:sz w:val="18"/>
          <w:szCs w:val="18"/>
          <w:color w:val="231F20"/>
        </w:rPr>
        <w:t>The accompanying condensed consolidated financial statements include the accounts of the Company and its majority owned subsidiaries. All significant intercompany transactions and balances have been eliminated upon consolidation.</w:t>
      </w:r>
    </w:p>
    <w:p>
      <w:pPr>
        <w:spacing w:after="0" w:line="33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Use of Estimates</w:t>
      </w:r>
    </w:p>
    <w:p>
      <w:pPr>
        <w:spacing w:after="0" w:line="193"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231F20"/>
        </w:rPr>
        <w:t>The preparation of the condensed consolidated financial statements in conformity with U.S. GAAP requires management to make certain estimates and assumptions that affect the reported amounts of assets and liabilities and disclosure of contingent assets and liabilities at the date of the condensed consolidated financial statements and the reported results of operations during the reporting period. The Company’s management regularly assesses these estimates, which primarily affect revenue recognition, the valuation of accounts receivable, goodwill and intangible assets, stock-based compensation and the valuation allowances associated with deferred tax assets.</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141" w:right="27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52"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231F20"/>
        </w:rPr>
        <w:t>Actual results could differ from those estimates and such differences may be material to the accompanying condensed consolidated financial statements.</w:t>
      </w:r>
    </w:p>
    <w:p>
      <w:pPr>
        <w:spacing w:after="0" w:line="39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Concentration of Credit Risk</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231F20"/>
        </w:rPr>
        <w:t>The Company invests its cash and cash equivalents with major financial institutions. Cash balances with any one institution at times may be in excess of federally insured limits. Cash equivalents are invested in high-quality investment grade financial instruments and are diversified. The Company has not experienced any losses in such accounts and believes it is not exposed to any significant credit risk.</w:t>
      </w:r>
    </w:p>
    <w:p>
      <w:pPr>
        <w:spacing w:after="0" w:line="310"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231F20"/>
        </w:rPr>
        <w:t xml:space="preserve">Credit risk with respect to accounts receivable is dispersed due to the large number of customers. In addition, the Company’s credit risk is mitigated by the relatively short collection period. Collateral is not required for accounts receivable. The Company maintains an allowance for potential credit losses based upon the expected collectability of accounts receivable. The Company writes off its receivables when collectability is deemed to be doubtful. As of </w:t>
      </w:r>
      <w:r>
        <w:rPr>
          <w:rFonts w:ascii="Arial" w:cs="Arial" w:eastAsia="Arial" w:hAnsi="Arial"/>
          <w:sz w:val="18"/>
          <w:szCs w:val="18"/>
          <w:color w:val="000000"/>
        </w:rPr>
        <w:t>September 30, 2014</w:t>
      </w:r>
      <w:r>
        <w:rPr>
          <w:rFonts w:ascii="Arial" w:cs="Arial" w:eastAsia="Arial" w:hAnsi="Arial"/>
          <w:sz w:val="18"/>
          <w:szCs w:val="18"/>
          <w:color w:val="231F20"/>
        </w:rPr>
        <w:t xml:space="preserve"> and </w:t>
      </w:r>
      <w:r>
        <w:rPr>
          <w:rFonts w:ascii="Arial" w:cs="Arial" w:eastAsia="Arial" w:hAnsi="Arial"/>
          <w:sz w:val="18"/>
          <w:szCs w:val="18"/>
          <w:color w:val="000000"/>
        </w:rPr>
        <w:t>December 31, 2013</w:t>
      </w:r>
      <w:r>
        <w:rPr>
          <w:rFonts w:ascii="Arial" w:cs="Arial" w:eastAsia="Arial" w:hAnsi="Arial"/>
          <w:sz w:val="18"/>
          <w:szCs w:val="18"/>
          <w:color w:val="231F20"/>
        </w:rPr>
        <w:t xml:space="preserve">, </w:t>
      </w:r>
      <w:r>
        <w:rPr>
          <w:rFonts w:ascii="Arial" w:cs="Arial" w:eastAsia="Arial" w:hAnsi="Arial"/>
          <w:sz w:val="18"/>
          <w:szCs w:val="18"/>
          <w:color w:val="000000"/>
        </w:rPr>
        <w:t>no</w:t>
      </w:r>
      <w:r>
        <w:rPr>
          <w:rFonts w:ascii="Arial" w:cs="Arial" w:eastAsia="Arial" w:hAnsi="Arial"/>
          <w:sz w:val="18"/>
          <w:szCs w:val="18"/>
          <w:color w:val="231F20"/>
        </w:rPr>
        <w:t xml:space="preserve"> customer or channel partner accounted for more than 10% of the Company's accounts receivable balance.</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Cash Equivalents, Short-Term and Long-Term Investments</w:t>
      </w:r>
    </w:p>
    <w:p>
      <w:pPr>
        <w:spacing w:after="0" w:line="247"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231F20"/>
        </w:rPr>
        <w:t xml:space="preserve">Cash and cash equivalents include cash held in banks and highly liquid money market funds, commercial paper and corporate bonds, all with original maturities of three months or less when acquired. </w:t>
      </w:r>
      <w:r>
        <w:rPr>
          <w:rFonts w:ascii="Arial" w:cs="Arial" w:eastAsia="Arial" w:hAnsi="Arial"/>
          <w:sz w:val="18"/>
          <w:szCs w:val="18"/>
          <w:color w:val="000000"/>
        </w:rPr>
        <w:t>The Company’s investments consist of</w:t>
      </w:r>
      <w:r>
        <w:rPr>
          <w:rFonts w:ascii="Arial" w:cs="Arial" w:eastAsia="Arial" w:hAnsi="Arial"/>
          <w:sz w:val="18"/>
          <w:szCs w:val="18"/>
          <w:color w:val="231F20"/>
        </w:rPr>
        <w:t xml:space="preserve"> fixed-income U.S. government agency securities, municipal bonds, corporate bonds, asset-backed securities, and commercial paper. Management determines the appropriate classification of the Company's investments at the time of purchase and reevaluates such designation at each balance sheet date. The Company classifies its investments as either short-term or long-term based on each instrument's underlying contractual maturity date.</w:t>
      </w:r>
    </w:p>
    <w:p>
      <w:pPr>
        <w:spacing w:after="0" w:line="314" w:lineRule="exact"/>
        <w:rPr>
          <w:sz w:val="20"/>
          <w:szCs w:val="20"/>
          <w:color w:val="auto"/>
        </w:rPr>
      </w:pPr>
    </w:p>
    <w:p>
      <w:pPr>
        <w:ind w:right="80" w:firstLine="486"/>
        <w:spacing w:after="0" w:line="251" w:lineRule="auto"/>
        <w:rPr>
          <w:sz w:val="20"/>
          <w:szCs w:val="20"/>
          <w:color w:val="auto"/>
        </w:rPr>
      </w:pPr>
      <w:r>
        <w:rPr>
          <w:rFonts w:ascii="Arial" w:cs="Arial" w:eastAsia="Arial" w:hAnsi="Arial"/>
          <w:sz w:val="18"/>
          <w:szCs w:val="18"/>
          <w:color w:val="231F20"/>
        </w:rPr>
        <w:t xml:space="preserve">Cash equivalents are stated at cost, which approximates fair market value. Short-term and long-term investments are classified as available-for-sale and are carried at fair value. Unrealized gains and losses in fair value are reported in other comprehensive income (loss). When the available-for-sale securities are sold, cost is based on the specific </w:t>
      </w:r>
      <w:r>
        <w:rPr>
          <w:rFonts w:ascii="Arial" w:cs="Arial" w:eastAsia="Arial" w:hAnsi="Arial"/>
          <w:sz w:val="18"/>
          <w:szCs w:val="18"/>
          <w:color w:val="000000"/>
        </w:rPr>
        <w:t>identification method, and the realized gains and losses are</w:t>
      </w:r>
      <w:r>
        <w:rPr>
          <w:rFonts w:ascii="Arial" w:cs="Arial" w:eastAsia="Arial" w:hAnsi="Arial"/>
          <w:sz w:val="18"/>
          <w:szCs w:val="18"/>
          <w:color w:val="231F20"/>
        </w:rPr>
        <w:t xml:space="preserve"> </w:t>
      </w:r>
      <w:r>
        <w:rPr>
          <w:rFonts w:ascii="Arial" w:cs="Arial" w:eastAsia="Arial" w:hAnsi="Arial"/>
          <w:sz w:val="18"/>
          <w:szCs w:val="18"/>
          <w:color w:val="000000"/>
        </w:rPr>
        <w:t>included in other income (expense) in the condensed consolidated statements of operations. Short-term and long-term investments are reviewed quarterly for impairment that is deemed to be other-than-temporary. An investment is considered other-than-temporarily impaired when its fair value is below its amortized cost and (1) there is an intent to sell the security, (2) it is “more likely than not” that the security will be sold before recovery of its amortized cost basis or (3) the present value of expected cash flows from the investment is not expected to recover the entire amortized cost basis. Declines in value that are considered to be other-than-temporary and adjustments to amortized cost for the amortization of premiums and the accretion of discounts are recorded in other income (expense). Interest and dividends are recorded in interest income as earned.</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Recent Accounting Pronouncements</w:t>
      </w:r>
    </w:p>
    <w:p>
      <w:pPr>
        <w:spacing w:after="0" w:line="247" w:lineRule="exact"/>
        <w:rPr>
          <w:sz w:val="20"/>
          <w:szCs w:val="20"/>
          <w:color w:val="auto"/>
        </w:rPr>
      </w:pPr>
    </w:p>
    <w:p>
      <w:pPr>
        <w:ind w:right="180" w:firstLine="486"/>
        <w:spacing w:after="0" w:line="254" w:lineRule="auto"/>
        <w:rPr>
          <w:sz w:val="20"/>
          <w:szCs w:val="20"/>
          <w:color w:val="auto"/>
        </w:rPr>
      </w:pPr>
      <w:r>
        <w:rPr>
          <w:rFonts w:ascii="Arial" w:cs="Arial" w:eastAsia="Arial" w:hAnsi="Arial"/>
          <w:sz w:val="18"/>
          <w:szCs w:val="18"/>
          <w:color w:val="231F20"/>
        </w:rPr>
        <w:t>Under the Jumpstart Our Business Startups Act (the "JOBS Act"), the Company meets the definition of an “emerging growth company.” The Company has irrevocably elected to opt out of the extended transition period for complying with new or revised accounting standards pursuant to Section 107(b) of the JOBS Act. As a result, the Company will comply with new or revised accounting standards on the relevant dates on which adoption of such standards is required from non-emerging growth companies.</w:t>
      </w:r>
    </w:p>
    <w:p>
      <w:pPr>
        <w:spacing w:after="0" w:line="204" w:lineRule="exact"/>
        <w:rPr>
          <w:sz w:val="20"/>
          <w:szCs w:val="20"/>
          <w:color w:val="auto"/>
        </w:rPr>
      </w:pPr>
    </w:p>
    <w:p>
      <w:pPr>
        <w:ind w:right="80" w:firstLine="486"/>
        <w:spacing w:after="0" w:line="256" w:lineRule="auto"/>
        <w:rPr>
          <w:sz w:val="20"/>
          <w:szCs w:val="20"/>
          <w:color w:val="auto"/>
        </w:rPr>
      </w:pPr>
      <w:r>
        <w:rPr>
          <w:rFonts w:ascii="Arial" w:cs="Arial" w:eastAsia="Arial" w:hAnsi="Arial"/>
          <w:sz w:val="18"/>
          <w:szCs w:val="18"/>
          <w:color w:val="231F20"/>
        </w:rPr>
        <w:t>In May 2014, the Financial Accounting Standards Board (“FASB”) issued an Accounting Standard Update (“ASU”) amending revenue recognition guidance and requiring more detailed disclosures to enable users of financial statements to understand the nature, amount, timing, and uncertainty of revenue and cash flows arising</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41" w:right="25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52" w:lineRule="exact"/>
        <w:rPr>
          <w:sz w:val="20"/>
          <w:szCs w:val="20"/>
          <w:color w:val="auto"/>
        </w:rPr>
      </w:pPr>
    </w:p>
    <w:p>
      <w:pPr>
        <w:spacing w:after="0" w:line="262" w:lineRule="auto"/>
        <w:rPr>
          <w:sz w:val="20"/>
          <w:szCs w:val="20"/>
          <w:color w:val="auto"/>
        </w:rPr>
      </w:pPr>
      <w:r>
        <w:rPr>
          <w:rFonts w:ascii="Arial" w:cs="Arial" w:eastAsia="Arial" w:hAnsi="Arial"/>
          <w:sz w:val="18"/>
          <w:szCs w:val="18"/>
          <w:color w:val="231F20"/>
        </w:rPr>
        <w:t>from contracts with customers. The guidance is effective for annual and interim reporting periods beginning after December 15, 2016, with early adoption prohibited. The Company is currently evaluating the impact this ASU will have on its consolidated financial statements.</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Fair Value of Financial Instruments</w:t>
      </w:r>
    </w:p>
    <w:p>
      <w:pPr>
        <w:spacing w:after="0" w:line="355" w:lineRule="exact"/>
        <w:rPr>
          <w:sz w:val="20"/>
          <w:szCs w:val="20"/>
          <w:color w:val="auto"/>
        </w:rPr>
      </w:pPr>
    </w:p>
    <w:p>
      <w:pPr>
        <w:ind w:right="120" w:firstLine="405"/>
        <w:spacing w:after="0" w:line="254" w:lineRule="auto"/>
        <w:rPr>
          <w:sz w:val="20"/>
          <w:szCs w:val="20"/>
          <w:color w:val="auto"/>
        </w:rPr>
      </w:pPr>
      <w:r>
        <w:rPr>
          <w:rFonts w:ascii="Arial" w:cs="Arial" w:eastAsia="Arial" w:hAnsi="Arial"/>
          <w:sz w:val="18"/>
          <w:szCs w:val="18"/>
          <w:color w:val="231F20"/>
        </w:rPr>
        <w:t>Fair value is defined as the price that would be received to sell an asset or paid to transfer a liability in an orderly transaction between market participants at the measurement date. For certain of the Company’s financial instruments, including certain cash equivalents, accounts receivable, accounts payable, and other current liabilities, the carrying amounts approximate their fair value due to the relatively short maturity of these balances.</w:t>
      </w:r>
    </w:p>
    <w:p>
      <w:pPr>
        <w:spacing w:after="0" w:line="204" w:lineRule="exact"/>
        <w:rPr>
          <w:sz w:val="20"/>
          <w:szCs w:val="20"/>
          <w:color w:val="auto"/>
        </w:rPr>
      </w:pPr>
    </w:p>
    <w:p>
      <w:pPr>
        <w:ind w:right="80" w:firstLine="405"/>
        <w:spacing w:after="0" w:line="253" w:lineRule="auto"/>
        <w:rPr>
          <w:sz w:val="20"/>
          <w:szCs w:val="20"/>
          <w:color w:val="auto"/>
        </w:rPr>
      </w:pPr>
      <w:r>
        <w:rPr>
          <w:rFonts w:ascii="Arial" w:cs="Arial" w:eastAsia="Arial" w:hAnsi="Arial"/>
          <w:sz w:val="18"/>
          <w:szCs w:val="18"/>
          <w:color w:val="231F20"/>
        </w:rPr>
        <w:t>The Company measures and reports certain cash equivalents, investments and derivative forward currency contracts at fair value in accordance with the provisions of the authoritative accounting guidance that addresses fair value measurements. This guidance establishes a hierarchy for inputs used in measuring fair value that maximizes the use of observable inputs and minimizes the use of unobservable inputs by requiring that the most observable inputs be used when available. The hierarchy is broken down into three levels based on the reliability of inputs as follows: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231F20"/>
        </w:rPr>
        <w:t>Level 1</w:t>
      </w:r>
      <w:r>
        <w:rPr>
          <w:rFonts w:ascii="Arial" w:cs="Arial" w:eastAsia="Arial" w:hAnsi="Arial"/>
          <w:sz w:val="18"/>
          <w:szCs w:val="18"/>
          <w:color w:val="231F20"/>
        </w:rPr>
        <w:t>—Valuations based on quoted prices in active markets for identical assets or liabilities.</w:t>
      </w:r>
    </w:p>
    <w:p>
      <w:pPr>
        <w:spacing w:after="0" w:line="225" w:lineRule="exact"/>
        <w:rPr>
          <w:sz w:val="20"/>
          <w:szCs w:val="20"/>
          <w:color w:val="auto"/>
        </w:rPr>
      </w:pPr>
    </w:p>
    <w:p>
      <w:pPr>
        <w:ind w:right="180" w:firstLine="486"/>
        <w:spacing w:after="0" w:line="266" w:lineRule="auto"/>
        <w:rPr>
          <w:sz w:val="20"/>
          <w:szCs w:val="20"/>
          <w:color w:val="auto"/>
        </w:rPr>
      </w:pPr>
      <w:r>
        <w:rPr>
          <w:rFonts w:ascii="Arial" w:cs="Arial" w:eastAsia="Arial" w:hAnsi="Arial"/>
          <w:sz w:val="18"/>
          <w:szCs w:val="18"/>
          <w:i w:val="1"/>
          <w:iCs w:val="1"/>
          <w:color w:val="231F20"/>
        </w:rPr>
        <w:t>Level 2</w:t>
      </w:r>
      <w:r>
        <w:rPr>
          <w:rFonts w:ascii="Arial" w:cs="Arial" w:eastAsia="Arial" w:hAnsi="Arial"/>
          <w:sz w:val="18"/>
          <w:szCs w:val="18"/>
          <w:color w:val="231F20"/>
        </w:rPr>
        <w:t>—Valuations based on other than quoted prices in active markets for identical assets and liabilities, quoted prices for identical or</w:t>
      </w:r>
      <w:r>
        <w:rPr>
          <w:rFonts w:ascii="Arial" w:cs="Arial" w:eastAsia="Arial" w:hAnsi="Arial"/>
          <w:sz w:val="18"/>
          <w:szCs w:val="18"/>
          <w:i w:val="1"/>
          <w:iCs w:val="1"/>
          <w:color w:val="231F20"/>
        </w:rPr>
        <w:t xml:space="preserve"> </w:t>
      </w:r>
      <w:r>
        <w:rPr>
          <w:rFonts w:ascii="Arial" w:cs="Arial" w:eastAsia="Arial" w:hAnsi="Arial"/>
          <w:sz w:val="18"/>
          <w:szCs w:val="18"/>
          <w:color w:val="231F20"/>
        </w:rPr>
        <w:t>similar assets or liabilities in inactive markets, or other inputs that are observable or can be corroborated by observable market data for substantially the full term of the assets or liabilities.</w:t>
      </w:r>
    </w:p>
    <w:p>
      <w:pPr>
        <w:spacing w:after="0" w:line="176" w:lineRule="exact"/>
        <w:rPr>
          <w:sz w:val="20"/>
          <w:szCs w:val="20"/>
          <w:color w:val="auto"/>
        </w:rPr>
      </w:pPr>
    </w:p>
    <w:p>
      <w:pPr>
        <w:ind w:right="200" w:firstLine="486"/>
        <w:spacing w:after="0" w:line="282" w:lineRule="auto"/>
        <w:rPr>
          <w:sz w:val="20"/>
          <w:szCs w:val="20"/>
          <w:color w:val="auto"/>
        </w:rPr>
      </w:pPr>
      <w:r>
        <w:rPr>
          <w:rFonts w:ascii="Arial" w:cs="Arial" w:eastAsia="Arial" w:hAnsi="Arial"/>
          <w:sz w:val="18"/>
          <w:szCs w:val="18"/>
          <w:i w:val="1"/>
          <w:iCs w:val="1"/>
          <w:color w:val="231F20"/>
        </w:rPr>
        <w:t>Level 3—</w:t>
      </w:r>
      <w:r>
        <w:rPr>
          <w:rFonts w:ascii="Arial" w:cs="Arial" w:eastAsia="Arial" w:hAnsi="Arial"/>
          <w:sz w:val="18"/>
          <w:szCs w:val="18"/>
          <w:color w:val="231F20"/>
        </w:rPr>
        <w:t>Valuations based on inputs that are generally unobservable and typically reflect management’s estimates of assumptions that</w:t>
      </w:r>
      <w:r>
        <w:rPr>
          <w:rFonts w:ascii="Arial" w:cs="Arial" w:eastAsia="Arial" w:hAnsi="Arial"/>
          <w:sz w:val="18"/>
          <w:szCs w:val="18"/>
          <w:i w:val="1"/>
          <w:iCs w:val="1"/>
          <w:color w:val="231F20"/>
        </w:rPr>
        <w:t xml:space="preserve"> </w:t>
      </w:r>
      <w:r>
        <w:rPr>
          <w:rFonts w:ascii="Arial" w:cs="Arial" w:eastAsia="Arial" w:hAnsi="Arial"/>
          <w:sz w:val="18"/>
          <w:szCs w:val="18"/>
          <w:color w:val="231F20"/>
        </w:rPr>
        <w:t>market participants would use in pricing the asset or liability.</w:t>
      </w:r>
    </w:p>
    <w:p>
      <w:pPr>
        <w:spacing w:after="0" w:line="180"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231F20"/>
        </w:rPr>
        <w:t xml:space="preserve">The Company's financial instruments consist of assets and liabilities measured using Level 1 and 2 inputs. Level 1 assets include a highly liquid money market fund, which is valued using unadjusted quoted prices that are available in an active market for an identical asset. Level 2 assets and liabilities include </w:t>
      </w:r>
      <w:r>
        <w:rPr>
          <w:rFonts w:ascii="Arial" w:cs="Arial" w:eastAsia="Arial" w:hAnsi="Arial"/>
          <w:sz w:val="18"/>
          <w:szCs w:val="18"/>
          <w:color w:val="000000"/>
        </w:rPr>
        <w:t>fixed-income U.S. government agency securities, commercial paper, corporate bonds, municipal bonds and asset</w:t>
      </w:r>
      <w:r>
        <w:rPr>
          <w:rFonts w:ascii="Arial" w:cs="Arial" w:eastAsia="Arial" w:hAnsi="Arial"/>
          <w:sz w:val="18"/>
          <w:szCs w:val="18"/>
          <w:color w:val="231F20"/>
        </w:rPr>
        <w:t xml:space="preserve"> </w:t>
      </w:r>
      <w:r>
        <w:rPr>
          <w:rFonts w:ascii="Arial" w:cs="Arial" w:eastAsia="Arial" w:hAnsi="Arial"/>
          <w:sz w:val="18"/>
          <w:szCs w:val="18"/>
          <w:color w:val="000000"/>
        </w:rPr>
        <w:t xml:space="preserve">backed securities and derivative financial instruments consisting of forward currency contracts. The securities, bonds and commercial paper are valued using prices from independent pricing services based on quoted prices in active markets for similar instruments or on industry models using data inputs such as interest rates and prices that can be directly observed or corroborated in active markets. </w:t>
      </w:r>
      <w:r>
        <w:rPr>
          <w:rFonts w:ascii="Arial" w:cs="Arial" w:eastAsia="Arial" w:hAnsi="Arial"/>
          <w:sz w:val="18"/>
          <w:szCs w:val="18"/>
          <w:color w:val="231F20"/>
        </w:rPr>
        <w:t>The foreign</w:t>
      </w:r>
      <w:r>
        <w:rPr>
          <w:rFonts w:ascii="Arial" w:cs="Arial" w:eastAsia="Arial" w:hAnsi="Arial"/>
          <w:sz w:val="18"/>
          <w:szCs w:val="18"/>
          <w:color w:val="000000"/>
        </w:rPr>
        <w:t xml:space="preserve"> </w:t>
      </w:r>
      <w:r>
        <w:rPr>
          <w:rFonts w:ascii="Arial" w:cs="Arial" w:eastAsia="Arial" w:hAnsi="Arial"/>
          <w:sz w:val="18"/>
          <w:szCs w:val="18"/>
          <w:color w:val="231F20"/>
        </w:rPr>
        <w:t>currency forward contracts are valued usi</w:t>
      </w:r>
      <w:r>
        <w:rPr>
          <w:rFonts w:ascii="Arial" w:cs="Arial" w:eastAsia="Arial" w:hAnsi="Arial"/>
          <w:sz w:val="18"/>
          <w:szCs w:val="18"/>
          <w:color w:val="000000"/>
        </w:rPr>
        <w:t>ng observable inputs, such as quotations on forward foreign exchange points and foreign interest</w:t>
      </w:r>
      <w:r>
        <w:rPr>
          <w:rFonts w:ascii="Arial" w:cs="Arial" w:eastAsia="Arial" w:hAnsi="Arial"/>
          <w:sz w:val="18"/>
          <w:szCs w:val="18"/>
          <w:color w:val="231F20"/>
        </w:rPr>
        <w:t xml:space="preserve"> </w:t>
      </w:r>
      <w:r>
        <w:rPr>
          <w:rFonts w:ascii="Arial" w:cs="Arial" w:eastAsia="Arial" w:hAnsi="Arial"/>
          <w:sz w:val="18"/>
          <w:szCs w:val="18"/>
          <w:color w:val="000000"/>
        </w:rPr>
        <w:t>rates.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41" w:right="2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68"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Company's cash and cash equivalents, short-term investments, long-term investments consist of the following:</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6"/>
                <w:szCs w:val="16"/>
                <w:b w:val="1"/>
                <w:bCs w:val="1"/>
                <w:color w:val="auto"/>
              </w:rPr>
              <w:t>September 30, 2014</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64"/>
        </w:trPr>
        <w:tc>
          <w:tcPr>
            <w:tcW w:w="47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Amortized Cost</w:t>
            </w:r>
          </w:p>
        </w:tc>
        <w:tc>
          <w:tcPr>
            <w:tcW w:w="1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Unrealized Gains</w:t>
            </w:r>
          </w:p>
        </w:tc>
        <w:tc>
          <w:tcPr>
            <w:tcW w:w="170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Unrealized Losses</w:t>
            </w: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4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40" w:type="dxa"/>
            <w:vAlign w:val="bottom"/>
            <w:gridSpan w:val="3"/>
          </w:tcPr>
          <w:p>
            <w:pPr>
              <w:jc w:val="right"/>
              <w:ind w:right="379"/>
              <w:spacing w:after="0"/>
              <w:rPr>
                <w:sz w:val="20"/>
                <w:szCs w:val="20"/>
                <w:color w:val="auto"/>
              </w:rPr>
            </w:pPr>
            <w:r>
              <w:rPr>
                <w:rFonts w:ascii="Arial" w:cs="Arial" w:eastAsia="Arial" w:hAnsi="Arial"/>
                <w:sz w:val="16"/>
                <w:szCs w:val="16"/>
                <w:b w:val="1"/>
                <w:bCs w:val="1"/>
                <w:color w:val="auto"/>
              </w:rPr>
              <w:t>(in thousands)</w:t>
            </w: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Cash</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35,750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79"/>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35,750</w:t>
            </w: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28,536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28,536</w:t>
            </w: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U.S. government agencies</w:t>
            </w:r>
          </w:p>
        </w:tc>
        <w:tc>
          <w:tcPr>
            <w:tcW w:w="16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15,724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15,725</w:t>
            </w: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Commercial paper</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7,199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7,199</w:t>
            </w:r>
          </w:p>
        </w:tc>
      </w:tr>
      <w:tr>
        <w:trPr>
          <w:trHeight w:val="264"/>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Corporate bonds</w:t>
            </w: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1,075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1,075</w:t>
            </w:r>
          </w:p>
        </w:tc>
      </w:tr>
      <w:tr>
        <w:trPr>
          <w:trHeight w:val="257"/>
        </w:trPr>
        <w:tc>
          <w:tcPr>
            <w:tcW w:w="47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88,284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88,285</w:t>
            </w:r>
          </w:p>
        </w:tc>
      </w:tr>
      <w:tr>
        <w:trPr>
          <w:trHeight w:val="254"/>
        </w:trPr>
        <w:tc>
          <w:tcPr>
            <w:tcW w:w="4700" w:type="dxa"/>
            <w:vAlign w:val="bottom"/>
          </w:tcPr>
          <w:p>
            <w:pPr>
              <w:ind w:left="40"/>
              <w:spacing w:after="0"/>
              <w:rPr>
                <w:sz w:val="20"/>
                <w:szCs w:val="20"/>
                <w:color w:val="auto"/>
              </w:rPr>
            </w:pPr>
            <w:r>
              <w:rPr>
                <w:rFonts w:ascii="Arial" w:cs="Arial" w:eastAsia="Arial" w:hAnsi="Arial"/>
                <w:sz w:val="16"/>
                <w:szCs w:val="16"/>
                <w:color w:val="auto"/>
              </w:rPr>
              <w:t>Short-term investments:</w:t>
            </w:r>
          </w:p>
        </w:tc>
        <w:tc>
          <w:tcPr>
            <w:tcW w:w="16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Commercial paper</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4,991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4,995</w:t>
            </w: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Corporate bonds</w:t>
            </w:r>
          </w:p>
        </w:tc>
        <w:tc>
          <w:tcPr>
            <w:tcW w:w="16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12,126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12,142</w:t>
            </w:r>
          </w:p>
        </w:tc>
      </w:tr>
      <w:tr>
        <w:trPr>
          <w:trHeight w:val="273"/>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U.S. government agencies</w:t>
            </w:r>
          </w:p>
        </w:tc>
        <w:tc>
          <w:tcPr>
            <w:tcW w:w="1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7,996</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7,996</w:t>
            </w:r>
          </w:p>
        </w:tc>
      </w:tr>
      <w:tr>
        <w:trPr>
          <w:trHeight w:val="250"/>
        </w:trPr>
        <w:tc>
          <w:tcPr>
            <w:tcW w:w="4700" w:type="dxa"/>
            <w:vAlign w:val="bottom"/>
          </w:tcPr>
          <w:p>
            <w:pPr>
              <w:ind w:left="600"/>
              <w:spacing w:after="0"/>
              <w:rPr>
                <w:sz w:val="20"/>
                <w:szCs w:val="20"/>
                <w:color w:val="auto"/>
              </w:rPr>
            </w:pPr>
            <w:r>
              <w:rPr>
                <w:rFonts w:ascii="Arial" w:cs="Arial" w:eastAsia="Arial" w:hAnsi="Arial"/>
                <w:sz w:val="16"/>
                <w:szCs w:val="16"/>
                <w:color w:val="auto"/>
              </w:rPr>
              <w:t>Total</w:t>
            </w:r>
          </w:p>
        </w:tc>
        <w:tc>
          <w:tcPr>
            <w:tcW w:w="160" w:type="dxa"/>
            <w:vAlign w:val="bottom"/>
          </w:tcPr>
          <w:p>
            <w:pPr>
              <w:spacing w:after="0"/>
              <w:rPr>
                <w:sz w:val="21"/>
                <w:szCs w:val="21"/>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25,113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25,133</w:t>
            </w:r>
          </w:p>
        </w:tc>
      </w:tr>
      <w:tr>
        <w:trPr>
          <w:trHeight w:val="27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investments:</w:t>
            </w:r>
          </w:p>
        </w:tc>
        <w:tc>
          <w:tcPr>
            <w:tcW w:w="160" w:type="dxa"/>
            <w:vAlign w:val="bottom"/>
            <w:tcBorders>
              <w:top w:val="single" w:sz="8" w:color="auto"/>
            </w:tcBorders>
            <w:shd w:val="clear" w:color="auto" w:fill="CCEEFF"/>
          </w:tcPr>
          <w:p>
            <w:pPr>
              <w:spacing w:after="0"/>
              <w:rPr>
                <w:sz w:val="23"/>
                <w:szCs w:val="23"/>
                <w:color w:val="auto"/>
              </w:rPr>
            </w:pPr>
          </w:p>
        </w:tc>
        <w:tc>
          <w:tcPr>
            <w:tcW w:w="14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4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Asset-backed securities</w:t>
            </w:r>
          </w:p>
        </w:tc>
        <w:tc>
          <w:tcPr>
            <w:tcW w:w="16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18,260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18,270</w:t>
            </w: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1,801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1,799</w:t>
            </w:r>
          </w:p>
        </w:tc>
      </w:tr>
      <w:tr>
        <w:trPr>
          <w:trHeight w:val="264"/>
        </w:trPr>
        <w:tc>
          <w:tcPr>
            <w:tcW w:w="4700" w:type="dxa"/>
            <w:vAlign w:val="bottom"/>
          </w:tcPr>
          <w:p>
            <w:pPr>
              <w:ind w:left="280"/>
              <w:spacing w:after="0"/>
              <w:rPr>
                <w:sz w:val="20"/>
                <w:szCs w:val="20"/>
                <w:color w:val="auto"/>
              </w:rPr>
            </w:pPr>
            <w:r>
              <w:rPr>
                <w:rFonts w:ascii="Arial" w:cs="Arial" w:eastAsia="Arial" w:hAnsi="Arial"/>
                <w:sz w:val="16"/>
                <w:szCs w:val="16"/>
                <w:color w:val="auto"/>
              </w:rPr>
              <w:t>U.S. government agencies</w:t>
            </w:r>
          </w:p>
        </w:tc>
        <w:tc>
          <w:tcPr>
            <w:tcW w:w="16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17,857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17,827</w:t>
            </w:r>
          </w:p>
        </w:tc>
      </w:tr>
      <w:tr>
        <w:trPr>
          <w:trHeight w:val="250"/>
        </w:trPr>
        <w:tc>
          <w:tcPr>
            <w:tcW w:w="4700" w:type="dxa"/>
            <w:vAlign w:val="bottom"/>
            <w:tcBorders>
              <w:top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37,918</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Borders>
              <w:top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37,896</w:t>
            </w:r>
          </w:p>
        </w:tc>
      </w:tr>
      <w:tr>
        <w:trPr>
          <w:trHeight w:val="240"/>
        </w:trPr>
        <w:tc>
          <w:tcPr>
            <w:tcW w:w="4700" w:type="dxa"/>
            <w:vAlign w:val="bottom"/>
          </w:tcPr>
          <w:p>
            <w:pPr>
              <w:ind w:left="4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151,315</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98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151,314</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41" w:right="23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6"/>
                <w:szCs w:val="16"/>
                <w:b w:val="1"/>
                <w:bCs w:val="1"/>
                <w:color w:val="auto"/>
              </w:rPr>
              <w:t>December 31, 2013</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64"/>
        </w:trPr>
        <w:tc>
          <w:tcPr>
            <w:tcW w:w="47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Amortized Cost</w:t>
            </w:r>
          </w:p>
        </w:tc>
        <w:tc>
          <w:tcPr>
            <w:tcW w:w="1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Unrealized Gains</w:t>
            </w:r>
          </w:p>
        </w:tc>
        <w:tc>
          <w:tcPr>
            <w:tcW w:w="170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Unrealized Losses</w:t>
            </w: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4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60" w:type="dxa"/>
            <w:vAlign w:val="bottom"/>
            <w:gridSpan w:val="3"/>
          </w:tcPr>
          <w:p>
            <w:pPr>
              <w:jc w:val="right"/>
              <w:ind w:right="399"/>
              <w:spacing w:after="0"/>
              <w:rPr>
                <w:sz w:val="20"/>
                <w:szCs w:val="20"/>
                <w:color w:val="auto"/>
              </w:rPr>
            </w:pPr>
            <w:r>
              <w:rPr>
                <w:rFonts w:ascii="Arial" w:cs="Arial" w:eastAsia="Arial" w:hAnsi="Arial"/>
                <w:sz w:val="16"/>
                <w:szCs w:val="16"/>
                <w:b w:val="1"/>
                <w:bCs w:val="1"/>
                <w:color w:val="auto"/>
              </w:rPr>
              <w:t>(in thousands)</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Cash</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27,488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9"/>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27,488</w:t>
            </w: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183</w:t>
            </w:r>
          </w:p>
        </w:tc>
      </w:tr>
      <w:tr>
        <w:trPr>
          <w:trHeight w:val="264"/>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Commercial paper</w:t>
            </w: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14,697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14,698</w:t>
            </w:r>
          </w:p>
        </w:tc>
      </w:tr>
      <w:tr>
        <w:trPr>
          <w:trHeight w:val="257"/>
        </w:trPr>
        <w:tc>
          <w:tcPr>
            <w:tcW w:w="47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42,368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42,369</w:t>
            </w:r>
          </w:p>
        </w:tc>
      </w:tr>
      <w:tr>
        <w:trPr>
          <w:trHeight w:val="254"/>
        </w:trPr>
        <w:tc>
          <w:tcPr>
            <w:tcW w:w="4700" w:type="dxa"/>
            <w:vAlign w:val="bottom"/>
          </w:tcPr>
          <w:p>
            <w:pPr>
              <w:ind w:left="40"/>
              <w:spacing w:after="0"/>
              <w:rPr>
                <w:sz w:val="20"/>
                <w:szCs w:val="20"/>
                <w:color w:val="auto"/>
              </w:rPr>
            </w:pPr>
            <w:r>
              <w:rPr>
                <w:rFonts w:ascii="Arial" w:cs="Arial" w:eastAsia="Arial" w:hAnsi="Arial"/>
                <w:sz w:val="16"/>
                <w:szCs w:val="16"/>
                <w:color w:val="auto"/>
              </w:rPr>
              <w:t>Short-term investments:</w:t>
            </w:r>
          </w:p>
        </w:tc>
        <w:tc>
          <w:tcPr>
            <w:tcW w:w="16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Commercial paper</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32,784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32,790</w:t>
            </w: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Corporate bonds</w:t>
            </w:r>
          </w:p>
        </w:tc>
        <w:tc>
          <w:tcPr>
            <w:tcW w:w="16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16,894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16,905</w:t>
            </w: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Municipal bonds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1,128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1,128</w:t>
            </w:r>
          </w:p>
        </w:tc>
      </w:tr>
      <w:tr>
        <w:trPr>
          <w:trHeight w:val="264"/>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U.S. government agencies</w:t>
            </w: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4,004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4,004</w:t>
            </w:r>
          </w:p>
        </w:tc>
      </w:tr>
      <w:tr>
        <w:trPr>
          <w:trHeight w:val="257"/>
        </w:trPr>
        <w:tc>
          <w:tcPr>
            <w:tcW w:w="47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54,810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54,827</w:t>
            </w:r>
          </w:p>
        </w:tc>
      </w:tr>
      <w:tr>
        <w:trPr>
          <w:trHeight w:val="254"/>
        </w:trPr>
        <w:tc>
          <w:tcPr>
            <w:tcW w:w="4700" w:type="dxa"/>
            <w:vAlign w:val="bottom"/>
          </w:tcPr>
          <w:p>
            <w:pPr>
              <w:ind w:left="40"/>
              <w:spacing w:after="0"/>
              <w:rPr>
                <w:sz w:val="20"/>
                <w:szCs w:val="20"/>
                <w:color w:val="auto"/>
              </w:rPr>
            </w:pPr>
            <w:r>
              <w:rPr>
                <w:rFonts w:ascii="Arial" w:cs="Arial" w:eastAsia="Arial" w:hAnsi="Arial"/>
                <w:sz w:val="16"/>
                <w:szCs w:val="16"/>
                <w:color w:val="auto"/>
              </w:rPr>
              <w:t>Long-term investments:</w:t>
            </w:r>
          </w:p>
        </w:tc>
        <w:tc>
          <w:tcPr>
            <w:tcW w:w="16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Asset-backed securities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5,497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5,501</w:t>
            </w: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Corporate bonds</w:t>
            </w:r>
          </w:p>
        </w:tc>
        <w:tc>
          <w:tcPr>
            <w:tcW w:w="16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15,256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15,274</w:t>
            </w:r>
          </w:p>
        </w:tc>
      </w:tr>
      <w:tr>
        <w:trPr>
          <w:trHeight w:val="273"/>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U.S. government agencies</w:t>
            </w:r>
          </w:p>
        </w:tc>
        <w:tc>
          <w:tcPr>
            <w:tcW w:w="1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14,835</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14,833</w:t>
            </w:r>
          </w:p>
        </w:tc>
      </w:tr>
      <w:tr>
        <w:trPr>
          <w:trHeight w:val="250"/>
        </w:trPr>
        <w:tc>
          <w:tcPr>
            <w:tcW w:w="470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35,588</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35,608</w:t>
            </w:r>
          </w:p>
        </w:tc>
      </w:tr>
      <w:tr>
        <w:trPr>
          <w:trHeight w:val="24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132,766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132,804</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60" w:firstLine="405"/>
        <w:spacing w:after="0" w:line="262" w:lineRule="auto"/>
        <w:rPr>
          <w:sz w:val="20"/>
          <w:szCs w:val="20"/>
          <w:color w:val="auto"/>
        </w:rPr>
      </w:pPr>
      <w:r>
        <w:rPr>
          <w:rFonts w:ascii="Arial" w:cs="Arial" w:eastAsia="Arial" w:hAnsi="Arial"/>
          <w:sz w:val="18"/>
          <w:szCs w:val="18"/>
          <w:color w:val="231F20"/>
        </w:rPr>
        <w:t>The following table sets forth by level within the fair value hierarchy the fair value of the Company's available-for-sale securities measured on a recurring basis: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6"/>
                <w:szCs w:val="16"/>
                <w:b w:val="1"/>
                <w:bCs w:val="1"/>
                <w:color w:val="auto"/>
              </w:rPr>
              <w:t>September 30, 2014</w:t>
            </w: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64"/>
        </w:trPr>
        <w:tc>
          <w:tcPr>
            <w:tcW w:w="4700" w:type="dxa"/>
            <w:vAlign w:val="bottom"/>
          </w:tcPr>
          <w:p>
            <w:pPr>
              <w:spacing w:after="0"/>
              <w:rPr>
                <w:sz w:val="22"/>
                <w:szCs w:val="22"/>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Level 1</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Level 2</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Level 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47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580" w:type="dxa"/>
            <w:vAlign w:val="bottom"/>
            <w:gridSpan w:val="3"/>
          </w:tcPr>
          <w:p>
            <w:pPr>
              <w:jc w:val="right"/>
              <w:ind w:right="599"/>
              <w:spacing w:after="0"/>
              <w:rPr>
                <w:sz w:val="20"/>
                <w:szCs w:val="20"/>
                <w:color w:val="auto"/>
              </w:rPr>
            </w:pPr>
            <w:r>
              <w:rPr>
                <w:rFonts w:ascii="Arial" w:cs="Arial" w:eastAsia="Arial" w:hAnsi="Arial"/>
                <w:sz w:val="16"/>
                <w:szCs w:val="16"/>
                <w:b w:val="1"/>
                <w:bCs w:val="1"/>
                <w:color w:val="auto"/>
              </w:rPr>
              <w:t>(in thousands)</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122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12,194</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12,194</w:t>
            </w:r>
          </w:p>
        </w:tc>
      </w:tr>
      <w:tr>
        <w:trPr>
          <w:trHeight w:val="260"/>
        </w:trPr>
        <w:tc>
          <w:tcPr>
            <w:tcW w:w="4700" w:type="dxa"/>
            <w:vAlign w:val="bottom"/>
          </w:tcPr>
          <w:p>
            <w:pPr>
              <w:ind w:left="40"/>
              <w:spacing w:after="0"/>
              <w:rPr>
                <w:sz w:val="20"/>
                <w:szCs w:val="20"/>
                <w:color w:val="auto"/>
              </w:rPr>
            </w:pPr>
            <w:r>
              <w:rPr>
                <w:rFonts w:ascii="Arial" w:cs="Arial" w:eastAsia="Arial" w:hAnsi="Arial"/>
                <w:sz w:val="16"/>
                <w:szCs w:val="16"/>
                <w:color w:val="auto"/>
              </w:rPr>
              <w:t>Asset-backed securities</w:t>
            </w:r>
          </w:p>
        </w:tc>
        <w:tc>
          <w:tcPr>
            <w:tcW w:w="1220" w:type="dxa"/>
            <w:vAlign w:val="bottom"/>
          </w:tcPr>
          <w:p>
            <w:pPr>
              <w:spacing w:after="0"/>
              <w:rPr>
                <w:sz w:val="22"/>
                <w:szCs w:val="22"/>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18,270</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18,270</w:t>
            </w: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bonds</w:t>
            </w:r>
          </w:p>
        </w:tc>
        <w:tc>
          <w:tcPr>
            <w:tcW w:w="12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15,016</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15,016</w:t>
            </w: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U.S. government agencies</w:t>
            </w:r>
          </w:p>
        </w:tc>
        <w:tc>
          <w:tcPr>
            <w:tcW w:w="12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41,548</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41,548</w:t>
            </w:r>
          </w:p>
        </w:tc>
      </w:tr>
      <w:tr>
        <w:trPr>
          <w:trHeight w:val="24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22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87,028</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87,028</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3"/>
          </w:tcPr>
          <w:p>
            <w:pPr>
              <w:jc w:val="right"/>
              <w:ind w:right="439"/>
              <w:spacing w:after="0"/>
              <w:rPr>
                <w:sz w:val="20"/>
                <w:szCs w:val="20"/>
                <w:color w:val="auto"/>
              </w:rPr>
            </w:pPr>
            <w:r>
              <w:rPr>
                <w:rFonts w:ascii="Arial" w:cs="Arial" w:eastAsia="Arial" w:hAnsi="Arial"/>
                <w:sz w:val="16"/>
                <w:szCs w:val="16"/>
                <w:b w:val="1"/>
                <w:bCs w:val="1"/>
                <w:color w:val="auto"/>
              </w:rPr>
              <w:t>December 31, 2013</w:t>
            </w: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64"/>
        </w:trPr>
        <w:tc>
          <w:tcPr>
            <w:tcW w:w="4700" w:type="dxa"/>
            <w:vAlign w:val="bottom"/>
          </w:tcPr>
          <w:p>
            <w:pPr>
              <w:spacing w:after="0"/>
              <w:rPr>
                <w:sz w:val="22"/>
                <w:szCs w:val="22"/>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Level 1</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Level 2</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Level 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47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580" w:type="dxa"/>
            <w:vAlign w:val="bottom"/>
            <w:gridSpan w:val="3"/>
          </w:tcPr>
          <w:p>
            <w:pPr>
              <w:jc w:val="right"/>
              <w:ind w:right="599"/>
              <w:spacing w:after="0"/>
              <w:rPr>
                <w:sz w:val="20"/>
                <w:szCs w:val="20"/>
                <w:color w:val="auto"/>
              </w:rPr>
            </w:pPr>
            <w:r>
              <w:rPr>
                <w:rFonts w:ascii="Arial" w:cs="Arial" w:eastAsia="Arial" w:hAnsi="Arial"/>
                <w:sz w:val="16"/>
                <w:szCs w:val="16"/>
                <w:b w:val="1"/>
                <w:bCs w:val="1"/>
                <w:color w:val="auto"/>
              </w:rPr>
              <w:t>(in thousands)</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122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47,488</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47,488</w:t>
            </w:r>
          </w:p>
        </w:tc>
      </w:tr>
      <w:tr>
        <w:trPr>
          <w:trHeight w:val="260"/>
        </w:trPr>
        <w:tc>
          <w:tcPr>
            <w:tcW w:w="4700" w:type="dxa"/>
            <w:vAlign w:val="bottom"/>
          </w:tcPr>
          <w:p>
            <w:pPr>
              <w:ind w:left="40"/>
              <w:spacing w:after="0"/>
              <w:rPr>
                <w:sz w:val="20"/>
                <w:szCs w:val="20"/>
                <w:color w:val="auto"/>
              </w:rPr>
            </w:pPr>
            <w:r>
              <w:rPr>
                <w:rFonts w:ascii="Arial" w:cs="Arial" w:eastAsia="Arial" w:hAnsi="Arial"/>
                <w:sz w:val="16"/>
                <w:szCs w:val="16"/>
                <w:color w:val="auto"/>
              </w:rPr>
              <w:t>Asset-backed securities</w:t>
            </w:r>
          </w:p>
        </w:tc>
        <w:tc>
          <w:tcPr>
            <w:tcW w:w="1220" w:type="dxa"/>
            <w:vAlign w:val="bottom"/>
          </w:tcPr>
          <w:p>
            <w:pPr>
              <w:spacing w:after="0"/>
              <w:rPr>
                <w:sz w:val="22"/>
                <w:szCs w:val="22"/>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5,501</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5,501</w:t>
            </w: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bonds</w:t>
            </w:r>
          </w:p>
        </w:tc>
        <w:tc>
          <w:tcPr>
            <w:tcW w:w="12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32,179</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32,179</w:t>
            </w:r>
          </w:p>
        </w:tc>
      </w:tr>
      <w:tr>
        <w:trPr>
          <w:trHeight w:val="260"/>
        </w:trPr>
        <w:tc>
          <w:tcPr>
            <w:tcW w:w="4700" w:type="dxa"/>
            <w:vAlign w:val="bottom"/>
          </w:tcPr>
          <w:p>
            <w:pPr>
              <w:ind w:left="40"/>
              <w:spacing w:after="0"/>
              <w:rPr>
                <w:sz w:val="20"/>
                <w:szCs w:val="20"/>
                <w:color w:val="auto"/>
              </w:rPr>
            </w:pPr>
            <w:r>
              <w:rPr>
                <w:rFonts w:ascii="Arial" w:cs="Arial" w:eastAsia="Arial" w:hAnsi="Arial"/>
                <w:sz w:val="16"/>
                <w:szCs w:val="16"/>
                <w:color w:val="auto"/>
              </w:rPr>
              <w:t>Municipal bonds</w:t>
            </w:r>
          </w:p>
        </w:tc>
        <w:tc>
          <w:tcPr>
            <w:tcW w:w="1220" w:type="dxa"/>
            <w:vAlign w:val="bottom"/>
          </w:tcPr>
          <w:p>
            <w:pPr>
              <w:spacing w:after="0"/>
              <w:rPr>
                <w:sz w:val="22"/>
                <w:szCs w:val="22"/>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1,128</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1,128</w:t>
            </w:r>
          </w:p>
        </w:tc>
      </w:tr>
      <w:tr>
        <w:trPr>
          <w:trHeight w:val="273"/>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U.S. government agencies</w:t>
            </w:r>
          </w:p>
        </w:tc>
        <w:tc>
          <w:tcPr>
            <w:tcW w:w="122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18,837</w:t>
            </w:r>
          </w:p>
        </w:tc>
        <w:tc>
          <w:tcPr>
            <w:tcW w:w="10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18,837</w:t>
            </w:r>
          </w:p>
        </w:tc>
      </w:tr>
      <w:tr>
        <w:trPr>
          <w:trHeight w:val="240"/>
        </w:trPr>
        <w:tc>
          <w:tcPr>
            <w:tcW w:w="4700" w:type="dxa"/>
            <w:vAlign w:val="bottom"/>
          </w:tcPr>
          <w:p>
            <w:pPr>
              <w:ind w:left="40"/>
              <w:spacing w:after="0"/>
              <w:rPr>
                <w:sz w:val="20"/>
                <w:szCs w:val="20"/>
                <w:color w:val="auto"/>
              </w:rPr>
            </w:pPr>
            <w:r>
              <w:rPr>
                <w:rFonts w:ascii="Arial" w:cs="Arial" w:eastAsia="Arial" w:hAnsi="Arial"/>
                <w:sz w:val="16"/>
                <w:szCs w:val="16"/>
                <w:color w:val="auto"/>
              </w:rPr>
              <w:t>Total</w:t>
            </w:r>
          </w:p>
        </w:tc>
        <w:tc>
          <w:tcPr>
            <w:tcW w:w="1220" w:type="dxa"/>
            <w:vAlign w:val="bottom"/>
          </w:tcPr>
          <w:p>
            <w:pPr>
              <w:jc w:val="right"/>
              <w:ind w:right="1019"/>
              <w:spacing w:after="0"/>
              <w:rPr>
                <w:sz w:val="20"/>
                <w:szCs w:val="20"/>
                <w:color w:val="auto"/>
              </w:rPr>
            </w:pPr>
            <w:r>
              <w:rPr>
                <w:rFonts w:ascii="Arial" w:cs="Arial" w:eastAsia="Arial" w:hAnsi="Arial"/>
                <w:sz w:val="16"/>
                <w:szCs w:val="16"/>
                <w:color w:val="auto"/>
              </w:rPr>
              <w:t>$</w:t>
            </w: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105,133</w:t>
            </w:r>
          </w:p>
        </w:tc>
        <w:tc>
          <w:tcPr>
            <w:tcW w:w="100" w:type="dxa"/>
            <w:vAlign w:val="bottom"/>
          </w:tcPr>
          <w:p>
            <w:pPr>
              <w:spacing w:after="0"/>
              <w:rPr>
                <w:sz w:val="20"/>
                <w:szCs w:val="20"/>
                <w:color w:val="auto"/>
              </w:rPr>
            </w:pPr>
          </w:p>
        </w:tc>
        <w:tc>
          <w:tcPr>
            <w:tcW w:w="1200" w:type="dxa"/>
            <w:vAlign w:val="bottom"/>
          </w:tcPr>
          <w:p>
            <w:pPr>
              <w:jc w:val="right"/>
              <w:ind w:right="999"/>
              <w:spacing w:after="0"/>
              <w:rPr>
                <w:sz w:val="20"/>
                <w:szCs w:val="20"/>
                <w:color w:val="auto"/>
              </w:rPr>
            </w:pPr>
            <w:r>
              <w:rPr>
                <w:rFonts w:ascii="Arial" w:cs="Arial" w:eastAsia="Arial" w:hAnsi="Arial"/>
                <w:sz w:val="16"/>
                <w:szCs w:val="16"/>
                <w:color w:val="auto"/>
              </w:rPr>
              <w:t>$</w:t>
            </w: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105,133</w:t>
            </w:r>
          </w:p>
        </w:tc>
      </w:tr>
      <w:tr>
        <w:trPr>
          <w:trHeight w:val="20"/>
        </w:trPr>
        <w:tc>
          <w:tcPr>
            <w:tcW w:w="47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141" w:right="239" w:bottom="1440" w:gutter="0" w:footer="0" w:header="0"/>
          <w:type w:val="continuous"/>
        </w:sectPr>
      </w:pPr>
    </w:p>
    <w:bookmarkStart w:id="11" w:name="page12"/>
    <w:bookmarkEnd w:id="1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following summarizes the fair value of securities classified as available-for-sale by contractual maturity:</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5"/>
          </w:tcPr>
          <w:p>
            <w:pPr>
              <w:jc w:val="center"/>
              <w:ind w:left="639"/>
              <w:spacing w:after="0"/>
              <w:rPr>
                <w:sz w:val="20"/>
                <w:szCs w:val="20"/>
                <w:color w:val="auto"/>
              </w:rPr>
            </w:pPr>
            <w:r>
              <w:rPr>
                <w:rFonts w:ascii="Arial" w:cs="Arial" w:eastAsia="Arial" w:hAnsi="Arial"/>
                <w:sz w:val="16"/>
                <w:szCs w:val="16"/>
                <w:b w:val="1"/>
                <w:bCs w:val="1"/>
                <w:color w:val="auto"/>
              </w:rPr>
              <w:t>September 30, 2014</w:t>
            </w:r>
          </w:p>
        </w:tc>
        <w:tc>
          <w:tcPr>
            <w:tcW w:w="7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r>
      <w:tr>
        <w:trPr>
          <w:trHeight w:val="198"/>
        </w:trPr>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rPr>
              <w:t>Mature within One</w:t>
            </w:r>
          </w:p>
        </w:tc>
        <w:tc>
          <w:tcPr>
            <w:tcW w:w="204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After One Year through</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28"/>
        </w:trPr>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6"/>
                <w:szCs w:val="16"/>
                <w:b w:val="1"/>
                <w:bCs w:val="1"/>
                <w:color w:val="auto"/>
                <w:w w:val="97"/>
              </w:rPr>
              <w:t>Year</w:t>
            </w:r>
          </w:p>
        </w:tc>
        <w:tc>
          <w:tcPr>
            <w:tcW w:w="1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2"/>
          </w:tcPr>
          <w:p>
            <w:pPr>
              <w:jc w:val="right"/>
              <w:ind w:right="680"/>
              <w:spacing w:after="0"/>
              <w:rPr>
                <w:sz w:val="20"/>
                <w:szCs w:val="20"/>
                <w:color w:val="auto"/>
              </w:rPr>
            </w:pPr>
            <w:r>
              <w:rPr>
                <w:rFonts w:ascii="Arial" w:cs="Arial" w:eastAsia="Arial" w:hAnsi="Arial"/>
                <w:sz w:val="16"/>
                <w:szCs w:val="16"/>
                <w:b w:val="1"/>
                <w:bCs w:val="1"/>
                <w:color w:val="auto"/>
              </w:rPr>
              <w:t>Two Years</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Over Two Years</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3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60" w:type="dxa"/>
            <w:vAlign w:val="bottom"/>
            <w:gridSpan w:val="5"/>
          </w:tcPr>
          <w:p>
            <w:pPr>
              <w:jc w:val="center"/>
              <w:ind w:left="619"/>
              <w:spacing w:after="0"/>
              <w:rPr>
                <w:sz w:val="20"/>
                <w:szCs w:val="20"/>
                <w:color w:val="auto"/>
              </w:rPr>
            </w:pPr>
            <w:r>
              <w:rPr>
                <w:rFonts w:ascii="Arial" w:cs="Arial" w:eastAsia="Arial" w:hAnsi="Arial"/>
                <w:sz w:val="16"/>
                <w:szCs w:val="16"/>
                <w:b w:val="1"/>
                <w:bCs w:val="1"/>
                <w:color w:val="auto"/>
              </w:rPr>
              <w:t>(in thousands)</w:t>
            </w: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80"/>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12,194</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24"/>
                <w:szCs w:val="24"/>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12,194</w:t>
            </w:r>
          </w:p>
        </w:tc>
      </w:tr>
      <w:tr>
        <w:trPr>
          <w:trHeight w:val="260"/>
        </w:trPr>
        <w:tc>
          <w:tcPr>
            <w:tcW w:w="3900" w:type="dxa"/>
            <w:vAlign w:val="bottom"/>
          </w:tcPr>
          <w:p>
            <w:pPr>
              <w:ind w:left="40"/>
              <w:spacing w:after="0"/>
              <w:rPr>
                <w:sz w:val="20"/>
                <w:szCs w:val="20"/>
                <w:color w:val="auto"/>
              </w:rPr>
            </w:pPr>
            <w:r>
              <w:rPr>
                <w:rFonts w:ascii="Arial" w:cs="Arial" w:eastAsia="Arial" w:hAnsi="Arial"/>
                <w:sz w:val="16"/>
                <w:szCs w:val="16"/>
                <w:color w:val="auto"/>
              </w:rPr>
              <w:t>Corporate bonds</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13,217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1,799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15,016</w:t>
            </w:r>
          </w:p>
        </w:tc>
      </w:tr>
      <w:tr>
        <w:trPr>
          <w:trHeight w:val="280"/>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U.S. government agencies</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23,721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17,827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41,548</w:t>
            </w:r>
          </w:p>
        </w:tc>
      </w:tr>
      <w:tr>
        <w:trPr>
          <w:trHeight w:val="264"/>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Asset-backed securities</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gridSpan w:val="2"/>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8,806</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9,464</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18,270</w:t>
            </w:r>
          </w:p>
        </w:tc>
      </w:tr>
      <w:tr>
        <w:trPr>
          <w:trHeight w:val="24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CCEEFF"/>
            </w:tcBorders>
            <w:gridSpan w:val="2"/>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49,132</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28,432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9,464</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87,028</w:t>
            </w: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544"/>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5"/>
          </w:tcPr>
          <w:p>
            <w:pPr>
              <w:jc w:val="center"/>
              <w:ind w:left="519"/>
              <w:spacing w:after="0"/>
              <w:rPr>
                <w:sz w:val="20"/>
                <w:szCs w:val="20"/>
                <w:color w:val="auto"/>
              </w:rPr>
            </w:pPr>
            <w:r>
              <w:rPr>
                <w:rFonts w:ascii="Arial" w:cs="Arial" w:eastAsia="Arial" w:hAnsi="Arial"/>
                <w:sz w:val="16"/>
                <w:szCs w:val="16"/>
                <w:b w:val="1"/>
                <w:bCs w:val="1"/>
                <w:color w:val="auto"/>
              </w:rPr>
              <w:t>December 31, 2013</w:t>
            </w: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198"/>
        </w:trPr>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rPr>
              <w:t>Mature within One</w:t>
            </w:r>
          </w:p>
        </w:tc>
        <w:tc>
          <w:tcPr>
            <w:tcW w:w="120" w:type="dxa"/>
            <w:vAlign w:val="bottom"/>
          </w:tcPr>
          <w:p>
            <w:pPr>
              <w:spacing w:after="0"/>
              <w:rPr>
                <w:sz w:val="17"/>
                <w:szCs w:val="17"/>
                <w:color w:val="auto"/>
              </w:rPr>
            </w:pPr>
          </w:p>
        </w:tc>
        <w:tc>
          <w:tcPr>
            <w:tcW w:w="19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w w:val="99"/>
              </w:rPr>
              <w:t>After One Year through</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28"/>
        </w:trPr>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6"/>
                <w:szCs w:val="16"/>
                <w:b w:val="1"/>
                <w:bCs w:val="1"/>
                <w:color w:val="auto"/>
                <w:w w:val="97"/>
              </w:rPr>
              <w:t>Year</w:t>
            </w:r>
          </w:p>
        </w:tc>
        <w:tc>
          <w:tcPr>
            <w:tcW w:w="1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6"/>
                <w:szCs w:val="16"/>
                <w:b w:val="1"/>
                <w:bCs w:val="1"/>
                <w:color w:val="auto"/>
              </w:rPr>
              <w:t>Two Years</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6"/>
                <w:szCs w:val="16"/>
                <w:b w:val="1"/>
                <w:bCs w:val="1"/>
                <w:color w:val="auto"/>
              </w:rPr>
              <w:t>Over Two Years</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3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60" w:type="dxa"/>
            <w:vAlign w:val="bottom"/>
            <w:gridSpan w:val="5"/>
          </w:tcPr>
          <w:p>
            <w:pPr>
              <w:jc w:val="center"/>
              <w:ind w:left="539"/>
              <w:spacing w:after="0"/>
              <w:rPr>
                <w:sz w:val="20"/>
                <w:szCs w:val="20"/>
                <w:color w:val="auto"/>
              </w:rPr>
            </w:pPr>
            <w:r>
              <w:rPr>
                <w:rFonts w:ascii="Arial" w:cs="Arial" w:eastAsia="Arial" w:hAnsi="Arial"/>
                <w:sz w:val="16"/>
                <w:szCs w:val="16"/>
                <w:b w:val="1"/>
                <w:bCs w:val="1"/>
                <w:color w:val="auto"/>
              </w:rPr>
              <w:t>(in thousands)</w:t>
            </w: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80"/>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380" w:type="dxa"/>
            <w:vAlign w:val="bottom"/>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47,488</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47,488</w:t>
            </w:r>
          </w:p>
        </w:tc>
      </w:tr>
      <w:tr>
        <w:trPr>
          <w:trHeight w:val="260"/>
        </w:trPr>
        <w:tc>
          <w:tcPr>
            <w:tcW w:w="3900" w:type="dxa"/>
            <w:vAlign w:val="bottom"/>
          </w:tcPr>
          <w:p>
            <w:pPr>
              <w:ind w:left="40"/>
              <w:spacing w:after="0"/>
              <w:rPr>
                <w:sz w:val="20"/>
                <w:szCs w:val="20"/>
                <w:color w:val="auto"/>
              </w:rPr>
            </w:pPr>
            <w:r>
              <w:rPr>
                <w:rFonts w:ascii="Arial" w:cs="Arial" w:eastAsia="Arial" w:hAnsi="Arial"/>
                <w:sz w:val="16"/>
                <w:szCs w:val="16"/>
                <w:color w:val="auto"/>
              </w:rPr>
              <w:t>Municipal bonds</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1,128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1,128</w:t>
            </w:r>
          </w:p>
        </w:tc>
      </w:tr>
      <w:tr>
        <w:trPr>
          <w:trHeight w:val="280"/>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bonds</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16,905</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15,274</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32,179</w:t>
            </w:r>
          </w:p>
        </w:tc>
      </w:tr>
      <w:tr>
        <w:trPr>
          <w:trHeight w:val="260"/>
        </w:trPr>
        <w:tc>
          <w:tcPr>
            <w:tcW w:w="3900" w:type="dxa"/>
            <w:vAlign w:val="bottom"/>
          </w:tcPr>
          <w:p>
            <w:pPr>
              <w:ind w:left="40"/>
              <w:spacing w:after="0"/>
              <w:rPr>
                <w:sz w:val="20"/>
                <w:szCs w:val="20"/>
                <w:color w:val="auto"/>
              </w:rPr>
            </w:pPr>
            <w:r>
              <w:rPr>
                <w:rFonts w:ascii="Arial" w:cs="Arial" w:eastAsia="Arial" w:hAnsi="Arial"/>
                <w:sz w:val="16"/>
                <w:szCs w:val="16"/>
                <w:color w:val="auto"/>
              </w:rPr>
              <w:t>U.S. government agencies</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4,004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20" w:type="dxa"/>
            <w:vAlign w:val="bottom"/>
            <w:gridSpan w:val="2"/>
          </w:tcPr>
          <w:p>
            <w:pPr>
              <w:jc w:val="right"/>
              <w:ind w:right="120"/>
              <w:spacing w:after="0"/>
              <w:rPr>
                <w:sz w:val="20"/>
                <w:szCs w:val="20"/>
                <w:color w:val="auto"/>
              </w:rPr>
            </w:pPr>
            <w:r>
              <w:rPr>
                <w:rFonts w:ascii="Arial" w:cs="Arial" w:eastAsia="Arial" w:hAnsi="Arial"/>
                <w:sz w:val="16"/>
                <w:szCs w:val="16"/>
                <w:color w:val="auto"/>
              </w:rPr>
              <w:t>14,833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18,837</w:t>
            </w:r>
          </w:p>
        </w:tc>
      </w:tr>
      <w:tr>
        <w:trPr>
          <w:trHeight w:val="273"/>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Asset-backed securities</w:t>
            </w:r>
          </w:p>
        </w:tc>
        <w:tc>
          <w:tcPr>
            <w:tcW w:w="1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9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5,501</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5,501</w:t>
            </w:r>
          </w:p>
        </w:tc>
      </w:tr>
      <w:tr>
        <w:trPr>
          <w:trHeight w:val="267"/>
        </w:trPr>
        <w:tc>
          <w:tcPr>
            <w:tcW w:w="3900" w:type="dxa"/>
            <w:vAlign w:val="bottom"/>
          </w:tcPr>
          <w:p>
            <w:pPr>
              <w:ind w:left="40"/>
              <w:spacing w:after="0"/>
              <w:rPr>
                <w:sz w:val="20"/>
                <w:szCs w:val="20"/>
                <w:color w:val="auto"/>
              </w:rPr>
            </w:pPr>
            <w:r>
              <w:rPr>
                <w:rFonts w:ascii="Arial" w:cs="Arial" w:eastAsia="Arial" w:hAnsi="Arial"/>
                <w:sz w:val="16"/>
                <w:szCs w:val="16"/>
                <w:color w:val="auto"/>
              </w:rPr>
              <w:t>Total</w:t>
            </w:r>
          </w:p>
        </w:tc>
        <w:tc>
          <w:tcPr>
            <w:tcW w:w="380" w:type="dxa"/>
            <w:vAlign w:val="bottom"/>
            <w:gridSpan w:val="3"/>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69,525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gridSpan w:val="2"/>
          </w:tcPr>
          <w:p>
            <w:pPr>
              <w:jc w:val="right"/>
              <w:ind w:right="120"/>
              <w:spacing w:after="0"/>
              <w:rPr>
                <w:sz w:val="20"/>
                <w:szCs w:val="20"/>
                <w:color w:val="auto"/>
              </w:rPr>
            </w:pPr>
            <w:r>
              <w:rPr>
                <w:rFonts w:ascii="Arial" w:cs="Arial" w:eastAsia="Arial" w:hAnsi="Arial"/>
                <w:sz w:val="16"/>
                <w:szCs w:val="16"/>
                <w:color w:val="auto"/>
              </w:rPr>
              <w:t>30,107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5,501</w:t>
            </w:r>
          </w:p>
        </w:tc>
        <w:tc>
          <w:tcPr>
            <w:tcW w:w="4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105,133</w:t>
            </w:r>
          </w:p>
        </w:tc>
      </w:tr>
      <w:tr>
        <w:trPr>
          <w:trHeight w:val="20"/>
        </w:trPr>
        <w:tc>
          <w:tcPr>
            <w:tcW w:w="3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Derivative Financial Instruments</w:t>
      </w:r>
    </w:p>
    <w:p>
      <w:pPr>
        <w:spacing w:after="0" w:line="288"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231F20"/>
        </w:rPr>
        <w:t>Derivative financial instruments are utilized by the Company to reduce foreign currency exchange risks. The Company uses foreign currency forward contracts to mitigate the impact of foreign currency fluctuations of certain non-U.S. dollar denominated asset positions, primarily cash and accounts receivable. These contracts are recorded within prepaid expenses and other current assets or accrued liabilities in the condensed consolidated balance sheets. Gains and losses resulting from currency exchange rate movements on these forward contracts are recognized in other income (expense) in the accompanying condensed consolidated statements of operations in the period in which the exchange rates change and offset the foreign currency gains and losses on the underlying exposure. The Company does not enter into derivative financial instruments for trading or speculative purposes.</w:t>
      </w:r>
    </w:p>
    <w:p>
      <w:pPr>
        <w:spacing w:after="0" w:line="207" w:lineRule="exact"/>
        <w:rPr>
          <w:sz w:val="20"/>
          <w:szCs w:val="20"/>
          <w:color w:val="auto"/>
        </w:rPr>
      </w:pPr>
    </w:p>
    <w:p>
      <w:pPr>
        <w:ind w:left="420"/>
        <w:spacing w:after="0"/>
        <w:rPr>
          <w:sz w:val="20"/>
          <w:szCs w:val="20"/>
          <w:color w:val="auto"/>
        </w:rPr>
      </w:pPr>
      <w:r>
        <w:rPr>
          <w:rFonts w:ascii="Arial" w:cs="Arial" w:eastAsia="Arial" w:hAnsi="Arial"/>
          <w:sz w:val="18"/>
          <w:szCs w:val="18"/>
          <w:color w:val="222222"/>
        </w:rPr>
        <w:t>At September 30, 2014, the Company had two outstanding forward contrac</w:t>
      </w:r>
      <w:r>
        <w:rPr>
          <w:rFonts w:ascii="Arial" w:cs="Arial" w:eastAsia="Arial" w:hAnsi="Arial"/>
          <w:sz w:val="18"/>
          <w:szCs w:val="18"/>
          <w:color w:val="000000"/>
        </w:rPr>
        <w:t>ts with notional amounts of 4.1 million Euros and 2.1 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British Pounds, both of which expired on October 31, 2014. </w:t>
      </w:r>
      <w:r>
        <w:rPr>
          <w:rFonts w:ascii="Arial" w:cs="Arial" w:eastAsia="Arial" w:hAnsi="Arial"/>
          <w:sz w:val="18"/>
          <w:szCs w:val="18"/>
          <w:color w:val="222222"/>
        </w:rPr>
        <w:t>At December 31, 2013, the Company had two outstanding forward contracts 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22222"/>
        </w:rPr>
        <w:t xml:space="preserve">notional amounts of 6.3 million Euros and 2.0 million British Pounds, which expired on January 31, 2014. These </w:t>
      </w:r>
      <w:r>
        <w:rPr>
          <w:rFonts w:ascii="Arial" w:cs="Arial" w:eastAsia="Arial" w:hAnsi="Arial"/>
          <w:sz w:val="18"/>
          <w:szCs w:val="18"/>
          <w:color w:val="231F20"/>
        </w:rPr>
        <w:t>forward contracts were entered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into at the end of each month, and thus the fair value of these contracts was </w:t>
      </w:r>
      <w:r>
        <w:rPr>
          <w:rFonts w:ascii="Arial" w:cs="Arial" w:eastAsia="Arial" w:hAnsi="Arial"/>
          <w:sz w:val="18"/>
          <w:szCs w:val="18"/>
          <w:color w:val="000000"/>
        </w:rPr>
        <w:t>$0</w:t>
      </w:r>
      <w:r>
        <w:rPr>
          <w:rFonts w:ascii="Arial" w:cs="Arial" w:eastAsia="Arial" w:hAnsi="Arial"/>
          <w:sz w:val="18"/>
          <w:szCs w:val="18"/>
          <w:color w:val="231F20"/>
        </w:rPr>
        <w:t xml:space="preserve"> </w:t>
      </w:r>
      <w:r>
        <w:rPr>
          <w:rFonts w:ascii="Arial" w:cs="Arial" w:eastAsia="Arial" w:hAnsi="Arial"/>
          <w:sz w:val="18"/>
          <w:szCs w:val="18"/>
          <w:color w:val="222222"/>
        </w:rPr>
        <w:t>at</w:t>
      </w:r>
      <w:r>
        <w:rPr>
          <w:rFonts w:ascii="Arial" w:cs="Arial" w:eastAsia="Arial" w:hAnsi="Arial"/>
          <w:sz w:val="18"/>
          <w:szCs w:val="18"/>
          <w:color w:val="231F20"/>
        </w:rPr>
        <w:t xml:space="preserve"> </w:t>
      </w:r>
      <w:r>
        <w:rPr>
          <w:rFonts w:ascii="Arial" w:cs="Arial" w:eastAsia="Arial" w:hAnsi="Arial"/>
          <w:sz w:val="18"/>
          <w:szCs w:val="18"/>
          <w:color w:val="000000"/>
        </w:rPr>
        <w:t>September 30, 2014</w:t>
      </w:r>
      <w:r>
        <w:rPr>
          <w:rFonts w:ascii="Arial" w:cs="Arial" w:eastAsia="Arial" w:hAnsi="Arial"/>
          <w:sz w:val="18"/>
          <w:szCs w:val="18"/>
          <w:color w:val="231F20"/>
        </w:rPr>
        <w:t xml:space="preserve"> </w:t>
      </w:r>
      <w:r>
        <w:rPr>
          <w:rFonts w:ascii="Arial" w:cs="Arial" w:eastAsia="Arial" w:hAnsi="Arial"/>
          <w:sz w:val="18"/>
          <w:szCs w:val="18"/>
          <w:color w:val="222222"/>
        </w:rPr>
        <w:t>and</w:t>
      </w:r>
      <w:r>
        <w:rPr>
          <w:rFonts w:ascii="Arial" w:cs="Arial" w:eastAsia="Arial" w:hAnsi="Arial"/>
          <w:sz w:val="18"/>
          <w:szCs w:val="18"/>
          <w:color w:val="231F20"/>
        </w:rPr>
        <w:t xml:space="preserve"> </w:t>
      </w:r>
      <w:r>
        <w:rPr>
          <w:rFonts w:ascii="Arial" w:cs="Arial" w:eastAsia="Arial" w:hAnsi="Arial"/>
          <w:sz w:val="18"/>
          <w:szCs w:val="18"/>
          <w:color w:val="000000"/>
        </w:rPr>
        <w:t>December 31, 2013</w:t>
      </w:r>
      <w:r>
        <w:rPr>
          <w:rFonts w:ascii="Arial" w:cs="Arial" w:eastAsia="Arial" w:hAnsi="Arial"/>
          <w:sz w:val="18"/>
          <w:szCs w:val="18"/>
          <w:color w:val="222222"/>
        </w:rPr>
        <w:t>.</w:t>
      </w:r>
      <w:r>
        <w:rPr>
          <w:rFonts w:ascii="Arial" w:cs="Arial" w:eastAsia="Arial" w:hAnsi="Arial"/>
          <w:sz w:val="18"/>
          <w:szCs w:val="18"/>
          <w:color w:val="231F20"/>
        </w:rPr>
        <w:t xml:space="preserve"> The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recorded gains of $0.5 million and $0.4 million from forward contracts for the three and nine months ended September 30, 2014, respectively.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These gains were more than offset by foreign currency transaction losses of $0.6 million and $0.6 million for the three and nine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September 30, 2014, respectively. The Company recorded losses of $0.4 million and $0.6 million from forward contracts in the three and nine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months ended September 30, 2013, respectively. These losses were partially offset by foreign currency transaction gains of $0.3 million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$0.1 million for the three and nine months ended September 30, 2013, respectively. These derivatives did not meet the criteria to be designated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as hedges. These instruments were valued using Level 2 inputs.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transfers between Level 1, Level 2 or Level 3 of the fair value hierarchy, as determined at the end of each reporting period.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41"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b w:val="1"/>
          <w:bCs w:val="1"/>
          <w:color w:val="231F20"/>
        </w:rPr>
        <w:t>Property and Equipment, Net</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Property and equipment, which includes assets under capital lease, consists of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8"/>
                <w:szCs w:val="18"/>
                <w:color w:val="auto"/>
              </w:rPr>
            </w:pPr>
          </w:p>
        </w:tc>
        <w:tc>
          <w:tcPr>
            <w:tcW w:w="148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w:t>
            </w:r>
          </w:p>
        </w:tc>
      </w:tr>
      <w:tr>
        <w:trPr>
          <w:trHeight w:val="283"/>
        </w:trPr>
        <w:tc>
          <w:tcPr>
            <w:tcW w:w="79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2013</w:t>
            </w:r>
          </w:p>
        </w:tc>
      </w:tr>
      <w:tr>
        <w:trPr>
          <w:trHeight w:val="247"/>
        </w:trPr>
        <w:tc>
          <w:tcPr>
            <w:tcW w:w="7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320" w:type="dxa"/>
            <w:vAlign w:val="bottom"/>
            <w:gridSpan w:val="4"/>
          </w:tcPr>
          <w:p>
            <w:pPr>
              <w:jc w:val="right"/>
              <w:ind w:right="1119"/>
              <w:spacing w:after="0"/>
              <w:rPr>
                <w:sz w:val="20"/>
                <w:szCs w:val="20"/>
                <w:color w:val="auto"/>
              </w:rPr>
            </w:pPr>
            <w:r>
              <w:rPr>
                <w:rFonts w:ascii="Arial" w:cs="Arial" w:eastAsia="Arial" w:hAnsi="Arial"/>
                <w:sz w:val="16"/>
                <w:szCs w:val="16"/>
                <w:b w:val="1"/>
                <w:bCs w:val="1"/>
                <w:color w:val="auto"/>
              </w:rPr>
              <w:t>(in thousands)</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Computer equipment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33,764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27,464</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Computer software</w:t>
            </w:r>
          </w:p>
        </w:tc>
        <w:tc>
          <w:tcPr>
            <w:tcW w:w="200" w:type="dxa"/>
            <w:vAlign w:val="bottom"/>
          </w:tcPr>
          <w:p>
            <w:pPr>
              <w:spacing w:after="0"/>
              <w:rPr>
                <w:sz w:val="22"/>
                <w:szCs w:val="22"/>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9,452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9,277</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Furniture, fixtures and equipment</w:t>
            </w: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2,826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2,031</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Scanner appliances</w:t>
            </w:r>
          </w:p>
        </w:tc>
        <w:tc>
          <w:tcPr>
            <w:tcW w:w="200" w:type="dxa"/>
            <w:vAlign w:val="bottom"/>
          </w:tcPr>
          <w:p>
            <w:pPr>
              <w:spacing w:after="0"/>
              <w:rPr>
                <w:sz w:val="22"/>
                <w:szCs w:val="22"/>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19,142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17,055</w:t>
            </w:r>
          </w:p>
        </w:tc>
      </w:tr>
      <w:tr>
        <w:trPr>
          <w:trHeight w:val="273"/>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Leasehold improvements</w:t>
            </w:r>
          </w:p>
        </w:tc>
        <w:tc>
          <w:tcPr>
            <w:tcW w:w="2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2,337</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2,100</w:t>
            </w:r>
          </w:p>
        </w:tc>
      </w:tr>
      <w:tr>
        <w:trPr>
          <w:trHeight w:val="247"/>
        </w:trPr>
        <w:tc>
          <w:tcPr>
            <w:tcW w:w="7900" w:type="dxa"/>
            <w:vAlign w:val="bottom"/>
          </w:tcPr>
          <w:p>
            <w:pPr>
              <w:ind w:left="280"/>
              <w:spacing w:after="0"/>
              <w:rPr>
                <w:sz w:val="20"/>
                <w:szCs w:val="20"/>
                <w:color w:val="auto"/>
              </w:rPr>
            </w:pPr>
            <w:r>
              <w:rPr>
                <w:rFonts w:ascii="Arial" w:cs="Arial" w:eastAsia="Arial" w:hAnsi="Arial"/>
                <w:sz w:val="16"/>
                <w:szCs w:val="16"/>
                <w:color w:val="auto"/>
              </w:rPr>
              <w:t>Total property and equipment</w:t>
            </w:r>
          </w:p>
        </w:tc>
        <w:tc>
          <w:tcPr>
            <w:tcW w:w="200" w:type="dxa"/>
            <w:vAlign w:val="bottom"/>
          </w:tcPr>
          <w:p>
            <w:pPr>
              <w:spacing w:after="0"/>
              <w:rPr>
                <w:sz w:val="21"/>
                <w:szCs w:val="21"/>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67,521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57,927</w:t>
            </w:r>
          </w:p>
        </w:tc>
      </w:tr>
      <w:tr>
        <w:trPr>
          <w:trHeight w:val="273"/>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accumulated depreciation and amortization</w:t>
            </w:r>
          </w:p>
        </w:tc>
        <w:tc>
          <w:tcPr>
            <w:tcW w:w="2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(42,745)</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(34,852)</w:t>
            </w:r>
          </w:p>
        </w:tc>
      </w:tr>
      <w:tr>
        <w:trPr>
          <w:trHeight w:val="240"/>
        </w:trPr>
        <w:tc>
          <w:tcPr>
            <w:tcW w:w="7900" w:type="dxa"/>
            <w:vAlign w:val="bottom"/>
          </w:tcPr>
          <w:p>
            <w:pPr>
              <w:ind w:left="280"/>
              <w:spacing w:after="0"/>
              <w:rPr>
                <w:sz w:val="20"/>
                <w:szCs w:val="20"/>
                <w:color w:val="auto"/>
              </w:rPr>
            </w:pPr>
            <w:r>
              <w:rPr>
                <w:rFonts w:ascii="Arial" w:cs="Arial" w:eastAsia="Arial" w:hAnsi="Arial"/>
                <w:sz w:val="16"/>
                <w:szCs w:val="16"/>
                <w:color w:val="auto"/>
              </w:rPr>
              <w:t>Property and equipment, net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24,776</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23,075</w:t>
            </w: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firstLine="486"/>
        <w:spacing w:after="0" w:line="256" w:lineRule="auto"/>
        <w:rPr>
          <w:sz w:val="20"/>
          <w:szCs w:val="20"/>
          <w:color w:val="auto"/>
        </w:rPr>
      </w:pPr>
      <w:r>
        <w:rPr>
          <w:rFonts w:ascii="Arial" w:cs="Arial" w:eastAsia="Arial" w:hAnsi="Arial"/>
          <w:sz w:val="18"/>
          <w:szCs w:val="18"/>
          <w:color w:val="231F20"/>
        </w:rPr>
        <w:t xml:space="preserve">Assets held under capital lease included in computer software totaled approximately </w:t>
      </w:r>
      <w:r>
        <w:rPr>
          <w:rFonts w:ascii="Arial" w:cs="Arial" w:eastAsia="Arial" w:hAnsi="Arial"/>
          <w:sz w:val="18"/>
          <w:szCs w:val="18"/>
          <w:color w:val="000000"/>
        </w:rPr>
        <w:t>$3.1 million</w:t>
      </w:r>
      <w:r>
        <w:rPr>
          <w:rFonts w:ascii="Arial" w:cs="Arial" w:eastAsia="Arial" w:hAnsi="Arial"/>
          <w:sz w:val="18"/>
          <w:szCs w:val="18"/>
          <w:color w:val="231F20"/>
        </w:rPr>
        <w:t xml:space="preserve"> and the related accumulated depreciation totaled </w:t>
      </w:r>
      <w:r>
        <w:rPr>
          <w:rFonts w:ascii="Arial" w:cs="Arial" w:eastAsia="Arial" w:hAnsi="Arial"/>
          <w:sz w:val="18"/>
          <w:szCs w:val="18"/>
          <w:color w:val="000000"/>
        </w:rPr>
        <w:t>$1.2 million</w:t>
      </w:r>
      <w:r>
        <w:rPr>
          <w:rFonts w:ascii="Arial" w:cs="Arial" w:eastAsia="Arial" w:hAnsi="Arial"/>
          <w:sz w:val="18"/>
          <w:szCs w:val="18"/>
          <w:color w:val="231F20"/>
        </w:rPr>
        <w:t xml:space="preserve"> at December 31, 2013. These capital lease obligations were secured by the related software. There were no assets under capital lease at September 30, 2014.</w:t>
      </w:r>
    </w:p>
    <w:p>
      <w:pPr>
        <w:spacing w:after="0" w:line="256"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231F20"/>
        </w:rPr>
        <w:t xml:space="preserve">Physical scanner appliances and other computer equipment that are or will be subject to subscriptions by customers have a net carrying value of </w:t>
      </w:r>
      <w:r>
        <w:rPr>
          <w:rFonts w:ascii="Arial" w:cs="Arial" w:eastAsia="Arial" w:hAnsi="Arial"/>
          <w:sz w:val="18"/>
          <w:szCs w:val="18"/>
          <w:color w:val="000000"/>
        </w:rPr>
        <w:t>$ 5.3</w:t>
      </w:r>
      <w:r>
        <w:rPr>
          <w:rFonts w:ascii="Arial" w:cs="Arial" w:eastAsia="Arial" w:hAnsi="Arial"/>
          <w:sz w:val="18"/>
          <w:szCs w:val="18"/>
          <w:color w:val="231F20"/>
        </w:rPr>
        <w:t xml:space="preserve"> million and </w:t>
      </w:r>
      <w:r>
        <w:rPr>
          <w:rFonts w:ascii="Arial" w:cs="Arial" w:eastAsia="Arial" w:hAnsi="Arial"/>
          <w:sz w:val="18"/>
          <w:szCs w:val="18"/>
          <w:color w:val="000000"/>
        </w:rPr>
        <w:t>$4.7</w:t>
      </w:r>
      <w:r>
        <w:rPr>
          <w:rFonts w:ascii="Arial" w:cs="Arial" w:eastAsia="Arial" w:hAnsi="Arial"/>
          <w:sz w:val="18"/>
          <w:szCs w:val="18"/>
          <w:color w:val="231F20"/>
        </w:rPr>
        <w:t xml:space="preserve"> million at </w:t>
      </w:r>
      <w:r>
        <w:rPr>
          <w:rFonts w:ascii="Arial" w:cs="Arial" w:eastAsia="Arial" w:hAnsi="Arial"/>
          <w:sz w:val="18"/>
          <w:szCs w:val="18"/>
          <w:color w:val="000000"/>
        </w:rPr>
        <w:t>September 30, 2014</w:t>
      </w:r>
      <w:r>
        <w:rPr>
          <w:rFonts w:ascii="Arial" w:cs="Arial" w:eastAsia="Arial" w:hAnsi="Arial"/>
          <w:sz w:val="18"/>
          <w:szCs w:val="18"/>
          <w:color w:val="231F20"/>
        </w:rPr>
        <w:t xml:space="preserve"> and December 31, 2013, respectively, including assets that have not been placed in service of </w:t>
      </w:r>
      <w:r>
        <w:rPr>
          <w:rFonts w:ascii="Arial" w:cs="Arial" w:eastAsia="Arial" w:hAnsi="Arial"/>
          <w:sz w:val="18"/>
          <w:szCs w:val="18"/>
          <w:color w:val="000000"/>
        </w:rPr>
        <w:t>$0.9</w:t>
      </w:r>
      <w:r>
        <w:rPr>
          <w:rFonts w:ascii="Arial" w:cs="Arial" w:eastAsia="Arial" w:hAnsi="Arial"/>
          <w:sz w:val="18"/>
          <w:szCs w:val="18"/>
          <w:color w:val="231F20"/>
        </w:rPr>
        <w:t xml:space="preserve"> million and </w:t>
      </w:r>
      <w:r>
        <w:rPr>
          <w:rFonts w:ascii="Arial" w:cs="Arial" w:eastAsia="Arial" w:hAnsi="Arial"/>
          <w:sz w:val="18"/>
          <w:szCs w:val="18"/>
          <w:color w:val="000000"/>
        </w:rPr>
        <w:t>$0.6</w:t>
      </w:r>
      <w:r>
        <w:rPr>
          <w:rFonts w:ascii="Arial" w:cs="Arial" w:eastAsia="Arial" w:hAnsi="Arial"/>
          <w:sz w:val="18"/>
          <w:szCs w:val="18"/>
          <w:color w:val="231F20"/>
        </w:rPr>
        <w:t xml:space="preserve"> million, respectively. Other fixed assets not placed in service at September 30, 2014 and December 31, 2013, included in computer equipment and leasehold improvements, relate to new information technology systems and tenant improvements of approximately </w:t>
      </w:r>
      <w:r>
        <w:rPr>
          <w:rFonts w:ascii="Arial" w:cs="Arial" w:eastAsia="Arial" w:hAnsi="Arial"/>
          <w:sz w:val="18"/>
          <w:szCs w:val="18"/>
          <w:color w:val="000000"/>
        </w:rPr>
        <w:t>$2.2</w:t>
      </w:r>
      <w:r>
        <w:rPr>
          <w:rFonts w:ascii="Arial" w:cs="Arial" w:eastAsia="Arial" w:hAnsi="Arial"/>
          <w:sz w:val="18"/>
          <w:szCs w:val="18"/>
          <w:color w:val="231F20"/>
        </w:rPr>
        <w:t xml:space="preserve"> million and $1.6 million, respectively. Depreciation and amortization expense relating to property and equipment, including capitalized leases, was $2.9 million and $2.4 million for </w:t>
      </w:r>
      <w:r>
        <w:rPr>
          <w:rFonts w:ascii="Arial" w:cs="Arial" w:eastAsia="Arial" w:hAnsi="Arial"/>
          <w:sz w:val="18"/>
          <w:szCs w:val="18"/>
          <w:color w:val="000000"/>
        </w:rPr>
        <w:t>three months ended September 30, 2014</w:t>
      </w:r>
      <w:r>
        <w:rPr>
          <w:rFonts w:ascii="Arial" w:cs="Arial" w:eastAsia="Arial" w:hAnsi="Arial"/>
          <w:sz w:val="18"/>
          <w:szCs w:val="18"/>
          <w:color w:val="231F20"/>
        </w:rPr>
        <w:t xml:space="preserve"> and 2013, respectively, and $8.5 million and $6.7 million for the nine months ended September 30, 2014 and 2013, respectively.</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41"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4. Goodwill and Intangible Assets, Net</w:t>
      </w:r>
    </w:p>
    <w:p>
      <w:pPr>
        <w:spacing w:after="0" w:line="247" w:lineRule="exact"/>
        <w:rPr>
          <w:sz w:val="20"/>
          <w:szCs w:val="20"/>
          <w:color w:val="auto"/>
        </w:rPr>
      </w:pPr>
    </w:p>
    <w:p>
      <w:pPr>
        <w:ind w:right="880" w:firstLine="486"/>
        <w:spacing w:after="0" w:line="291" w:lineRule="auto"/>
        <w:rPr>
          <w:sz w:val="20"/>
          <w:szCs w:val="20"/>
          <w:color w:val="auto"/>
        </w:rPr>
      </w:pPr>
      <w:r>
        <w:rPr>
          <w:rFonts w:ascii="Arial" w:cs="Arial" w:eastAsia="Arial" w:hAnsi="Arial"/>
          <w:sz w:val="17"/>
          <w:szCs w:val="17"/>
          <w:color w:val="231F20"/>
        </w:rPr>
        <w:t>Intangible assets consist primarily of existing technology, patent license and non-competition agreements acquired in business combinations. Acquired intangibles are amortized on a straight-line basis over the respective estimated useful lives of the assets.</w:t>
      </w:r>
    </w:p>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carrying values of intangible assets are as follows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4"/>
          </w:tcPr>
          <w:p>
            <w:pPr>
              <w:jc w:val="right"/>
              <w:ind w:right="268"/>
              <w:spacing w:after="0"/>
              <w:rPr>
                <w:sz w:val="20"/>
                <w:szCs w:val="20"/>
                <w:color w:val="auto"/>
              </w:rPr>
            </w:pPr>
            <w:r>
              <w:rPr>
                <w:rFonts w:ascii="Arial" w:cs="Arial" w:eastAsia="Arial" w:hAnsi="Arial"/>
                <w:sz w:val="14"/>
                <w:szCs w:val="14"/>
                <w:b w:val="1"/>
                <w:bCs w:val="1"/>
                <w:color w:val="auto"/>
              </w:rPr>
              <w:t>September 30, 2014</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4"/>
          </w:tcPr>
          <w:p>
            <w:pPr>
              <w:jc w:val="right"/>
              <w:ind w:right="268"/>
              <w:spacing w:after="0"/>
              <w:rPr>
                <w:sz w:val="20"/>
                <w:szCs w:val="20"/>
                <w:color w:val="auto"/>
              </w:rPr>
            </w:pPr>
            <w:r>
              <w:rPr>
                <w:rFonts w:ascii="Arial" w:cs="Arial" w:eastAsia="Arial" w:hAnsi="Arial"/>
                <w:sz w:val="14"/>
                <w:szCs w:val="14"/>
                <w:b w:val="1"/>
                <w:bCs w:val="1"/>
                <w:color w:val="auto"/>
              </w:rPr>
              <w:t>December 31, 2013</w:t>
            </w:r>
          </w:p>
        </w:tc>
      </w:tr>
      <w:tr>
        <w:trPr>
          <w:trHeight w:val="175"/>
        </w:trPr>
        <w:tc>
          <w:tcPr>
            <w:tcW w:w="5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center"/>
              <w:ind w:right="48"/>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center"/>
              <w:ind w:right="48"/>
              <w:spacing w:after="0"/>
              <w:rPr>
                <w:sz w:val="20"/>
                <w:szCs w:val="20"/>
                <w:color w:val="auto"/>
              </w:rPr>
            </w:pPr>
            <w:r>
              <w:rPr>
                <w:rFonts w:ascii="Arial" w:cs="Arial" w:eastAsia="Arial" w:hAnsi="Arial"/>
                <w:sz w:val="14"/>
                <w:szCs w:val="14"/>
                <w:b w:val="1"/>
                <w:bCs w:val="1"/>
                <w:color w:val="auto"/>
                <w:w w:val="97"/>
              </w:rPr>
              <w:t>Net</w:t>
            </w:r>
          </w:p>
        </w:tc>
      </w:tr>
      <w:tr>
        <w:trPr>
          <w:trHeight w:val="162"/>
        </w:trPr>
        <w:tc>
          <w:tcPr>
            <w:tcW w:w="5160" w:type="dxa"/>
            <w:vAlign w:val="bottom"/>
          </w:tcPr>
          <w:p>
            <w:pPr>
              <w:spacing w:after="0"/>
              <w:rPr>
                <w:sz w:val="14"/>
                <w:szCs w:val="14"/>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Estimated</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540" w:type="dxa"/>
            <w:vAlign w:val="bottom"/>
          </w:tcPr>
          <w:p>
            <w:pPr>
              <w:jc w:val="center"/>
              <w:ind w:right="68"/>
              <w:spacing w:after="0"/>
              <w:rPr>
                <w:sz w:val="20"/>
                <w:szCs w:val="20"/>
                <w:color w:val="auto"/>
              </w:rPr>
            </w:pPr>
            <w:r>
              <w:rPr>
                <w:rFonts w:ascii="Arial" w:cs="Arial" w:eastAsia="Arial" w:hAnsi="Arial"/>
                <w:sz w:val="14"/>
                <w:szCs w:val="14"/>
                <w:b w:val="1"/>
                <w:bCs w:val="1"/>
                <w:color w:val="auto"/>
              </w:rPr>
              <w:t>Book</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540" w:type="dxa"/>
            <w:vAlign w:val="bottom"/>
          </w:tcPr>
          <w:p>
            <w:pPr>
              <w:jc w:val="center"/>
              <w:ind w:right="68"/>
              <w:spacing w:after="0"/>
              <w:rPr>
                <w:sz w:val="20"/>
                <w:szCs w:val="20"/>
                <w:color w:val="auto"/>
              </w:rPr>
            </w:pPr>
            <w:r>
              <w:rPr>
                <w:rFonts w:ascii="Arial" w:cs="Arial" w:eastAsia="Arial" w:hAnsi="Arial"/>
                <w:sz w:val="14"/>
                <w:szCs w:val="14"/>
                <w:b w:val="1"/>
                <w:bCs w:val="1"/>
                <w:color w:val="auto"/>
              </w:rPr>
              <w:t>Book</w:t>
            </w:r>
          </w:p>
        </w:tc>
      </w:tr>
      <w:tr>
        <w:trPr>
          <w:trHeight w:val="196"/>
        </w:trPr>
        <w:tc>
          <w:tcPr>
            <w:tcW w:w="516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Lives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Value</w:t>
            </w: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Existing technology</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 years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1,910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1,001</w:t>
            </w: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Patent license</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14 years</w:t>
            </w:r>
          </w:p>
        </w:tc>
        <w:tc>
          <w:tcPr>
            <w:tcW w:w="1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1,388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(397)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991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(323)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1,065</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Non-competition agreements and other</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 years</w:t>
            </w:r>
          </w:p>
        </w:tc>
        <w:tc>
          <w:tcPr>
            <w:tcW w:w="1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w:t>
            </w:r>
          </w:p>
        </w:tc>
      </w:tr>
      <w:tr>
        <w:trPr>
          <w:trHeight w:val="283"/>
        </w:trPr>
        <w:tc>
          <w:tcPr>
            <w:tcW w:w="5160" w:type="dxa"/>
            <w:vAlign w:val="bottom"/>
          </w:tcPr>
          <w:p>
            <w:pPr>
              <w:ind w:left="240"/>
              <w:spacing w:after="0"/>
              <w:rPr>
                <w:sz w:val="20"/>
                <w:szCs w:val="20"/>
                <w:color w:val="auto"/>
              </w:rPr>
            </w:pPr>
            <w:r>
              <w:rPr>
                <w:rFonts w:ascii="Arial" w:cs="Arial" w:eastAsia="Arial" w:hAnsi="Arial"/>
                <w:sz w:val="14"/>
                <w:szCs w:val="14"/>
                <w:color w:val="auto"/>
              </w:rPr>
              <w:t>Total intangibles subject to amortization</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3,469</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(1,665)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1,804</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(1,370)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2,099</w:t>
            </w:r>
          </w:p>
        </w:tc>
      </w:tr>
      <w:tr>
        <w:trPr>
          <w:trHeight w:val="245"/>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Intangible assets not subject to amortization</w:t>
            </w:r>
          </w:p>
        </w:tc>
        <w:tc>
          <w:tcPr>
            <w:tcW w:w="10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auto"/>
            </w:tcBorders>
            <w:shd w:val="clear" w:color="auto" w:fill="CCEEFF"/>
          </w:tcPr>
          <w:p>
            <w:pPr>
              <w:spacing w:after="0"/>
              <w:rPr>
                <w:sz w:val="21"/>
                <w:szCs w:val="21"/>
                <w:color w:val="auto"/>
              </w:rPr>
            </w:pPr>
          </w:p>
        </w:tc>
        <w:tc>
          <w:tcPr>
            <w:tcW w:w="540" w:type="dxa"/>
            <w:vAlign w:val="bottom"/>
            <w:tcBorders>
              <w:top w:val="single" w:sz="8" w:color="CCEEFF"/>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295</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auto"/>
            </w:tcBorders>
            <w:shd w:val="clear" w:color="auto" w:fill="CCEEFF"/>
          </w:tcPr>
          <w:p>
            <w:pPr>
              <w:spacing w:after="0"/>
              <w:rPr>
                <w:sz w:val="21"/>
                <w:szCs w:val="21"/>
                <w:color w:val="auto"/>
              </w:rPr>
            </w:pPr>
          </w:p>
        </w:tc>
        <w:tc>
          <w:tcPr>
            <w:tcW w:w="540" w:type="dxa"/>
            <w:vAlign w:val="bottom"/>
            <w:tcBorders>
              <w:top w:val="single" w:sz="8" w:color="CCEEFF"/>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295</w:t>
            </w:r>
          </w:p>
        </w:tc>
      </w:tr>
      <w:tr>
        <w:trPr>
          <w:trHeight w:val="243"/>
        </w:trPr>
        <w:tc>
          <w:tcPr>
            <w:tcW w:w="5160" w:type="dxa"/>
            <w:vAlign w:val="bottom"/>
          </w:tcPr>
          <w:p>
            <w:pPr>
              <w:ind w:left="240"/>
              <w:spacing w:after="0"/>
              <w:rPr>
                <w:sz w:val="20"/>
                <w:szCs w:val="20"/>
                <w:color w:val="auto"/>
              </w:rPr>
            </w:pPr>
            <w:r>
              <w:rPr>
                <w:rFonts w:ascii="Arial" w:cs="Arial" w:eastAsia="Arial" w:hAnsi="Arial"/>
                <w:sz w:val="14"/>
                <w:szCs w:val="14"/>
                <w:color w:val="auto"/>
              </w:rPr>
              <w:t>Total intangible assets, net</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2,394</w:t>
            </w:r>
          </w:p>
        </w:tc>
      </w:tr>
      <w:tr>
        <w:trPr>
          <w:trHeight w:val="20"/>
        </w:trPr>
        <w:tc>
          <w:tcPr>
            <w:tcW w:w="5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231F20"/>
        </w:rPr>
        <w:t xml:space="preserve">Intangibles amortization expense was $0.1 million for the </w:t>
      </w:r>
      <w:r>
        <w:rPr>
          <w:rFonts w:ascii="Arial" w:cs="Arial" w:eastAsia="Arial" w:hAnsi="Arial"/>
          <w:sz w:val="18"/>
          <w:szCs w:val="18"/>
          <w:color w:val="000000"/>
        </w:rPr>
        <w:t>three months ended September 30, 2014</w:t>
      </w:r>
      <w:r>
        <w:rPr>
          <w:rFonts w:ascii="Arial" w:cs="Arial" w:eastAsia="Arial" w:hAnsi="Arial"/>
          <w:sz w:val="18"/>
          <w:szCs w:val="18"/>
          <w:color w:val="231F20"/>
        </w:rPr>
        <w:t xml:space="preserve"> and </w:t>
      </w:r>
      <w:r>
        <w:rPr>
          <w:rFonts w:ascii="Arial" w:cs="Arial" w:eastAsia="Arial" w:hAnsi="Arial"/>
          <w:sz w:val="18"/>
          <w:szCs w:val="18"/>
          <w:color w:val="000000"/>
        </w:rPr>
        <w:t>2013</w:t>
      </w:r>
      <w:r>
        <w:rPr>
          <w:rFonts w:ascii="Arial" w:cs="Arial" w:eastAsia="Arial" w:hAnsi="Arial"/>
          <w:sz w:val="18"/>
          <w:szCs w:val="18"/>
          <w:color w:val="231F20"/>
        </w:rPr>
        <w:t xml:space="preserve"> and $0.3 million for the nine months ended September 30, 2014 and 2013.</w:t>
      </w:r>
    </w:p>
    <w:p>
      <w:pPr>
        <w:spacing w:after="0" w:line="223"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September 30, 2014</w:t>
      </w:r>
      <w:r>
        <w:rPr>
          <w:rFonts w:ascii="Arial" w:cs="Arial" w:eastAsia="Arial" w:hAnsi="Arial"/>
          <w:sz w:val="18"/>
          <w:szCs w:val="18"/>
          <w:color w:val="231F20"/>
        </w:rPr>
        <w:t>, the Company expects amortization expense in future periods to be as follows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Remainder of 2014</w:t>
            </w: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98</w:t>
            </w:r>
          </w:p>
        </w:tc>
      </w:tr>
      <w:tr>
        <w:trPr>
          <w:trHeight w:val="233"/>
        </w:trPr>
        <w:tc>
          <w:tcPr>
            <w:tcW w:w="9940" w:type="dxa"/>
            <w:vAlign w:val="bottom"/>
          </w:tcPr>
          <w:p>
            <w:pPr>
              <w:ind w:left="40"/>
              <w:spacing w:after="0"/>
              <w:rPr>
                <w:sz w:val="20"/>
                <w:szCs w:val="20"/>
                <w:color w:val="auto"/>
              </w:rPr>
            </w:pPr>
            <w:r>
              <w:rPr>
                <w:rFonts w:ascii="Arial" w:cs="Arial" w:eastAsia="Arial" w:hAnsi="Arial"/>
                <w:sz w:val="16"/>
                <w:szCs w:val="16"/>
                <w:color w:val="auto"/>
              </w:rPr>
              <w:t>2015</w:t>
            </w:r>
          </w:p>
        </w:tc>
        <w:tc>
          <w:tcPr>
            <w:tcW w:w="5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386</w:t>
            </w:r>
          </w:p>
        </w:tc>
      </w:tr>
      <w:tr>
        <w:trPr>
          <w:trHeight w:val="25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2016</w:t>
            </w: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373</w:t>
            </w:r>
          </w:p>
        </w:tc>
      </w:tr>
      <w:tr>
        <w:trPr>
          <w:trHeight w:val="233"/>
        </w:trPr>
        <w:tc>
          <w:tcPr>
            <w:tcW w:w="9940" w:type="dxa"/>
            <w:vAlign w:val="bottom"/>
          </w:tcPr>
          <w:p>
            <w:pPr>
              <w:ind w:left="40"/>
              <w:spacing w:after="0"/>
              <w:rPr>
                <w:sz w:val="20"/>
                <w:szCs w:val="20"/>
                <w:color w:val="auto"/>
              </w:rPr>
            </w:pPr>
            <w:r>
              <w:rPr>
                <w:rFonts w:ascii="Arial" w:cs="Arial" w:eastAsia="Arial" w:hAnsi="Arial"/>
                <w:sz w:val="16"/>
                <w:szCs w:val="16"/>
                <w:color w:val="auto"/>
              </w:rPr>
              <w:t>2017</w:t>
            </w:r>
          </w:p>
        </w:tc>
        <w:tc>
          <w:tcPr>
            <w:tcW w:w="5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282</w:t>
            </w:r>
          </w:p>
        </w:tc>
      </w:tr>
      <w:tr>
        <w:trPr>
          <w:trHeight w:val="25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r>
      <w:tr>
        <w:trPr>
          <w:trHeight w:val="237"/>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2019 and thereafter</w:t>
            </w: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565</w:t>
            </w:r>
          </w:p>
        </w:tc>
      </w:tr>
      <w:tr>
        <w:trPr>
          <w:trHeight w:val="24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expected future amortization expense</w:t>
            </w: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1,804</w:t>
            </w:r>
          </w:p>
        </w:tc>
      </w:tr>
      <w:tr>
        <w:trPr>
          <w:trHeight w:val="20"/>
        </w:trPr>
        <w:tc>
          <w:tcPr>
            <w:tcW w:w="99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Goodwill, which is not subject to amortization, totaled $0.3 million as of </w:t>
      </w:r>
      <w:r>
        <w:rPr>
          <w:rFonts w:ascii="Arial" w:cs="Arial" w:eastAsia="Arial" w:hAnsi="Arial"/>
          <w:sz w:val="18"/>
          <w:szCs w:val="18"/>
          <w:color w:val="000000"/>
        </w:rPr>
        <w:t>September 30, 2014</w:t>
      </w:r>
      <w:r>
        <w:rPr>
          <w:rFonts w:ascii="Arial" w:cs="Arial" w:eastAsia="Arial" w:hAnsi="Arial"/>
          <w:sz w:val="18"/>
          <w:szCs w:val="18"/>
          <w:color w:val="231F20"/>
        </w:rPr>
        <w:t xml:space="preserve"> and December 31, </w:t>
      </w:r>
      <w:r>
        <w:rPr>
          <w:rFonts w:ascii="Arial" w:cs="Arial" w:eastAsia="Arial" w:hAnsi="Arial"/>
          <w:sz w:val="18"/>
          <w:szCs w:val="18"/>
          <w:color w:val="000000"/>
        </w:rPr>
        <w:t>2013</w:t>
      </w:r>
      <w:r>
        <w:rPr>
          <w:rFonts w:ascii="Arial" w:cs="Arial" w:eastAsia="Arial" w:hAnsi="Arial"/>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41"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5. Commitments and Contingencies</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Leases</w:t>
      </w:r>
    </w:p>
    <w:p>
      <w:pPr>
        <w:spacing w:after="0" w:line="193" w:lineRule="exact"/>
        <w:rPr>
          <w:sz w:val="20"/>
          <w:szCs w:val="20"/>
          <w:color w:val="auto"/>
        </w:rPr>
      </w:pPr>
    </w:p>
    <w:p>
      <w:pPr>
        <w:ind w:right="560" w:firstLine="486"/>
        <w:spacing w:after="0" w:line="262" w:lineRule="auto"/>
        <w:rPr>
          <w:sz w:val="20"/>
          <w:szCs w:val="20"/>
          <w:color w:val="auto"/>
        </w:rPr>
      </w:pPr>
      <w:r>
        <w:rPr>
          <w:rFonts w:ascii="Arial" w:cs="Arial" w:eastAsia="Arial" w:hAnsi="Arial"/>
          <w:sz w:val="18"/>
          <w:szCs w:val="18"/>
          <w:color w:val="231F20"/>
        </w:rPr>
        <w:t>The Company leases certain computer equipment and its corporate office and data center facilities under noncancelable operating leases for varying periods through 2024. There were no remaining capital lease obligations as of September 30, 2014.</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The following are the minimum annual lease payments due under operating leases at </w:t>
      </w:r>
      <w:r>
        <w:rPr>
          <w:rFonts w:ascii="Arial" w:cs="Arial" w:eastAsia="Arial" w:hAnsi="Arial"/>
          <w:sz w:val="18"/>
          <w:szCs w:val="18"/>
          <w:color w:val="000000"/>
        </w:rPr>
        <w:t>September 30, 2014</w:t>
      </w:r>
      <w:r>
        <w:rPr>
          <w:rFonts w:ascii="Arial" w:cs="Arial" w:eastAsia="Arial" w:hAnsi="Arial"/>
          <w:sz w:val="18"/>
          <w:szCs w:val="18"/>
          <w:color w:val="231F20"/>
        </w:rPr>
        <w: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7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Operating Leases</w:t>
            </w:r>
          </w:p>
        </w:tc>
      </w:tr>
      <w:tr>
        <w:trPr>
          <w:trHeight w:val="247"/>
        </w:trPr>
        <w:tc>
          <w:tcPr>
            <w:tcW w:w="9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219"/>
              <w:spacing w:after="0"/>
              <w:rPr>
                <w:sz w:val="20"/>
                <w:szCs w:val="20"/>
                <w:color w:val="auto"/>
              </w:rPr>
            </w:pPr>
            <w:r>
              <w:rPr>
                <w:rFonts w:ascii="Arial" w:cs="Arial" w:eastAsia="Arial" w:hAnsi="Arial"/>
                <w:sz w:val="16"/>
                <w:szCs w:val="16"/>
                <w:b w:val="1"/>
                <w:bCs w:val="1"/>
                <w:color w:val="auto"/>
              </w:rPr>
              <w:t>(in thousands)</w:t>
            </w:r>
          </w:p>
        </w:tc>
      </w:tr>
      <w:tr>
        <w:trPr>
          <w:trHeight w:val="253"/>
        </w:trPr>
        <w:tc>
          <w:tcPr>
            <w:tcW w:w="9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Remainder of 2014</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1,049</w:t>
            </w:r>
          </w:p>
        </w:tc>
      </w:tr>
      <w:tr>
        <w:trPr>
          <w:trHeight w:val="233"/>
        </w:trPr>
        <w:tc>
          <w:tcPr>
            <w:tcW w:w="9720" w:type="dxa"/>
            <w:vAlign w:val="bottom"/>
          </w:tcPr>
          <w:p>
            <w:pPr>
              <w:ind w:left="40"/>
              <w:spacing w:after="0"/>
              <w:rPr>
                <w:sz w:val="20"/>
                <w:szCs w:val="20"/>
                <w:color w:val="auto"/>
              </w:rPr>
            </w:pPr>
            <w:r>
              <w:rPr>
                <w:rFonts w:ascii="Arial" w:cs="Arial" w:eastAsia="Arial" w:hAnsi="Arial"/>
                <w:sz w:val="16"/>
                <w:szCs w:val="16"/>
                <w:color w:val="auto"/>
              </w:rPr>
              <w:t>2015</w:t>
            </w:r>
          </w:p>
        </w:tc>
        <w:tc>
          <w:tcPr>
            <w:tcW w:w="14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3,138</w:t>
            </w:r>
          </w:p>
        </w:tc>
      </w:tr>
      <w:tr>
        <w:trPr>
          <w:trHeight w:val="253"/>
        </w:trPr>
        <w:tc>
          <w:tcPr>
            <w:tcW w:w="9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2016</w:t>
            </w:r>
          </w:p>
        </w:tc>
        <w:tc>
          <w:tcPr>
            <w:tcW w:w="14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2,142</w:t>
            </w:r>
          </w:p>
        </w:tc>
      </w:tr>
      <w:tr>
        <w:trPr>
          <w:trHeight w:val="233"/>
        </w:trPr>
        <w:tc>
          <w:tcPr>
            <w:tcW w:w="9720" w:type="dxa"/>
            <w:vAlign w:val="bottom"/>
          </w:tcPr>
          <w:p>
            <w:pPr>
              <w:ind w:left="40"/>
              <w:spacing w:after="0"/>
              <w:rPr>
                <w:sz w:val="20"/>
                <w:szCs w:val="20"/>
                <w:color w:val="auto"/>
              </w:rPr>
            </w:pPr>
            <w:r>
              <w:rPr>
                <w:rFonts w:ascii="Arial" w:cs="Arial" w:eastAsia="Arial" w:hAnsi="Arial"/>
                <w:sz w:val="16"/>
                <w:szCs w:val="16"/>
                <w:color w:val="auto"/>
              </w:rPr>
              <w:t>2017</w:t>
            </w:r>
          </w:p>
        </w:tc>
        <w:tc>
          <w:tcPr>
            <w:tcW w:w="14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1,836</w:t>
            </w:r>
          </w:p>
        </w:tc>
      </w:tr>
      <w:tr>
        <w:trPr>
          <w:trHeight w:val="253"/>
        </w:trPr>
        <w:tc>
          <w:tcPr>
            <w:tcW w:w="9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14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437</w:t>
            </w:r>
          </w:p>
        </w:tc>
      </w:tr>
      <w:tr>
        <w:trPr>
          <w:trHeight w:val="237"/>
        </w:trPr>
        <w:tc>
          <w:tcPr>
            <w:tcW w:w="97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2019 and thereafter</w:t>
            </w: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1,349</w:t>
            </w:r>
          </w:p>
        </w:tc>
      </w:tr>
      <w:tr>
        <w:trPr>
          <w:trHeight w:val="24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minimum lease payments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9,951</w:t>
            </w:r>
          </w:p>
        </w:tc>
      </w:tr>
      <w:tr>
        <w:trPr>
          <w:trHeight w:val="20"/>
        </w:trPr>
        <w:tc>
          <w:tcPr>
            <w:tcW w:w="9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231F20"/>
        </w:rPr>
        <w:t xml:space="preserve">Rent expense was $1.6 million and $ 1.3 million for the </w:t>
      </w:r>
      <w:r>
        <w:rPr>
          <w:rFonts w:ascii="Arial" w:cs="Arial" w:eastAsia="Arial" w:hAnsi="Arial"/>
          <w:sz w:val="18"/>
          <w:szCs w:val="18"/>
          <w:color w:val="000000"/>
        </w:rPr>
        <w:t>three months ended September 30, 2014</w:t>
      </w:r>
      <w:r>
        <w:rPr>
          <w:rFonts w:ascii="Arial" w:cs="Arial" w:eastAsia="Arial" w:hAnsi="Arial"/>
          <w:sz w:val="18"/>
          <w:szCs w:val="18"/>
          <w:color w:val="231F20"/>
        </w:rPr>
        <w:t xml:space="preserve"> and </w:t>
      </w:r>
      <w:r>
        <w:rPr>
          <w:rFonts w:ascii="Arial" w:cs="Arial" w:eastAsia="Arial" w:hAnsi="Arial"/>
          <w:sz w:val="18"/>
          <w:szCs w:val="18"/>
          <w:color w:val="000000"/>
        </w:rPr>
        <w:t>2013</w:t>
      </w:r>
      <w:r>
        <w:rPr>
          <w:rFonts w:ascii="Arial" w:cs="Arial" w:eastAsia="Arial" w:hAnsi="Arial"/>
          <w:sz w:val="18"/>
          <w:szCs w:val="18"/>
          <w:color w:val="231F20"/>
        </w:rPr>
        <w:t xml:space="preserve">, respectively, and $4.6 million and $4.0 million for the nine months ended September 30, 2014 and 2013, respectively. Although certain of the operating lease agreements provide for escalating rent payments over the terms of the leases, rent expense under these agreements is recognized on a straight-line basis. As of </w:t>
      </w:r>
      <w:r>
        <w:rPr>
          <w:rFonts w:ascii="Arial" w:cs="Arial" w:eastAsia="Arial" w:hAnsi="Arial"/>
          <w:sz w:val="18"/>
          <w:szCs w:val="18"/>
          <w:color w:val="000000"/>
        </w:rPr>
        <w:t>September 30, 2014</w:t>
      </w:r>
      <w:r>
        <w:rPr>
          <w:rFonts w:ascii="Arial" w:cs="Arial" w:eastAsia="Arial" w:hAnsi="Arial"/>
          <w:sz w:val="18"/>
          <w:szCs w:val="18"/>
          <w:color w:val="231F20"/>
        </w:rPr>
        <w:t xml:space="preserve"> and </w:t>
      </w:r>
      <w:r>
        <w:rPr>
          <w:rFonts w:ascii="Arial" w:cs="Arial" w:eastAsia="Arial" w:hAnsi="Arial"/>
          <w:sz w:val="18"/>
          <w:szCs w:val="18"/>
          <w:color w:val="000000"/>
        </w:rPr>
        <w:t>December 31, 2013</w:t>
      </w:r>
      <w:r>
        <w:rPr>
          <w:rFonts w:ascii="Arial" w:cs="Arial" w:eastAsia="Arial" w:hAnsi="Arial"/>
          <w:sz w:val="18"/>
          <w:szCs w:val="18"/>
          <w:color w:val="231F20"/>
        </w:rPr>
        <w:t>, the Company has accrued $0.6 million of deferred rent related to these agreements, which is reflected in other noncurrent liabilities in the accompanying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41"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3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Sales and Other Taxes</w:t>
      </w:r>
    </w:p>
    <w:p>
      <w:pPr>
        <w:spacing w:after="0" w:line="193"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231F20"/>
        </w:rPr>
        <w:t xml:space="preserve">The Company’s software-as-a-service solutions are subject to sales and other taxes in certain jurisdictions where the Company does business. The Company bills sales and other taxes to customers and remits these amounts to the respective government authorities. For those jurisdictions where the Company has not yet billed sales tax to its customers and believes it is probable it may have exposure and can reasonably estimate such exposure, it has recorded a liability of </w:t>
      </w:r>
      <w:r>
        <w:rPr>
          <w:rFonts w:ascii="Arial" w:cs="Arial" w:eastAsia="Arial" w:hAnsi="Arial"/>
          <w:sz w:val="18"/>
          <w:szCs w:val="18"/>
          <w:color w:val="000000"/>
        </w:rPr>
        <w:t>$0.5 million</w:t>
      </w:r>
      <w:r>
        <w:rPr>
          <w:rFonts w:ascii="Arial" w:cs="Arial" w:eastAsia="Arial" w:hAnsi="Arial"/>
          <w:sz w:val="18"/>
          <w:szCs w:val="18"/>
          <w:color w:val="231F20"/>
        </w:rPr>
        <w:t xml:space="preserve"> at </w:t>
      </w:r>
      <w:r>
        <w:rPr>
          <w:rFonts w:ascii="Arial" w:cs="Arial" w:eastAsia="Arial" w:hAnsi="Arial"/>
          <w:sz w:val="18"/>
          <w:szCs w:val="18"/>
          <w:color w:val="000000"/>
        </w:rPr>
        <w:t>September 30, 2014</w:t>
      </w:r>
      <w:r>
        <w:rPr>
          <w:rFonts w:ascii="Arial" w:cs="Arial" w:eastAsia="Arial" w:hAnsi="Arial"/>
          <w:sz w:val="18"/>
          <w:szCs w:val="18"/>
          <w:color w:val="231F20"/>
        </w:rPr>
        <w:t xml:space="preserve"> and </w:t>
      </w:r>
      <w:r>
        <w:rPr>
          <w:rFonts w:ascii="Arial" w:cs="Arial" w:eastAsia="Arial" w:hAnsi="Arial"/>
          <w:sz w:val="18"/>
          <w:szCs w:val="18"/>
          <w:color w:val="000000"/>
        </w:rPr>
        <w:t>December 31, 2013</w:t>
      </w:r>
      <w:r>
        <w:rPr>
          <w:rFonts w:ascii="Arial" w:cs="Arial" w:eastAsia="Arial" w:hAnsi="Arial"/>
          <w:sz w:val="18"/>
          <w:szCs w:val="18"/>
          <w:color w:val="231F20"/>
        </w:rPr>
        <w:t xml:space="preserve">, which is recorded within accrued liabilities in the condensed consolidated balance sheets. However, taxing jurisdictions have differing rules and regulations, which are subject to varying interpretations that may change over time. Other than the liability that the Company has accrued in its condensed consolidated balance sheets, the Company has been unable to assess the probability, or estimate the amount, of its sales tax exposure, if any. There are no pending reviews at </w:t>
      </w:r>
      <w:r>
        <w:rPr>
          <w:rFonts w:ascii="Arial" w:cs="Arial" w:eastAsia="Arial" w:hAnsi="Arial"/>
          <w:sz w:val="18"/>
          <w:szCs w:val="18"/>
          <w:color w:val="000000"/>
        </w:rPr>
        <w:t>September 30, 2014</w:t>
      </w:r>
      <w:r>
        <w:rPr>
          <w:rFonts w:ascii="Arial" w:cs="Arial" w:eastAsia="Arial" w:hAnsi="Arial"/>
          <w:sz w:val="18"/>
          <w:szCs w:val="18"/>
          <w:color w:val="231F20"/>
        </w:rPr>
        <w:t xml:space="preserve"> of which the outcome is expected to result in sales and other taxes due in excess of accrued liabilities. Management does not anticipate that its sales tax exposure, if any, would have a material adverse effect on the financial position, results of operations or cash flows of the Company.</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Indemnifications</w:t>
      </w:r>
    </w:p>
    <w:p>
      <w:pPr>
        <w:spacing w:after="0" w:line="193" w:lineRule="exact"/>
        <w:rPr>
          <w:sz w:val="20"/>
          <w:szCs w:val="20"/>
          <w:color w:val="auto"/>
        </w:rPr>
      </w:pPr>
    </w:p>
    <w:p>
      <w:pPr>
        <w:ind w:right="160" w:firstLine="486"/>
        <w:spacing w:after="0" w:line="252" w:lineRule="auto"/>
        <w:rPr>
          <w:sz w:val="20"/>
          <w:szCs w:val="20"/>
          <w:color w:val="auto"/>
        </w:rPr>
      </w:pPr>
      <w:r>
        <w:rPr>
          <w:rFonts w:ascii="Arial" w:cs="Arial" w:eastAsia="Arial" w:hAnsi="Arial"/>
          <w:sz w:val="18"/>
          <w:szCs w:val="18"/>
          <w:color w:val="231F20"/>
        </w:rPr>
        <w:t>The Company from time to time enters into certain types of contracts that contingently require it to indemnify various parties against claims from third parties. These contracts primarily relate to (i) the Company's by-laws, under which it must indemnify directors and executive officers, and may indemnify other officers and employees, for liabilities arising out of their relationship, (ii) contracts under which the Company must indemnify directors and certain officers for liabilities arising out of their relationship, and (iii) contracts under which the Company may be required to indemnify customers or resellers from certain liabilities arising from potential infringement of intellectual property rights, as well as potential damages caused by limited product defects. To date, the Company has not incurred and has not recorded any liability in connection with such indemnifications.</w:t>
      </w:r>
    </w:p>
    <w:p>
      <w:pPr>
        <w:spacing w:after="0" w:line="207" w:lineRule="exact"/>
        <w:rPr>
          <w:sz w:val="20"/>
          <w:szCs w:val="20"/>
          <w:color w:val="auto"/>
        </w:rPr>
      </w:pPr>
    </w:p>
    <w:p>
      <w:pPr>
        <w:ind w:right="560" w:firstLine="486"/>
        <w:spacing w:after="0" w:line="262" w:lineRule="auto"/>
        <w:rPr>
          <w:sz w:val="20"/>
          <w:szCs w:val="20"/>
          <w:color w:val="auto"/>
        </w:rPr>
      </w:pPr>
      <w:r>
        <w:rPr>
          <w:rFonts w:ascii="Arial" w:cs="Arial" w:eastAsia="Arial" w:hAnsi="Arial"/>
          <w:sz w:val="18"/>
          <w:szCs w:val="18"/>
          <w:color w:val="231F20"/>
        </w:rPr>
        <w:t>The Company maintains director and officer insurance, which may cover certain liabilities arising from its obligation to indemnify its directors.</w:t>
      </w:r>
    </w:p>
    <w:p>
      <w:pPr>
        <w:spacing w:after="0" w:line="29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Contingencies</w:t>
      </w:r>
    </w:p>
    <w:p>
      <w:pPr>
        <w:spacing w:after="0" w:line="193" w:lineRule="exact"/>
        <w:rPr>
          <w:sz w:val="20"/>
          <w:szCs w:val="20"/>
          <w:color w:val="auto"/>
        </w:rPr>
      </w:pPr>
    </w:p>
    <w:p>
      <w:pPr>
        <w:ind w:right="420" w:firstLine="486"/>
        <w:spacing w:after="0" w:line="256" w:lineRule="auto"/>
        <w:rPr>
          <w:sz w:val="20"/>
          <w:szCs w:val="20"/>
          <w:color w:val="auto"/>
        </w:rPr>
      </w:pPr>
      <w:r>
        <w:rPr>
          <w:rFonts w:ascii="Arial" w:cs="Arial" w:eastAsia="Arial" w:hAnsi="Arial"/>
          <w:sz w:val="18"/>
          <w:szCs w:val="18"/>
          <w:color w:val="231F20"/>
        </w:rPr>
        <w:t xml:space="preserve">From time to time, the Company may have certain contingent liabilities that arise in the ordinary course of its business activities. The Company accrues a liability for such matters when it is probable a loss has been incurred and such loss can be reasonably estimated. At </w:t>
      </w:r>
      <w:r>
        <w:rPr>
          <w:rFonts w:ascii="Arial" w:cs="Arial" w:eastAsia="Arial" w:hAnsi="Arial"/>
          <w:sz w:val="18"/>
          <w:szCs w:val="18"/>
          <w:color w:val="000000"/>
        </w:rPr>
        <w:t>September 30, 2014</w:t>
      </w:r>
      <w:r>
        <w:rPr>
          <w:rFonts w:ascii="Arial" w:cs="Arial" w:eastAsia="Arial" w:hAnsi="Arial"/>
          <w:sz w:val="18"/>
          <w:szCs w:val="18"/>
          <w:color w:val="231F20"/>
        </w:rPr>
        <w:t>, the Company has not recorded any material liabilities in accordance with accounting for contingencies.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41" w:right="2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6. Stock-based Compensation</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Stock Options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2012 Equity Incentive Plan</w:t>
      </w:r>
    </w:p>
    <w:p>
      <w:pPr>
        <w:spacing w:after="0" w:line="243" w:lineRule="exact"/>
        <w:rPr>
          <w:sz w:val="20"/>
          <w:szCs w:val="20"/>
          <w:color w:val="auto"/>
        </w:rPr>
      </w:pPr>
    </w:p>
    <w:p>
      <w:pPr>
        <w:ind w:right="80" w:firstLine="405"/>
        <w:spacing w:after="0" w:line="253" w:lineRule="auto"/>
        <w:rPr>
          <w:sz w:val="20"/>
          <w:szCs w:val="20"/>
          <w:color w:val="auto"/>
        </w:rPr>
      </w:pPr>
      <w:r>
        <w:rPr>
          <w:rFonts w:ascii="Arial" w:cs="Arial" w:eastAsia="Arial" w:hAnsi="Arial"/>
          <w:sz w:val="18"/>
          <w:szCs w:val="18"/>
          <w:color w:val="231F20"/>
        </w:rPr>
        <w:t>Under the 2012 Equity Incentive Plan (the "2012 Plan"), the Company is authorized to grant to eligible participants incentive stock options (“ISOs”), nonstatutory stock options (“NSOs”), stock appreciation rights ("SARs"), restricted stock awards ("RSAs"), restricted stock units ("RSUs"), performance units and performance shares equivalent to up to 4,668,764 shares of common stock. Options may be granted with an exercise price that is at least equal to the fair market value of the Company's stock at the date of grant and are exercisable when vested. As of September 30, 2014, 1,635,176 shares were available for grant under the 2012 Plan.</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2000 Equity Incentive Plan</w:t>
      </w:r>
    </w:p>
    <w:p>
      <w:pPr>
        <w:spacing w:after="0" w:line="243" w:lineRule="exact"/>
        <w:rPr>
          <w:sz w:val="20"/>
          <w:szCs w:val="20"/>
          <w:color w:val="auto"/>
        </w:rPr>
      </w:pPr>
    </w:p>
    <w:p>
      <w:pPr>
        <w:ind w:right="20" w:firstLine="405"/>
        <w:spacing w:after="0" w:line="256" w:lineRule="auto"/>
        <w:rPr>
          <w:sz w:val="20"/>
          <w:szCs w:val="20"/>
          <w:color w:val="auto"/>
        </w:rPr>
      </w:pPr>
      <w:r>
        <w:rPr>
          <w:rFonts w:ascii="Arial" w:cs="Arial" w:eastAsia="Arial" w:hAnsi="Arial"/>
          <w:sz w:val="18"/>
          <w:szCs w:val="18"/>
          <w:color w:val="231F20"/>
        </w:rPr>
        <w:t>Under the 2000 Equity Incentive Plan (the "2000 Plan"), the Company was authorized to grant to eligible participants either ISOs or NSOs. The 2000 Plan was terminated in connection with the closing of the initial public offering ("IPO"), and accordingly, no shares are currently available for issuance under the 2000 Plan. The 2000 Plan continues to govern outstanding awards granted thereunder.</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231F20"/>
        </w:rPr>
        <w:t>Employee Stock-based Compensation</w:t>
      </w:r>
    </w:p>
    <w:p>
      <w:pPr>
        <w:spacing w:after="0" w:line="243"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Employee stock-based compensation is included in the condensed consolidated statements of operations as follows: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20" w:type="dxa"/>
            <w:vAlign w:val="bottom"/>
          </w:tcPr>
          <w:p>
            <w:pPr>
              <w:spacing w:after="0"/>
              <w:rPr>
                <w:sz w:val="18"/>
                <w:szCs w:val="18"/>
                <w:color w:val="auto"/>
              </w:rPr>
            </w:pPr>
          </w:p>
        </w:tc>
        <w:tc>
          <w:tcPr>
            <w:tcW w:w="2960" w:type="dxa"/>
            <w:vAlign w:val="bottom"/>
            <w:gridSpan w:val="6"/>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8"/>
                <w:szCs w:val="18"/>
                <w:color w:val="auto"/>
              </w:rPr>
            </w:pPr>
          </w:p>
        </w:tc>
        <w:tc>
          <w:tcPr>
            <w:tcW w:w="2520" w:type="dxa"/>
            <w:vAlign w:val="bottom"/>
            <w:gridSpan w:val="4"/>
          </w:tcPr>
          <w:p>
            <w:pPr>
              <w:jc w:val="right"/>
              <w:ind w:right="579"/>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56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b w:val="1"/>
                <w:bCs w:val="1"/>
                <w:color w:val="auto"/>
              </w:rPr>
              <w:t>September 30,</w:t>
            </w:r>
          </w:p>
        </w:tc>
      </w:tr>
      <w:tr>
        <w:trPr>
          <w:trHeight w:val="264"/>
        </w:trPr>
        <w:tc>
          <w:tcPr>
            <w:tcW w:w="562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w w:val="95"/>
              </w:rPr>
              <w:t>2013</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r>
      <w:tr>
        <w:trPr>
          <w:trHeight w:val="247"/>
        </w:trPr>
        <w:tc>
          <w:tcPr>
            <w:tcW w:w="5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40" w:type="dxa"/>
            <w:vAlign w:val="bottom"/>
            <w:gridSpan w:val="5"/>
          </w:tcPr>
          <w:p>
            <w:pPr>
              <w:ind w:left="36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8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175</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297</w:t>
            </w: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860" w:type="dxa"/>
            <w:vAlign w:val="bottom"/>
          </w:tcPr>
          <w:p>
            <w:pPr>
              <w:spacing w:after="0"/>
              <w:rPr>
                <w:sz w:val="22"/>
                <w:szCs w:val="22"/>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599</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1,544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687</w:t>
            </w:r>
          </w:p>
        </w:tc>
      </w:tr>
      <w:tr>
        <w:trPr>
          <w:trHeight w:val="28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86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561</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1,839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804</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General and administrative</w:t>
            </w:r>
          </w:p>
        </w:tc>
        <w:tc>
          <w:tcPr>
            <w:tcW w:w="8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9"/>
              </w:rPr>
              <w:t>1,050</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2,815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1,299</w:t>
            </w:r>
          </w:p>
        </w:tc>
      </w:tr>
      <w:tr>
        <w:trPr>
          <w:trHeight w:val="24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employee stock-based compensation</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2,385</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1,226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6,680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3,087</w:t>
            </w: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560" w:firstLine="486"/>
        <w:spacing w:after="0" w:line="262" w:lineRule="auto"/>
        <w:rPr>
          <w:sz w:val="20"/>
          <w:szCs w:val="20"/>
          <w:color w:val="auto"/>
        </w:rPr>
      </w:pPr>
      <w:r>
        <w:rPr>
          <w:rFonts w:ascii="Arial" w:cs="Arial" w:eastAsia="Arial" w:hAnsi="Arial"/>
          <w:sz w:val="18"/>
          <w:szCs w:val="18"/>
          <w:color w:val="231F20"/>
        </w:rPr>
        <w:t>Compensation cost is recognized on a straight-line basis over the service period. Forfeitures are estimated at the time of grant and revised, if necessary, in subsequent periods if actual forfeitures differ from those estimates.</w:t>
      </w:r>
    </w:p>
    <w:p>
      <w:pPr>
        <w:spacing w:after="0" w:line="196" w:lineRule="exact"/>
        <w:rPr>
          <w:sz w:val="20"/>
          <w:szCs w:val="20"/>
          <w:color w:val="auto"/>
        </w:rPr>
      </w:pPr>
    </w:p>
    <w:p>
      <w:pPr>
        <w:ind w:right="460" w:firstLine="486"/>
        <w:spacing w:after="0" w:line="262"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September 30, 2014</w:t>
      </w:r>
      <w:r>
        <w:rPr>
          <w:rFonts w:ascii="Arial" w:cs="Arial" w:eastAsia="Arial" w:hAnsi="Arial"/>
          <w:sz w:val="18"/>
          <w:szCs w:val="18"/>
          <w:color w:val="231F20"/>
        </w:rPr>
        <w:t xml:space="preserve">, the Company had </w:t>
      </w:r>
      <w:r>
        <w:rPr>
          <w:rFonts w:ascii="Arial" w:cs="Arial" w:eastAsia="Arial" w:hAnsi="Arial"/>
          <w:sz w:val="18"/>
          <w:szCs w:val="18"/>
          <w:color w:val="000000"/>
        </w:rPr>
        <w:t>$19.6 million</w:t>
      </w:r>
      <w:r>
        <w:rPr>
          <w:rFonts w:ascii="Arial" w:cs="Arial" w:eastAsia="Arial" w:hAnsi="Arial"/>
          <w:sz w:val="18"/>
          <w:szCs w:val="18"/>
          <w:color w:val="231F20"/>
        </w:rPr>
        <w:t xml:space="preserve"> of total unrecognized employee compensation cost related to nonvested awards that it expects to recognize over a weighted-average period of </w:t>
      </w:r>
      <w:r>
        <w:rPr>
          <w:rFonts w:ascii="Arial" w:cs="Arial" w:eastAsia="Arial" w:hAnsi="Arial"/>
          <w:sz w:val="18"/>
          <w:szCs w:val="18"/>
          <w:color w:val="000000"/>
        </w:rPr>
        <w:t>2.4</w:t>
      </w:r>
      <w:r>
        <w:rPr>
          <w:rFonts w:ascii="Arial" w:cs="Arial" w:eastAsia="Arial" w:hAnsi="Arial"/>
          <w:sz w:val="18"/>
          <w:szCs w:val="18"/>
          <w:color w:val="231F20"/>
        </w:rPr>
        <w:t xml:space="preserve"> years.</w:t>
      </w:r>
    </w:p>
    <w:p>
      <w:pPr>
        <w:spacing w:after="0" w:line="237"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231F20"/>
        </w:rPr>
        <w:t>The fair value of each option granted to employees is estimated on the date of grant using the Black-Scholes option-pricing model based on the following assumptions: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40" w:type="dxa"/>
            <w:vAlign w:val="bottom"/>
            <w:gridSpan w:val="3"/>
          </w:tcPr>
          <w:p>
            <w:pPr>
              <w:jc w:val="right"/>
              <w:ind w:right="119"/>
              <w:spacing w:after="0"/>
              <w:rPr>
                <w:sz w:val="20"/>
                <w:szCs w:val="20"/>
                <w:color w:val="auto"/>
              </w:rPr>
            </w:pPr>
            <w:r>
              <w:rPr>
                <w:rFonts w:ascii="Arial" w:cs="Arial" w:eastAsia="Arial" w:hAnsi="Arial"/>
                <w:sz w:val="16"/>
                <w:szCs w:val="16"/>
                <w:b w:val="1"/>
                <w:bCs w:val="1"/>
                <w:color w:val="auto"/>
              </w:rPr>
              <w:t>Three Months Ended</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0" w:type="dxa"/>
            <w:vAlign w:val="bottom"/>
            <w:gridSpan w:val="3"/>
          </w:tcPr>
          <w:p>
            <w:pPr>
              <w:jc w:val="center"/>
              <w:ind w:right="99"/>
              <w:spacing w:after="0"/>
              <w:rPr>
                <w:sz w:val="20"/>
                <w:szCs w:val="20"/>
                <w:color w:val="auto"/>
              </w:rPr>
            </w:pPr>
            <w:r>
              <w:rPr>
                <w:rFonts w:ascii="Arial" w:cs="Arial" w:eastAsia="Arial" w:hAnsi="Arial"/>
                <w:sz w:val="16"/>
                <w:szCs w:val="16"/>
                <w:b w:val="1"/>
                <w:bCs w:val="1"/>
                <w:color w:val="auto"/>
              </w:rPr>
              <w:t>Nine months ended</w:t>
            </w:r>
          </w:p>
        </w:tc>
        <w:tc>
          <w:tcPr>
            <w:tcW w:w="760" w:type="dxa"/>
            <w:vAlign w:val="bottom"/>
          </w:tcPr>
          <w:p>
            <w:pPr>
              <w:spacing w:after="0"/>
              <w:rPr>
                <w:sz w:val="18"/>
                <w:szCs w:val="18"/>
                <w:color w:val="auto"/>
              </w:rPr>
            </w:pPr>
          </w:p>
        </w:tc>
      </w:tr>
      <w:tr>
        <w:trPr>
          <w:trHeight w:val="283"/>
        </w:trPr>
        <w:tc>
          <w:tcPr>
            <w:tcW w:w="424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ind w:right="379"/>
              <w:spacing w:after="0"/>
              <w:rPr>
                <w:sz w:val="20"/>
                <w:szCs w:val="20"/>
                <w:color w:val="auto"/>
              </w:rPr>
            </w:pPr>
            <w:r>
              <w:rPr>
                <w:rFonts w:ascii="Arial" w:cs="Arial" w:eastAsia="Arial" w:hAnsi="Arial"/>
                <w:sz w:val="16"/>
                <w:szCs w:val="16"/>
                <w:b w:val="1"/>
                <w:bCs w:val="1"/>
                <w:color w:val="auto"/>
              </w:rPr>
              <w:t>September 30,</w:t>
            </w:r>
          </w:p>
        </w:tc>
        <w:tc>
          <w:tcPr>
            <w:tcW w:w="7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center"/>
              <w:ind w:right="99"/>
              <w:spacing w:after="0"/>
              <w:rPr>
                <w:sz w:val="20"/>
                <w:szCs w:val="20"/>
                <w:color w:val="auto"/>
              </w:rPr>
            </w:pPr>
            <w:r>
              <w:rPr>
                <w:rFonts w:ascii="Arial" w:cs="Arial" w:eastAsia="Arial" w:hAnsi="Arial"/>
                <w:sz w:val="16"/>
                <w:szCs w:val="16"/>
                <w:b w:val="1"/>
                <w:bCs w:val="1"/>
                <w:color w:val="auto"/>
              </w:rPr>
              <w:t>September 30,</w:t>
            </w:r>
          </w:p>
        </w:tc>
        <w:tc>
          <w:tcPr>
            <w:tcW w:w="760" w:type="dxa"/>
            <w:vAlign w:val="bottom"/>
            <w:tcBorders>
              <w:bottom w:val="single" w:sz="8" w:color="auto"/>
            </w:tcBorders>
          </w:tcPr>
          <w:p>
            <w:pPr>
              <w:spacing w:after="0"/>
              <w:rPr>
                <w:sz w:val="24"/>
                <w:szCs w:val="24"/>
                <w:color w:val="auto"/>
              </w:rPr>
            </w:pPr>
          </w:p>
        </w:tc>
      </w:tr>
      <w:tr>
        <w:trPr>
          <w:trHeight w:val="264"/>
        </w:trPr>
        <w:tc>
          <w:tcPr>
            <w:tcW w:w="4240" w:type="dxa"/>
            <w:vAlign w:val="bottom"/>
            <w:tcBorders>
              <w:bottom w:val="single" w:sz="8" w:color="CCEEFF"/>
            </w:tcBorders>
          </w:tcPr>
          <w:p>
            <w:pPr>
              <w:spacing w:after="0"/>
              <w:rPr>
                <w:sz w:val="22"/>
                <w:szCs w:val="22"/>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gridSpan w:val="2"/>
          </w:tcPr>
          <w:p>
            <w:pPr>
              <w:jc w:val="right"/>
              <w:ind w:right="59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720" w:type="dxa"/>
            <w:vAlign w:val="bottom"/>
            <w:tcBorders>
              <w:bottom w:val="single" w:sz="8" w:color="auto"/>
            </w:tcBorders>
            <w:gridSpan w:val="2"/>
          </w:tcPr>
          <w:p>
            <w:pPr>
              <w:jc w:val="right"/>
              <w:ind w:right="59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gridSpan w:val="2"/>
          </w:tcPr>
          <w:p>
            <w:pPr>
              <w:jc w:val="right"/>
              <w:ind w:right="599"/>
              <w:spacing w:after="0"/>
              <w:rPr>
                <w:sz w:val="20"/>
                <w:szCs w:val="20"/>
                <w:color w:val="auto"/>
              </w:rPr>
            </w:pPr>
            <w:r>
              <w:rPr>
                <w:rFonts w:ascii="Arial" w:cs="Arial" w:eastAsia="Arial" w:hAnsi="Arial"/>
                <w:sz w:val="16"/>
                <w:szCs w:val="16"/>
                <w:b w:val="1"/>
                <w:bCs w:val="1"/>
                <w:color w:val="auto"/>
              </w:rPr>
              <w:t>2013</w:t>
            </w: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term (in years)</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 to</w:t>
            </w:r>
          </w:p>
        </w:tc>
        <w:tc>
          <w:tcPr>
            <w:tcW w:w="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 to</w:t>
            </w:r>
          </w:p>
        </w:tc>
        <w:tc>
          <w:tcPr>
            <w:tcW w:w="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6.1</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 to</w:t>
            </w:r>
          </w:p>
        </w:tc>
        <w:tc>
          <w:tcPr>
            <w:tcW w:w="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 to</w:t>
            </w:r>
          </w:p>
        </w:tc>
        <w:tc>
          <w:tcPr>
            <w:tcW w:w="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6.1</w:t>
            </w:r>
          </w:p>
        </w:tc>
      </w:tr>
      <w:tr>
        <w:trPr>
          <w:trHeight w:val="260"/>
        </w:trPr>
        <w:tc>
          <w:tcPr>
            <w:tcW w:w="4240" w:type="dxa"/>
            <w:vAlign w:val="bottom"/>
          </w:tcPr>
          <w:p>
            <w:pPr>
              <w:ind w:left="40"/>
              <w:spacing w:after="0"/>
              <w:rPr>
                <w:sz w:val="20"/>
                <w:szCs w:val="20"/>
                <w:color w:val="auto"/>
              </w:rPr>
            </w:pPr>
            <w:r>
              <w:rPr>
                <w:rFonts w:ascii="Arial" w:cs="Arial" w:eastAsia="Arial" w:hAnsi="Arial"/>
                <w:sz w:val="16"/>
                <w:szCs w:val="16"/>
                <w:color w:val="auto"/>
              </w:rPr>
              <w:t>Volatility</w:t>
            </w:r>
          </w:p>
        </w:tc>
        <w:tc>
          <w:tcPr>
            <w:tcW w:w="940" w:type="dxa"/>
            <w:vAlign w:val="bottom"/>
          </w:tcPr>
          <w:p>
            <w:pPr>
              <w:jc w:val="right"/>
              <w:spacing w:after="0"/>
              <w:rPr>
                <w:sz w:val="20"/>
                <w:szCs w:val="20"/>
                <w:color w:val="auto"/>
              </w:rPr>
            </w:pPr>
            <w:r>
              <w:rPr>
                <w:rFonts w:ascii="Arial" w:cs="Arial" w:eastAsia="Arial" w:hAnsi="Arial"/>
                <w:sz w:val="16"/>
                <w:szCs w:val="16"/>
                <w:color w:val="auto"/>
              </w:rPr>
              <w:t>48% to</w:t>
            </w:r>
          </w:p>
        </w:tc>
        <w:tc>
          <w:tcPr>
            <w:tcW w:w="780" w:type="dxa"/>
            <w:vAlign w:val="bottom"/>
          </w:tcPr>
          <w:p>
            <w:pPr>
              <w:ind w:left="20"/>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 to</w:t>
            </w:r>
          </w:p>
        </w:tc>
        <w:tc>
          <w:tcPr>
            <w:tcW w:w="760" w:type="dxa"/>
            <w:vAlign w:val="bottom"/>
          </w:tcPr>
          <w:p>
            <w:pPr>
              <w:ind w:left="20"/>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 to</w:t>
            </w:r>
          </w:p>
        </w:tc>
        <w:tc>
          <w:tcPr>
            <w:tcW w:w="760" w:type="dxa"/>
            <w:vAlign w:val="bottom"/>
          </w:tcPr>
          <w:p>
            <w:pPr>
              <w:ind w:left="20"/>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 to</w:t>
            </w:r>
          </w:p>
        </w:tc>
        <w:tc>
          <w:tcPr>
            <w:tcW w:w="760" w:type="dxa"/>
            <w:vAlign w:val="bottom"/>
          </w:tcPr>
          <w:p>
            <w:pPr>
              <w:ind w:left="20"/>
              <w:spacing w:after="0"/>
              <w:rPr>
                <w:sz w:val="20"/>
                <w:szCs w:val="20"/>
                <w:color w:val="auto"/>
              </w:rPr>
            </w:pPr>
            <w:r>
              <w:rPr>
                <w:rFonts w:ascii="Arial" w:cs="Arial" w:eastAsia="Arial" w:hAnsi="Arial"/>
                <w:sz w:val="16"/>
                <w:szCs w:val="16"/>
                <w:color w:val="auto"/>
              </w:rPr>
              <w:t>53%</w:t>
            </w:r>
          </w:p>
        </w:tc>
      </w:tr>
      <w:tr>
        <w:trPr>
          <w:trHeight w:val="280"/>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Risk-free interest rate</w:t>
            </w:r>
          </w:p>
        </w:tc>
        <w:tc>
          <w:tcPr>
            <w:tcW w:w="17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1.67%</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to</w:t>
            </w:r>
          </w:p>
        </w:tc>
        <w:tc>
          <w:tcPr>
            <w:tcW w:w="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 to</w:t>
            </w:r>
          </w:p>
        </w:tc>
        <w:tc>
          <w:tcPr>
            <w:tcW w:w="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 to</w:t>
            </w:r>
          </w:p>
        </w:tc>
        <w:tc>
          <w:tcPr>
            <w:tcW w:w="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1.5%</w:t>
            </w:r>
          </w:p>
        </w:tc>
      </w:tr>
      <w:tr>
        <w:trPr>
          <w:trHeight w:val="251"/>
        </w:trPr>
        <w:tc>
          <w:tcPr>
            <w:tcW w:w="4240" w:type="dxa"/>
            <w:vAlign w:val="bottom"/>
          </w:tcPr>
          <w:p>
            <w:pPr>
              <w:ind w:left="40"/>
              <w:spacing w:after="0"/>
              <w:rPr>
                <w:sz w:val="20"/>
                <w:szCs w:val="20"/>
                <w:color w:val="auto"/>
              </w:rPr>
            </w:pPr>
            <w:r>
              <w:rPr>
                <w:rFonts w:ascii="Arial" w:cs="Arial" w:eastAsia="Arial" w:hAnsi="Arial"/>
                <w:sz w:val="16"/>
                <w:szCs w:val="16"/>
                <w:color w:val="auto"/>
              </w:rPr>
              <w:t>Dividend yield</w:t>
            </w:r>
          </w:p>
        </w:tc>
        <w:tc>
          <w:tcPr>
            <w:tcW w:w="940" w:type="dxa"/>
            <w:vAlign w:val="bottom"/>
          </w:tcPr>
          <w:p>
            <w:pPr>
              <w:jc w:val="center"/>
              <w:ind w:left="699"/>
              <w:spacing w:after="0"/>
              <w:rPr>
                <w:sz w:val="20"/>
                <w:szCs w:val="20"/>
                <w:color w:val="auto"/>
              </w:rPr>
            </w:pPr>
            <w:r>
              <w:rPr>
                <w:rFonts w:ascii="Arial" w:cs="Arial" w:eastAsia="Arial" w:hAnsi="Arial"/>
                <w:sz w:val="16"/>
                <w:szCs w:val="16"/>
                <w:color w:val="auto"/>
                <w:w w:val="99"/>
              </w:rPr>
              <w:t>—</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center"/>
              <w:ind w:left="679"/>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center"/>
              <w:ind w:left="679"/>
              <w:spacing w:after="0"/>
              <w:rPr>
                <w:sz w:val="20"/>
                <w:szCs w:val="20"/>
                <w:color w:val="auto"/>
              </w:rPr>
            </w:pPr>
            <w:r>
              <w:rPr>
                <w:rFonts w:ascii="Arial" w:cs="Arial" w:eastAsia="Arial" w:hAnsi="Arial"/>
                <w:sz w:val="16"/>
                <w:szCs w:val="16"/>
                <w:color w:val="auto"/>
                <w:w w:val="99"/>
              </w:rPr>
              <w:t>—</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center"/>
              <w:ind w:left="679"/>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141" w:right="239" w:bottom="1440" w:gutter="0" w:footer="0" w:header="0"/>
          <w:type w:val="continuous"/>
        </w:sectPr>
      </w:pPr>
    </w:p>
    <w:bookmarkStart w:id="17" w:name="page18"/>
    <w:bookmarkEnd w:id="1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52"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231F20"/>
        </w:rPr>
        <w:t>The expected term of the options is based on evaluations of historical and expected future employee exercise behavior. The risk-free interest rate is based on the U.S. Treasury rates at the date of grant with maturity dates approximately equal to the expected term at the grant date. Volatility is based on historical volatility of several public entities that are similar to the Company, as the Company does not have sufficient historical transactions in its own shares on which to base expected volatility. The Company has not historically issued any dividends and does not expect to in the future.</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231F20"/>
        </w:rPr>
        <w:t>Non-Employee Stock-based Compensation</w:t>
      </w:r>
    </w:p>
    <w:p>
      <w:pPr>
        <w:spacing w:after="0" w:line="243"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231F20"/>
        </w:rPr>
        <w:t xml:space="preserve">The Company records compensation representing the fair value of stock options granted to non-employees. Stock-based non-employee compensation was </w:t>
      </w:r>
      <w:r>
        <w:rPr>
          <w:rFonts w:ascii="Arial" w:cs="Arial" w:eastAsia="Arial" w:hAnsi="Arial"/>
          <w:sz w:val="18"/>
          <w:szCs w:val="18"/>
          <w:color w:val="000000"/>
        </w:rPr>
        <w:t>$0.1 million</w:t>
      </w:r>
      <w:r>
        <w:rPr>
          <w:rFonts w:ascii="Arial" w:cs="Arial" w:eastAsia="Arial" w:hAnsi="Arial"/>
          <w:sz w:val="18"/>
          <w:szCs w:val="18"/>
          <w:color w:val="231F20"/>
        </w:rPr>
        <w:t xml:space="preserve"> and </w:t>
      </w:r>
      <w:r>
        <w:rPr>
          <w:rFonts w:ascii="Arial" w:cs="Arial" w:eastAsia="Arial" w:hAnsi="Arial"/>
          <w:sz w:val="18"/>
          <w:szCs w:val="18"/>
          <w:color w:val="000000"/>
        </w:rPr>
        <w:t>$0.4 million</w:t>
      </w:r>
      <w:r>
        <w:rPr>
          <w:rFonts w:ascii="Arial" w:cs="Arial" w:eastAsia="Arial" w:hAnsi="Arial"/>
          <w:sz w:val="18"/>
          <w:szCs w:val="18"/>
          <w:color w:val="231F20"/>
        </w:rPr>
        <w:t xml:space="preserve"> for the </w:t>
      </w:r>
      <w:r>
        <w:rPr>
          <w:rFonts w:ascii="Arial" w:cs="Arial" w:eastAsia="Arial" w:hAnsi="Arial"/>
          <w:sz w:val="18"/>
          <w:szCs w:val="18"/>
          <w:color w:val="000000"/>
        </w:rPr>
        <w:t>three months ended September 30, 2014</w:t>
      </w:r>
      <w:r>
        <w:rPr>
          <w:rFonts w:ascii="Arial" w:cs="Arial" w:eastAsia="Arial" w:hAnsi="Arial"/>
          <w:sz w:val="18"/>
          <w:szCs w:val="18"/>
          <w:color w:val="231F20"/>
        </w:rPr>
        <w:t xml:space="preserve"> and </w:t>
      </w:r>
      <w:r>
        <w:rPr>
          <w:rFonts w:ascii="Arial" w:cs="Arial" w:eastAsia="Arial" w:hAnsi="Arial"/>
          <w:sz w:val="18"/>
          <w:szCs w:val="18"/>
          <w:color w:val="000000"/>
        </w:rPr>
        <w:t>2013</w:t>
      </w:r>
      <w:r>
        <w:rPr>
          <w:rFonts w:ascii="Arial" w:cs="Arial" w:eastAsia="Arial" w:hAnsi="Arial"/>
          <w:sz w:val="18"/>
          <w:szCs w:val="18"/>
          <w:color w:val="231F20"/>
        </w:rPr>
        <w:t>, respectively, and $0.4 million and $0.7 million for the nine months ended September 30, 2014 and 2013. Non-employee stock-based compensation is recognized over the vesting periods of the options. The value of options granted to non-employees is remeasured as they vest over a performance period.</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231F20"/>
        </w:rPr>
        <w:t>Stock Option Plan Activity</w:t>
      </w:r>
    </w:p>
    <w:p>
      <w:pPr>
        <w:spacing w:after="0" w:line="216"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A summary of the Company’s stock option activity is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Weighted Average</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9"/>
        </w:trPr>
        <w:tc>
          <w:tcPr>
            <w:tcW w:w="50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Remaining</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9"/>
        </w:trPr>
        <w:tc>
          <w:tcPr>
            <w:tcW w:w="5020" w:type="dxa"/>
            <w:vAlign w:val="bottom"/>
          </w:tcPr>
          <w:p>
            <w:pPr>
              <w:spacing w:after="0"/>
              <w:rPr>
                <w:sz w:val="16"/>
                <w:szCs w:val="16"/>
                <w:color w:val="auto"/>
              </w:rPr>
            </w:pPr>
          </w:p>
        </w:tc>
        <w:tc>
          <w:tcPr>
            <w:tcW w:w="1500" w:type="dxa"/>
            <w:vAlign w:val="bottom"/>
          </w:tcPr>
          <w:p>
            <w:pPr>
              <w:jc w:val="right"/>
              <w:ind w:right="199"/>
              <w:spacing w:after="0"/>
              <w:rPr>
                <w:sz w:val="20"/>
                <w:szCs w:val="20"/>
                <w:color w:val="auto"/>
              </w:rPr>
            </w:pPr>
            <w:r>
              <w:rPr>
                <w:rFonts w:ascii="Arial" w:cs="Arial" w:eastAsia="Arial" w:hAnsi="Arial"/>
                <w:sz w:val="16"/>
                <w:szCs w:val="16"/>
                <w:b w:val="1"/>
                <w:bCs w:val="1"/>
                <w:color w:val="auto"/>
              </w:rPr>
              <w:t>Outstanding</w:t>
            </w:r>
          </w:p>
        </w:tc>
        <w:tc>
          <w:tcPr>
            <w:tcW w:w="120" w:type="dxa"/>
            <w:vAlign w:val="bottom"/>
          </w:tcPr>
          <w:p>
            <w:pPr>
              <w:spacing w:after="0"/>
              <w:rPr>
                <w:sz w:val="16"/>
                <w:szCs w:val="16"/>
                <w:color w:val="auto"/>
              </w:rPr>
            </w:pPr>
          </w:p>
        </w:tc>
        <w:tc>
          <w:tcPr>
            <w:tcW w:w="1580" w:type="dxa"/>
            <w:vAlign w:val="bottom"/>
            <w:gridSpan w:val="3"/>
          </w:tcPr>
          <w:p>
            <w:pPr>
              <w:ind w:left="40"/>
              <w:spacing w:after="0"/>
              <w:rPr>
                <w:sz w:val="20"/>
                <w:szCs w:val="20"/>
                <w:color w:val="auto"/>
              </w:rPr>
            </w:pPr>
            <w:r>
              <w:rPr>
                <w:rFonts w:ascii="Arial" w:cs="Arial" w:eastAsia="Arial" w:hAnsi="Arial"/>
                <w:sz w:val="16"/>
                <w:szCs w:val="16"/>
                <w:b w:val="1"/>
                <w:bCs w:val="1"/>
                <w:color w:val="auto"/>
              </w:rPr>
              <w:t>Weighted Average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Contractual Life</w:t>
            </w:r>
          </w:p>
        </w:tc>
        <w:tc>
          <w:tcPr>
            <w:tcW w:w="1600" w:type="dxa"/>
            <w:vAlign w:val="bottom"/>
            <w:gridSpan w:val="2"/>
          </w:tcPr>
          <w:p>
            <w:pPr>
              <w:jc w:val="center"/>
              <w:spacing w:after="0"/>
              <w:rPr>
                <w:sz w:val="20"/>
                <w:szCs w:val="20"/>
                <w:color w:val="auto"/>
              </w:rPr>
            </w:pPr>
            <w:r>
              <w:rPr>
                <w:rFonts w:ascii="Arial" w:cs="Arial" w:eastAsia="Arial" w:hAnsi="Arial"/>
                <w:sz w:val="16"/>
                <w:szCs w:val="16"/>
                <w:b w:val="1"/>
                <w:bCs w:val="1"/>
                <w:color w:val="auto"/>
              </w:rPr>
              <w:t>Aggregate Intrinsic</w:t>
            </w:r>
          </w:p>
        </w:tc>
      </w:tr>
      <w:tr>
        <w:trPr>
          <w:trHeight w:val="228"/>
        </w:trPr>
        <w:tc>
          <w:tcPr>
            <w:tcW w:w="5020" w:type="dxa"/>
            <w:vAlign w:val="bottom"/>
          </w:tcPr>
          <w:p>
            <w:pPr>
              <w:spacing w:after="0"/>
              <w:rPr>
                <w:sz w:val="19"/>
                <w:szCs w:val="19"/>
                <w:color w:val="auto"/>
              </w:rPr>
            </w:pPr>
          </w:p>
        </w:tc>
        <w:tc>
          <w:tcPr>
            <w:tcW w:w="1500" w:type="dxa"/>
            <w:vAlign w:val="bottom"/>
          </w:tcPr>
          <w:p>
            <w:pPr>
              <w:jc w:val="right"/>
              <w:ind w:right="39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Exercise Price</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(Years)</w:t>
            </w:r>
          </w:p>
        </w:tc>
        <w:tc>
          <w:tcPr>
            <w:tcW w:w="180" w:type="dxa"/>
            <w:vAlign w:val="bottom"/>
          </w:tcPr>
          <w:p>
            <w:pPr>
              <w:spacing w:after="0"/>
              <w:rPr>
                <w:sz w:val="19"/>
                <w:szCs w:val="19"/>
                <w:color w:val="auto"/>
              </w:rPr>
            </w:pPr>
          </w:p>
        </w:tc>
        <w:tc>
          <w:tcPr>
            <w:tcW w:w="1420" w:type="dxa"/>
            <w:vAlign w:val="bottom"/>
          </w:tcPr>
          <w:p>
            <w:pPr>
              <w:jc w:val="center"/>
              <w:ind w:right="119"/>
              <w:spacing w:after="0"/>
              <w:rPr>
                <w:sz w:val="20"/>
                <w:szCs w:val="20"/>
                <w:color w:val="auto"/>
              </w:rPr>
            </w:pPr>
            <w:r>
              <w:rPr>
                <w:rFonts w:ascii="Arial" w:cs="Arial" w:eastAsia="Arial" w:hAnsi="Arial"/>
                <w:sz w:val="16"/>
                <w:szCs w:val="16"/>
                <w:b w:val="1"/>
                <w:bCs w:val="1"/>
                <w:color w:val="auto"/>
                <w:w w:val="98"/>
              </w:rPr>
              <w:t>Value</w:t>
            </w:r>
          </w:p>
        </w:tc>
      </w:tr>
      <w:tr>
        <w:trPr>
          <w:trHeight w:val="260"/>
        </w:trPr>
        <w:tc>
          <w:tcPr>
            <w:tcW w:w="5020" w:type="dxa"/>
            <w:vAlign w:val="bottom"/>
          </w:tcPr>
          <w:p>
            <w:pPr>
              <w:spacing w:after="0"/>
              <w:rPr>
                <w:sz w:val="22"/>
                <w:szCs w:val="22"/>
                <w:color w:val="auto"/>
              </w:rPr>
            </w:pPr>
          </w:p>
        </w:tc>
        <w:tc>
          <w:tcPr>
            <w:tcW w:w="15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(in thousands)</w:t>
            </w:r>
          </w:p>
        </w:tc>
      </w:tr>
      <w:tr>
        <w:trPr>
          <w:trHeight w:val="280"/>
        </w:trPr>
        <w:tc>
          <w:tcPr>
            <w:tcW w:w="5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December 31, 2013</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7,039,093</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7.17</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112,312</w:t>
            </w:r>
          </w:p>
        </w:tc>
      </w:tr>
      <w:tr>
        <w:trPr>
          <w:trHeight w:val="260"/>
        </w:trPr>
        <w:tc>
          <w:tcPr>
            <w:tcW w:w="5020" w:type="dxa"/>
            <w:vAlign w:val="bottom"/>
          </w:tcPr>
          <w:p>
            <w:pPr>
              <w:ind w:left="28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1,744,950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23.62</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80"/>
        </w:trPr>
        <w:tc>
          <w:tcPr>
            <w:tcW w:w="50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(885,734)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5.66</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50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Canceled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(760,550)</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16.39</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r>
      <w:tr>
        <w:trPr>
          <w:trHeight w:val="24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September 30, 2014</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7,137,759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10.40</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115,840</w:t>
            </w:r>
          </w:p>
        </w:tc>
      </w:tr>
      <w:tr>
        <w:trPr>
          <w:trHeight w:val="20"/>
        </w:trPr>
        <w:tc>
          <w:tcPr>
            <w:tcW w:w="50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17"/>
        </w:trPr>
        <w:tc>
          <w:tcPr>
            <w:tcW w:w="5020" w:type="dxa"/>
            <w:vAlign w:val="bottom"/>
          </w:tcPr>
          <w:p>
            <w:pPr>
              <w:ind w:left="40"/>
              <w:spacing w:after="0"/>
              <w:rPr>
                <w:sz w:val="20"/>
                <w:szCs w:val="20"/>
                <w:color w:val="auto"/>
              </w:rPr>
            </w:pPr>
            <w:r>
              <w:rPr>
                <w:rFonts w:ascii="Arial" w:cs="Arial" w:eastAsia="Arial" w:hAnsi="Arial"/>
                <w:sz w:val="16"/>
                <w:szCs w:val="16"/>
                <w:color w:val="auto"/>
              </w:rPr>
              <w:t>Vested and expected to vest - September 30, 2014</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6,671,173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9.76</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112,540</w:t>
            </w:r>
          </w:p>
        </w:tc>
      </w:tr>
      <w:tr>
        <w:trPr>
          <w:trHeight w:val="280"/>
        </w:trPr>
        <w:tc>
          <w:tcPr>
            <w:tcW w:w="5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Exercisable - September, 2014</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4,692,121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4.93</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101,700</w:t>
            </w:r>
          </w:p>
        </w:tc>
      </w:tr>
    </w:tbl>
    <w:p>
      <w:pPr>
        <w:spacing w:after="0" w:line="35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Restricted Stock</w:t>
      </w:r>
    </w:p>
    <w:p>
      <w:pPr>
        <w:spacing w:after="0" w:line="247"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 xml:space="preserve">The terms and conditions of </w:t>
      </w:r>
      <w:r>
        <w:rPr>
          <w:rFonts w:ascii="Arial" w:cs="Arial" w:eastAsia="Arial" w:hAnsi="Arial"/>
          <w:sz w:val="18"/>
          <w:szCs w:val="18"/>
          <w:color w:val="231F20"/>
        </w:rPr>
        <w:t>RSAs</w:t>
      </w:r>
      <w:r>
        <w:rPr>
          <w:rFonts w:ascii="Arial" w:cs="Arial" w:eastAsia="Arial" w:hAnsi="Arial"/>
          <w:sz w:val="18"/>
          <w:szCs w:val="18"/>
          <w:color w:val="auto"/>
        </w:rPr>
        <w:t xml:space="preserve">, including vesting criteria and timing are set by the board of directors. The cost of </w:t>
      </w:r>
      <w:r>
        <w:rPr>
          <w:rFonts w:ascii="Arial" w:cs="Arial" w:eastAsia="Arial" w:hAnsi="Arial"/>
          <w:sz w:val="18"/>
          <w:szCs w:val="18"/>
          <w:color w:val="231F20"/>
        </w:rPr>
        <w:t>RSAs</w:t>
      </w:r>
      <w:r>
        <w:rPr>
          <w:rFonts w:ascii="Arial" w:cs="Arial" w:eastAsia="Arial" w:hAnsi="Arial"/>
          <w:sz w:val="18"/>
          <w:szCs w:val="18"/>
          <w:color w:val="auto"/>
        </w:rPr>
        <w:t xml:space="preserve"> is determined using the fair value of the Company’s common stock on the date of the grant. Compensation cost is recognized on a straight-line basis over the requisite service period of each grant adjusted for estimated forfeitures. Recipients of </w:t>
      </w:r>
      <w:r>
        <w:rPr>
          <w:rFonts w:ascii="Arial" w:cs="Arial" w:eastAsia="Arial" w:hAnsi="Arial"/>
          <w:sz w:val="18"/>
          <w:szCs w:val="18"/>
          <w:color w:val="231F20"/>
        </w:rPr>
        <w:t>RSAs</w:t>
      </w:r>
      <w:r>
        <w:rPr>
          <w:rFonts w:ascii="Arial" w:cs="Arial" w:eastAsia="Arial" w:hAnsi="Arial"/>
          <w:sz w:val="18"/>
          <w:szCs w:val="18"/>
          <w:color w:val="auto"/>
        </w:rPr>
        <w:t xml:space="preserve"> generally have voting and dividend rights without regard to vesting.</w:t>
      </w:r>
    </w:p>
    <w:p>
      <w:pPr>
        <w:spacing w:after="0" w:line="204"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color w:val="auto"/>
        </w:rPr>
        <w:t>During the nine months ended September 30, 2014 and 2013, the Company granted 2,401 and 1,900 shares of restricted stock, respectively, which vested immediately and had no further restrictions or service period, and resulted in compensation expense of $51,000 and $20,000 for the nine months ended September 30, 2014 and 2013, respectively.</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41" w:right="25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7. Accumulated Other Comprehensive Income (Loss)</w:t>
      </w:r>
    </w:p>
    <w:p>
      <w:pPr>
        <w:spacing w:after="0" w:line="247"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following table presents the components of accumulated other comprehensive income (loss):</w:t>
      </w:r>
    </w:p>
    <w:p>
      <w:pPr>
        <w:spacing w:after="0" w:line="397" w:lineRule="exact"/>
        <w:rPr>
          <w:sz w:val="20"/>
          <w:szCs w:val="20"/>
          <w:color w:val="auto"/>
        </w:rPr>
      </w:pPr>
    </w:p>
    <w:tbl>
      <w:tblPr>
        <w:tblLayout w:type="fixed"/>
        <w:tblInd w:w="260" w:type="dxa"/>
        <w:tblCellMar>
          <w:top w:w="0" w:type="dxa"/>
          <w:left w:w="0" w:type="dxa"/>
          <w:bottom w:w="0" w:type="dxa"/>
          <w:right w:w="0" w:type="dxa"/>
        </w:tblCellMar>
      </w:tblPr>
      <w:tr>
        <w:trPr>
          <w:trHeight w:val="215"/>
        </w:trPr>
        <w:tc>
          <w:tcPr>
            <w:tcW w:w="7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b w:val="1"/>
                <w:bCs w:val="1"/>
                <w:color w:val="auto"/>
              </w:rPr>
              <w:t>December 31,</w:t>
            </w:r>
          </w:p>
        </w:tc>
      </w:tr>
      <w:tr>
        <w:trPr>
          <w:trHeight w:val="283"/>
        </w:trPr>
        <w:tc>
          <w:tcPr>
            <w:tcW w:w="78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2013</w:t>
            </w:r>
          </w:p>
        </w:tc>
      </w:tr>
      <w:tr>
        <w:trPr>
          <w:trHeight w:val="237"/>
        </w:trPr>
        <w:tc>
          <w:tcPr>
            <w:tcW w:w="7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00" w:type="dxa"/>
            <w:vAlign w:val="bottom"/>
            <w:gridSpan w:val="4"/>
          </w:tcPr>
          <w:p>
            <w:pPr>
              <w:jc w:val="right"/>
              <w:ind w:right="879"/>
              <w:spacing w:after="0"/>
              <w:rPr>
                <w:sz w:val="20"/>
                <w:szCs w:val="20"/>
                <w:color w:val="auto"/>
              </w:rPr>
            </w:pPr>
            <w:r>
              <w:rPr>
                <w:rFonts w:ascii="Arial" w:cs="Arial" w:eastAsia="Arial" w:hAnsi="Arial"/>
                <w:sz w:val="16"/>
                <w:szCs w:val="16"/>
                <w:b w:val="1"/>
                <w:bCs w:val="1"/>
                <w:color w:val="auto"/>
              </w:rPr>
              <w:t>(in thousands)</w:t>
            </w:r>
          </w:p>
        </w:tc>
      </w:tr>
      <w:tr>
        <w:trPr>
          <w:trHeight w:val="280"/>
        </w:trPr>
        <w:tc>
          <w:tcPr>
            <w:tcW w:w="7860" w:type="dxa"/>
            <w:vAlign w:val="bottom"/>
          </w:tcPr>
          <w:p>
            <w:pPr>
              <w:ind w:left="20"/>
              <w:spacing w:after="0"/>
              <w:rPr>
                <w:sz w:val="20"/>
                <w:szCs w:val="20"/>
                <w:color w:val="auto"/>
              </w:rPr>
            </w:pPr>
            <w:r>
              <w:rPr>
                <w:rFonts w:ascii="Arial" w:cs="Arial" w:eastAsia="Arial" w:hAnsi="Arial"/>
                <w:sz w:val="16"/>
                <w:szCs w:val="16"/>
                <w:color w:val="auto"/>
              </w:rPr>
              <w:t>Foreign currency translation gain (loss), net of zero tax</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(1,268)</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(1,126)</w:t>
            </w:r>
          </w:p>
        </w:tc>
      </w:tr>
      <w:tr>
        <w:trPr>
          <w:trHeight w:val="273"/>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unrealized gain (loss) on investments, net of zero tax</w:t>
            </w:r>
          </w:p>
        </w:tc>
        <w:tc>
          <w:tcPr>
            <w:tcW w:w="16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38</w:t>
            </w:r>
          </w:p>
        </w:tc>
      </w:tr>
      <w:tr>
        <w:trPr>
          <w:trHeight w:val="240"/>
        </w:trPr>
        <w:tc>
          <w:tcPr>
            <w:tcW w:w="7860" w:type="dxa"/>
            <w:vAlign w:val="bottom"/>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(1,269)</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(1,088)</w:t>
            </w:r>
          </w:p>
        </w:tc>
      </w:tr>
      <w:tr>
        <w:trPr>
          <w:trHeight w:val="20"/>
        </w:trPr>
        <w:tc>
          <w:tcPr>
            <w:tcW w:w="7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8. Other Income (Expense), Net</w:t>
      </w:r>
    </w:p>
    <w:p>
      <w:pPr>
        <w:spacing w:after="0" w:line="220"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Other income (expense), net consists of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80" w:type="dxa"/>
            <w:vAlign w:val="bottom"/>
          </w:tcPr>
          <w:p>
            <w:pPr>
              <w:spacing w:after="0"/>
              <w:rPr>
                <w:sz w:val="18"/>
                <w:szCs w:val="18"/>
                <w:color w:val="auto"/>
              </w:rPr>
            </w:pPr>
          </w:p>
        </w:tc>
        <w:tc>
          <w:tcPr>
            <w:tcW w:w="3200" w:type="dxa"/>
            <w:vAlign w:val="bottom"/>
            <w:gridSpan w:val="6"/>
          </w:tcPr>
          <w:p>
            <w:pPr>
              <w:ind w:left="760"/>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Pr>
          <w:p>
            <w:pPr>
              <w:spacing w:after="0"/>
              <w:rPr>
                <w:sz w:val="18"/>
                <w:szCs w:val="18"/>
                <w:color w:val="auto"/>
              </w:rPr>
            </w:pPr>
          </w:p>
        </w:tc>
        <w:tc>
          <w:tcPr>
            <w:tcW w:w="240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538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b w:val="1"/>
                <w:bCs w:val="1"/>
                <w:color w:val="auto"/>
              </w:rPr>
              <w:t>September 30,</w:t>
            </w:r>
          </w:p>
        </w:tc>
      </w:tr>
      <w:tr>
        <w:trPr>
          <w:trHeight w:val="264"/>
        </w:trPr>
        <w:tc>
          <w:tcPr>
            <w:tcW w:w="538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r>
      <w:tr>
        <w:trPr>
          <w:trHeight w:val="247"/>
        </w:trPr>
        <w:tc>
          <w:tcPr>
            <w:tcW w:w="5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5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80"/>
        </w:trPr>
        <w:tc>
          <w:tcPr>
            <w:tcW w:w="5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Foreign exchange losses</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w:t>
            </w:r>
          </w:p>
        </w:tc>
      </w:tr>
      <w:tr>
        <w:trPr>
          <w:trHeight w:val="264"/>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income (expense)</w:t>
            </w:r>
          </w:p>
        </w:tc>
        <w:tc>
          <w:tcPr>
            <w:tcW w:w="9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104</w:t>
            </w:r>
          </w:p>
        </w:tc>
      </w:tr>
      <w:tr>
        <w:trPr>
          <w:trHeight w:val="24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income (expense), net</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w:t>
            </w:r>
          </w:p>
        </w:tc>
      </w:tr>
      <w:tr>
        <w:trPr>
          <w:trHeight w:val="20"/>
        </w:trPr>
        <w:tc>
          <w:tcPr>
            <w:tcW w:w="5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41"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247" w:lineRule="exact"/>
        <w:rPr>
          <w:sz w:val="20"/>
          <w:szCs w:val="20"/>
          <w:color w:val="auto"/>
        </w:rPr>
      </w:pPr>
    </w:p>
    <w:p>
      <w:pPr>
        <w:ind w:right="220" w:firstLine="486"/>
        <w:spacing w:after="0" w:line="262" w:lineRule="auto"/>
        <w:rPr>
          <w:sz w:val="20"/>
          <w:szCs w:val="20"/>
          <w:color w:val="auto"/>
        </w:rPr>
      </w:pPr>
      <w:r>
        <w:rPr>
          <w:rFonts w:ascii="Arial" w:cs="Arial" w:eastAsia="Arial" w:hAnsi="Arial"/>
          <w:sz w:val="18"/>
          <w:szCs w:val="18"/>
          <w:color w:val="231F20"/>
        </w:rPr>
        <w:t xml:space="preserve">The provision for income taxes for the </w:t>
      </w:r>
      <w:r>
        <w:rPr>
          <w:rFonts w:ascii="Arial" w:cs="Arial" w:eastAsia="Arial" w:hAnsi="Arial"/>
          <w:sz w:val="18"/>
          <w:szCs w:val="18"/>
          <w:color w:val="000000"/>
        </w:rPr>
        <w:t>nine months ended September 30, 2014</w:t>
      </w:r>
      <w:r>
        <w:rPr>
          <w:rFonts w:ascii="Arial" w:cs="Arial" w:eastAsia="Arial" w:hAnsi="Arial"/>
          <w:sz w:val="18"/>
          <w:szCs w:val="18"/>
          <w:color w:val="231F20"/>
        </w:rPr>
        <w:t xml:space="preserve"> and 2013 primarily reflects foreign and state taxes, and certain discrete items.</w:t>
      </w:r>
    </w:p>
    <w:p>
      <w:pPr>
        <w:spacing w:after="0" w:line="196" w:lineRule="exact"/>
        <w:rPr>
          <w:sz w:val="20"/>
          <w:szCs w:val="20"/>
          <w:color w:val="auto"/>
        </w:rPr>
      </w:pPr>
    </w:p>
    <w:p>
      <w:pPr>
        <w:ind w:right="200" w:firstLine="486"/>
        <w:spacing w:after="0" w:line="256" w:lineRule="auto"/>
        <w:rPr>
          <w:sz w:val="20"/>
          <w:szCs w:val="20"/>
          <w:color w:val="auto"/>
        </w:rPr>
      </w:pPr>
      <w:r>
        <w:rPr>
          <w:rFonts w:ascii="Arial" w:cs="Arial" w:eastAsia="Arial" w:hAnsi="Arial"/>
          <w:sz w:val="18"/>
          <w:szCs w:val="18"/>
          <w:color w:val="231F20"/>
        </w:rPr>
        <w:t xml:space="preserve">As of September 30, 2014 and December 31, 2013, the Company had unrecognized tax benefits of </w:t>
      </w:r>
      <w:r>
        <w:rPr>
          <w:rFonts w:ascii="Arial" w:cs="Arial" w:eastAsia="Arial" w:hAnsi="Arial"/>
          <w:sz w:val="18"/>
          <w:szCs w:val="18"/>
          <w:color w:val="000000"/>
        </w:rPr>
        <w:t>$3.5 million</w:t>
      </w:r>
      <w:r>
        <w:rPr>
          <w:rFonts w:ascii="Arial" w:cs="Arial" w:eastAsia="Arial" w:hAnsi="Arial"/>
          <w:sz w:val="18"/>
          <w:szCs w:val="18"/>
          <w:color w:val="231F20"/>
        </w:rPr>
        <w:t xml:space="preserve"> and $3.3 million, respectively, of which </w:t>
      </w:r>
      <w:r>
        <w:rPr>
          <w:rFonts w:ascii="Arial" w:cs="Arial" w:eastAsia="Arial" w:hAnsi="Arial"/>
          <w:sz w:val="18"/>
          <w:szCs w:val="18"/>
          <w:color w:val="000000"/>
        </w:rPr>
        <w:t>$1.0 million</w:t>
      </w:r>
      <w:r>
        <w:rPr>
          <w:rFonts w:ascii="Arial" w:cs="Arial" w:eastAsia="Arial" w:hAnsi="Arial"/>
          <w:sz w:val="18"/>
          <w:szCs w:val="18"/>
          <w:color w:val="231F20"/>
        </w:rPr>
        <w:t>, if recognized and in absence of a valuation allowance, would favorably impact the Company's effective tax rate.</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10.Segment Information and Information about Geographic Area</w:t>
      </w:r>
    </w:p>
    <w:p>
      <w:pPr>
        <w:spacing w:after="0" w:line="247"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231F20"/>
        </w:rPr>
        <w:t xml:space="preserve">The Company operates in </w:t>
      </w:r>
      <w:r>
        <w:rPr>
          <w:rFonts w:ascii="Arial" w:cs="Arial" w:eastAsia="Arial" w:hAnsi="Arial"/>
          <w:sz w:val="18"/>
          <w:szCs w:val="18"/>
          <w:color w:val="000000"/>
        </w:rPr>
        <w:t>one</w:t>
      </w:r>
      <w:r>
        <w:rPr>
          <w:rFonts w:ascii="Arial" w:cs="Arial" w:eastAsia="Arial" w:hAnsi="Arial"/>
          <w:sz w:val="18"/>
          <w:szCs w:val="18"/>
          <w:color w:val="231F20"/>
        </w:rPr>
        <w:t xml:space="preserve"> segment. The Company’s chief operating decision maker is the Chairman, President and Chief Executive Officer, who makes operating decisions, assesses performance and allocates resources on a consolidated basis. All of the Company’s principal operations and decision-making functions are located in the United States. Revenues by geographic area, based on the location of the customer,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4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Pr>
          <w:p>
            <w:pPr>
              <w:spacing w:after="0"/>
              <w:rPr>
                <w:sz w:val="18"/>
                <w:szCs w:val="18"/>
                <w:color w:val="auto"/>
              </w:rPr>
            </w:pPr>
          </w:p>
        </w:tc>
        <w:tc>
          <w:tcPr>
            <w:tcW w:w="2500" w:type="dxa"/>
            <w:vAlign w:val="bottom"/>
            <w:gridSpan w:val="4"/>
          </w:tcPr>
          <w:p>
            <w:pPr>
              <w:jc w:val="right"/>
              <w:ind w:right="599"/>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49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center"/>
              <w:ind w:left="639"/>
              <w:spacing w:after="0"/>
              <w:rPr>
                <w:sz w:val="20"/>
                <w:szCs w:val="20"/>
                <w:color w:val="auto"/>
              </w:rPr>
            </w:pPr>
            <w:r>
              <w:rPr>
                <w:rFonts w:ascii="Arial" w:cs="Arial" w:eastAsia="Arial" w:hAnsi="Arial"/>
                <w:sz w:val="16"/>
                <w:szCs w:val="16"/>
                <w:b w:val="1"/>
                <w:bCs w:val="1"/>
                <w:color w:val="auto"/>
              </w:rPr>
              <w:t>September 30,</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6"/>
                <w:szCs w:val="16"/>
                <w:b w:val="1"/>
                <w:bCs w:val="1"/>
                <w:color w:val="auto"/>
              </w:rPr>
              <w:t>September 30,</w:t>
            </w:r>
          </w:p>
        </w:tc>
      </w:tr>
      <w:tr>
        <w:trPr>
          <w:trHeight w:val="264"/>
        </w:trPr>
        <w:tc>
          <w:tcPr>
            <w:tcW w:w="49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2013</w:t>
            </w:r>
          </w:p>
        </w:tc>
      </w:tr>
      <w:tr>
        <w:trPr>
          <w:trHeight w:val="247"/>
        </w:trPr>
        <w:tc>
          <w:tcPr>
            <w:tcW w:w="4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5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80"/>
        </w:trPr>
        <w:tc>
          <w:tcPr>
            <w:tcW w:w="4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24,038</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19,352</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67,948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55,159</w:t>
            </w:r>
          </w:p>
        </w:tc>
      </w:tr>
      <w:tr>
        <w:trPr>
          <w:trHeight w:val="264"/>
        </w:trPr>
        <w:tc>
          <w:tcPr>
            <w:tcW w:w="4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10,310</w:t>
            </w:r>
          </w:p>
        </w:tc>
        <w:tc>
          <w:tcPr>
            <w:tcW w:w="1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8,397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29,058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23,764</w:t>
            </w:r>
          </w:p>
        </w:tc>
      </w:tr>
      <w:tr>
        <w:trPr>
          <w:trHeight w:val="24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34,348</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center"/>
              <w:ind w:right="4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27,749</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97,006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78,923</w:t>
            </w:r>
          </w:p>
        </w:tc>
      </w:tr>
      <w:tr>
        <w:trPr>
          <w:trHeight w:val="20"/>
        </w:trPr>
        <w:tc>
          <w:tcPr>
            <w:tcW w:w="4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Property and equipment, net, by geographic area, are as follows: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8"/>
                <w:szCs w:val="18"/>
                <w:color w:val="auto"/>
              </w:rPr>
            </w:pPr>
          </w:p>
        </w:tc>
        <w:tc>
          <w:tcPr>
            <w:tcW w:w="1400" w:type="dxa"/>
            <w:vAlign w:val="bottom"/>
          </w:tcPr>
          <w:p>
            <w:pPr>
              <w:jc w:val="right"/>
              <w:ind w:right="179"/>
              <w:spacing w:after="0"/>
              <w:rPr>
                <w:sz w:val="20"/>
                <w:szCs w:val="20"/>
                <w:color w:val="auto"/>
              </w:rPr>
            </w:pPr>
            <w:r>
              <w:rPr>
                <w:rFonts w:ascii="Arial" w:cs="Arial" w:eastAsia="Arial" w:hAnsi="Arial"/>
                <w:sz w:val="16"/>
                <w:szCs w:val="16"/>
                <w:b w:val="1"/>
                <w:bCs w:val="1"/>
                <w:color w:val="auto"/>
              </w:rPr>
              <w:t>December 31,</w:t>
            </w:r>
          </w:p>
        </w:tc>
      </w:tr>
      <w:tr>
        <w:trPr>
          <w:trHeight w:val="283"/>
        </w:trPr>
        <w:tc>
          <w:tcPr>
            <w:tcW w:w="8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2013</w:t>
            </w:r>
          </w:p>
        </w:tc>
      </w:tr>
      <w:tr>
        <w:trPr>
          <w:trHeight w:val="247"/>
        </w:trPr>
        <w:tc>
          <w:tcPr>
            <w:tcW w:w="8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120" w:type="dxa"/>
            <w:vAlign w:val="bottom"/>
            <w:gridSpan w:val="4"/>
          </w:tcPr>
          <w:p>
            <w:pPr>
              <w:jc w:val="right"/>
              <w:ind w:right="999"/>
              <w:spacing w:after="0"/>
              <w:rPr>
                <w:sz w:val="20"/>
                <w:szCs w:val="20"/>
                <w:color w:val="auto"/>
              </w:rPr>
            </w:pPr>
            <w:r>
              <w:rPr>
                <w:rFonts w:ascii="Arial" w:cs="Arial" w:eastAsia="Arial" w:hAnsi="Arial"/>
                <w:sz w:val="16"/>
                <w:szCs w:val="16"/>
                <w:b w:val="1"/>
                <w:bCs w:val="1"/>
                <w:color w:val="auto"/>
              </w:rPr>
              <w:t>(in thousands)</w:t>
            </w: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22,013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19,909</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2,763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3,166</w:t>
            </w:r>
          </w:p>
        </w:tc>
      </w:tr>
      <w:tr>
        <w:trPr>
          <w:trHeight w:val="24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property and equipment,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24,776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23,075</w:t>
            </w:r>
          </w:p>
        </w:tc>
      </w:tr>
      <w:tr>
        <w:trPr>
          <w:trHeight w:val="20"/>
        </w:trPr>
        <w:tc>
          <w:tcPr>
            <w:tcW w:w="8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41"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11.Net Income Per Share</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computations for basic and diluted net income per share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gridSpan w:val="5"/>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8"/>
                <w:szCs w:val="18"/>
                <w:color w:val="auto"/>
              </w:rPr>
            </w:pPr>
          </w:p>
        </w:tc>
        <w:tc>
          <w:tcPr>
            <w:tcW w:w="252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83"/>
        </w:trPr>
        <w:tc>
          <w:tcPr>
            <w:tcW w:w="56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w w:val="95"/>
              </w:rPr>
              <w:t>2013</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40" w:type="dxa"/>
            <w:vAlign w:val="bottom"/>
            <w:gridSpan w:val="5"/>
          </w:tcPr>
          <w:p>
            <w:pPr>
              <w:ind w:left="36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5620" w:type="dxa"/>
            <w:vAlign w:val="bottom"/>
          </w:tcPr>
          <w:p>
            <w:pPr>
              <w:ind w:left="40"/>
              <w:spacing w:after="0"/>
              <w:rPr>
                <w:sz w:val="20"/>
                <w:szCs w:val="20"/>
                <w:color w:val="auto"/>
              </w:rPr>
            </w:pPr>
            <w:r>
              <w:rPr>
                <w:rFonts w:ascii="Arial" w:cs="Arial" w:eastAsia="Arial" w:hAnsi="Arial"/>
                <w:sz w:val="16"/>
                <w:szCs w:val="16"/>
                <w:color w:val="auto"/>
              </w:rPr>
              <w:t>Numerator:</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Net income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3,208</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1,309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4,474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1,579</w:t>
            </w:r>
          </w:p>
        </w:tc>
        <w:tc>
          <w:tcPr>
            <w:tcW w:w="0" w:type="dxa"/>
            <w:vAlign w:val="bottom"/>
          </w:tcPr>
          <w:p>
            <w:pPr>
              <w:spacing w:after="0"/>
              <w:rPr>
                <w:sz w:val="1"/>
                <w:szCs w:val="1"/>
                <w:color w:val="auto"/>
              </w:rPr>
            </w:pPr>
          </w:p>
        </w:tc>
      </w:tr>
      <w:tr>
        <w:trPr>
          <w:trHeight w:val="264"/>
        </w:trPr>
        <w:tc>
          <w:tcPr>
            <w:tcW w:w="5620" w:type="dxa"/>
            <w:vAlign w:val="bottom"/>
          </w:tcPr>
          <w:p>
            <w:pPr>
              <w:ind w:left="280"/>
              <w:spacing w:after="0"/>
              <w:rPr>
                <w:sz w:val="20"/>
                <w:szCs w:val="20"/>
                <w:color w:val="auto"/>
              </w:rPr>
            </w:pPr>
            <w:r>
              <w:rPr>
                <w:rFonts w:ascii="Arial" w:cs="Arial" w:eastAsia="Arial" w:hAnsi="Arial"/>
                <w:sz w:val="16"/>
                <w:szCs w:val="16"/>
                <w:color w:val="auto"/>
              </w:rPr>
              <w:t>Net income attributable to participating securities</w:t>
            </w:r>
          </w:p>
        </w:tc>
        <w:tc>
          <w:tcPr>
            <w:tcW w:w="30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57"/>
        </w:trPr>
        <w:tc>
          <w:tcPr>
            <w:tcW w:w="562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 attributable to common stockholders - basic</w:t>
            </w:r>
          </w:p>
        </w:tc>
        <w:tc>
          <w:tcPr>
            <w:tcW w:w="30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3,208</w:t>
            </w:r>
          </w:p>
        </w:tc>
        <w:tc>
          <w:tcPr>
            <w:tcW w:w="12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1,307</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4,474</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1,577</w:t>
            </w:r>
          </w:p>
        </w:tc>
        <w:tc>
          <w:tcPr>
            <w:tcW w:w="0" w:type="dxa"/>
            <w:vAlign w:val="bottom"/>
          </w:tcPr>
          <w:p>
            <w:pPr>
              <w:spacing w:after="0"/>
              <w:rPr>
                <w:sz w:val="1"/>
                <w:szCs w:val="1"/>
                <w:color w:val="auto"/>
              </w:rPr>
            </w:pPr>
          </w:p>
        </w:tc>
      </w:tr>
      <w:tr>
        <w:trPr>
          <w:trHeight w:val="264"/>
        </w:trPr>
        <w:tc>
          <w:tcPr>
            <w:tcW w:w="5620" w:type="dxa"/>
            <w:vAlign w:val="bottom"/>
          </w:tcPr>
          <w:p>
            <w:pPr>
              <w:ind w:left="280"/>
              <w:spacing w:after="0"/>
              <w:rPr>
                <w:sz w:val="20"/>
                <w:szCs w:val="20"/>
                <w:color w:val="auto"/>
              </w:rPr>
            </w:pPr>
            <w:r>
              <w:rPr>
                <w:rFonts w:ascii="Arial" w:cs="Arial" w:eastAsia="Arial" w:hAnsi="Arial"/>
                <w:sz w:val="16"/>
                <w:szCs w:val="16"/>
                <w:color w:val="auto"/>
              </w:rPr>
              <w:t>Undistributed earnings reallocated to participating securities</w:t>
            </w:r>
          </w:p>
        </w:tc>
        <w:tc>
          <w:tcPr>
            <w:tcW w:w="30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2"/>
                <w:szCs w:val="22"/>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562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 attributable to common stockholders - diluted</w:t>
            </w: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3,208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4,474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1,577</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6"/>
                <w:szCs w:val="16"/>
                <w:color w:val="auto"/>
              </w:rPr>
              <w:t>Denominator:</w:t>
            </w: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2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Weighted-average shares used in computing net income per share:</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620" w:type="dxa"/>
            <w:vAlign w:val="bottom"/>
          </w:tcPr>
          <w:p>
            <w:pPr>
              <w:ind w:left="500"/>
              <w:spacing w:after="0"/>
              <w:rPr>
                <w:sz w:val="20"/>
                <w:szCs w:val="20"/>
                <w:color w:val="auto"/>
              </w:rPr>
            </w:pPr>
            <w:r>
              <w:rPr>
                <w:rFonts w:ascii="Arial" w:cs="Arial" w:eastAsia="Arial" w:hAnsi="Arial"/>
                <w:sz w:val="16"/>
                <w:szCs w:val="16"/>
                <w:color w:val="auto"/>
              </w:rPr>
              <w:t>Basic</w:t>
            </w:r>
          </w:p>
        </w:tc>
        <w:tc>
          <w:tcPr>
            <w:tcW w:w="30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33,120</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32,088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32,820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31,789</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Effect of potentially dilutive securities: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Common stock options</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3,960</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4,159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4,186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3,915</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37,080</w:t>
            </w:r>
          </w:p>
        </w:tc>
        <w:tc>
          <w:tcPr>
            <w:tcW w:w="12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36,247</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37,006</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35,704</w:t>
            </w:r>
          </w:p>
        </w:tc>
        <w:tc>
          <w:tcPr>
            <w:tcW w:w="0" w:type="dxa"/>
            <w:vAlign w:val="bottom"/>
          </w:tcPr>
          <w:p>
            <w:pPr>
              <w:spacing w:after="0"/>
              <w:rPr>
                <w:sz w:val="1"/>
                <w:szCs w:val="1"/>
                <w:color w:val="auto"/>
              </w:rPr>
            </w:pPr>
          </w:p>
        </w:tc>
      </w:tr>
      <w:tr>
        <w:trPr>
          <w:trHeight w:val="254"/>
        </w:trPr>
        <w:tc>
          <w:tcPr>
            <w:tcW w:w="5620" w:type="dxa"/>
            <w:vAlign w:val="bottom"/>
          </w:tcPr>
          <w:p>
            <w:pPr>
              <w:ind w:left="40"/>
              <w:spacing w:after="0"/>
              <w:rPr>
                <w:sz w:val="20"/>
                <w:szCs w:val="20"/>
                <w:color w:val="auto"/>
              </w:rPr>
            </w:pPr>
            <w:r>
              <w:rPr>
                <w:rFonts w:ascii="Arial" w:cs="Arial" w:eastAsia="Arial" w:hAnsi="Arial"/>
                <w:sz w:val="16"/>
                <w:szCs w:val="16"/>
                <w:color w:val="auto"/>
              </w:rPr>
              <w:t>Net income per share:</w:t>
            </w: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0.10</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0.04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0.14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tcPr>
          <w:p>
            <w:pPr>
              <w:ind w:left="28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0.09</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0.12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60" w:firstLine="486"/>
        <w:spacing w:after="0" w:line="262" w:lineRule="auto"/>
        <w:rPr>
          <w:sz w:val="20"/>
          <w:szCs w:val="20"/>
          <w:color w:val="auto"/>
        </w:rPr>
      </w:pPr>
      <w:r>
        <w:rPr>
          <w:rFonts w:ascii="Arial" w:cs="Arial" w:eastAsia="Arial" w:hAnsi="Arial"/>
          <w:sz w:val="18"/>
          <w:szCs w:val="18"/>
          <w:color w:val="231F20"/>
        </w:rPr>
        <w:t>Potentially dilutive securities not included in the calculation of diluted net income per share because doing so would be antidilutive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20" w:type="dxa"/>
            <w:vAlign w:val="bottom"/>
          </w:tcPr>
          <w:p>
            <w:pPr>
              <w:spacing w:after="0"/>
              <w:rPr>
                <w:sz w:val="18"/>
                <w:szCs w:val="18"/>
                <w:color w:val="auto"/>
              </w:rPr>
            </w:pPr>
          </w:p>
        </w:tc>
        <w:tc>
          <w:tcPr>
            <w:tcW w:w="3480" w:type="dxa"/>
            <w:vAlign w:val="bottom"/>
            <w:gridSpan w:val="4"/>
          </w:tcPr>
          <w:p>
            <w:pPr>
              <w:jc w:val="center"/>
              <w:ind w:right="600"/>
              <w:spacing w:after="0"/>
              <w:rPr>
                <w:sz w:val="20"/>
                <w:szCs w:val="20"/>
                <w:color w:val="auto"/>
              </w:rPr>
            </w:pPr>
            <w:r>
              <w:rPr>
                <w:rFonts w:ascii="Arial" w:cs="Arial" w:eastAsia="Arial" w:hAnsi="Arial"/>
                <w:sz w:val="16"/>
                <w:szCs w:val="16"/>
                <w:b w:val="1"/>
                <w:bCs w:val="1"/>
                <w:color w:val="auto"/>
              </w:rPr>
              <w:t>Three Months Ended</w:t>
            </w:r>
          </w:p>
        </w:tc>
        <w:tc>
          <w:tcPr>
            <w:tcW w:w="2320" w:type="dxa"/>
            <w:vAlign w:val="bottom"/>
            <w:gridSpan w:val="2"/>
          </w:tcPr>
          <w:p>
            <w:pPr>
              <w:jc w:val="center"/>
              <w:ind w:right="379"/>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5620" w:type="dxa"/>
            <w:vAlign w:val="bottom"/>
          </w:tcPr>
          <w:p>
            <w:pPr>
              <w:spacing w:after="0"/>
              <w:rPr>
                <w:sz w:val="24"/>
                <w:szCs w:val="24"/>
                <w:color w:val="auto"/>
              </w:rPr>
            </w:pPr>
          </w:p>
        </w:tc>
        <w:tc>
          <w:tcPr>
            <w:tcW w:w="2000" w:type="dxa"/>
            <w:vAlign w:val="bottom"/>
            <w:tcBorders>
              <w:bottom w:val="single" w:sz="8" w:color="auto"/>
            </w:tcBorders>
          </w:tcPr>
          <w:p>
            <w:pPr>
              <w:jc w:val="center"/>
              <w:ind w:left="819"/>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2"/>
          </w:tcPr>
          <w:p>
            <w:pPr>
              <w:jc w:val="center"/>
              <w:ind w:right="379"/>
              <w:spacing w:after="0"/>
              <w:rPr>
                <w:sz w:val="20"/>
                <w:szCs w:val="20"/>
                <w:color w:val="auto"/>
              </w:rPr>
            </w:pPr>
            <w:r>
              <w:rPr>
                <w:rFonts w:ascii="Arial" w:cs="Arial" w:eastAsia="Arial" w:hAnsi="Arial"/>
                <w:sz w:val="16"/>
                <w:szCs w:val="16"/>
                <w:b w:val="1"/>
                <w:bCs w:val="1"/>
                <w:color w:val="auto"/>
              </w:rPr>
              <w:t>September 30,</w:t>
            </w:r>
          </w:p>
        </w:tc>
      </w:tr>
      <w:tr>
        <w:trPr>
          <w:trHeight w:val="264"/>
        </w:trPr>
        <w:tc>
          <w:tcPr>
            <w:tcW w:w="5620" w:type="dxa"/>
            <w:vAlign w:val="bottom"/>
          </w:tcPr>
          <w:p>
            <w:pPr>
              <w:spacing w:after="0"/>
              <w:rPr>
                <w:sz w:val="22"/>
                <w:szCs w:val="22"/>
                <w:color w:val="auto"/>
              </w:rPr>
            </w:pPr>
          </w:p>
        </w:tc>
        <w:tc>
          <w:tcPr>
            <w:tcW w:w="2000" w:type="dxa"/>
            <w:vAlign w:val="bottom"/>
            <w:tcBorders>
              <w:bottom w:val="single" w:sz="8" w:color="auto"/>
            </w:tcBorders>
          </w:tcPr>
          <w:p>
            <w:pPr>
              <w:jc w:val="right"/>
              <w:ind w:right="1059"/>
              <w:spacing w:after="0"/>
              <w:rPr>
                <w:sz w:val="20"/>
                <w:szCs w:val="20"/>
                <w:color w:val="auto"/>
              </w:rPr>
            </w:pPr>
            <w:r>
              <w:rPr>
                <w:rFonts w:ascii="Arial" w:cs="Arial" w:eastAsia="Arial" w:hAnsi="Arial"/>
                <w:sz w:val="16"/>
                <w:szCs w:val="16"/>
                <w:b w:val="1"/>
                <w:bCs w:val="1"/>
                <w:color w:val="auto"/>
              </w:rPr>
              <w:t>2014</w:t>
            </w:r>
          </w:p>
        </w:tc>
        <w:tc>
          <w:tcPr>
            <w:tcW w:w="8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w w:val="95"/>
              </w:rPr>
              <w:t>2013</w:t>
            </w:r>
          </w:p>
        </w:tc>
        <w:tc>
          <w:tcPr>
            <w:tcW w:w="1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w w:val="95"/>
              </w:rPr>
              <w:t>2014</w:t>
            </w:r>
          </w:p>
        </w:tc>
        <w:tc>
          <w:tcPr>
            <w:tcW w:w="12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r>
      <w:tr>
        <w:trPr>
          <w:trHeight w:val="247"/>
        </w:trPr>
        <w:tc>
          <w:tcPr>
            <w:tcW w:w="56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480" w:type="dxa"/>
            <w:vAlign w:val="bottom"/>
            <w:gridSpan w:val="3"/>
          </w:tcPr>
          <w:p>
            <w:pPr>
              <w:ind w:left="360"/>
              <w:spacing w:after="0"/>
              <w:rPr>
                <w:sz w:val="20"/>
                <w:szCs w:val="20"/>
                <w:color w:val="auto"/>
              </w:rPr>
            </w:pPr>
            <w:r>
              <w:rPr>
                <w:rFonts w:ascii="Arial" w:cs="Arial" w:eastAsia="Arial" w:hAnsi="Arial"/>
                <w:sz w:val="16"/>
                <w:szCs w:val="16"/>
                <w:b w:val="1"/>
                <w:bCs w:val="1"/>
                <w:color w:val="auto"/>
                <w:w w:val="99"/>
              </w:rPr>
              <w:t>(in thousands)</w:t>
            </w:r>
          </w:p>
        </w:tc>
        <w:tc>
          <w:tcPr>
            <w:tcW w:w="11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Common stock options</w:t>
            </w:r>
          </w:p>
        </w:tc>
        <w:tc>
          <w:tcPr>
            <w:tcW w:w="200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1,813</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394</w:t>
            </w:r>
          </w:p>
        </w:tc>
        <w:tc>
          <w:tcPr>
            <w:tcW w:w="1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1,483</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956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41" w:right="23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2. Management's Discussion and Analysis of Financial Condition and Results of Operations</w:t>
      </w:r>
    </w:p>
    <w:p>
      <w:pPr>
        <w:spacing w:after="0" w:line="200" w:lineRule="exact"/>
        <w:rPr>
          <w:sz w:val="20"/>
          <w:szCs w:val="20"/>
          <w:color w:val="auto"/>
        </w:rPr>
      </w:pPr>
    </w:p>
    <w:p>
      <w:pPr>
        <w:spacing w:after="0" w:line="272" w:lineRule="exact"/>
        <w:rPr>
          <w:sz w:val="20"/>
          <w:szCs w:val="20"/>
          <w:color w:val="auto"/>
        </w:rPr>
      </w:pPr>
    </w:p>
    <w:p>
      <w:pPr>
        <w:ind w:right="80" w:firstLine="405"/>
        <w:spacing w:after="0" w:line="258" w:lineRule="auto"/>
        <w:rPr>
          <w:sz w:val="20"/>
          <w:szCs w:val="20"/>
          <w:color w:val="auto"/>
        </w:rPr>
      </w:pPr>
      <w:r>
        <w:rPr>
          <w:rFonts w:ascii="Arial" w:cs="Arial" w:eastAsia="Arial" w:hAnsi="Arial"/>
          <w:sz w:val="18"/>
          <w:szCs w:val="18"/>
          <w:i w:val="1"/>
          <w:iCs w:val="1"/>
          <w:color w:val="231F20"/>
        </w:rPr>
        <w:t>This Quarterly Report on Form 10-Q, including this Management’s Discussion and Analysis of Financial Condition and Results of Operations, should be read in conjunction with (1) our condensed consolidated financial statements (unaudited) and the related notes included elsewhere in this report, and (2) the audited consolidated financial statements and the related notes and management’s discussion and analysis of financial condition and results of operations included in our Annual Report on Form 10-K for the fiscal year ended December 31, 2013, filed with the Securities and Exchange Commission, or SEC, on February 28, 2014.</w:t>
      </w:r>
    </w:p>
    <w:p>
      <w:pPr>
        <w:spacing w:after="0" w:line="35"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i w:val="1"/>
          <w:iCs w:val="1"/>
          <w:color w:val="231F20"/>
        </w:rPr>
        <w:t>In addition to historical information, this Quarterly Report on Form 10-Q contains “forward-looking” statements within the meaning of Section 21E of the Securities Exchange Act of 1934, as amended, or the Exchange Act. Forward-looking statements generally relate to future events or our future financial or operating performance. In some cases, it is possible to identify forward-looking statements because they contain words such as “anticipates,” “believes,” “contemplates,” “continue,” “could,” “estimates,” “expects,” “future,” “intends,” “likely,” “may,” “plans,” “potential,” “predicts,” “projects,” “seek,” “should,” “target,” or “will,”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257" w:lineRule="exact"/>
        <w:rPr>
          <w:sz w:val="20"/>
          <w:szCs w:val="20"/>
          <w:color w:val="auto"/>
        </w:rPr>
      </w:pPr>
    </w:p>
    <w:p>
      <w:pPr>
        <w:ind w:left="1060" w:right="180" w:hanging="323"/>
        <w:spacing w:after="0" w:line="260" w:lineRule="auto"/>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financial performance, including our revenues, costs, expenditures, growth rates, operating expenses and ability to generate positive cash flow to attain and sustain profitability;</w:t>
      </w:r>
    </w:p>
    <w:p>
      <w:pPr>
        <w:spacing w:after="0" w:line="1"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anticipated technology trends, such as the use of cloud solutions;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adapt to changing market conditions;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economic and financial conditions, including volatility in foreign exchange rates;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diversify our sources of revenues;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the effects of increased competition in our market;</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effectively manage our growth;</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anticipated investments in sales and marketing, our infrastructure, new solutions, and research and development;</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maintaining and expanding our relationships with channel partners;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maintain, protect and enhance our brand and intellectual property;</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costs associated with defending intellectual property infringement and other claims;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attract and retain qualified employees and key personnel;</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successfully enter new markets and manage our international expansion; and</w:t>
      </w:r>
    </w:p>
    <w:p>
      <w:pPr>
        <w:spacing w:after="0" w:line="9" w:lineRule="exact"/>
        <w:rPr>
          <w:rFonts w:ascii="Arial" w:cs="Arial" w:eastAsia="Arial" w:hAnsi="Arial"/>
          <w:sz w:val="18"/>
          <w:szCs w:val="18"/>
          <w:i w:val="1"/>
          <w:iCs w:val="1"/>
          <w:color w:val="auto"/>
        </w:rPr>
      </w:pPr>
    </w:p>
    <w:p>
      <w:pPr>
        <w:ind w:left="1060" w:right="920" w:hanging="323"/>
        <w:spacing w:after="0" w:line="262" w:lineRule="auto"/>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other factors discussed in this Quarterly Report on Form 10-Q in the sections titled “Risk Factors” and “Management's Discussion and Analysis of Financial Condition and Results of Operations.”</w:t>
      </w:r>
    </w:p>
    <w:p>
      <w:pPr>
        <w:spacing w:after="0" w:line="178"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i w:val="1"/>
          <w:iCs w:val="1"/>
          <w:color w:val="231F20"/>
        </w:rPr>
        <w:t>We have based the forward-looking statements contained in this Quarterly Report on Form 10-Q primarily on our current expectations and projections about future events and trends that we believe may affect our business, financial condition, results of operations and prospects. The results, events and circumstances reflected in these forward-looking statements are subject to risks, uncertainties, assumptions, and other factors including those described in Part II, Item 1A (Risk Factors) of this Quarterly Report and those discussed in other documents we file with the Securities and Exchange Commission. Moreover, we operate in a very competitive and rapidly changing environment. New risks and uncertainties emerge from time to time, and it is not possible for us to predict all risks and uncertainties that could have an impact on the forward-looking statements used herein. We cannot provide assurance that the results, events, and circumstances reflected in the forward-looking statements will be achieved or occur, and actual results, events or circumstances could differ materially from those described in the forward-looking statements.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Overview</w:t>
      </w:r>
    </w:p>
    <w:p>
      <w:pPr>
        <w:spacing w:after="0" w:line="220"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231F20"/>
        </w:rPr>
        <w:t>We are a pioneer and leading provider of cloud security and compliance solutions that enable organizations to identify security risks to their IT infrastructures, help protect their IT systems and applications from ever-evolving cyber attacks and achieve compliance with internal policies and external regulations. Our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Our integrated suite of security and compliance solutions delivered on our QualysGuard Cloud Platform enables our customers to identify their IT assets, collect and analyze large amounts of IT security data, discover and prioritize vulnerabilities, recommend remediation actions and verify</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09"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231F20"/>
        </w:rPr>
        <w:t>the implementation of such actions. Organizations use our integrated suite of solutions delivered on our QualysGuard Cloud Platform to cost-effectively obtain a unified view of their security and compliance posture across globally-distributed IT infrastructures.</w:t>
      </w:r>
    </w:p>
    <w:p>
      <w:pPr>
        <w:spacing w:after="0" w:line="156" w:lineRule="exact"/>
        <w:rPr>
          <w:sz w:val="20"/>
          <w:szCs w:val="20"/>
          <w:color w:val="auto"/>
        </w:rPr>
      </w:pPr>
    </w:p>
    <w:p>
      <w:pPr>
        <w:ind w:right="60" w:firstLine="405"/>
        <w:spacing w:after="0" w:line="251" w:lineRule="auto"/>
        <w:rPr>
          <w:sz w:val="20"/>
          <w:szCs w:val="20"/>
          <w:color w:val="auto"/>
        </w:rPr>
      </w:pPr>
      <w:r>
        <w:rPr>
          <w:rFonts w:ascii="Arial" w:cs="Arial" w:eastAsia="Arial" w:hAnsi="Arial"/>
          <w:sz w:val="18"/>
          <w:szCs w:val="18"/>
          <w:color w:val="231F20"/>
        </w:rPr>
        <w:t xml:space="preserve">We were founded and incorporated in December 1999 with a vision of transforming the way organizations secure and protect their IT infrastructure and applications and initially launched our first cloud solution, QualysGuard Vulnerability Management, in 2000. This solution has provided the substantial majority of our revenues to date, representing 82% and 84% of total revenues for the nine months ended September 30, 2014 and 2013, respectively. As this solution gained acceptance, we introduced new solutions to help customers manage increasing IT security and compliance requirements. In 2006, we added our PCI Compliance solution, and in 2008, we added our Policy Compliance solution. In 2009, we broadened the scope of our cloud services by adding Web Application Scanning. We continued our expansion in 2010, launching Malware Detection Service and Qualys SECURE Seal for automated protection of websites. In 2012, we introduced our virtualized private cloud platform as an additional deployment option of our solutions for customers and partners. In 2014, we released a new </w:t>
      </w:r>
      <w:r>
        <w:rPr>
          <w:rFonts w:ascii="Arial" w:cs="Arial" w:eastAsia="Arial" w:hAnsi="Arial"/>
          <w:sz w:val="18"/>
          <w:szCs w:val="18"/>
          <w:color w:val="000000"/>
        </w:rPr>
        <w:t>Continuous</w:t>
      </w:r>
      <w:r>
        <w:rPr>
          <w:rFonts w:ascii="Arial" w:cs="Arial" w:eastAsia="Arial" w:hAnsi="Arial"/>
          <w:sz w:val="18"/>
          <w:szCs w:val="18"/>
          <w:color w:val="231F20"/>
        </w:rPr>
        <w:t xml:space="preserve"> </w:t>
      </w:r>
      <w:r>
        <w:rPr>
          <w:rFonts w:ascii="Arial" w:cs="Arial" w:eastAsia="Arial" w:hAnsi="Arial"/>
          <w:sz w:val="18"/>
          <w:szCs w:val="18"/>
          <w:color w:val="000000"/>
        </w:rPr>
        <w:t>Security Monitoring service for Internet-facing systems, which allows customers to continuously monitor their mission-critical assets and to be alerted to security vulnerabilities or misconfigurations that may make them susceptible to a cyber attack.</w:t>
      </w:r>
    </w:p>
    <w:p>
      <w:pPr>
        <w:spacing w:after="0" w:line="212" w:lineRule="exact"/>
        <w:rPr>
          <w:sz w:val="20"/>
          <w:szCs w:val="20"/>
          <w:color w:val="auto"/>
        </w:rPr>
      </w:pPr>
    </w:p>
    <w:p>
      <w:pPr>
        <w:ind w:right="160" w:firstLine="405"/>
        <w:spacing w:after="0" w:line="253" w:lineRule="auto"/>
        <w:rPr>
          <w:sz w:val="20"/>
          <w:szCs w:val="20"/>
          <w:color w:val="auto"/>
        </w:rPr>
      </w:pPr>
      <w:r>
        <w:rPr>
          <w:rFonts w:ascii="Arial" w:cs="Arial" w:eastAsia="Arial" w:hAnsi="Arial"/>
          <w:sz w:val="18"/>
          <w:szCs w:val="18"/>
          <w:color w:val="231F20"/>
        </w:rPr>
        <w:t>We provide our solutions through a software-as-a-service model, primarily with renewable annual subscriptions. These subscriptions require customers to pay a fee in order to access our cloud solutions. We invoice our customers for the entire subscription amount at the start of the subscription term, and the invoiced amounts are treated as deferred revenues and are recognized ratably over the term of each subscription. We continue to experience significant revenue growth from existing customers as they renew and purchase additional subscriptions.</w:t>
      </w:r>
    </w:p>
    <w:p>
      <w:pPr>
        <w:spacing w:after="0" w:line="165"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231F20"/>
        </w:rPr>
        <w:t xml:space="preserve">We market and sell our solutions to enterprises, government entities and to small and medium-sized businesses across a broad range of industries, including education, financial services, government, healthcare, insurance, manufacturing, media, retail, technology and utilities. In the nine month periods ended September 30, 2014 and </w:t>
      </w:r>
      <w:r>
        <w:rPr>
          <w:rFonts w:ascii="Arial" w:cs="Arial" w:eastAsia="Arial" w:hAnsi="Arial"/>
          <w:sz w:val="18"/>
          <w:szCs w:val="18"/>
          <w:color w:val="000000"/>
        </w:rPr>
        <w:t>2013</w:t>
      </w:r>
      <w:r>
        <w:rPr>
          <w:rFonts w:ascii="Arial" w:cs="Arial" w:eastAsia="Arial" w:hAnsi="Arial"/>
          <w:sz w:val="18"/>
          <w:szCs w:val="18"/>
          <w:color w:val="231F20"/>
        </w:rPr>
        <w:t xml:space="preserve">, approximately </w:t>
      </w:r>
      <w:r>
        <w:rPr>
          <w:rFonts w:ascii="Arial" w:cs="Arial" w:eastAsia="Arial" w:hAnsi="Arial"/>
          <w:sz w:val="18"/>
          <w:szCs w:val="18"/>
          <w:color w:val="000000"/>
        </w:rPr>
        <w:t>70%</w:t>
      </w:r>
      <w:r>
        <w:rPr>
          <w:rFonts w:ascii="Arial" w:cs="Arial" w:eastAsia="Arial" w:hAnsi="Arial"/>
          <w:sz w:val="18"/>
          <w:szCs w:val="18"/>
          <w:color w:val="231F20"/>
        </w:rPr>
        <w:t xml:space="preserve"> of our revenues were derived from customers in the United States. We sell our solutions to enterprises and government entities primarily through our field sales force and to small and medium-sized businesses through our inside sales force. We generate a significant portion of sales through our channel partners, including managed service providers, value-added resellers and consulting firms in the United States and internationally.</w:t>
      </w:r>
    </w:p>
    <w:p>
      <w:pPr>
        <w:spacing w:after="0" w:line="168"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231F20"/>
        </w:rPr>
        <w:t xml:space="preserve">We have had continued revenue growth in the </w:t>
      </w:r>
      <w:r>
        <w:rPr>
          <w:rFonts w:ascii="Arial" w:cs="Arial" w:eastAsia="Arial" w:hAnsi="Arial"/>
          <w:sz w:val="18"/>
          <w:szCs w:val="18"/>
          <w:color w:val="000000"/>
        </w:rPr>
        <w:t>nine months ended September 30, 2014</w:t>
      </w:r>
      <w:r>
        <w:rPr>
          <w:rFonts w:ascii="Arial" w:cs="Arial" w:eastAsia="Arial" w:hAnsi="Arial"/>
          <w:sz w:val="18"/>
          <w:szCs w:val="18"/>
          <w:color w:val="231F20"/>
        </w:rPr>
        <w:t xml:space="preserve"> compared to the same period in 2013. Our revenues increased to </w:t>
      </w:r>
      <w:r>
        <w:rPr>
          <w:rFonts w:ascii="Arial" w:cs="Arial" w:eastAsia="Arial" w:hAnsi="Arial"/>
          <w:sz w:val="18"/>
          <w:szCs w:val="18"/>
          <w:color w:val="000000"/>
        </w:rPr>
        <w:t>$34.3 million</w:t>
      </w:r>
      <w:r>
        <w:rPr>
          <w:rFonts w:ascii="Arial" w:cs="Arial" w:eastAsia="Arial" w:hAnsi="Arial"/>
          <w:sz w:val="18"/>
          <w:szCs w:val="18"/>
          <w:color w:val="231F20"/>
        </w:rPr>
        <w:t xml:space="preserve"> in the </w:t>
      </w:r>
      <w:r>
        <w:rPr>
          <w:rFonts w:ascii="Arial" w:cs="Arial" w:eastAsia="Arial" w:hAnsi="Arial"/>
          <w:sz w:val="18"/>
          <w:szCs w:val="18"/>
          <w:color w:val="000000"/>
        </w:rPr>
        <w:t>three months ended September 30, 2014</w:t>
      </w:r>
      <w:r>
        <w:rPr>
          <w:rFonts w:ascii="Arial" w:cs="Arial" w:eastAsia="Arial" w:hAnsi="Arial"/>
          <w:sz w:val="18"/>
          <w:szCs w:val="18"/>
          <w:color w:val="231F20"/>
        </w:rPr>
        <w:t xml:space="preserve"> from </w:t>
      </w:r>
      <w:r>
        <w:rPr>
          <w:rFonts w:ascii="Arial" w:cs="Arial" w:eastAsia="Arial" w:hAnsi="Arial"/>
          <w:sz w:val="18"/>
          <w:szCs w:val="18"/>
          <w:color w:val="000000"/>
        </w:rPr>
        <w:t>$27.7 million</w:t>
      </w:r>
      <w:r>
        <w:rPr>
          <w:rFonts w:ascii="Arial" w:cs="Arial" w:eastAsia="Arial" w:hAnsi="Arial"/>
          <w:sz w:val="18"/>
          <w:szCs w:val="18"/>
          <w:color w:val="231F20"/>
        </w:rPr>
        <w:t xml:space="preserve"> for the comparable period in 2013, representing an increase of </w:t>
      </w:r>
      <w:r>
        <w:rPr>
          <w:rFonts w:ascii="Arial" w:cs="Arial" w:eastAsia="Arial" w:hAnsi="Arial"/>
          <w:sz w:val="18"/>
          <w:szCs w:val="18"/>
          <w:color w:val="000000"/>
        </w:rPr>
        <w:t>$6.6 million</w:t>
      </w:r>
      <w:r>
        <w:rPr>
          <w:rFonts w:ascii="Arial" w:cs="Arial" w:eastAsia="Arial" w:hAnsi="Arial"/>
          <w:sz w:val="18"/>
          <w:szCs w:val="18"/>
          <w:color w:val="231F20"/>
        </w:rPr>
        <w:t xml:space="preserve"> or </w:t>
      </w:r>
      <w:r>
        <w:rPr>
          <w:rFonts w:ascii="Arial" w:cs="Arial" w:eastAsia="Arial" w:hAnsi="Arial"/>
          <w:sz w:val="18"/>
          <w:szCs w:val="18"/>
          <w:color w:val="000000"/>
        </w:rPr>
        <w:t>24%</w:t>
      </w:r>
      <w:r>
        <w:rPr>
          <w:rFonts w:ascii="Arial" w:cs="Arial" w:eastAsia="Arial" w:hAnsi="Arial"/>
          <w:sz w:val="18"/>
          <w:szCs w:val="18"/>
          <w:color w:val="231F20"/>
        </w:rPr>
        <w:t xml:space="preserve">. Revenues reached $ 97.0 million for the nine months ended September 30, 2014, compared to $78.9 million for the nine months ended September 30, 2013. For the </w:t>
      </w:r>
      <w:r>
        <w:rPr>
          <w:rFonts w:ascii="Arial" w:cs="Arial" w:eastAsia="Arial" w:hAnsi="Arial"/>
          <w:sz w:val="18"/>
          <w:szCs w:val="18"/>
          <w:color w:val="000000"/>
        </w:rPr>
        <w:t>three months ended September 30, 2014</w:t>
      </w:r>
      <w:r>
        <w:rPr>
          <w:rFonts w:ascii="Arial" w:cs="Arial" w:eastAsia="Arial" w:hAnsi="Arial"/>
          <w:sz w:val="18"/>
          <w:szCs w:val="18"/>
          <w:color w:val="231F20"/>
        </w:rPr>
        <w:t xml:space="preserve"> and </w:t>
      </w:r>
      <w:r>
        <w:rPr>
          <w:rFonts w:ascii="Arial" w:cs="Arial" w:eastAsia="Arial" w:hAnsi="Arial"/>
          <w:sz w:val="18"/>
          <w:szCs w:val="18"/>
          <w:color w:val="000000"/>
        </w:rPr>
        <w:t>2013</w:t>
      </w:r>
      <w:r>
        <w:rPr>
          <w:rFonts w:ascii="Arial" w:cs="Arial" w:eastAsia="Arial" w:hAnsi="Arial"/>
          <w:sz w:val="18"/>
          <w:szCs w:val="18"/>
          <w:color w:val="231F20"/>
        </w:rPr>
        <w:t>, we had net income of $3.2 million and $1.3 million, respectively. For the nine months ended September 30, 2014 and 2013, we had net income of $4.5 million and $1.6 million,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Adjusted EBITDA</w:t>
      </w:r>
    </w:p>
    <w:p>
      <w:pPr>
        <w:spacing w:after="0" w:line="220"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231F20"/>
        </w:rPr>
        <w:t>In addition to measures of financial performance presented in our condensed consolidated financial statements, we monitor Adjusted EBITDA, a non-GAAP financial measure, to analyze our financial results and believe that it is useful to investors, as a supplement to U.S. GAAP measures, in evaluating our ongoing operational performance and enhancing an overall understanding of our past financial performance. We believe that Adjusted EBITDA helps illustrate underlying trends in our business that could otherwise be masked by the effect of the income or expenses that we exclude in Adjusted EBITDA. Furthermore, we use this measure to establish budgets and operational goals for managing our business and evaluating our performance. We also believe that Adjusted EBITDA provides an additional tool for investors to use in comparing our recurring core business operating results over multiple periods with other companies in our industry.</w:t>
      </w:r>
    </w:p>
    <w:p>
      <w:pPr>
        <w:spacing w:after="0" w:line="180" w:lineRule="exact"/>
        <w:rPr>
          <w:sz w:val="20"/>
          <w:szCs w:val="20"/>
          <w:color w:val="auto"/>
        </w:rPr>
      </w:pPr>
    </w:p>
    <w:p>
      <w:pPr>
        <w:jc w:val="both"/>
        <w:ind w:right="20" w:firstLine="486"/>
        <w:spacing w:after="0" w:line="262" w:lineRule="auto"/>
        <w:rPr>
          <w:sz w:val="20"/>
          <w:szCs w:val="20"/>
          <w:color w:val="auto"/>
        </w:rPr>
      </w:pPr>
      <w:r>
        <w:rPr>
          <w:rFonts w:ascii="Arial" w:cs="Arial" w:eastAsia="Arial" w:hAnsi="Arial"/>
          <w:sz w:val="18"/>
          <w:szCs w:val="18"/>
          <w:color w:val="231F20"/>
        </w:rPr>
        <w:t>Adjusted EBITDA should not be considered in isolation from, or as a substitute for, financial information prepared in accordance with U.S. GAAP. We calculate Adjusted EBITDA as net income before (1) other (income)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41"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231F20"/>
        </w:rPr>
        <w:t>expense, net, which includes interest income, interest expense and other income and expense, (2) provision for income taxes, (3) depreciation and amortization of property and equipment, (4) amortization of intangible assets and (5) stock-based compensation.</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following unaudited table presents the reconciliation of net income to Adjusted EBITDA for the three and nine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September 30, 2014 and </w:t>
      </w:r>
      <w:r>
        <w:rPr>
          <w:rFonts w:ascii="Arial" w:cs="Arial" w:eastAsia="Arial" w:hAnsi="Arial"/>
          <w:sz w:val="18"/>
          <w:szCs w:val="18"/>
          <w:color w:val="000000"/>
        </w:rPr>
        <w:t>2013</w:t>
      </w:r>
      <w:r>
        <w:rPr>
          <w:rFonts w:ascii="Arial" w:cs="Arial" w:eastAsia="Arial" w:hAnsi="Arial"/>
          <w:sz w:val="18"/>
          <w:szCs w:val="18"/>
          <w:color w:val="231F20"/>
        </w:rPr>
        <w:t>:</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40" w:type="dxa"/>
            <w:vAlign w:val="bottom"/>
            <w:gridSpan w:val="3"/>
          </w:tcPr>
          <w:p>
            <w:pPr>
              <w:jc w:val="right"/>
              <w:ind w:right="339"/>
              <w:spacing w:after="0"/>
              <w:rPr>
                <w:sz w:val="20"/>
                <w:szCs w:val="20"/>
                <w:color w:val="auto"/>
              </w:rPr>
            </w:pPr>
            <w:r>
              <w:rPr>
                <w:rFonts w:ascii="Arial" w:cs="Arial" w:eastAsia="Arial" w:hAnsi="Arial"/>
                <w:sz w:val="16"/>
                <w:szCs w:val="16"/>
                <w:b w:val="1"/>
                <w:bCs w:val="1"/>
                <w:color w:val="auto"/>
              </w:rPr>
              <w:t>Three Months Ended</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2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454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6"/>
                <w:szCs w:val="16"/>
                <w:b w:val="1"/>
                <w:bCs w:val="1"/>
                <w:color w:val="auto"/>
              </w:rPr>
              <w:t>September 30,</w:t>
            </w:r>
          </w:p>
        </w:tc>
        <w:tc>
          <w:tcPr>
            <w:tcW w:w="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24"/>
                <w:szCs w:val="24"/>
                <w:color w:val="auto"/>
              </w:rPr>
            </w:pPr>
          </w:p>
        </w:tc>
      </w:tr>
      <w:tr>
        <w:trPr>
          <w:trHeight w:val="264"/>
        </w:trPr>
        <w:tc>
          <w:tcPr>
            <w:tcW w:w="454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2013</w:t>
            </w:r>
          </w:p>
        </w:tc>
      </w:tr>
      <w:tr>
        <w:trPr>
          <w:trHeight w:val="247"/>
        </w:trPr>
        <w:tc>
          <w:tcPr>
            <w:tcW w:w="4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500" w:type="dxa"/>
            <w:vAlign w:val="bottom"/>
            <w:gridSpan w:val="6"/>
          </w:tcPr>
          <w:p>
            <w:pPr>
              <w:ind w:left="160"/>
              <w:spacing w:after="0"/>
              <w:rPr>
                <w:sz w:val="20"/>
                <w:szCs w:val="20"/>
                <w:color w:val="auto"/>
              </w:rPr>
            </w:pPr>
            <w:r>
              <w:rPr>
                <w:rFonts w:ascii="Arial" w:cs="Arial" w:eastAsia="Arial" w:hAnsi="Arial"/>
                <w:sz w:val="16"/>
                <w:szCs w:val="16"/>
                <w:b w:val="1"/>
                <w:bCs w:val="1"/>
                <w:color w:val="auto"/>
              </w:rPr>
              <w:t>(in thousands, except percentages)</w:t>
            </w: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80"/>
        </w:trPr>
        <w:tc>
          <w:tcPr>
            <w:tcW w:w="4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3,208</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1,309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4,474</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1,579</w:t>
            </w:r>
          </w:p>
        </w:tc>
      </w:tr>
      <w:tr>
        <w:trPr>
          <w:trHeight w:val="260"/>
        </w:trPr>
        <w:tc>
          <w:tcPr>
            <w:tcW w:w="454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1120" w:type="dxa"/>
            <w:vAlign w:val="bottom"/>
          </w:tcPr>
          <w:p>
            <w:pPr>
              <w:spacing w:after="0"/>
              <w:rPr>
                <w:sz w:val="22"/>
                <w:szCs w:val="22"/>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134</w:t>
            </w:r>
          </w:p>
        </w:tc>
      </w:tr>
      <w:tr>
        <w:trPr>
          <w:trHeight w:val="280"/>
        </w:trPr>
        <w:tc>
          <w:tcPr>
            <w:tcW w:w="4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1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283</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639</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372</w:t>
            </w:r>
          </w:p>
        </w:tc>
      </w:tr>
      <w:tr>
        <w:trPr>
          <w:trHeight w:val="260"/>
        </w:trPr>
        <w:tc>
          <w:tcPr>
            <w:tcW w:w="4540" w:type="dxa"/>
            <w:vAlign w:val="bottom"/>
          </w:tcPr>
          <w:p>
            <w:pPr>
              <w:ind w:left="40"/>
              <w:spacing w:after="0"/>
              <w:rPr>
                <w:sz w:val="20"/>
                <w:szCs w:val="20"/>
                <w:color w:val="auto"/>
              </w:rPr>
            </w:pPr>
            <w:r>
              <w:rPr>
                <w:rFonts w:ascii="Arial" w:cs="Arial" w:eastAsia="Arial" w:hAnsi="Arial"/>
                <w:sz w:val="16"/>
                <w:szCs w:val="16"/>
                <w:color w:val="auto"/>
              </w:rPr>
              <w:t>Depreciation and amortization of property and equipment</w:t>
            </w:r>
          </w:p>
        </w:tc>
        <w:tc>
          <w:tcPr>
            <w:tcW w:w="1120" w:type="dxa"/>
            <w:vAlign w:val="bottom"/>
          </w:tcPr>
          <w:p>
            <w:pPr>
              <w:spacing w:after="0"/>
              <w:rPr>
                <w:sz w:val="22"/>
                <w:szCs w:val="22"/>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2,946</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60" w:type="dxa"/>
            <w:vAlign w:val="bottom"/>
          </w:tcPr>
          <w:p>
            <w:pPr>
              <w:jc w:val="right"/>
              <w:ind w:right="79"/>
              <w:spacing w:after="0"/>
              <w:rPr>
                <w:sz w:val="20"/>
                <w:szCs w:val="20"/>
                <w:color w:val="auto"/>
              </w:rPr>
            </w:pPr>
            <w:r>
              <w:rPr>
                <w:rFonts w:ascii="Arial" w:cs="Arial" w:eastAsia="Arial" w:hAnsi="Arial"/>
                <w:sz w:val="16"/>
                <w:szCs w:val="16"/>
                <w:color w:val="auto"/>
              </w:rPr>
              <w:t>2,452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8,532</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6,731</w:t>
            </w:r>
          </w:p>
        </w:tc>
      </w:tr>
      <w:tr>
        <w:trPr>
          <w:trHeight w:val="280"/>
        </w:trPr>
        <w:tc>
          <w:tcPr>
            <w:tcW w:w="4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intangible assets</w:t>
            </w:r>
          </w:p>
        </w:tc>
        <w:tc>
          <w:tcPr>
            <w:tcW w:w="1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294</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319</w:t>
            </w:r>
          </w:p>
        </w:tc>
      </w:tr>
      <w:tr>
        <w:trPr>
          <w:trHeight w:val="264"/>
        </w:trPr>
        <w:tc>
          <w:tcPr>
            <w:tcW w:w="4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Stock-based compensation</w:t>
            </w:r>
          </w:p>
        </w:tc>
        <w:tc>
          <w:tcPr>
            <w:tcW w:w="1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2,494</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1,621</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7,100</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3,808</w:t>
            </w:r>
          </w:p>
        </w:tc>
      </w:tr>
      <w:tr>
        <w:trPr>
          <w:trHeight w:val="24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112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9,045</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5,673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20,962</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12,943</w:t>
            </w:r>
          </w:p>
        </w:tc>
      </w:tr>
      <w:tr>
        <w:trPr>
          <w:trHeight w:val="20"/>
        </w:trPr>
        <w:tc>
          <w:tcPr>
            <w:tcW w:w="45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0"/>
        </w:trPr>
        <w:tc>
          <w:tcPr>
            <w:tcW w:w="454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1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bl>
    <w:p>
      <w:pPr>
        <w:spacing w:after="0" w:line="32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Limitations of Adjusted EBITDA</w:t>
      </w:r>
    </w:p>
    <w:p>
      <w:pPr>
        <w:spacing w:after="0" w:line="193" w:lineRule="exact"/>
        <w:rPr>
          <w:sz w:val="20"/>
          <w:szCs w:val="20"/>
          <w:color w:val="auto"/>
        </w:rPr>
      </w:pPr>
    </w:p>
    <w:p>
      <w:pPr>
        <w:ind w:right="100" w:firstLine="486"/>
        <w:spacing w:after="0" w:line="262" w:lineRule="auto"/>
        <w:rPr>
          <w:sz w:val="20"/>
          <w:szCs w:val="20"/>
          <w:color w:val="auto"/>
        </w:rPr>
      </w:pPr>
      <w:r>
        <w:rPr>
          <w:rFonts w:ascii="Arial" w:cs="Arial" w:eastAsia="Arial" w:hAnsi="Arial"/>
          <w:sz w:val="18"/>
          <w:szCs w:val="18"/>
          <w:color w:val="231F20"/>
        </w:rPr>
        <w:t>Adjusted EBITDA, a non-GAAP financial measure, has limitations as an analytical tool, and should not be considered in isolation from or as a substitute for the measures presented in accordance with U.S. GAAP. Some of these limitations are:</w:t>
      </w:r>
    </w:p>
    <w:p>
      <w:pPr>
        <w:spacing w:after="0" w:line="48" w:lineRule="exact"/>
        <w:rPr>
          <w:sz w:val="20"/>
          <w:szCs w:val="20"/>
          <w:color w:val="auto"/>
        </w:rPr>
      </w:pPr>
    </w:p>
    <w:p>
      <w:pPr>
        <w:ind w:left="1060" w:hanging="404"/>
        <w:spacing w:after="0"/>
        <w:tabs>
          <w:tab w:leader="none" w:pos="106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Adjusted EBITDA does not reflect certain cash and non-cash charges that are recurring;</w:t>
      </w:r>
    </w:p>
    <w:p>
      <w:pPr>
        <w:spacing w:after="0" w:line="130" w:lineRule="exact"/>
        <w:rPr>
          <w:rFonts w:ascii="Arial" w:cs="Arial" w:eastAsia="Arial" w:hAnsi="Arial"/>
          <w:sz w:val="18"/>
          <w:szCs w:val="18"/>
          <w:color w:val="231F20"/>
        </w:rPr>
      </w:pPr>
    </w:p>
    <w:p>
      <w:pPr>
        <w:ind w:left="1060" w:hanging="404"/>
        <w:spacing w:after="0"/>
        <w:tabs>
          <w:tab w:leader="none" w:pos="106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Adjusted EBITDA does not reflect income tax payments that reduce cash available to us;</w:t>
      </w:r>
    </w:p>
    <w:p>
      <w:pPr>
        <w:spacing w:after="0" w:line="130" w:lineRule="exact"/>
        <w:rPr>
          <w:rFonts w:ascii="Arial" w:cs="Arial" w:eastAsia="Arial" w:hAnsi="Arial"/>
          <w:sz w:val="18"/>
          <w:szCs w:val="18"/>
          <w:color w:val="231F20"/>
        </w:rPr>
      </w:pPr>
    </w:p>
    <w:p>
      <w:pPr>
        <w:ind w:left="1060" w:right="160" w:hanging="404"/>
        <w:spacing w:after="0" w:line="262" w:lineRule="auto"/>
        <w:tabs>
          <w:tab w:leader="none" w:pos="106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Adjusted EBITDA excludes depreciation and amortization of property and equipment and, although these are non-cash charges, the assets being depreciated and amortized may have to be replaced in the future; and</w:t>
      </w:r>
    </w:p>
    <w:p>
      <w:pPr>
        <w:spacing w:after="0" w:line="88" w:lineRule="exact"/>
        <w:rPr>
          <w:rFonts w:ascii="Arial" w:cs="Arial" w:eastAsia="Arial" w:hAnsi="Arial"/>
          <w:sz w:val="18"/>
          <w:szCs w:val="18"/>
          <w:color w:val="231F20"/>
        </w:rPr>
      </w:pPr>
    </w:p>
    <w:p>
      <w:pPr>
        <w:ind w:left="1060" w:right="20" w:hanging="404"/>
        <w:spacing w:after="0" w:line="262" w:lineRule="auto"/>
        <w:tabs>
          <w:tab w:leader="none" w:pos="106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Other companies, including companies in our industry, may calculate Adjusted EBITDA differently or not at all, which reduces their usefulness as a comparative measure.</w:t>
      </w:r>
    </w:p>
    <w:p>
      <w:pPr>
        <w:spacing w:after="0" w:line="237" w:lineRule="exact"/>
        <w:rPr>
          <w:sz w:val="20"/>
          <w:szCs w:val="20"/>
          <w:color w:val="auto"/>
        </w:rPr>
      </w:pPr>
    </w:p>
    <w:p>
      <w:pPr>
        <w:ind w:right="720" w:firstLine="486"/>
        <w:spacing w:after="0" w:line="262" w:lineRule="auto"/>
        <w:rPr>
          <w:sz w:val="20"/>
          <w:szCs w:val="20"/>
          <w:color w:val="auto"/>
        </w:rPr>
      </w:pPr>
      <w:r>
        <w:rPr>
          <w:rFonts w:ascii="Arial" w:cs="Arial" w:eastAsia="Arial" w:hAnsi="Arial"/>
          <w:sz w:val="18"/>
          <w:szCs w:val="18"/>
          <w:color w:val="231F20"/>
        </w:rPr>
        <w:t>Because of these limitations, Adjusted EBITDA should be considered alongside other financial performance measures, including revenues, net income and our financial results presented in accordance with U.S.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41"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Key Components of Results of Operations</w:t>
      </w:r>
    </w:p>
    <w:p>
      <w:pPr>
        <w:spacing w:after="0" w:line="33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Revenues</w:t>
      </w:r>
    </w:p>
    <w:p>
      <w:pPr>
        <w:spacing w:after="0" w:line="193"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231F20"/>
        </w:rPr>
        <w:t>We derive revenues from the sale of subscriptions to our security and compliance solutions, which are delivered on our cloud platform. We generate the substantial majority of our revenues through the sale of subscriptions to our QualysGuard Vulnerability Management solution, and we also have a growing number of customers who have purchased our additional solutions. Subscriptions to our solutions allow customers to access our cloud security and compliance solutions through a unified, web-based interface. Customers generally enter into one year renewable subscriptions. The subscription fee entitles the customer to an unlimited number of scans for a specified number of networked devices or web applications and, if requested by a customer as part of their subscription, a specified number of physical or virtual scanner appliances. Our physical and virtual scanner appliances are requested by certain customers as part of their subscriptions in order to scan IT infrastructures within their firewalls and do not function without, and are not sold separately from, subscriptions for our solutions. Customers are required to return physical scanner appliances if they do not renew their subscriptions.</w:t>
      </w:r>
    </w:p>
    <w:p>
      <w:pPr>
        <w:spacing w:after="0" w:line="186"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231F20"/>
        </w:rPr>
        <w:t>We typically invoice our customers for the entire subscription amount at the start of the subscription term. Invoiced amounts are reflected on our condensed consolidated balance sheet as accounts receivable or as cash when collected, and as deferred revenues until earned and recognized ratably over the subscription period. Accordingly, deferred revenues represents the amount billed to customers that has not yet been earned or recognized as revenues, pursuant to subscriptions entered into in current and prior periods.</w:t>
      </w:r>
    </w:p>
    <w:p>
      <w:pPr>
        <w:spacing w:after="0" w:line="34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Cost of Revenues</w:t>
      </w:r>
    </w:p>
    <w:p>
      <w:pPr>
        <w:spacing w:after="0" w:line="193"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231F20"/>
        </w:rPr>
        <w:t>Cost of revenues consists primarily of personnel expenses, comprised of salaries, benefits, performance-based compensation and stock-based compensation, for employees who operate our data centers and provide support services to our customers. Other expenses include depreciation of data center equipment and physical scanner appliances and computer hardware provided to certain customers as part of their subscriptions, expenses related to the use of third-party data centers, amortization of third-party technology licensing fees and related maintenance support, fees paid to contractors who supplement or support our operations center personnel and overhead allocations. We expect to continue to make capital investments to expand and support our data center operations, which will increase the cost of revenues in absolute dollars.</w:t>
      </w:r>
    </w:p>
    <w:p>
      <w:pPr>
        <w:spacing w:after="0" w:line="30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Operating Expenses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231F20"/>
        </w:rPr>
        <w:t>Research and Development</w:t>
      </w:r>
    </w:p>
    <w:p>
      <w:pPr>
        <w:spacing w:after="0" w:line="135" w:lineRule="exact"/>
        <w:rPr>
          <w:sz w:val="20"/>
          <w:szCs w:val="20"/>
          <w:color w:val="auto"/>
        </w:rPr>
      </w:pPr>
    </w:p>
    <w:p>
      <w:pPr>
        <w:ind w:right="140" w:firstLine="486"/>
        <w:spacing w:after="0" w:line="252" w:lineRule="auto"/>
        <w:rPr>
          <w:sz w:val="20"/>
          <w:szCs w:val="20"/>
          <w:color w:val="auto"/>
        </w:rPr>
      </w:pPr>
      <w:r>
        <w:rPr>
          <w:rFonts w:ascii="Arial" w:cs="Arial" w:eastAsia="Arial" w:hAnsi="Arial"/>
          <w:sz w:val="18"/>
          <w:szCs w:val="18"/>
          <w:color w:val="231F20"/>
        </w:rPr>
        <w:t>Research and development expenses consist primarily of personnel expenses, comprised of salaries, benefits, performance-based compensation and stock-based compensation, for our research and development teams. Other expenses include third-party contractor fees, amortization of intangibles related to prior acquisitions and overhead allocations. All research and development costs are expensed as incurred. We expect to continue to devote substantial resources to research and development in an effort to continuously improve our existing solutions as well as develop new solutions and capabilities and expect that research and development expenses will increase in absolute dollars.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41" w:right="25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231F20"/>
        </w:rPr>
        <w:t>Sales and Marketing</w:t>
      </w:r>
    </w:p>
    <w:p>
      <w:pPr>
        <w:spacing w:after="0" w:line="135"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231F20"/>
        </w:rPr>
        <w:t>Sales and marketing expenses consist primarily of personnel expenses, comprised of salaries, benefits, sales commissions, performance-based compensation and stock-based compensation for our worldwide sales and marketing teams. Other expenses include marketing and promotional events, lead-generation marketing programs, public relations, travel and overhead allocations. All costs are expensed as incurred, including sales commissions. Sales commissions are expensed in the quarter in which the related order is received and are paid in the month subsequent to the end of that quarter, which results in increased expenses prior to the recognition of related revenues. Our new sales personnel are typically not immediately productive, and the resulting increase in sales and marketing expenses we incur when we add new personnel may not result in increased revenues if these new sales personnel fail to become productive. The timing of our hiring of sales personnel and the rate at which they generate incremental revenues may affect our future operating results. We expect to continue to invest in additional sales personnel and more marketing programs as we introduce new solutions on our platform, which will increase sales and marketing expenses in absolute dollars.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231F20"/>
        </w:rPr>
        <w:t>General and Administrative</w:t>
      </w:r>
    </w:p>
    <w:p>
      <w:pPr>
        <w:spacing w:after="0" w:line="243" w:lineRule="exact"/>
        <w:rPr>
          <w:sz w:val="20"/>
          <w:szCs w:val="20"/>
          <w:color w:val="auto"/>
        </w:rPr>
      </w:pPr>
    </w:p>
    <w:p>
      <w:pPr>
        <w:ind w:right="220" w:firstLine="486"/>
        <w:spacing w:after="0" w:line="253" w:lineRule="auto"/>
        <w:rPr>
          <w:sz w:val="20"/>
          <w:szCs w:val="20"/>
          <w:color w:val="auto"/>
        </w:rPr>
      </w:pPr>
      <w:r>
        <w:rPr>
          <w:rFonts w:ascii="Arial" w:cs="Arial" w:eastAsia="Arial" w:hAnsi="Arial"/>
          <w:sz w:val="18"/>
          <w:szCs w:val="18"/>
          <w:color w:val="231F20"/>
        </w:rPr>
        <w:t>General and administrative expenses consist primarily of personnel expenses, comprised of salaries, benefits, performance-based compensation and stock-based compensation, for our executive, finance and accounting, legal, human resources and internal information technology support teams, as well as professional services, insurance, fees, certain other corporate governance-related expenses, and overhead allocations. We expect that general and administrative expenses will increase in absolute dollars, as we continue to add personnel and incur professional services to support our growth and compliance requirements.</w:t>
      </w:r>
    </w:p>
    <w:p>
      <w:pPr>
        <w:spacing w:after="0" w:line="38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Other Income (Expense), Net</w:t>
      </w:r>
    </w:p>
    <w:p>
      <w:pPr>
        <w:spacing w:after="0" w:line="193" w:lineRule="exact"/>
        <w:rPr>
          <w:sz w:val="20"/>
          <w:szCs w:val="20"/>
          <w:color w:val="auto"/>
        </w:rPr>
      </w:pPr>
    </w:p>
    <w:p>
      <w:pPr>
        <w:ind w:right="320" w:firstLine="486"/>
        <w:spacing w:after="0" w:line="256" w:lineRule="auto"/>
        <w:rPr>
          <w:sz w:val="20"/>
          <w:szCs w:val="20"/>
          <w:color w:val="auto"/>
        </w:rPr>
      </w:pPr>
      <w:r>
        <w:rPr>
          <w:rFonts w:ascii="Arial" w:cs="Arial" w:eastAsia="Arial" w:hAnsi="Arial"/>
          <w:sz w:val="18"/>
          <w:szCs w:val="18"/>
          <w:color w:val="231F20"/>
        </w:rPr>
        <w:t>Our other income (expense), net consists primarily of interest and investment income from our short-term and long-term investments; foreign exchange gains and losses, the majority of which result from fluctuations between the U.S. dollar and the Euro, British pound and Japanese yen, and interest expense associated with our capital leases.</w:t>
      </w:r>
    </w:p>
    <w:p>
      <w:pPr>
        <w:spacing w:after="0" w:line="34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Provision for Income Taxes</w:t>
      </w:r>
    </w:p>
    <w:p>
      <w:pPr>
        <w:spacing w:after="0" w:line="193" w:lineRule="exact"/>
        <w:rPr>
          <w:sz w:val="20"/>
          <w:szCs w:val="20"/>
          <w:color w:val="auto"/>
        </w:rPr>
      </w:pPr>
    </w:p>
    <w:p>
      <w:pPr>
        <w:ind w:right="140" w:firstLine="486"/>
        <w:spacing w:after="0" w:line="256" w:lineRule="auto"/>
        <w:rPr>
          <w:sz w:val="20"/>
          <w:szCs w:val="20"/>
          <w:color w:val="auto"/>
        </w:rPr>
      </w:pPr>
      <w:r>
        <w:rPr>
          <w:rFonts w:ascii="Arial" w:cs="Arial" w:eastAsia="Arial" w:hAnsi="Arial"/>
          <w:sz w:val="18"/>
          <w:szCs w:val="18"/>
          <w:color w:val="231F20"/>
        </w:rPr>
        <w:t>Our provision for income taxes consists primarily of corporate income taxes resulting from profits generated in foreign jurisdictions by wholly-owned subsidiaries, along with state income taxes payable in the United States. The provision for income taxes also includes changes to unrecognized tax benefits related to uncertain tax positions.</w:t>
      </w:r>
    </w:p>
    <w:p>
      <w:pPr>
        <w:spacing w:after="0" w:line="202"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231F20"/>
        </w:rPr>
        <w:t>Income taxes are accounted for under the asset and liability method. Deferred tax assets and liabilities are recognized for the tax impact of timing differences between the financial statement carrying amounts of existing assets and liabilities and their respective tax bases and operating loss and tax credit carry-forwards. Deferred tax assets and liabilities are measured using statutory tax rates expected to apply to taxable income in the years in which those temporary differences are expected to be recovered or settled. The effect on deferred tax assets and liabilities of a change in tax rates is recognized in income in the period when the statutory rate change is enacted into law.</w:t>
      </w:r>
    </w:p>
    <w:p>
      <w:pPr>
        <w:spacing w:after="0" w:line="206"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231F20"/>
        </w:rPr>
        <w:t xml:space="preserve">We maintain a valuation allowance on our U.S. federal and state net deferred tax assets. Our cash tax expense is impacted by each jurisdiction’s individual tax rates, laws on timing of recognition of income and deductions and availability of net operating losses and tax credits. Given the valuation allowance and sensitivity of current cash taxes to local rules, our effective tax rate </w:t>
      </w:r>
      <w:r>
        <w:rPr>
          <w:rFonts w:ascii="Arial" w:cs="Arial" w:eastAsia="Arial" w:hAnsi="Arial"/>
          <w:sz w:val="18"/>
          <w:szCs w:val="18"/>
          <w:color w:val="000000"/>
        </w:rPr>
        <w:t>could fluctuate significantly on a</w:t>
      </w:r>
      <w:r>
        <w:rPr>
          <w:rFonts w:ascii="Arial" w:cs="Arial" w:eastAsia="Arial" w:hAnsi="Arial"/>
          <w:sz w:val="18"/>
          <w:szCs w:val="18"/>
          <w:color w:val="231F20"/>
        </w:rPr>
        <w:t xml:space="preserve"> </w:t>
      </w:r>
      <w:r>
        <w:rPr>
          <w:rFonts w:ascii="Arial" w:cs="Arial" w:eastAsia="Arial" w:hAnsi="Arial"/>
          <w:sz w:val="18"/>
          <w:szCs w:val="18"/>
          <w:color w:val="000000"/>
        </w:rPr>
        <w:t>quarterly basis, to the extent earnings are lower than anticipated in countries that have lower statutory rates and higher than anticipated in countries that have higher statutory rates, and also due to changes in our earnings projections, by changes in the valuation of our deferred tax assets or liabilities, or by changes in tax laws, regulations, or accounting principles, as well as certain discrete items.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141" w:right="27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231F20"/>
        </w:rPr>
        <w:t>The following tables set forth selected condensed consolidated statements of operations data for each of the periods presented.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2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7"/>
          </w:tcPr>
          <w:p>
            <w:pPr>
              <w:jc w:val="right"/>
              <w:ind w:right="361"/>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gridSpan w:val="6"/>
          </w:tcPr>
          <w:p>
            <w:pPr>
              <w:jc w:val="right"/>
              <w:ind w:right="562"/>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83"/>
        </w:trPr>
        <w:tc>
          <w:tcPr>
            <w:tcW w:w="12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September 30,</w:t>
            </w: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6"/>
          </w:tcPr>
          <w:p>
            <w:pPr>
              <w:jc w:val="right"/>
              <w:ind w:right="782"/>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64"/>
        </w:trPr>
        <w:tc>
          <w:tcPr>
            <w:tcW w:w="1220" w:type="dxa"/>
            <w:vAlign w:val="bottom"/>
          </w:tcPr>
          <w:p>
            <w:pPr>
              <w:spacing w:after="0"/>
              <w:rPr>
                <w:sz w:val="22"/>
                <w:szCs w:val="22"/>
                <w:color w:val="auto"/>
              </w:rPr>
            </w:pPr>
          </w:p>
        </w:tc>
        <w:tc>
          <w:tcPr>
            <w:tcW w:w="46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b w:val="1"/>
                <w:bCs w:val="1"/>
                <w:color w:val="auto"/>
                <w:w w:val="95"/>
              </w:rPr>
              <w:t>2013</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247"/>
        </w:trPr>
        <w:tc>
          <w:tcPr>
            <w:tcW w:w="122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40" w:type="dxa"/>
            <w:vAlign w:val="bottom"/>
            <w:gridSpan w:val="8"/>
          </w:tcPr>
          <w:p>
            <w:pPr>
              <w:jc w:val="right"/>
              <w:ind w:right="860"/>
              <w:spacing w:after="0"/>
              <w:rPr>
                <w:sz w:val="20"/>
                <w:szCs w:val="20"/>
                <w:color w:val="auto"/>
              </w:rPr>
            </w:pPr>
            <w:r>
              <w:rPr>
                <w:rFonts w:ascii="Arial" w:cs="Arial" w:eastAsia="Arial" w:hAnsi="Arial"/>
                <w:sz w:val="16"/>
                <w:szCs w:val="16"/>
                <w:b w:val="1"/>
                <w:bCs w:val="1"/>
                <w:color w:val="auto"/>
              </w:rPr>
              <w:t>(in thousands)</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582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Consolidated Statements of Operations Data:</w:t>
            </w:r>
          </w:p>
        </w:tc>
        <w:tc>
          <w:tcPr>
            <w:tcW w:w="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820" w:type="dxa"/>
            <w:vAlign w:val="bottom"/>
            <w:gridSpan w:val="2"/>
          </w:tcPr>
          <w:p>
            <w:pPr>
              <w:ind w:left="40"/>
              <w:spacing w:after="0"/>
              <w:rPr>
                <w:sz w:val="20"/>
                <w:szCs w:val="20"/>
                <w:color w:val="auto"/>
              </w:rPr>
            </w:pPr>
            <w:r>
              <w:rPr>
                <w:rFonts w:ascii="Arial" w:cs="Arial" w:eastAsia="Arial" w:hAnsi="Arial"/>
                <w:sz w:val="16"/>
                <w:szCs w:val="16"/>
                <w:color w:val="auto"/>
              </w:rPr>
              <w:t>Revenues</w:t>
            </w:r>
          </w:p>
        </w:tc>
        <w:tc>
          <w:tcPr>
            <w:tcW w:w="400" w:type="dxa"/>
            <w:vAlign w:val="bottom"/>
          </w:tcPr>
          <w:p>
            <w:pPr>
              <w:jc w:val="right"/>
              <w:ind w:right="203"/>
              <w:spacing w:after="0"/>
              <w:rPr>
                <w:sz w:val="20"/>
                <w:szCs w:val="20"/>
                <w:color w:val="auto"/>
              </w:rPr>
            </w:pPr>
            <w:r>
              <w:rPr>
                <w:rFonts w:ascii="Arial" w:cs="Arial" w:eastAsia="Arial" w:hAnsi="Arial"/>
                <w:sz w:val="16"/>
                <w:szCs w:val="16"/>
                <w:color w:val="231F20"/>
              </w:rPr>
              <w:t>$</w:t>
            </w:r>
          </w:p>
        </w:tc>
        <w:tc>
          <w:tcPr>
            <w:tcW w:w="120" w:type="dxa"/>
            <w:vAlign w:val="bottom"/>
          </w:tcPr>
          <w:p>
            <w:pPr>
              <w:spacing w:after="0"/>
              <w:rPr>
                <w:sz w:val="22"/>
                <w:szCs w:val="22"/>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color w:val="231F20"/>
              </w:rPr>
              <w:t>34,348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6"/>
                <w:szCs w:val="16"/>
                <w:color w:val="231F20"/>
                <w:w w:val="89"/>
              </w:rPr>
              <w:t>$</w:t>
            </w:r>
          </w:p>
        </w:tc>
        <w:tc>
          <w:tcPr>
            <w:tcW w:w="1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231F20"/>
              </w:rPr>
              <w:t>27,749</w:t>
            </w:r>
          </w:p>
        </w:tc>
        <w:tc>
          <w:tcPr>
            <w:tcW w:w="380" w:type="dxa"/>
            <w:vAlign w:val="bottom"/>
            <w:gridSpan w:val="3"/>
          </w:tcPr>
          <w:p>
            <w:pPr>
              <w:jc w:val="right"/>
              <w:ind w:right="80"/>
              <w:spacing w:after="0"/>
              <w:rPr>
                <w:sz w:val="20"/>
                <w:szCs w:val="20"/>
                <w:color w:val="auto"/>
              </w:rPr>
            </w:pPr>
            <w:r>
              <w:rPr>
                <w:rFonts w:ascii="Arial" w:cs="Arial" w:eastAsia="Arial" w:hAnsi="Arial"/>
                <w:sz w:val="16"/>
                <w:szCs w:val="16"/>
                <w:color w:val="231F20"/>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231F20"/>
              </w:rPr>
              <w:t>97,006</w:t>
            </w:r>
          </w:p>
        </w:tc>
        <w:tc>
          <w:tcPr>
            <w:tcW w:w="120" w:type="dxa"/>
            <w:vAlign w:val="bottom"/>
          </w:tcPr>
          <w:p>
            <w:pPr>
              <w:spacing w:after="0"/>
              <w:rPr>
                <w:sz w:val="22"/>
                <w:szCs w:val="22"/>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231F20"/>
              </w:rPr>
              <w:t>$</w:t>
            </w:r>
          </w:p>
        </w:tc>
        <w:tc>
          <w:tcPr>
            <w:tcW w:w="240" w:type="dxa"/>
            <w:vAlign w:val="bottom"/>
          </w:tcPr>
          <w:p>
            <w:pPr>
              <w:spacing w:after="0"/>
              <w:rPr>
                <w:sz w:val="22"/>
                <w:szCs w:val="22"/>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231F20"/>
              </w:rPr>
              <w:t>78,923</w:t>
            </w:r>
          </w:p>
        </w:tc>
        <w:tc>
          <w:tcPr>
            <w:tcW w:w="0" w:type="dxa"/>
            <w:vAlign w:val="bottom"/>
          </w:tcPr>
          <w:p>
            <w:pPr>
              <w:spacing w:after="0"/>
              <w:rPr>
                <w:sz w:val="1"/>
                <w:szCs w:val="1"/>
                <w:color w:val="auto"/>
              </w:rPr>
            </w:pPr>
          </w:p>
        </w:tc>
      </w:tr>
      <w:tr>
        <w:trPr>
          <w:trHeight w:val="280"/>
        </w:trPr>
        <w:tc>
          <w:tcPr>
            <w:tcW w:w="58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Cost of revenues </w:t>
            </w:r>
            <w:r>
              <w:rPr>
                <w:rFonts w:ascii="Arial" w:cs="Arial" w:eastAsia="Arial" w:hAnsi="Arial"/>
                <w:sz w:val="21"/>
                <w:szCs w:val="21"/>
                <w:color w:val="auto"/>
                <w:vertAlign w:val="superscript"/>
              </w:rPr>
              <w:t>(1)</w:t>
            </w:r>
          </w:p>
        </w:tc>
        <w:tc>
          <w:tcPr>
            <w:tcW w:w="400" w:type="dxa"/>
            <w:vAlign w:val="bottom"/>
            <w:tcBorders>
              <w:bottom w:val="single" w:sz="8" w:color="231F20"/>
            </w:tcBorders>
            <w:shd w:val="clear" w:color="auto" w:fill="CCEEFF"/>
          </w:tcPr>
          <w:p>
            <w:pPr>
              <w:spacing w:after="0"/>
              <w:rPr>
                <w:sz w:val="24"/>
                <w:szCs w:val="24"/>
                <w:color w:val="auto"/>
              </w:rPr>
            </w:pPr>
          </w:p>
        </w:tc>
        <w:tc>
          <w:tcPr>
            <w:tcW w:w="120" w:type="dxa"/>
            <w:vAlign w:val="bottom"/>
            <w:tcBorders>
              <w:bottom w:val="single" w:sz="8" w:color="231F20"/>
            </w:tcBorders>
            <w:shd w:val="clear" w:color="auto" w:fill="CCEEFF"/>
          </w:tcPr>
          <w:p>
            <w:pPr>
              <w:spacing w:after="0"/>
              <w:rPr>
                <w:sz w:val="24"/>
                <w:szCs w:val="24"/>
                <w:color w:val="auto"/>
              </w:rPr>
            </w:pPr>
          </w:p>
        </w:tc>
        <w:tc>
          <w:tcPr>
            <w:tcW w:w="900" w:type="dxa"/>
            <w:vAlign w:val="bottom"/>
            <w:tcBorders>
              <w:bottom w:val="single" w:sz="8" w:color="231F20"/>
            </w:tcBorders>
            <w:shd w:val="clear" w:color="auto" w:fill="CCEEFF"/>
          </w:tcPr>
          <w:p>
            <w:pPr>
              <w:jc w:val="right"/>
              <w:ind w:right="42"/>
              <w:spacing w:after="0"/>
              <w:rPr>
                <w:sz w:val="20"/>
                <w:szCs w:val="20"/>
                <w:color w:val="auto"/>
              </w:rPr>
            </w:pPr>
            <w:r>
              <w:rPr>
                <w:rFonts w:ascii="Arial" w:cs="Arial" w:eastAsia="Arial" w:hAnsi="Arial"/>
                <w:sz w:val="16"/>
                <w:szCs w:val="16"/>
                <w:color w:val="231F20"/>
              </w:rPr>
              <w:t>7,421</w:t>
            </w:r>
          </w:p>
        </w:tc>
        <w:tc>
          <w:tcPr>
            <w:tcW w:w="100" w:type="dxa"/>
            <w:vAlign w:val="bottom"/>
            <w:shd w:val="clear" w:color="auto" w:fill="CCEEFF"/>
          </w:tcPr>
          <w:p>
            <w:pPr>
              <w:spacing w:after="0"/>
              <w:rPr>
                <w:sz w:val="24"/>
                <w:szCs w:val="24"/>
                <w:color w:val="auto"/>
              </w:rPr>
            </w:pPr>
          </w:p>
        </w:tc>
        <w:tc>
          <w:tcPr>
            <w:tcW w:w="20" w:type="dxa"/>
            <w:vAlign w:val="bottom"/>
            <w:tcBorders>
              <w:bottom w:val="single" w:sz="8" w:color="231F20"/>
            </w:tcBorders>
            <w:shd w:val="clear" w:color="auto" w:fill="CCEEFF"/>
          </w:tcPr>
          <w:p>
            <w:pPr>
              <w:spacing w:after="0"/>
              <w:rPr>
                <w:sz w:val="24"/>
                <w:szCs w:val="24"/>
                <w:color w:val="auto"/>
              </w:rPr>
            </w:pPr>
          </w:p>
        </w:tc>
        <w:tc>
          <w:tcPr>
            <w:tcW w:w="80" w:type="dxa"/>
            <w:vAlign w:val="bottom"/>
            <w:tcBorders>
              <w:bottom w:val="single" w:sz="8" w:color="231F20"/>
            </w:tcBorders>
            <w:shd w:val="clear" w:color="auto" w:fill="CCEEFF"/>
          </w:tcPr>
          <w:p>
            <w:pPr>
              <w:spacing w:after="0"/>
              <w:rPr>
                <w:sz w:val="24"/>
                <w:szCs w:val="24"/>
                <w:color w:val="auto"/>
              </w:rPr>
            </w:pPr>
          </w:p>
        </w:tc>
        <w:tc>
          <w:tcPr>
            <w:tcW w:w="120" w:type="dxa"/>
            <w:vAlign w:val="bottom"/>
            <w:tcBorders>
              <w:bottom w:val="single" w:sz="8" w:color="231F20"/>
            </w:tcBorders>
            <w:shd w:val="clear" w:color="auto" w:fill="CCEEFF"/>
          </w:tcPr>
          <w:p>
            <w:pPr>
              <w:spacing w:after="0"/>
              <w:rPr>
                <w:sz w:val="24"/>
                <w:szCs w:val="24"/>
                <w:color w:val="auto"/>
              </w:rPr>
            </w:pPr>
          </w:p>
        </w:tc>
        <w:tc>
          <w:tcPr>
            <w:tcW w:w="160" w:type="dxa"/>
            <w:vAlign w:val="bottom"/>
            <w:tcBorders>
              <w:bottom w:val="single" w:sz="8" w:color="231F20"/>
            </w:tcBorders>
            <w:shd w:val="clear" w:color="auto" w:fill="CCEEFF"/>
          </w:tcPr>
          <w:p>
            <w:pPr>
              <w:spacing w:after="0"/>
              <w:rPr>
                <w:sz w:val="24"/>
                <w:szCs w:val="24"/>
                <w:color w:val="auto"/>
              </w:rPr>
            </w:pPr>
          </w:p>
        </w:tc>
        <w:tc>
          <w:tcPr>
            <w:tcW w:w="68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6"/>
                <w:szCs w:val="16"/>
                <w:color w:val="231F20"/>
              </w:rPr>
              <w:t>6,415</w:t>
            </w:r>
          </w:p>
        </w:tc>
        <w:tc>
          <w:tcPr>
            <w:tcW w:w="80" w:type="dxa"/>
            <w:vAlign w:val="bottom"/>
            <w:tcBorders>
              <w:bottom w:val="single" w:sz="8" w:color="231F20"/>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tcBorders>
              <w:bottom w:val="single" w:sz="8" w:color="231F20"/>
            </w:tcBorders>
            <w:shd w:val="clear" w:color="auto" w:fill="CCEEFF"/>
          </w:tcPr>
          <w:p>
            <w:pPr>
              <w:spacing w:after="0"/>
              <w:rPr>
                <w:sz w:val="24"/>
                <w:szCs w:val="24"/>
                <w:color w:val="auto"/>
              </w:rPr>
            </w:pPr>
          </w:p>
        </w:tc>
        <w:tc>
          <w:tcPr>
            <w:tcW w:w="100" w:type="dxa"/>
            <w:vAlign w:val="bottom"/>
            <w:tcBorders>
              <w:bottom w:val="single" w:sz="8" w:color="231F20"/>
            </w:tcBorders>
            <w:shd w:val="clear" w:color="auto" w:fill="CCEEFF"/>
          </w:tcPr>
          <w:p>
            <w:pPr>
              <w:spacing w:after="0"/>
              <w:rPr>
                <w:sz w:val="24"/>
                <w:szCs w:val="24"/>
                <w:color w:val="auto"/>
              </w:rPr>
            </w:pPr>
          </w:p>
        </w:tc>
        <w:tc>
          <w:tcPr>
            <w:tcW w:w="160" w:type="dxa"/>
            <w:vAlign w:val="bottom"/>
            <w:tcBorders>
              <w:bottom w:val="single" w:sz="8" w:color="231F20"/>
            </w:tcBorders>
            <w:shd w:val="clear" w:color="auto" w:fill="CCEEFF"/>
          </w:tcPr>
          <w:p>
            <w:pPr>
              <w:spacing w:after="0"/>
              <w:rPr>
                <w:sz w:val="24"/>
                <w:szCs w:val="24"/>
                <w:color w:val="auto"/>
              </w:rPr>
            </w:pPr>
          </w:p>
        </w:tc>
        <w:tc>
          <w:tcPr>
            <w:tcW w:w="900" w:type="dxa"/>
            <w:vAlign w:val="bottom"/>
            <w:tcBorders>
              <w:bottom w:val="single" w:sz="8" w:color="231F20"/>
            </w:tcBorders>
            <w:shd w:val="clear" w:color="auto" w:fill="CCEEFF"/>
          </w:tcPr>
          <w:p>
            <w:pPr>
              <w:jc w:val="right"/>
              <w:ind w:right="22"/>
              <w:spacing w:after="0"/>
              <w:rPr>
                <w:sz w:val="20"/>
                <w:szCs w:val="20"/>
                <w:color w:val="auto"/>
              </w:rPr>
            </w:pPr>
            <w:r>
              <w:rPr>
                <w:rFonts w:ascii="Arial" w:cs="Arial" w:eastAsia="Arial" w:hAnsi="Arial"/>
                <w:sz w:val="16"/>
                <w:szCs w:val="16"/>
                <w:color w:val="231F20"/>
              </w:rPr>
              <w:t>21,442</w:t>
            </w:r>
          </w:p>
        </w:tc>
        <w:tc>
          <w:tcPr>
            <w:tcW w:w="120" w:type="dxa"/>
            <w:vAlign w:val="bottom"/>
            <w:shd w:val="clear" w:color="auto" w:fill="CCEEFF"/>
          </w:tcPr>
          <w:p>
            <w:pPr>
              <w:spacing w:after="0"/>
              <w:rPr>
                <w:sz w:val="24"/>
                <w:szCs w:val="24"/>
                <w:color w:val="auto"/>
              </w:rPr>
            </w:pPr>
          </w:p>
        </w:tc>
        <w:tc>
          <w:tcPr>
            <w:tcW w:w="40" w:type="dxa"/>
            <w:vAlign w:val="bottom"/>
            <w:tcBorders>
              <w:bottom w:val="single" w:sz="8" w:color="231F20"/>
            </w:tcBorders>
            <w:shd w:val="clear" w:color="auto" w:fill="CCEEFF"/>
          </w:tcPr>
          <w:p>
            <w:pPr>
              <w:spacing w:after="0"/>
              <w:rPr>
                <w:sz w:val="24"/>
                <w:szCs w:val="24"/>
                <w:color w:val="auto"/>
              </w:rPr>
            </w:pPr>
          </w:p>
        </w:tc>
        <w:tc>
          <w:tcPr>
            <w:tcW w:w="100" w:type="dxa"/>
            <w:vAlign w:val="bottom"/>
            <w:tcBorders>
              <w:bottom w:val="single" w:sz="8" w:color="231F20"/>
            </w:tcBorders>
            <w:shd w:val="clear" w:color="auto" w:fill="CCEEFF"/>
          </w:tcPr>
          <w:p>
            <w:pPr>
              <w:spacing w:after="0"/>
              <w:rPr>
                <w:sz w:val="24"/>
                <w:szCs w:val="24"/>
                <w:color w:val="auto"/>
              </w:rPr>
            </w:pPr>
          </w:p>
        </w:tc>
        <w:tc>
          <w:tcPr>
            <w:tcW w:w="240" w:type="dxa"/>
            <w:vAlign w:val="bottom"/>
            <w:tcBorders>
              <w:bottom w:val="single" w:sz="8" w:color="231F20"/>
            </w:tcBorders>
            <w:shd w:val="clear" w:color="auto" w:fill="CCEEFF"/>
          </w:tcPr>
          <w:p>
            <w:pPr>
              <w:spacing w:after="0"/>
              <w:rPr>
                <w:sz w:val="24"/>
                <w:szCs w:val="24"/>
                <w:color w:val="auto"/>
              </w:rPr>
            </w:pPr>
          </w:p>
        </w:tc>
        <w:tc>
          <w:tcPr>
            <w:tcW w:w="980" w:type="dxa"/>
            <w:vAlign w:val="bottom"/>
            <w:tcBorders>
              <w:bottom w:val="single" w:sz="8" w:color="231F20"/>
            </w:tcBorders>
            <w:shd w:val="clear" w:color="auto" w:fill="CCEEFF"/>
          </w:tcPr>
          <w:p>
            <w:pPr>
              <w:jc w:val="right"/>
              <w:ind w:right="22"/>
              <w:spacing w:after="0"/>
              <w:rPr>
                <w:sz w:val="20"/>
                <w:szCs w:val="20"/>
                <w:color w:val="auto"/>
              </w:rPr>
            </w:pPr>
            <w:r>
              <w:rPr>
                <w:rFonts w:ascii="Arial" w:cs="Arial" w:eastAsia="Arial" w:hAnsi="Arial"/>
                <w:sz w:val="16"/>
                <w:szCs w:val="16"/>
                <w:color w:val="231F20"/>
              </w:rPr>
              <w:t>18,134</w:t>
            </w:r>
          </w:p>
        </w:tc>
        <w:tc>
          <w:tcPr>
            <w:tcW w:w="0" w:type="dxa"/>
            <w:vAlign w:val="bottom"/>
          </w:tcPr>
          <w:p>
            <w:pPr>
              <w:spacing w:after="0"/>
              <w:rPr>
                <w:sz w:val="1"/>
                <w:szCs w:val="1"/>
                <w:color w:val="auto"/>
              </w:rPr>
            </w:pPr>
          </w:p>
        </w:tc>
      </w:tr>
      <w:tr>
        <w:trPr>
          <w:trHeight w:val="240"/>
        </w:trPr>
        <w:tc>
          <w:tcPr>
            <w:tcW w:w="5820" w:type="dxa"/>
            <w:vAlign w:val="bottom"/>
            <w:gridSpan w:val="2"/>
          </w:tcPr>
          <w:p>
            <w:pPr>
              <w:ind w:left="280"/>
              <w:spacing w:after="0"/>
              <w:rPr>
                <w:sz w:val="20"/>
                <w:szCs w:val="20"/>
                <w:color w:val="auto"/>
              </w:rPr>
            </w:pPr>
            <w:r>
              <w:rPr>
                <w:rFonts w:ascii="Arial" w:cs="Arial" w:eastAsia="Arial" w:hAnsi="Arial"/>
                <w:sz w:val="16"/>
                <w:szCs w:val="16"/>
                <w:color w:val="auto"/>
              </w:rPr>
              <w:t>Gross profit</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26,927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21,334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75,564</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60,789</w:t>
            </w:r>
          </w:p>
        </w:tc>
        <w:tc>
          <w:tcPr>
            <w:tcW w:w="0" w:type="dxa"/>
            <w:vAlign w:val="bottom"/>
          </w:tcPr>
          <w:p>
            <w:pPr>
              <w:spacing w:after="0"/>
              <w:rPr>
                <w:sz w:val="1"/>
                <w:szCs w:val="1"/>
                <w:color w:val="auto"/>
              </w:rPr>
            </w:pPr>
          </w:p>
        </w:tc>
      </w:tr>
      <w:tr>
        <w:trPr>
          <w:trHeight w:val="280"/>
        </w:trPr>
        <w:tc>
          <w:tcPr>
            <w:tcW w:w="58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20" w:type="dxa"/>
            <w:vAlign w:val="bottom"/>
            <w:gridSpan w:val="2"/>
          </w:tcPr>
          <w:p>
            <w:pPr>
              <w:ind w:left="280"/>
              <w:spacing w:after="0"/>
              <w:rPr>
                <w:sz w:val="20"/>
                <w:szCs w:val="20"/>
                <w:color w:val="auto"/>
              </w:rPr>
            </w:pPr>
            <w:r>
              <w:rPr>
                <w:rFonts w:ascii="Arial" w:cs="Arial" w:eastAsia="Arial" w:hAnsi="Arial"/>
                <w:sz w:val="16"/>
                <w:szCs w:val="16"/>
                <w:color w:val="auto"/>
              </w:rPr>
              <w:t xml:space="preserve">Research and development </w:t>
            </w:r>
            <w:r>
              <w:rPr>
                <w:rFonts w:ascii="Arial" w:cs="Arial" w:eastAsia="Arial" w:hAnsi="Arial"/>
                <w:sz w:val="21"/>
                <w:szCs w:val="21"/>
                <w:color w:val="auto"/>
                <w:vertAlign w:val="superscript"/>
              </w:rPr>
              <w:t>(1)</w:t>
            </w: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color w:val="231F20"/>
              </w:rPr>
              <w:t>6,490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231F20"/>
              </w:rPr>
              <w:t>5,151</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231F20"/>
              </w:rPr>
              <w:t>19,305</w:t>
            </w: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231F20"/>
              </w:rPr>
              <w:t>15,739</w:t>
            </w:r>
          </w:p>
        </w:tc>
        <w:tc>
          <w:tcPr>
            <w:tcW w:w="0" w:type="dxa"/>
            <w:vAlign w:val="bottom"/>
          </w:tcPr>
          <w:p>
            <w:pPr>
              <w:spacing w:after="0"/>
              <w:rPr>
                <w:sz w:val="1"/>
                <w:szCs w:val="1"/>
                <w:color w:val="auto"/>
              </w:rPr>
            </w:pPr>
          </w:p>
        </w:tc>
      </w:tr>
      <w:tr>
        <w:trPr>
          <w:trHeight w:val="270"/>
        </w:trPr>
        <w:tc>
          <w:tcPr>
            <w:tcW w:w="58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 xml:space="preserve">Sales and marketing </w:t>
            </w:r>
            <w:r>
              <w:rPr>
                <w:rFonts w:ascii="Arial" w:cs="Arial" w:eastAsia="Arial" w:hAnsi="Arial"/>
                <w:sz w:val="21"/>
                <w:szCs w:val="21"/>
                <w:color w:val="auto"/>
                <w:vertAlign w:val="superscript"/>
              </w:rPr>
              <w:t>(1)</w:t>
            </w:r>
          </w:p>
        </w:tc>
        <w:tc>
          <w:tcPr>
            <w:tcW w:w="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231F20"/>
              </w:rPr>
              <w:t>11,774</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10,411</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231F20"/>
              </w:rPr>
              <w:t>36,111</w:t>
            </w: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231F20"/>
              </w:rPr>
              <w:t>30,739</w:t>
            </w:r>
          </w:p>
        </w:tc>
        <w:tc>
          <w:tcPr>
            <w:tcW w:w="0" w:type="dxa"/>
            <w:vAlign w:val="bottom"/>
          </w:tcPr>
          <w:p>
            <w:pPr>
              <w:spacing w:after="0"/>
              <w:rPr>
                <w:sz w:val="1"/>
                <w:szCs w:val="1"/>
                <w:color w:val="auto"/>
              </w:rPr>
            </w:pPr>
          </w:p>
        </w:tc>
      </w:tr>
      <w:tr>
        <w:trPr>
          <w:trHeight w:val="270"/>
        </w:trPr>
        <w:tc>
          <w:tcPr>
            <w:tcW w:w="582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 xml:space="preserve">General and administrative </w:t>
            </w:r>
            <w:r>
              <w:rPr>
                <w:rFonts w:ascii="Arial" w:cs="Arial" w:eastAsia="Arial" w:hAnsi="Arial"/>
                <w:sz w:val="21"/>
                <w:szCs w:val="21"/>
                <w:color w:val="auto"/>
                <w:vertAlign w:val="superscript"/>
              </w:rPr>
              <w:t>(1)</w:t>
            </w:r>
          </w:p>
        </w:tc>
        <w:tc>
          <w:tcPr>
            <w:tcW w:w="400" w:type="dxa"/>
            <w:vAlign w:val="bottom"/>
            <w:tcBorders>
              <w:bottom w:val="single" w:sz="8" w:color="231F20"/>
            </w:tcBorders>
          </w:tcPr>
          <w:p>
            <w:pPr>
              <w:spacing w:after="0"/>
              <w:rPr>
                <w:sz w:val="23"/>
                <w:szCs w:val="23"/>
                <w:color w:val="auto"/>
              </w:rPr>
            </w:pPr>
          </w:p>
        </w:tc>
        <w:tc>
          <w:tcPr>
            <w:tcW w:w="120" w:type="dxa"/>
            <w:vAlign w:val="bottom"/>
            <w:tcBorders>
              <w:bottom w:val="single" w:sz="8" w:color="231F20"/>
            </w:tcBorders>
          </w:tcPr>
          <w:p>
            <w:pPr>
              <w:spacing w:after="0"/>
              <w:rPr>
                <w:sz w:val="23"/>
                <w:szCs w:val="23"/>
                <w:color w:val="auto"/>
              </w:rPr>
            </w:pPr>
          </w:p>
        </w:tc>
        <w:tc>
          <w:tcPr>
            <w:tcW w:w="900" w:type="dxa"/>
            <w:vAlign w:val="bottom"/>
            <w:tcBorders>
              <w:bottom w:val="single" w:sz="8" w:color="231F20"/>
            </w:tcBorders>
          </w:tcPr>
          <w:p>
            <w:pPr>
              <w:jc w:val="right"/>
              <w:ind w:right="42"/>
              <w:spacing w:after="0"/>
              <w:rPr>
                <w:sz w:val="20"/>
                <w:szCs w:val="20"/>
                <w:color w:val="auto"/>
              </w:rPr>
            </w:pPr>
            <w:r>
              <w:rPr>
                <w:rFonts w:ascii="Arial" w:cs="Arial" w:eastAsia="Arial" w:hAnsi="Arial"/>
                <w:sz w:val="16"/>
                <w:szCs w:val="16"/>
                <w:color w:val="231F20"/>
              </w:rPr>
              <w:t>5,156</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231F20"/>
            </w:tcBorders>
          </w:tcPr>
          <w:p>
            <w:pPr>
              <w:spacing w:after="0"/>
              <w:rPr>
                <w:sz w:val="23"/>
                <w:szCs w:val="23"/>
                <w:color w:val="auto"/>
              </w:rPr>
            </w:pPr>
          </w:p>
        </w:tc>
        <w:tc>
          <w:tcPr>
            <w:tcW w:w="80" w:type="dxa"/>
            <w:vAlign w:val="bottom"/>
            <w:tcBorders>
              <w:bottom w:val="single" w:sz="8" w:color="231F20"/>
            </w:tcBorders>
          </w:tcPr>
          <w:p>
            <w:pPr>
              <w:spacing w:after="0"/>
              <w:rPr>
                <w:sz w:val="23"/>
                <w:szCs w:val="23"/>
                <w:color w:val="auto"/>
              </w:rPr>
            </w:pPr>
          </w:p>
        </w:tc>
        <w:tc>
          <w:tcPr>
            <w:tcW w:w="120" w:type="dxa"/>
            <w:vAlign w:val="bottom"/>
            <w:tcBorders>
              <w:bottom w:val="single" w:sz="8" w:color="231F20"/>
            </w:tcBorders>
          </w:tcPr>
          <w:p>
            <w:pPr>
              <w:spacing w:after="0"/>
              <w:rPr>
                <w:sz w:val="23"/>
                <w:szCs w:val="23"/>
                <w:color w:val="auto"/>
              </w:rPr>
            </w:pPr>
          </w:p>
        </w:tc>
        <w:tc>
          <w:tcPr>
            <w:tcW w:w="160" w:type="dxa"/>
            <w:vAlign w:val="bottom"/>
            <w:tcBorders>
              <w:bottom w:val="single" w:sz="8" w:color="231F20"/>
            </w:tcBorders>
          </w:tcPr>
          <w:p>
            <w:pPr>
              <w:spacing w:after="0"/>
              <w:rPr>
                <w:sz w:val="23"/>
                <w:szCs w:val="23"/>
                <w:color w:val="auto"/>
              </w:rPr>
            </w:pPr>
          </w:p>
        </w:tc>
        <w:tc>
          <w:tcPr>
            <w:tcW w:w="68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231F20"/>
              </w:rPr>
              <w:t>4,277</w:t>
            </w:r>
          </w:p>
        </w:tc>
        <w:tc>
          <w:tcPr>
            <w:tcW w:w="80" w:type="dxa"/>
            <w:vAlign w:val="bottom"/>
            <w:tcBorders>
              <w:bottom w:val="single" w:sz="8" w:color="231F20"/>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231F20"/>
            </w:tcBorders>
          </w:tcPr>
          <w:p>
            <w:pPr>
              <w:spacing w:after="0"/>
              <w:rPr>
                <w:sz w:val="23"/>
                <w:szCs w:val="23"/>
                <w:color w:val="auto"/>
              </w:rPr>
            </w:pPr>
          </w:p>
        </w:tc>
        <w:tc>
          <w:tcPr>
            <w:tcW w:w="100" w:type="dxa"/>
            <w:vAlign w:val="bottom"/>
            <w:tcBorders>
              <w:bottom w:val="single" w:sz="8" w:color="231F20"/>
            </w:tcBorders>
          </w:tcPr>
          <w:p>
            <w:pPr>
              <w:spacing w:after="0"/>
              <w:rPr>
                <w:sz w:val="23"/>
                <w:szCs w:val="23"/>
                <w:color w:val="auto"/>
              </w:rPr>
            </w:pPr>
          </w:p>
        </w:tc>
        <w:tc>
          <w:tcPr>
            <w:tcW w:w="160" w:type="dxa"/>
            <w:vAlign w:val="bottom"/>
            <w:tcBorders>
              <w:bottom w:val="single" w:sz="8" w:color="231F20"/>
            </w:tcBorders>
          </w:tcPr>
          <w:p>
            <w:pPr>
              <w:spacing w:after="0"/>
              <w:rPr>
                <w:sz w:val="23"/>
                <w:szCs w:val="23"/>
                <w:color w:val="auto"/>
              </w:rPr>
            </w:pPr>
          </w:p>
        </w:tc>
        <w:tc>
          <w:tcPr>
            <w:tcW w:w="900" w:type="dxa"/>
            <w:vAlign w:val="bottom"/>
            <w:tcBorders>
              <w:bottom w:val="single" w:sz="8" w:color="231F20"/>
            </w:tcBorders>
          </w:tcPr>
          <w:p>
            <w:pPr>
              <w:jc w:val="right"/>
              <w:ind w:right="22"/>
              <w:spacing w:after="0"/>
              <w:rPr>
                <w:sz w:val="20"/>
                <w:szCs w:val="20"/>
                <w:color w:val="auto"/>
              </w:rPr>
            </w:pPr>
            <w:r>
              <w:rPr>
                <w:rFonts w:ascii="Arial" w:cs="Arial" w:eastAsia="Arial" w:hAnsi="Arial"/>
                <w:sz w:val="16"/>
                <w:szCs w:val="16"/>
                <w:color w:val="231F20"/>
              </w:rPr>
              <w:t>15,112</w:t>
            </w:r>
          </w:p>
        </w:tc>
        <w:tc>
          <w:tcPr>
            <w:tcW w:w="120" w:type="dxa"/>
            <w:vAlign w:val="bottom"/>
            <w:tcBorders>
              <w:bottom w:val="single" w:sz="8" w:color="CCEEFF"/>
            </w:tcBorders>
          </w:tcPr>
          <w:p>
            <w:pPr>
              <w:spacing w:after="0"/>
              <w:rPr>
                <w:sz w:val="23"/>
                <w:szCs w:val="23"/>
                <w:color w:val="auto"/>
              </w:rPr>
            </w:pPr>
          </w:p>
        </w:tc>
        <w:tc>
          <w:tcPr>
            <w:tcW w:w="40" w:type="dxa"/>
            <w:vAlign w:val="bottom"/>
            <w:tcBorders>
              <w:bottom w:val="single" w:sz="8" w:color="231F20"/>
            </w:tcBorders>
          </w:tcPr>
          <w:p>
            <w:pPr>
              <w:spacing w:after="0"/>
              <w:rPr>
                <w:sz w:val="23"/>
                <w:szCs w:val="23"/>
                <w:color w:val="auto"/>
              </w:rPr>
            </w:pPr>
          </w:p>
        </w:tc>
        <w:tc>
          <w:tcPr>
            <w:tcW w:w="100" w:type="dxa"/>
            <w:vAlign w:val="bottom"/>
            <w:tcBorders>
              <w:bottom w:val="single" w:sz="8" w:color="231F20"/>
            </w:tcBorders>
          </w:tcPr>
          <w:p>
            <w:pPr>
              <w:spacing w:after="0"/>
              <w:rPr>
                <w:sz w:val="23"/>
                <w:szCs w:val="23"/>
                <w:color w:val="auto"/>
              </w:rPr>
            </w:pPr>
          </w:p>
        </w:tc>
        <w:tc>
          <w:tcPr>
            <w:tcW w:w="240" w:type="dxa"/>
            <w:vAlign w:val="bottom"/>
            <w:tcBorders>
              <w:bottom w:val="single" w:sz="8" w:color="231F20"/>
            </w:tcBorders>
          </w:tcPr>
          <w:p>
            <w:pPr>
              <w:spacing w:after="0"/>
              <w:rPr>
                <w:sz w:val="23"/>
                <w:szCs w:val="23"/>
                <w:color w:val="auto"/>
              </w:rPr>
            </w:pPr>
          </w:p>
        </w:tc>
        <w:tc>
          <w:tcPr>
            <w:tcW w:w="980" w:type="dxa"/>
            <w:vAlign w:val="bottom"/>
            <w:tcBorders>
              <w:bottom w:val="single" w:sz="8" w:color="231F20"/>
            </w:tcBorders>
          </w:tcPr>
          <w:p>
            <w:pPr>
              <w:jc w:val="right"/>
              <w:ind w:right="22"/>
              <w:spacing w:after="0"/>
              <w:rPr>
                <w:sz w:val="20"/>
                <w:szCs w:val="20"/>
                <w:color w:val="auto"/>
              </w:rPr>
            </w:pPr>
            <w:r>
              <w:rPr>
                <w:rFonts w:ascii="Arial" w:cs="Arial" w:eastAsia="Arial" w:hAnsi="Arial"/>
                <w:sz w:val="16"/>
                <w:szCs w:val="16"/>
                <w:color w:val="231F20"/>
              </w:rPr>
              <w:t>12,226</w:t>
            </w:r>
          </w:p>
        </w:tc>
        <w:tc>
          <w:tcPr>
            <w:tcW w:w="0" w:type="dxa"/>
            <w:vAlign w:val="bottom"/>
          </w:tcPr>
          <w:p>
            <w:pPr>
              <w:spacing w:after="0"/>
              <w:rPr>
                <w:sz w:val="1"/>
                <w:szCs w:val="1"/>
                <w:color w:val="auto"/>
              </w:rPr>
            </w:pPr>
          </w:p>
        </w:tc>
      </w:tr>
      <w:tr>
        <w:trPr>
          <w:trHeight w:val="244"/>
        </w:trPr>
        <w:tc>
          <w:tcPr>
            <w:tcW w:w="58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Total operating expenses</w:t>
            </w:r>
          </w:p>
        </w:tc>
        <w:tc>
          <w:tcPr>
            <w:tcW w:w="4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23,420</w:t>
            </w: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19,839</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70,528</w:t>
            </w:r>
          </w:p>
        </w:tc>
        <w:tc>
          <w:tcPr>
            <w:tcW w:w="12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58,704</w:t>
            </w:r>
          </w:p>
        </w:tc>
        <w:tc>
          <w:tcPr>
            <w:tcW w:w="0" w:type="dxa"/>
            <w:vAlign w:val="bottom"/>
          </w:tcPr>
          <w:p>
            <w:pPr>
              <w:spacing w:after="0"/>
              <w:rPr>
                <w:sz w:val="1"/>
                <w:szCs w:val="1"/>
                <w:color w:val="auto"/>
              </w:rPr>
            </w:pPr>
          </w:p>
        </w:tc>
      </w:tr>
      <w:tr>
        <w:trPr>
          <w:trHeight w:val="260"/>
        </w:trPr>
        <w:tc>
          <w:tcPr>
            <w:tcW w:w="5820" w:type="dxa"/>
            <w:vAlign w:val="bottom"/>
            <w:gridSpan w:val="2"/>
          </w:tcPr>
          <w:p>
            <w:pPr>
              <w:ind w:left="40"/>
              <w:spacing w:after="0"/>
              <w:rPr>
                <w:sz w:val="20"/>
                <w:szCs w:val="20"/>
                <w:color w:val="auto"/>
              </w:rPr>
            </w:pPr>
            <w:r>
              <w:rPr>
                <w:rFonts w:ascii="Arial" w:cs="Arial" w:eastAsia="Arial" w:hAnsi="Arial"/>
                <w:sz w:val="16"/>
                <w:szCs w:val="16"/>
                <w:color w:val="auto"/>
              </w:rPr>
              <w:t>Income from operations</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3,507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1,495</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5,036</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2,085</w:t>
            </w:r>
          </w:p>
        </w:tc>
        <w:tc>
          <w:tcPr>
            <w:tcW w:w="0" w:type="dxa"/>
            <w:vAlign w:val="bottom"/>
          </w:tcPr>
          <w:p>
            <w:pPr>
              <w:spacing w:after="0"/>
              <w:rPr>
                <w:sz w:val="1"/>
                <w:szCs w:val="1"/>
                <w:color w:val="auto"/>
              </w:rPr>
            </w:pPr>
          </w:p>
        </w:tc>
      </w:tr>
      <w:tr>
        <w:trPr>
          <w:trHeight w:val="273"/>
        </w:trPr>
        <w:tc>
          <w:tcPr>
            <w:tcW w:w="58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4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47"/>
        </w:trPr>
        <w:tc>
          <w:tcPr>
            <w:tcW w:w="5820" w:type="dxa"/>
            <w:vAlign w:val="bottom"/>
            <w:gridSpan w:val="2"/>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3,491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1,519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5,113</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1,951</w:t>
            </w:r>
          </w:p>
        </w:tc>
        <w:tc>
          <w:tcPr>
            <w:tcW w:w="0" w:type="dxa"/>
            <w:vAlign w:val="bottom"/>
          </w:tcPr>
          <w:p>
            <w:pPr>
              <w:spacing w:after="0"/>
              <w:rPr>
                <w:sz w:val="1"/>
                <w:szCs w:val="1"/>
                <w:color w:val="auto"/>
              </w:rPr>
            </w:pPr>
          </w:p>
        </w:tc>
      </w:tr>
      <w:tr>
        <w:trPr>
          <w:trHeight w:val="273"/>
        </w:trPr>
        <w:tc>
          <w:tcPr>
            <w:tcW w:w="58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400" w:type="dxa"/>
            <w:vAlign w:val="bottom"/>
            <w:tcBorders>
              <w:bottom w:val="single" w:sz="8" w:color="231F20"/>
            </w:tcBorders>
            <w:shd w:val="clear" w:color="auto" w:fill="CCEEFF"/>
          </w:tcPr>
          <w:p>
            <w:pPr>
              <w:spacing w:after="0"/>
              <w:rPr>
                <w:sz w:val="23"/>
                <w:szCs w:val="23"/>
                <w:color w:val="auto"/>
              </w:rPr>
            </w:pPr>
          </w:p>
        </w:tc>
        <w:tc>
          <w:tcPr>
            <w:tcW w:w="120" w:type="dxa"/>
            <w:vAlign w:val="bottom"/>
            <w:tcBorders>
              <w:bottom w:val="single" w:sz="8" w:color="231F20"/>
            </w:tcBorders>
            <w:shd w:val="clear" w:color="auto" w:fill="CCEEFF"/>
          </w:tcPr>
          <w:p>
            <w:pPr>
              <w:spacing w:after="0"/>
              <w:rPr>
                <w:sz w:val="23"/>
                <w:szCs w:val="23"/>
                <w:color w:val="auto"/>
              </w:rPr>
            </w:pPr>
          </w:p>
        </w:tc>
        <w:tc>
          <w:tcPr>
            <w:tcW w:w="900" w:type="dxa"/>
            <w:vAlign w:val="bottom"/>
            <w:tcBorders>
              <w:bottom w:val="single" w:sz="8" w:color="231F20"/>
            </w:tcBorders>
            <w:shd w:val="clear" w:color="auto" w:fill="CCEEFF"/>
          </w:tcPr>
          <w:p>
            <w:pPr>
              <w:jc w:val="right"/>
              <w:ind w:right="42"/>
              <w:spacing w:after="0"/>
              <w:rPr>
                <w:sz w:val="20"/>
                <w:szCs w:val="20"/>
                <w:color w:val="auto"/>
              </w:rPr>
            </w:pPr>
            <w:r>
              <w:rPr>
                <w:rFonts w:ascii="Arial" w:cs="Arial" w:eastAsia="Arial" w:hAnsi="Arial"/>
                <w:sz w:val="16"/>
                <w:szCs w:val="16"/>
                <w:color w:val="231F20"/>
              </w:rPr>
              <w:t>283</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231F20"/>
            </w:tcBorders>
            <w:shd w:val="clear" w:color="auto" w:fill="CCEEFF"/>
          </w:tcPr>
          <w:p>
            <w:pPr>
              <w:spacing w:after="0"/>
              <w:rPr>
                <w:sz w:val="23"/>
                <w:szCs w:val="23"/>
                <w:color w:val="auto"/>
              </w:rPr>
            </w:pPr>
          </w:p>
        </w:tc>
        <w:tc>
          <w:tcPr>
            <w:tcW w:w="80" w:type="dxa"/>
            <w:vAlign w:val="bottom"/>
            <w:tcBorders>
              <w:bottom w:val="single" w:sz="8" w:color="231F20"/>
            </w:tcBorders>
            <w:shd w:val="clear" w:color="auto" w:fill="CCEEFF"/>
          </w:tcPr>
          <w:p>
            <w:pPr>
              <w:spacing w:after="0"/>
              <w:rPr>
                <w:sz w:val="23"/>
                <w:szCs w:val="23"/>
                <w:color w:val="auto"/>
              </w:rPr>
            </w:pPr>
          </w:p>
        </w:tc>
        <w:tc>
          <w:tcPr>
            <w:tcW w:w="120" w:type="dxa"/>
            <w:vAlign w:val="bottom"/>
            <w:tcBorders>
              <w:bottom w:val="single" w:sz="8" w:color="231F20"/>
            </w:tcBorders>
            <w:shd w:val="clear" w:color="auto" w:fill="CCEEFF"/>
          </w:tcPr>
          <w:p>
            <w:pPr>
              <w:spacing w:after="0"/>
              <w:rPr>
                <w:sz w:val="23"/>
                <w:szCs w:val="23"/>
                <w:color w:val="auto"/>
              </w:rPr>
            </w:pPr>
          </w:p>
        </w:tc>
        <w:tc>
          <w:tcPr>
            <w:tcW w:w="160" w:type="dxa"/>
            <w:vAlign w:val="bottom"/>
            <w:tcBorders>
              <w:bottom w:val="single" w:sz="8" w:color="231F20"/>
            </w:tcBorders>
            <w:shd w:val="clear" w:color="auto" w:fill="CCEEFF"/>
          </w:tcPr>
          <w:p>
            <w:pPr>
              <w:spacing w:after="0"/>
              <w:rPr>
                <w:sz w:val="23"/>
                <w:szCs w:val="23"/>
                <w:color w:val="auto"/>
              </w:rPr>
            </w:pPr>
          </w:p>
        </w:tc>
        <w:tc>
          <w:tcPr>
            <w:tcW w:w="68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6"/>
                <w:szCs w:val="16"/>
                <w:color w:val="231F20"/>
              </w:rPr>
              <w:t>210</w:t>
            </w:r>
          </w:p>
        </w:tc>
        <w:tc>
          <w:tcPr>
            <w:tcW w:w="80" w:type="dxa"/>
            <w:vAlign w:val="bottom"/>
            <w:tcBorders>
              <w:bottom w:val="single" w:sz="8" w:color="231F20"/>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231F20"/>
            </w:tcBorders>
            <w:shd w:val="clear" w:color="auto" w:fill="CCEEFF"/>
          </w:tcPr>
          <w:p>
            <w:pPr>
              <w:spacing w:after="0"/>
              <w:rPr>
                <w:sz w:val="23"/>
                <w:szCs w:val="23"/>
                <w:color w:val="auto"/>
              </w:rPr>
            </w:pPr>
          </w:p>
        </w:tc>
        <w:tc>
          <w:tcPr>
            <w:tcW w:w="100" w:type="dxa"/>
            <w:vAlign w:val="bottom"/>
            <w:tcBorders>
              <w:bottom w:val="single" w:sz="8" w:color="231F20"/>
            </w:tcBorders>
            <w:shd w:val="clear" w:color="auto" w:fill="CCEEFF"/>
          </w:tcPr>
          <w:p>
            <w:pPr>
              <w:spacing w:after="0"/>
              <w:rPr>
                <w:sz w:val="23"/>
                <w:szCs w:val="23"/>
                <w:color w:val="auto"/>
              </w:rPr>
            </w:pPr>
          </w:p>
        </w:tc>
        <w:tc>
          <w:tcPr>
            <w:tcW w:w="160" w:type="dxa"/>
            <w:vAlign w:val="bottom"/>
            <w:tcBorders>
              <w:bottom w:val="single" w:sz="8" w:color="231F20"/>
            </w:tcBorders>
            <w:shd w:val="clear" w:color="auto" w:fill="CCEEFF"/>
          </w:tcPr>
          <w:p>
            <w:pPr>
              <w:spacing w:after="0"/>
              <w:rPr>
                <w:sz w:val="23"/>
                <w:szCs w:val="23"/>
                <w:color w:val="auto"/>
              </w:rPr>
            </w:pPr>
          </w:p>
        </w:tc>
        <w:tc>
          <w:tcPr>
            <w:tcW w:w="900" w:type="dxa"/>
            <w:vAlign w:val="bottom"/>
            <w:tcBorders>
              <w:bottom w:val="single" w:sz="8" w:color="231F20"/>
            </w:tcBorders>
            <w:shd w:val="clear" w:color="auto" w:fill="CCEEFF"/>
          </w:tcPr>
          <w:p>
            <w:pPr>
              <w:jc w:val="right"/>
              <w:ind w:right="22"/>
              <w:spacing w:after="0"/>
              <w:rPr>
                <w:sz w:val="20"/>
                <w:szCs w:val="20"/>
                <w:color w:val="auto"/>
              </w:rPr>
            </w:pPr>
            <w:r>
              <w:rPr>
                <w:rFonts w:ascii="Arial" w:cs="Arial" w:eastAsia="Arial" w:hAnsi="Arial"/>
                <w:sz w:val="16"/>
                <w:szCs w:val="16"/>
                <w:color w:val="231F20"/>
              </w:rPr>
              <w:t>639</w:t>
            </w:r>
          </w:p>
        </w:tc>
        <w:tc>
          <w:tcPr>
            <w:tcW w:w="120" w:type="dxa"/>
            <w:vAlign w:val="bottom"/>
            <w:shd w:val="clear" w:color="auto" w:fill="CCEEFF"/>
          </w:tcPr>
          <w:p>
            <w:pPr>
              <w:spacing w:after="0"/>
              <w:rPr>
                <w:sz w:val="23"/>
                <w:szCs w:val="23"/>
                <w:color w:val="auto"/>
              </w:rPr>
            </w:pPr>
          </w:p>
        </w:tc>
        <w:tc>
          <w:tcPr>
            <w:tcW w:w="40" w:type="dxa"/>
            <w:vAlign w:val="bottom"/>
            <w:tcBorders>
              <w:bottom w:val="single" w:sz="8" w:color="231F20"/>
            </w:tcBorders>
            <w:shd w:val="clear" w:color="auto" w:fill="CCEEFF"/>
          </w:tcPr>
          <w:p>
            <w:pPr>
              <w:spacing w:after="0"/>
              <w:rPr>
                <w:sz w:val="23"/>
                <w:szCs w:val="23"/>
                <w:color w:val="auto"/>
              </w:rPr>
            </w:pPr>
          </w:p>
        </w:tc>
        <w:tc>
          <w:tcPr>
            <w:tcW w:w="100" w:type="dxa"/>
            <w:vAlign w:val="bottom"/>
            <w:tcBorders>
              <w:bottom w:val="single" w:sz="8" w:color="231F20"/>
            </w:tcBorders>
            <w:shd w:val="clear" w:color="auto" w:fill="CCEEFF"/>
          </w:tcPr>
          <w:p>
            <w:pPr>
              <w:spacing w:after="0"/>
              <w:rPr>
                <w:sz w:val="23"/>
                <w:szCs w:val="23"/>
                <w:color w:val="auto"/>
              </w:rPr>
            </w:pPr>
          </w:p>
        </w:tc>
        <w:tc>
          <w:tcPr>
            <w:tcW w:w="240" w:type="dxa"/>
            <w:vAlign w:val="bottom"/>
            <w:tcBorders>
              <w:bottom w:val="single" w:sz="8" w:color="231F20"/>
            </w:tcBorders>
            <w:shd w:val="clear" w:color="auto" w:fill="CCEEFF"/>
          </w:tcPr>
          <w:p>
            <w:pPr>
              <w:spacing w:after="0"/>
              <w:rPr>
                <w:sz w:val="23"/>
                <w:szCs w:val="23"/>
                <w:color w:val="auto"/>
              </w:rPr>
            </w:pPr>
          </w:p>
        </w:tc>
        <w:tc>
          <w:tcPr>
            <w:tcW w:w="980" w:type="dxa"/>
            <w:vAlign w:val="bottom"/>
            <w:tcBorders>
              <w:bottom w:val="single" w:sz="8" w:color="231F20"/>
            </w:tcBorders>
            <w:shd w:val="clear" w:color="auto" w:fill="CCEEFF"/>
          </w:tcPr>
          <w:p>
            <w:pPr>
              <w:jc w:val="right"/>
              <w:ind w:right="22"/>
              <w:spacing w:after="0"/>
              <w:rPr>
                <w:sz w:val="20"/>
                <w:szCs w:val="20"/>
                <w:color w:val="auto"/>
              </w:rPr>
            </w:pPr>
            <w:r>
              <w:rPr>
                <w:rFonts w:ascii="Arial" w:cs="Arial" w:eastAsia="Arial" w:hAnsi="Arial"/>
                <w:sz w:val="16"/>
                <w:szCs w:val="16"/>
                <w:color w:val="231F20"/>
              </w:rPr>
              <w:t>372</w:t>
            </w:r>
          </w:p>
        </w:tc>
        <w:tc>
          <w:tcPr>
            <w:tcW w:w="0" w:type="dxa"/>
            <w:vAlign w:val="bottom"/>
          </w:tcPr>
          <w:p>
            <w:pPr>
              <w:spacing w:after="0"/>
              <w:rPr>
                <w:sz w:val="1"/>
                <w:szCs w:val="1"/>
                <w:color w:val="auto"/>
              </w:rPr>
            </w:pPr>
          </w:p>
        </w:tc>
      </w:tr>
      <w:tr>
        <w:trPr>
          <w:trHeight w:val="237"/>
        </w:trPr>
        <w:tc>
          <w:tcPr>
            <w:tcW w:w="582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400" w:type="dxa"/>
            <w:vAlign w:val="bottom"/>
          </w:tcPr>
          <w:p>
            <w:pPr>
              <w:jc w:val="right"/>
              <w:ind w:right="203"/>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3,208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6"/>
                <w:szCs w:val="16"/>
                <w:color w:val="auto"/>
                <w:w w:val="89"/>
              </w:rPr>
              <w:t>$</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1,309</w:t>
            </w:r>
          </w:p>
        </w:tc>
        <w:tc>
          <w:tcPr>
            <w:tcW w:w="38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4,474</w:t>
            </w:r>
          </w:p>
        </w:tc>
        <w:tc>
          <w:tcPr>
            <w:tcW w:w="120" w:type="dxa"/>
            <w:vAlign w:val="bottom"/>
          </w:tcPr>
          <w:p>
            <w:pPr>
              <w:spacing w:after="0"/>
              <w:rPr>
                <w:sz w:val="20"/>
                <w:szCs w:val="20"/>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1,579</w:t>
            </w:r>
          </w:p>
        </w:tc>
        <w:tc>
          <w:tcPr>
            <w:tcW w:w="0" w:type="dxa"/>
            <w:vAlign w:val="bottom"/>
          </w:tcPr>
          <w:p>
            <w:pPr>
              <w:spacing w:after="0"/>
              <w:rPr>
                <w:sz w:val="1"/>
                <w:szCs w:val="1"/>
                <w:color w:val="auto"/>
              </w:rPr>
            </w:pPr>
          </w:p>
        </w:tc>
      </w:tr>
      <w:tr>
        <w:trPr>
          <w:trHeight w:val="20"/>
        </w:trPr>
        <w:tc>
          <w:tcPr>
            <w:tcW w:w="1220" w:type="dxa"/>
            <w:vAlign w:val="bottom"/>
            <w:vMerge w:val="restart"/>
          </w:tcPr>
          <w:p>
            <w:pPr>
              <w:spacing w:after="0"/>
              <w:rPr>
                <w:sz w:val="20"/>
                <w:szCs w:val="20"/>
                <w:color w:val="auto"/>
              </w:rPr>
            </w:pPr>
            <w:r>
              <w:rPr>
                <w:rFonts w:ascii="Arial" w:cs="Arial" w:eastAsia="Arial" w:hAnsi="Arial"/>
                <w:sz w:val="9"/>
                <w:szCs w:val="9"/>
                <w:color w:val="231F20"/>
              </w:rPr>
              <w:t>____________________</w:t>
            </w:r>
          </w:p>
        </w:tc>
        <w:tc>
          <w:tcPr>
            <w:tcW w:w="46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1220" w:type="dxa"/>
            <w:vAlign w:val="bottom"/>
            <w:vMerge w:val="continue"/>
          </w:tcPr>
          <w:p>
            <w:pPr>
              <w:spacing w:after="0"/>
              <w:rPr>
                <w:sz w:val="24"/>
                <w:szCs w:val="24"/>
                <w:color w:val="auto"/>
              </w:rPr>
            </w:pPr>
          </w:p>
        </w:tc>
        <w:tc>
          <w:tcPr>
            <w:tcW w:w="4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5820" w:type="dxa"/>
            <w:vAlign w:val="bottom"/>
            <w:gridSpan w:val="2"/>
          </w:tcPr>
          <w:p>
            <w:pPr>
              <w:spacing w:after="0"/>
              <w:rPr>
                <w:sz w:val="20"/>
                <w:szCs w:val="20"/>
                <w:color w:val="auto"/>
              </w:rPr>
            </w:pPr>
            <w:r>
              <w:rPr>
                <w:rFonts w:ascii="Arial" w:cs="Arial" w:eastAsia="Arial" w:hAnsi="Arial"/>
                <w:sz w:val="9"/>
                <w:szCs w:val="9"/>
                <w:color w:val="231F20"/>
              </w:rPr>
              <w:t xml:space="preserve">(1) </w:t>
            </w:r>
            <w:r>
              <w:rPr>
                <w:rFonts w:ascii="Arial" w:cs="Arial" w:eastAsia="Arial" w:hAnsi="Arial"/>
                <w:sz w:val="14"/>
                <w:szCs w:val="14"/>
                <w:color w:val="231F20"/>
              </w:rPr>
              <w:t>Includes stock-based compensation as follows:</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8"/>
        </w:trPr>
        <w:tc>
          <w:tcPr>
            <w:tcW w:w="12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7"/>
          </w:tcPr>
          <w:p>
            <w:pPr>
              <w:jc w:val="right"/>
              <w:ind w:right="101"/>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gridSpan w:val="6"/>
          </w:tcPr>
          <w:p>
            <w:pPr>
              <w:jc w:val="right"/>
              <w:ind w:right="50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76"/>
        </w:trPr>
        <w:tc>
          <w:tcPr>
            <w:tcW w:w="12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7"/>
          </w:tcPr>
          <w:p>
            <w:pPr>
              <w:jc w:val="right"/>
              <w:ind w:right="321"/>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6"/>
          </w:tcPr>
          <w:p>
            <w:pPr>
              <w:jc w:val="right"/>
              <w:ind w:right="68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1220" w:type="dxa"/>
            <w:vAlign w:val="bottom"/>
          </w:tcPr>
          <w:p>
            <w:pPr>
              <w:spacing w:after="0"/>
              <w:rPr>
                <w:sz w:val="22"/>
                <w:szCs w:val="22"/>
                <w:color w:val="auto"/>
              </w:rPr>
            </w:pPr>
          </w:p>
        </w:tc>
        <w:tc>
          <w:tcPr>
            <w:tcW w:w="46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122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40" w:type="dxa"/>
            <w:vAlign w:val="bottom"/>
            <w:gridSpan w:val="8"/>
          </w:tcPr>
          <w:p>
            <w:pPr>
              <w:jc w:val="right"/>
              <w:ind w:right="74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1220" w:type="dxa"/>
            <w:vAlign w:val="bottom"/>
          </w:tcPr>
          <w:p>
            <w:pPr>
              <w:spacing w:after="0"/>
              <w:rPr>
                <w:sz w:val="24"/>
                <w:szCs w:val="24"/>
                <w:color w:val="auto"/>
              </w:rPr>
            </w:pPr>
          </w:p>
        </w:tc>
        <w:tc>
          <w:tcPr>
            <w:tcW w:w="4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revenues</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24"/>
                <w:szCs w:val="24"/>
                <w:color w:val="auto"/>
              </w:rPr>
            </w:pP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482</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2"/>
              <w:spacing w:after="0"/>
              <w:rPr>
                <w:sz w:val="20"/>
                <w:szCs w:val="20"/>
                <w:color w:val="auto"/>
              </w:rPr>
            </w:pPr>
            <w:r>
              <w:rPr>
                <w:rFonts w:ascii="Arial" w:cs="Arial" w:eastAsia="Arial" w:hAnsi="Arial"/>
                <w:sz w:val="14"/>
                <w:szCs w:val="14"/>
                <w:color w:val="auto"/>
              </w:rPr>
              <w:t>307</w:t>
            </w:r>
          </w:p>
        </w:tc>
        <w:tc>
          <w:tcPr>
            <w:tcW w:w="0" w:type="dxa"/>
            <w:vAlign w:val="bottom"/>
          </w:tcPr>
          <w:p>
            <w:pPr>
              <w:spacing w:after="0"/>
              <w:rPr>
                <w:sz w:val="1"/>
                <w:szCs w:val="1"/>
                <w:color w:val="auto"/>
              </w:rPr>
            </w:pPr>
          </w:p>
        </w:tc>
      </w:tr>
      <w:tr>
        <w:trPr>
          <w:trHeight w:val="264"/>
        </w:trPr>
        <w:tc>
          <w:tcPr>
            <w:tcW w:w="1220" w:type="dxa"/>
            <w:vAlign w:val="bottom"/>
          </w:tcPr>
          <w:p>
            <w:pPr>
              <w:spacing w:after="0"/>
              <w:rPr>
                <w:sz w:val="22"/>
                <w:szCs w:val="22"/>
                <w:color w:val="auto"/>
              </w:rPr>
            </w:pPr>
          </w:p>
        </w:tc>
        <w:tc>
          <w:tcPr>
            <w:tcW w:w="4600" w:type="dxa"/>
            <w:vAlign w:val="bottom"/>
          </w:tcPr>
          <w:p>
            <w:pPr>
              <w:ind w:left="40"/>
              <w:spacing w:after="0"/>
              <w:rPr>
                <w:sz w:val="20"/>
                <w:szCs w:val="20"/>
                <w:color w:val="auto"/>
              </w:rPr>
            </w:pPr>
            <w:r>
              <w:rPr>
                <w:rFonts w:ascii="Arial" w:cs="Arial" w:eastAsia="Arial" w:hAnsi="Arial"/>
                <w:sz w:val="14"/>
                <w:szCs w:val="14"/>
                <w:color w:val="auto"/>
              </w:rPr>
              <w:t>Research and development</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599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80" w:type="dxa"/>
            <w:vAlign w:val="bottom"/>
            <w:gridSpan w:val="3"/>
          </w:tcPr>
          <w:p>
            <w:pPr>
              <w:jc w:val="right"/>
              <w:ind w:right="100"/>
              <w:spacing w:after="0"/>
              <w:rPr>
                <w:sz w:val="20"/>
                <w:szCs w:val="20"/>
                <w:color w:val="auto"/>
              </w:rPr>
            </w:pPr>
            <w:r>
              <w:rPr>
                <w:rFonts w:ascii="Arial" w:cs="Arial" w:eastAsia="Arial" w:hAnsi="Arial"/>
                <w:sz w:val="14"/>
                <w:szCs w:val="14"/>
                <w:color w:val="auto"/>
              </w:rPr>
              <w:t>253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1,551</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ind w:right="22"/>
              <w:spacing w:after="0"/>
              <w:rPr>
                <w:sz w:val="20"/>
                <w:szCs w:val="20"/>
                <w:color w:val="auto"/>
              </w:rPr>
            </w:pPr>
            <w:r>
              <w:rPr>
                <w:rFonts w:ascii="Arial" w:cs="Arial" w:eastAsia="Arial" w:hAnsi="Arial"/>
                <w:sz w:val="14"/>
                <w:szCs w:val="14"/>
                <w:color w:val="auto"/>
              </w:rPr>
              <w:t>697</w:t>
            </w:r>
          </w:p>
        </w:tc>
        <w:tc>
          <w:tcPr>
            <w:tcW w:w="0" w:type="dxa"/>
            <w:vAlign w:val="bottom"/>
          </w:tcPr>
          <w:p>
            <w:pPr>
              <w:spacing w:after="0"/>
              <w:rPr>
                <w:sz w:val="1"/>
                <w:szCs w:val="1"/>
                <w:color w:val="auto"/>
              </w:rPr>
            </w:pPr>
          </w:p>
        </w:tc>
      </w:tr>
      <w:tr>
        <w:trPr>
          <w:trHeight w:val="276"/>
        </w:trPr>
        <w:tc>
          <w:tcPr>
            <w:tcW w:w="1220" w:type="dxa"/>
            <w:vAlign w:val="bottom"/>
          </w:tcPr>
          <w:p>
            <w:pPr>
              <w:spacing w:after="0"/>
              <w:rPr>
                <w:sz w:val="24"/>
                <w:szCs w:val="24"/>
                <w:color w:val="auto"/>
              </w:rPr>
            </w:pPr>
          </w:p>
        </w:tc>
        <w:tc>
          <w:tcPr>
            <w:tcW w:w="4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Sales and marketing</w:t>
            </w:r>
          </w:p>
        </w:tc>
        <w:tc>
          <w:tcPr>
            <w:tcW w:w="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561</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363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1,852</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2"/>
              <w:spacing w:after="0"/>
              <w:rPr>
                <w:sz w:val="20"/>
                <w:szCs w:val="20"/>
                <w:color w:val="auto"/>
              </w:rPr>
            </w:pPr>
            <w:r>
              <w:rPr>
                <w:rFonts w:ascii="Arial" w:cs="Arial" w:eastAsia="Arial" w:hAnsi="Arial"/>
                <w:sz w:val="14"/>
                <w:szCs w:val="14"/>
                <w:color w:val="auto"/>
              </w:rPr>
              <w:t>804</w:t>
            </w:r>
          </w:p>
        </w:tc>
        <w:tc>
          <w:tcPr>
            <w:tcW w:w="0" w:type="dxa"/>
            <w:vAlign w:val="bottom"/>
          </w:tcPr>
          <w:p>
            <w:pPr>
              <w:spacing w:after="0"/>
              <w:rPr>
                <w:sz w:val="1"/>
                <w:szCs w:val="1"/>
                <w:color w:val="auto"/>
              </w:rPr>
            </w:pPr>
          </w:p>
        </w:tc>
      </w:tr>
      <w:tr>
        <w:trPr>
          <w:trHeight w:val="264"/>
        </w:trPr>
        <w:tc>
          <w:tcPr>
            <w:tcW w:w="1220" w:type="dxa"/>
            <w:vAlign w:val="bottom"/>
          </w:tcPr>
          <w:p>
            <w:pPr>
              <w:spacing w:after="0"/>
              <w:rPr>
                <w:sz w:val="22"/>
                <w:szCs w:val="22"/>
                <w:color w:val="auto"/>
              </w:rPr>
            </w:pPr>
          </w:p>
        </w:tc>
        <w:tc>
          <w:tcPr>
            <w:tcW w:w="46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General and administrative</w:t>
            </w:r>
          </w:p>
        </w:tc>
        <w:tc>
          <w:tcPr>
            <w:tcW w:w="4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1,159</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color w:val="auto"/>
              </w:rPr>
              <w:t>902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3,215</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4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stock-based compensation</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2,494</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6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1,621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7,100</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2"/>
              <w:spacing w:after="0"/>
              <w:rPr>
                <w:sz w:val="20"/>
                <w:szCs w:val="20"/>
                <w:color w:val="auto"/>
              </w:rPr>
            </w:pPr>
            <w:r>
              <w:rPr>
                <w:rFonts w:ascii="Arial" w:cs="Arial" w:eastAsia="Arial" w:hAnsi="Arial"/>
                <w:sz w:val="14"/>
                <w:szCs w:val="14"/>
                <w:color w:val="auto"/>
              </w:rPr>
              <w:t>3,808</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41"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420" w:firstLine="486"/>
        <w:spacing w:after="0" w:line="262" w:lineRule="auto"/>
        <w:rPr>
          <w:sz w:val="20"/>
          <w:szCs w:val="20"/>
          <w:color w:val="auto"/>
        </w:rPr>
      </w:pPr>
      <w:r>
        <w:rPr>
          <w:rFonts w:ascii="Arial" w:cs="Arial" w:eastAsia="Arial" w:hAnsi="Arial"/>
          <w:sz w:val="18"/>
          <w:szCs w:val="18"/>
          <w:color w:val="231F20"/>
        </w:rPr>
        <w:t>The following table sets forth selected condensed consolidated statements of operations data for each of the periods presented as a percentage of revenues.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20" w:type="dxa"/>
            <w:vAlign w:val="bottom"/>
          </w:tcPr>
          <w:p>
            <w:pPr>
              <w:spacing w:after="0"/>
              <w:rPr>
                <w:sz w:val="18"/>
                <w:szCs w:val="18"/>
                <w:color w:val="auto"/>
              </w:rPr>
            </w:pPr>
          </w:p>
        </w:tc>
        <w:tc>
          <w:tcPr>
            <w:tcW w:w="2460" w:type="dxa"/>
            <w:vAlign w:val="bottom"/>
            <w:gridSpan w:val="4"/>
          </w:tcPr>
          <w:p>
            <w:pPr>
              <w:jc w:val="center"/>
              <w:ind w:left="419"/>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gridSpan w:val="4"/>
          </w:tcPr>
          <w:p>
            <w:pPr>
              <w:jc w:val="center"/>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54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center"/>
              <w:ind w:right="339"/>
              <w:spacing w:after="0"/>
              <w:rPr>
                <w:sz w:val="20"/>
                <w:szCs w:val="20"/>
                <w:color w:val="auto"/>
              </w:rPr>
            </w:pPr>
            <w:r>
              <w:rPr>
                <w:rFonts w:ascii="Arial" w:cs="Arial" w:eastAsia="Arial" w:hAnsi="Arial"/>
                <w:sz w:val="16"/>
                <w:szCs w:val="16"/>
                <w:b w:val="1"/>
                <w:bCs w:val="1"/>
                <w:color w:val="auto"/>
              </w:rPr>
              <w:t>September 30,</w:t>
            </w: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center"/>
              <w:ind w:left="859"/>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24"/>
                <w:szCs w:val="24"/>
                <w:color w:val="auto"/>
              </w:rPr>
            </w:pPr>
          </w:p>
        </w:tc>
      </w:tr>
      <w:tr>
        <w:trPr>
          <w:trHeight w:val="264"/>
        </w:trPr>
        <w:tc>
          <w:tcPr>
            <w:tcW w:w="54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w w:val="95"/>
              </w:rPr>
              <w:t>2013</w:t>
            </w:r>
          </w:p>
        </w:tc>
      </w:tr>
      <w:tr>
        <w:trPr>
          <w:trHeight w:val="257"/>
        </w:trPr>
        <w:tc>
          <w:tcPr>
            <w:tcW w:w="63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64"/>
        </w:trPr>
        <w:tc>
          <w:tcPr>
            <w:tcW w:w="54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revenues</w:t>
            </w:r>
          </w:p>
        </w:tc>
        <w:tc>
          <w:tcPr>
            <w:tcW w:w="9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23</w:t>
            </w:r>
          </w:p>
        </w:tc>
      </w:tr>
      <w:tr>
        <w:trPr>
          <w:trHeight w:val="257"/>
        </w:trPr>
        <w:tc>
          <w:tcPr>
            <w:tcW w:w="63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Gross profit</w:t>
            </w:r>
          </w:p>
        </w:tc>
        <w:tc>
          <w:tcPr>
            <w:tcW w:w="5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77</w:t>
            </w:r>
          </w:p>
        </w:tc>
      </w:tr>
      <w:tr>
        <w:trPr>
          <w:trHeight w:val="260"/>
        </w:trPr>
        <w:tc>
          <w:tcPr>
            <w:tcW w:w="632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80"/>
        </w:trPr>
        <w:tc>
          <w:tcPr>
            <w:tcW w:w="63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5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20</w:t>
            </w:r>
          </w:p>
        </w:tc>
      </w:tr>
      <w:tr>
        <w:trPr>
          <w:trHeight w:val="260"/>
        </w:trPr>
        <w:tc>
          <w:tcPr>
            <w:tcW w:w="6320" w:type="dxa"/>
            <w:vAlign w:val="bottom"/>
            <w:gridSpan w:val="2"/>
          </w:tcPr>
          <w:p>
            <w:pPr>
              <w:ind w:left="280"/>
              <w:spacing w:after="0"/>
              <w:rPr>
                <w:sz w:val="20"/>
                <w:szCs w:val="20"/>
                <w:color w:val="auto"/>
              </w:rPr>
            </w:pPr>
            <w:r>
              <w:rPr>
                <w:rFonts w:ascii="Arial" w:cs="Arial" w:eastAsia="Arial" w:hAnsi="Arial"/>
                <w:sz w:val="16"/>
                <w:szCs w:val="16"/>
                <w:color w:val="auto"/>
              </w:rPr>
              <w:t>Sales and marketing</w:t>
            </w:r>
          </w:p>
        </w:tc>
        <w:tc>
          <w:tcPr>
            <w:tcW w:w="540" w:type="dxa"/>
            <w:vAlign w:val="bottom"/>
          </w:tcPr>
          <w:p>
            <w:pPr>
              <w:jc w:val="right"/>
              <w:ind w:right="15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80" w:type="dxa"/>
            <w:vAlign w:val="bottom"/>
          </w:tcPr>
          <w:p>
            <w:pPr>
              <w:jc w:val="right"/>
              <w:ind w:right="99"/>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2"/>
                <w:szCs w:val="22"/>
                <w:color w:val="auto"/>
              </w:rPr>
            </w:pP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39</w:t>
            </w:r>
          </w:p>
        </w:tc>
      </w:tr>
      <w:tr>
        <w:trPr>
          <w:trHeight w:val="273"/>
        </w:trPr>
        <w:tc>
          <w:tcPr>
            <w:tcW w:w="54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90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15</w:t>
            </w:r>
          </w:p>
        </w:tc>
      </w:tr>
      <w:tr>
        <w:trPr>
          <w:trHeight w:val="250"/>
        </w:trPr>
        <w:tc>
          <w:tcPr>
            <w:tcW w:w="542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operating expenses</w:t>
            </w:r>
          </w:p>
        </w:tc>
        <w:tc>
          <w:tcPr>
            <w:tcW w:w="9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tcPr>
          <w:p>
            <w:pPr>
              <w:spacing w:after="0"/>
              <w:rPr>
                <w:sz w:val="21"/>
                <w:szCs w:val="21"/>
                <w:color w:val="auto"/>
              </w:rPr>
            </w:pP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74</w:t>
            </w:r>
          </w:p>
        </w:tc>
      </w:tr>
      <w:tr>
        <w:trPr>
          <w:trHeight w:val="257"/>
        </w:trPr>
        <w:tc>
          <w:tcPr>
            <w:tcW w:w="63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5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w:t>
            </w:r>
          </w:p>
        </w:tc>
      </w:tr>
      <w:tr>
        <w:trPr>
          <w:trHeight w:val="264"/>
        </w:trPr>
        <w:tc>
          <w:tcPr>
            <w:tcW w:w="54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income (expense), net</w:t>
            </w:r>
          </w:p>
        </w:tc>
        <w:tc>
          <w:tcPr>
            <w:tcW w:w="9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0</w:t>
            </w:r>
          </w:p>
        </w:tc>
      </w:tr>
      <w:tr>
        <w:trPr>
          <w:trHeight w:val="257"/>
        </w:trPr>
        <w:tc>
          <w:tcPr>
            <w:tcW w:w="63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5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w:t>
            </w:r>
          </w:p>
        </w:tc>
      </w:tr>
      <w:tr>
        <w:trPr>
          <w:trHeight w:val="264"/>
        </w:trPr>
        <w:tc>
          <w:tcPr>
            <w:tcW w:w="54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for income taxes</w:t>
            </w:r>
          </w:p>
        </w:tc>
        <w:tc>
          <w:tcPr>
            <w:tcW w:w="9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w:t>
            </w:r>
          </w:p>
        </w:tc>
      </w:tr>
      <w:tr>
        <w:trPr>
          <w:trHeight w:val="240"/>
        </w:trPr>
        <w:tc>
          <w:tcPr>
            <w:tcW w:w="63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2 %</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 xml:space="preserve">Comparison of </w:t>
      </w:r>
      <w:r>
        <w:rPr>
          <w:rFonts w:ascii="Arial" w:cs="Arial" w:eastAsia="Arial" w:hAnsi="Arial"/>
          <w:sz w:val="18"/>
          <w:szCs w:val="18"/>
          <w:b w:val="1"/>
          <w:bCs w:val="1"/>
          <w:color w:val="000000"/>
        </w:rPr>
        <w:t>Three Months Ended September 30, 2014</w:t>
      </w:r>
      <w:r>
        <w:rPr>
          <w:rFonts w:ascii="Arial" w:cs="Arial" w:eastAsia="Arial" w:hAnsi="Arial"/>
          <w:sz w:val="18"/>
          <w:szCs w:val="18"/>
          <w:b w:val="1"/>
          <w:bCs w:val="1"/>
          <w:color w:val="231F20"/>
        </w:rPr>
        <w:t xml:space="preserve"> and </w:t>
      </w:r>
      <w:r>
        <w:rPr>
          <w:rFonts w:ascii="Arial" w:cs="Arial" w:eastAsia="Arial" w:hAnsi="Arial"/>
          <w:sz w:val="18"/>
          <w:szCs w:val="18"/>
          <w:b w:val="1"/>
          <w:bCs w:val="1"/>
          <w:color w:val="000000"/>
        </w:rPr>
        <w:t>2013</w:t>
      </w:r>
    </w:p>
    <w:p>
      <w:pPr>
        <w:spacing w:after="0" w:line="33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Revenues</w:t>
      </w:r>
    </w:p>
    <w:p>
      <w:pPr>
        <w:spacing w:after="0" w:line="365"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gridSpan w:val="2"/>
          </w:tcPr>
          <w:p>
            <w:pPr>
              <w:jc w:val="center"/>
              <w:ind w:left="239"/>
              <w:spacing w:after="0"/>
              <w:rPr>
                <w:sz w:val="20"/>
                <w:szCs w:val="20"/>
                <w:color w:val="auto"/>
              </w:rPr>
            </w:pPr>
            <w:r>
              <w:rPr>
                <w:rFonts w:ascii="Arial" w:cs="Arial" w:eastAsia="Arial" w:hAnsi="Arial"/>
                <w:sz w:val="16"/>
                <w:szCs w:val="16"/>
                <w:b w:val="1"/>
                <w:bCs w:val="1"/>
                <w:color w:val="auto"/>
              </w:rPr>
              <w:t>Three Months Ended</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83"/>
        </w:trPr>
        <w:tc>
          <w:tcPr>
            <w:tcW w:w="55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2"/>
          </w:tcPr>
          <w:p>
            <w:pPr>
              <w:jc w:val="center"/>
              <w:ind w:left="239"/>
              <w:spacing w:after="0"/>
              <w:rPr>
                <w:sz w:val="20"/>
                <w:szCs w:val="20"/>
                <w:color w:val="auto"/>
              </w:rPr>
            </w:pPr>
            <w:r>
              <w:rPr>
                <w:rFonts w:ascii="Arial" w:cs="Arial" w:eastAsia="Arial" w:hAnsi="Arial"/>
                <w:sz w:val="16"/>
                <w:szCs w:val="16"/>
                <w:b w:val="1"/>
                <w:bCs w:val="1"/>
                <w:color w:val="auto"/>
              </w:rPr>
              <w:t>September 30,</w:t>
            </w: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60" w:type="dxa"/>
            <w:vAlign w:val="bottom"/>
            <w:tcBorders>
              <w:bottom w:val="single" w:sz="8" w:color="auto"/>
            </w:tcBorders>
          </w:tcPr>
          <w:p>
            <w:pPr>
              <w:spacing w:after="0"/>
              <w:rPr>
                <w:sz w:val="24"/>
                <w:szCs w:val="24"/>
                <w:color w:val="auto"/>
              </w:rPr>
            </w:pPr>
          </w:p>
        </w:tc>
      </w:tr>
      <w:tr>
        <w:trPr>
          <w:trHeight w:val="264"/>
        </w:trPr>
        <w:tc>
          <w:tcPr>
            <w:tcW w:w="55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460" w:type="dxa"/>
            <w:vAlign w:val="bottom"/>
            <w:tcBorders>
              <w:bottom w:val="single" w:sz="8" w:color="auto"/>
            </w:tcBorders>
            <w:gridSpan w:val="2"/>
          </w:tcPr>
          <w:p>
            <w:pPr>
              <w:jc w:val="right"/>
              <w:ind w:right="41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37"/>
        </w:trPr>
        <w:tc>
          <w:tcPr>
            <w:tcW w:w="5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500" w:type="dxa"/>
            <w:vAlign w:val="bottom"/>
            <w:gridSpan w:val="5"/>
          </w:tcPr>
          <w:p>
            <w:pPr>
              <w:jc w:val="right"/>
              <w:ind w:right="519"/>
              <w:spacing w:after="0"/>
              <w:rPr>
                <w:sz w:val="20"/>
                <w:szCs w:val="20"/>
                <w:color w:val="auto"/>
              </w:rPr>
            </w:pPr>
            <w:r>
              <w:rPr>
                <w:rFonts w:ascii="Arial" w:cs="Arial" w:eastAsia="Arial" w:hAnsi="Arial"/>
                <w:sz w:val="16"/>
                <w:szCs w:val="16"/>
                <w:b w:val="1"/>
                <w:bCs w:val="1"/>
                <w:color w:val="auto"/>
              </w:rPr>
              <w:t>(in thousands, except percentages)</w:t>
            </w:r>
          </w:p>
        </w:tc>
        <w:tc>
          <w:tcPr>
            <w:tcW w:w="960" w:type="dxa"/>
            <w:vAlign w:val="bottom"/>
          </w:tcPr>
          <w:p>
            <w:pPr>
              <w:spacing w:after="0"/>
              <w:rPr>
                <w:sz w:val="20"/>
                <w:szCs w:val="20"/>
                <w:color w:val="auto"/>
              </w:rPr>
            </w:pPr>
          </w:p>
        </w:tc>
      </w:tr>
      <w:tr>
        <w:trPr>
          <w:trHeight w:val="270"/>
        </w:trPr>
        <w:tc>
          <w:tcPr>
            <w:tcW w:w="5540" w:type="dxa"/>
            <w:vAlign w:val="bottom"/>
          </w:tcPr>
          <w:p>
            <w:pPr>
              <w:spacing w:after="0"/>
              <w:rPr>
                <w:sz w:val="20"/>
                <w:szCs w:val="20"/>
                <w:color w:val="auto"/>
              </w:rPr>
            </w:pPr>
            <w:r>
              <w:rPr>
                <w:rFonts w:ascii="Arial" w:cs="Arial" w:eastAsia="Arial" w:hAnsi="Arial"/>
                <w:sz w:val="16"/>
                <w:szCs w:val="16"/>
                <w:color w:val="auto"/>
              </w:rPr>
              <w:t>Revenues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34,348</w:t>
            </w:r>
          </w:p>
        </w:tc>
        <w:tc>
          <w:tcPr>
            <w:tcW w:w="86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w w:val="93"/>
              </w:rPr>
              <w:t>27,749</w:t>
            </w:r>
          </w:p>
        </w:tc>
        <w:tc>
          <w:tcPr>
            <w:tcW w:w="100" w:type="dxa"/>
            <w:vAlign w:val="bottom"/>
          </w:tcPr>
          <w:p>
            <w:pPr>
              <w:spacing w:after="0"/>
              <w:rPr>
                <w:sz w:val="23"/>
                <w:szCs w:val="23"/>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599"/>
              <w:spacing w:after="0"/>
              <w:rPr>
                <w:sz w:val="20"/>
                <w:szCs w:val="20"/>
                <w:color w:val="auto"/>
              </w:rPr>
            </w:pPr>
            <w:r>
              <w:rPr>
                <w:rFonts w:ascii="Arial" w:cs="Arial" w:eastAsia="Arial" w:hAnsi="Arial"/>
                <w:sz w:val="16"/>
                <w:szCs w:val="16"/>
                <w:color w:val="auto"/>
              </w:rPr>
              <w:t>6,599</w:t>
            </w:r>
          </w:p>
        </w:tc>
        <w:tc>
          <w:tcPr>
            <w:tcW w:w="960" w:type="dxa"/>
            <w:vAlign w:val="bottom"/>
          </w:tcPr>
          <w:p>
            <w:pPr>
              <w:jc w:val="right"/>
              <w:spacing w:after="0"/>
              <w:rPr>
                <w:sz w:val="20"/>
                <w:szCs w:val="20"/>
                <w:color w:val="auto"/>
              </w:rPr>
            </w:pPr>
            <w:r>
              <w:rPr>
                <w:rFonts w:ascii="Arial" w:cs="Arial" w:eastAsia="Arial" w:hAnsi="Arial"/>
                <w:sz w:val="16"/>
                <w:szCs w:val="16"/>
                <w:color w:val="auto"/>
              </w:rPr>
              <w:t>24%</w:t>
            </w:r>
          </w:p>
        </w:tc>
      </w:tr>
    </w:tbl>
    <w:p>
      <w:pPr>
        <w:spacing w:after="0" w:line="235" w:lineRule="exact"/>
        <w:rPr>
          <w:sz w:val="20"/>
          <w:szCs w:val="20"/>
          <w:color w:val="auto"/>
        </w:rPr>
      </w:pPr>
    </w:p>
    <w:p>
      <w:pPr>
        <w:ind w:right="200" w:firstLine="486"/>
        <w:spacing w:after="0" w:line="254" w:lineRule="auto"/>
        <w:rPr>
          <w:sz w:val="20"/>
          <w:szCs w:val="20"/>
          <w:color w:val="auto"/>
        </w:rPr>
      </w:pPr>
      <w:r>
        <w:rPr>
          <w:rFonts w:ascii="Arial" w:cs="Arial" w:eastAsia="Arial" w:hAnsi="Arial"/>
          <w:sz w:val="18"/>
          <w:szCs w:val="18"/>
          <w:color w:val="231F20"/>
        </w:rPr>
        <w:t xml:space="preserve">Revenues increased </w:t>
      </w:r>
      <w:r>
        <w:rPr>
          <w:rFonts w:ascii="Arial" w:cs="Arial" w:eastAsia="Arial" w:hAnsi="Arial"/>
          <w:sz w:val="18"/>
          <w:szCs w:val="18"/>
          <w:color w:val="000000"/>
        </w:rPr>
        <w:t>$6.6 million</w:t>
      </w:r>
      <w:r>
        <w:rPr>
          <w:rFonts w:ascii="Arial" w:cs="Arial" w:eastAsia="Arial" w:hAnsi="Arial"/>
          <w:sz w:val="18"/>
          <w:szCs w:val="18"/>
          <w:color w:val="231F20"/>
        </w:rPr>
        <w:t xml:space="preserve"> for the </w:t>
      </w:r>
      <w:r>
        <w:rPr>
          <w:rFonts w:ascii="Arial" w:cs="Arial" w:eastAsia="Arial" w:hAnsi="Arial"/>
          <w:sz w:val="18"/>
          <w:szCs w:val="18"/>
          <w:color w:val="000000"/>
        </w:rPr>
        <w:t>three months ended September 30, 2014</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 ended September 30,</w:t>
      </w:r>
      <w:r>
        <w:rPr>
          <w:rFonts w:ascii="Arial" w:cs="Arial" w:eastAsia="Arial" w:hAnsi="Arial"/>
          <w:sz w:val="18"/>
          <w:szCs w:val="18"/>
          <w:color w:val="231F20"/>
        </w:rPr>
        <w:t xml:space="preserve"> </w:t>
      </w:r>
      <w:r>
        <w:rPr>
          <w:rFonts w:ascii="Arial" w:cs="Arial" w:eastAsia="Arial" w:hAnsi="Arial"/>
          <w:sz w:val="18"/>
          <w:szCs w:val="18"/>
          <w:color w:val="000000"/>
        </w:rPr>
        <w:t>2013</w:t>
      </w:r>
      <w:r>
        <w:rPr>
          <w:rFonts w:ascii="Arial" w:cs="Arial" w:eastAsia="Arial" w:hAnsi="Arial"/>
          <w:sz w:val="18"/>
          <w:szCs w:val="18"/>
          <w:color w:val="231F20"/>
        </w:rPr>
        <w:t>, primarily due to new customer subscriptions entered into after September 30, 2013 and from an increase in the purchase of</w:t>
      </w:r>
      <w:r>
        <w:rPr>
          <w:rFonts w:ascii="Arial" w:cs="Arial" w:eastAsia="Arial" w:hAnsi="Arial"/>
          <w:sz w:val="18"/>
          <w:szCs w:val="18"/>
          <w:color w:val="000000"/>
        </w:rPr>
        <w:t xml:space="preserve"> </w:t>
      </w:r>
      <w:r>
        <w:rPr>
          <w:rFonts w:ascii="Arial" w:cs="Arial" w:eastAsia="Arial" w:hAnsi="Arial"/>
          <w:sz w:val="18"/>
          <w:szCs w:val="18"/>
          <w:color w:val="231F20"/>
        </w:rPr>
        <w:t xml:space="preserve">subscriptions from existing customers. Of the total increase of </w:t>
      </w:r>
      <w:r>
        <w:rPr>
          <w:rFonts w:ascii="Arial" w:cs="Arial" w:eastAsia="Arial" w:hAnsi="Arial"/>
          <w:sz w:val="18"/>
          <w:szCs w:val="18"/>
          <w:color w:val="000000"/>
        </w:rPr>
        <w:t>$ 6.6 million</w:t>
      </w:r>
      <w:r>
        <w:rPr>
          <w:rFonts w:ascii="Arial" w:cs="Arial" w:eastAsia="Arial" w:hAnsi="Arial"/>
          <w:sz w:val="18"/>
          <w:szCs w:val="18"/>
          <w:color w:val="231F20"/>
        </w:rPr>
        <w:t>, $4.7 million was from customers in the United States and the remaining $1.9 million was from customers in foreign countries. The growth in revenues reflects increased demand for our solutions.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41" w:right="2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Cost of Revenues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2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3"/>
        </w:trPr>
        <w:tc>
          <w:tcPr>
            <w:tcW w:w="55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519"/>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5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w w:val="95"/>
              </w:rPr>
              <w:t>2013</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47"/>
        </w:trPr>
        <w:tc>
          <w:tcPr>
            <w:tcW w:w="5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50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7,421</w:t>
            </w:r>
          </w:p>
        </w:tc>
        <w:tc>
          <w:tcPr>
            <w:tcW w:w="5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6,415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1,006</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60"/>
        </w:trPr>
        <w:tc>
          <w:tcPr>
            <w:tcW w:w="550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w:t>
            </w: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 percentage</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5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bl>
    <w:p>
      <w:pPr>
        <w:spacing w:after="0" w:line="188"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231F20"/>
        </w:rPr>
        <w:t xml:space="preserve">Cost of revenues increased </w:t>
      </w:r>
      <w:r>
        <w:rPr>
          <w:rFonts w:ascii="Arial" w:cs="Arial" w:eastAsia="Arial" w:hAnsi="Arial"/>
          <w:sz w:val="18"/>
          <w:szCs w:val="18"/>
          <w:color w:val="000000"/>
        </w:rPr>
        <w:t>$1.0 million</w:t>
      </w:r>
      <w:r>
        <w:rPr>
          <w:rFonts w:ascii="Arial" w:cs="Arial" w:eastAsia="Arial" w:hAnsi="Arial"/>
          <w:sz w:val="18"/>
          <w:szCs w:val="18"/>
          <w:color w:val="231F20"/>
        </w:rPr>
        <w:t xml:space="preserve"> for the </w:t>
      </w:r>
      <w:r>
        <w:rPr>
          <w:rFonts w:ascii="Arial" w:cs="Arial" w:eastAsia="Arial" w:hAnsi="Arial"/>
          <w:sz w:val="18"/>
          <w:szCs w:val="18"/>
          <w:color w:val="000000"/>
        </w:rPr>
        <w:t>three months ended September 30, 2014</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 ended</w:t>
      </w:r>
      <w:r>
        <w:rPr>
          <w:rFonts w:ascii="Arial" w:cs="Arial" w:eastAsia="Arial" w:hAnsi="Arial"/>
          <w:sz w:val="18"/>
          <w:szCs w:val="18"/>
          <w:color w:val="231F20"/>
        </w:rPr>
        <w:t xml:space="preserve"> </w:t>
      </w:r>
      <w:r>
        <w:rPr>
          <w:rFonts w:ascii="Arial" w:cs="Arial" w:eastAsia="Arial" w:hAnsi="Arial"/>
          <w:sz w:val="18"/>
          <w:szCs w:val="18"/>
          <w:color w:val="000000"/>
        </w:rPr>
        <w:t>September 30, 2013</w:t>
      </w:r>
      <w:r>
        <w:rPr>
          <w:rFonts w:ascii="Arial" w:cs="Arial" w:eastAsia="Arial" w:hAnsi="Arial"/>
          <w:sz w:val="18"/>
          <w:szCs w:val="18"/>
          <w:color w:val="231F20"/>
        </w:rPr>
        <w:t>, primarily due to a $0.4 million increase in depreciation expenses related to additional computer hardware and software for</w:t>
      </w:r>
      <w:r>
        <w:rPr>
          <w:rFonts w:ascii="Arial" w:cs="Arial" w:eastAsia="Arial" w:hAnsi="Arial"/>
          <w:sz w:val="18"/>
          <w:szCs w:val="18"/>
          <w:color w:val="000000"/>
        </w:rPr>
        <w:t xml:space="preserve"> </w:t>
      </w:r>
      <w:r>
        <w:rPr>
          <w:rFonts w:ascii="Arial" w:cs="Arial" w:eastAsia="Arial" w:hAnsi="Arial"/>
          <w:sz w:val="18"/>
          <w:szCs w:val="18"/>
          <w:color w:val="231F20"/>
        </w:rPr>
        <w:t>our new and existing data centers; increased consulting expenses of $0.3 million; increased third-party software maintenance expense of $0.1 million; as well as increased data center costs of $0.1 million, driven by expanded storage and other data center-related costs.</w:t>
      </w:r>
    </w:p>
    <w:p>
      <w:pPr>
        <w:spacing w:after="0" w:line="34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Research and Development Expenses</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4"/>
          </w:tcPr>
          <w:p>
            <w:pPr>
              <w:jc w:val="center"/>
              <w:ind w:right="420"/>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83"/>
        </w:trPr>
        <w:tc>
          <w:tcPr>
            <w:tcW w:w="54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519"/>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960" w:type="dxa"/>
            <w:vAlign w:val="bottom"/>
            <w:tcBorders>
              <w:bottom w:val="single" w:sz="8" w:color="auto"/>
            </w:tcBorders>
          </w:tcPr>
          <w:p>
            <w:pPr>
              <w:spacing w:after="0"/>
              <w:rPr>
                <w:sz w:val="24"/>
                <w:szCs w:val="24"/>
                <w:color w:val="auto"/>
              </w:rPr>
            </w:pPr>
          </w:p>
        </w:tc>
      </w:tr>
      <w:tr>
        <w:trPr>
          <w:trHeight w:val="264"/>
        </w:trPr>
        <w:tc>
          <w:tcPr>
            <w:tcW w:w="54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09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47"/>
        </w:trPr>
        <w:tc>
          <w:tcPr>
            <w:tcW w:w="5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50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60" w:type="dxa"/>
            <w:vAlign w:val="bottom"/>
          </w:tcPr>
          <w:p>
            <w:pPr>
              <w:spacing w:after="0"/>
              <w:rPr>
                <w:sz w:val="21"/>
                <w:szCs w:val="21"/>
                <w:color w:val="auto"/>
              </w:rPr>
            </w:pPr>
          </w:p>
        </w:tc>
      </w:tr>
      <w:tr>
        <w:trPr>
          <w:trHeight w:val="280"/>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6,490</w:t>
            </w:r>
          </w:p>
        </w:tc>
        <w:tc>
          <w:tcPr>
            <w:tcW w:w="5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5,151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1,339</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51"/>
        </w:trPr>
        <w:tc>
          <w:tcPr>
            <w:tcW w:w="5480" w:type="dxa"/>
            <w:vAlign w:val="bottom"/>
          </w:tcPr>
          <w:p>
            <w:pPr>
              <w:ind w:left="2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w:t>
            </w: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60" w:type="dxa"/>
            <w:vAlign w:val="bottom"/>
          </w:tcPr>
          <w:p>
            <w:pPr>
              <w:spacing w:after="0"/>
              <w:rPr>
                <w:sz w:val="21"/>
                <w:szCs w:val="21"/>
                <w:color w:val="auto"/>
              </w:rPr>
            </w:pPr>
          </w:p>
        </w:tc>
      </w:tr>
    </w:tbl>
    <w:p>
      <w:pPr>
        <w:spacing w:after="0" w:line="289"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231F20"/>
        </w:rPr>
        <w:t xml:space="preserve">Research and development expenses increased $1.3 million in the three months ended September 30, 2014 compared to the </w:t>
      </w:r>
      <w:r>
        <w:rPr>
          <w:rFonts w:ascii="Arial" w:cs="Arial" w:eastAsia="Arial" w:hAnsi="Arial"/>
          <w:sz w:val="18"/>
          <w:szCs w:val="18"/>
          <w:color w:val="000000"/>
        </w:rPr>
        <w:t>three</w:t>
      </w:r>
      <w:r>
        <w:rPr>
          <w:rFonts w:ascii="Arial" w:cs="Arial" w:eastAsia="Arial" w:hAnsi="Arial"/>
          <w:sz w:val="18"/>
          <w:szCs w:val="18"/>
          <w:color w:val="231F20"/>
        </w:rPr>
        <w:t xml:space="preserve"> </w:t>
      </w:r>
      <w:r>
        <w:rPr>
          <w:rFonts w:ascii="Arial" w:cs="Arial" w:eastAsia="Arial" w:hAnsi="Arial"/>
          <w:sz w:val="18"/>
          <w:szCs w:val="18"/>
          <w:color w:val="000000"/>
        </w:rPr>
        <w:t>months ended September 30, 2013</w:t>
      </w:r>
      <w:r>
        <w:rPr>
          <w:rFonts w:ascii="Arial" w:cs="Arial" w:eastAsia="Arial" w:hAnsi="Arial"/>
          <w:sz w:val="18"/>
          <w:szCs w:val="18"/>
          <w:color w:val="231F20"/>
        </w:rPr>
        <w:t>, primarily due to an increase in personnel expenses of $1.1 million, including higher stock-based</w:t>
      </w:r>
      <w:r>
        <w:rPr>
          <w:rFonts w:ascii="Arial" w:cs="Arial" w:eastAsia="Arial" w:hAnsi="Arial"/>
          <w:sz w:val="18"/>
          <w:szCs w:val="18"/>
          <w:color w:val="000000"/>
        </w:rPr>
        <w:t xml:space="preserve"> </w:t>
      </w:r>
      <w:r>
        <w:rPr>
          <w:rFonts w:ascii="Arial" w:cs="Arial" w:eastAsia="Arial" w:hAnsi="Arial"/>
          <w:sz w:val="18"/>
          <w:szCs w:val="18"/>
          <w:color w:val="231F20"/>
        </w:rPr>
        <w:t>compensation, principally driven by the addition of employees as we continue to invest in enhancing our platform and developing new solutions and capabilities; and higher corporate overhead costs of $0.2 million, principally due to expansion of our research and development team in India</w:t>
      </w:r>
    </w:p>
    <w:p>
      <w:pPr>
        <w:spacing w:after="0" w:line="3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Sales and Marketing Expenses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3"/>
        </w:trPr>
        <w:tc>
          <w:tcPr>
            <w:tcW w:w="54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center"/>
              <w:ind w:left="519"/>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4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6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w w:val="95"/>
              </w:rPr>
              <w:t>2013</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47"/>
        </w:trPr>
        <w:tc>
          <w:tcPr>
            <w:tcW w:w="5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52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80"/>
        </w:trPr>
        <w:tc>
          <w:tcPr>
            <w:tcW w:w="5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11,774</w:t>
            </w:r>
          </w:p>
        </w:tc>
        <w:tc>
          <w:tcPr>
            <w:tcW w:w="6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10,411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1,363</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51"/>
        </w:trPr>
        <w:tc>
          <w:tcPr>
            <w:tcW w:w="548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w:t>
            </w:r>
          </w:p>
        </w:tc>
        <w:tc>
          <w:tcPr>
            <w:tcW w:w="6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235"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231F20"/>
        </w:rPr>
        <w:t xml:space="preserve">Sales and marketing expenses increased </w:t>
      </w:r>
      <w:r>
        <w:rPr>
          <w:rFonts w:ascii="Arial" w:cs="Arial" w:eastAsia="Arial" w:hAnsi="Arial"/>
          <w:sz w:val="18"/>
          <w:szCs w:val="18"/>
          <w:color w:val="000000"/>
        </w:rPr>
        <w:t>$1.4 million</w:t>
      </w:r>
      <w:r>
        <w:rPr>
          <w:rFonts w:ascii="Arial" w:cs="Arial" w:eastAsia="Arial" w:hAnsi="Arial"/>
          <w:sz w:val="18"/>
          <w:szCs w:val="18"/>
          <w:color w:val="231F20"/>
        </w:rPr>
        <w:t xml:space="preserve"> for the </w:t>
      </w:r>
      <w:r>
        <w:rPr>
          <w:rFonts w:ascii="Arial" w:cs="Arial" w:eastAsia="Arial" w:hAnsi="Arial"/>
          <w:sz w:val="18"/>
          <w:szCs w:val="18"/>
          <w:color w:val="000000"/>
        </w:rPr>
        <w:t>three months ended September 30, 2014</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w:t>
      </w:r>
      <w:r>
        <w:rPr>
          <w:rFonts w:ascii="Arial" w:cs="Arial" w:eastAsia="Arial" w:hAnsi="Arial"/>
          <w:sz w:val="18"/>
          <w:szCs w:val="18"/>
          <w:color w:val="231F20"/>
        </w:rPr>
        <w:t xml:space="preserve"> </w:t>
      </w:r>
      <w:r>
        <w:rPr>
          <w:rFonts w:ascii="Arial" w:cs="Arial" w:eastAsia="Arial" w:hAnsi="Arial"/>
          <w:sz w:val="18"/>
          <w:szCs w:val="18"/>
          <w:color w:val="000000"/>
        </w:rPr>
        <w:t>ended September 30, 2013</w:t>
      </w:r>
      <w:r>
        <w:rPr>
          <w:rFonts w:ascii="Arial" w:cs="Arial" w:eastAsia="Arial" w:hAnsi="Arial"/>
          <w:sz w:val="18"/>
          <w:szCs w:val="18"/>
          <w:color w:val="231F20"/>
        </w:rPr>
        <w:t>, primarily due to an increase in personnel expenses of $1.1 million, including higher commission expense and</w:t>
      </w:r>
      <w:r>
        <w:rPr>
          <w:rFonts w:ascii="Arial" w:cs="Arial" w:eastAsia="Arial" w:hAnsi="Arial"/>
          <w:sz w:val="18"/>
          <w:szCs w:val="18"/>
          <w:color w:val="000000"/>
        </w:rPr>
        <w:t xml:space="preserve"> </w:t>
      </w:r>
      <w:r>
        <w:rPr>
          <w:rFonts w:ascii="Arial" w:cs="Arial" w:eastAsia="Arial" w:hAnsi="Arial"/>
          <w:sz w:val="18"/>
          <w:szCs w:val="18"/>
          <w:color w:val="231F20"/>
        </w:rPr>
        <w:t>stock-based compensation, principally driven by the addition of employees as we continue to expand our domestic and international sales and marketing efforts. We also incurred increased marketing expenses of $0.2 million, primarily related to increased trade show activities.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41"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General and Administrative Expenses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2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3"/>
        </w:trPr>
        <w:tc>
          <w:tcPr>
            <w:tcW w:w="55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519"/>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5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w w:val="95"/>
              </w:rPr>
              <w:t>2013</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47"/>
        </w:trPr>
        <w:tc>
          <w:tcPr>
            <w:tcW w:w="5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50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5,156</w:t>
            </w:r>
          </w:p>
        </w:tc>
        <w:tc>
          <w:tcPr>
            <w:tcW w:w="5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4,277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879</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51"/>
        </w:trPr>
        <w:tc>
          <w:tcPr>
            <w:tcW w:w="550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w:t>
            </w: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235" w:lineRule="exact"/>
        <w:rPr>
          <w:sz w:val="20"/>
          <w:szCs w:val="20"/>
          <w:color w:val="auto"/>
        </w:rPr>
      </w:pPr>
    </w:p>
    <w:p>
      <w:pPr>
        <w:ind w:right="160" w:firstLine="486"/>
        <w:spacing w:after="0" w:line="253" w:lineRule="auto"/>
        <w:rPr>
          <w:sz w:val="20"/>
          <w:szCs w:val="20"/>
          <w:color w:val="auto"/>
        </w:rPr>
      </w:pPr>
      <w:r>
        <w:rPr>
          <w:rFonts w:ascii="Arial" w:cs="Arial" w:eastAsia="Arial" w:hAnsi="Arial"/>
          <w:sz w:val="18"/>
          <w:szCs w:val="18"/>
          <w:color w:val="231F20"/>
        </w:rPr>
        <w:t xml:space="preserve">General and administrative expenses increased </w:t>
      </w:r>
      <w:r>
        <w:rPr>
          <w:rFonts w:ascii="Arial" w:cs="Arial" w:eastAsia="Arial" w:hAnsi="Arial"/>
          <w:sz w:val="18"/>
          <w:szCs w:val="18"/>
          <w:color w:val="000000"/>
        </w:rPr>
        <w:t>$0.9 million</w:t>
      </w:r>
      <w:r>
        <w:rPr>
          <w:rFonts w:ascii="Arial" w:cs="Arial" w:eastAsia="Arial" w:hAnsi="Arial"/>
          <w:sz w:val="18"/>
          <w:szCs w:val="18"/>
          <w:color w:val="231F20"/>
        </w:rPr>
        <w:t xml:space="preserve"> for the </w:t>
      </w:r>
      <w:r>
        <w:rPr>
          <w:rFonts w:ascii="Arial" w:cs="Arial" w:eastAsia="Arial" w:hAnsi="Arial"/>
          <w:sz w:val="18"/>
          <w:szCs w:val="18"/>
          <w:color w:val="000000"/>
        </w:rPr>
        <w:t>three months ended September 30, 2014</w:t>
      </w:r>
      <w:r>
        <w:rPr>
          <w:rFonts w:ascii="Arial" w:cs="Arial" w:eastAsia="Arial" w:hAnsi="Arial"/>
          <w:sz w:val="18"/>
          <w:szCs w:val="18"/>
          <w:color w:val="231F20"/>
        </w:rPr>
        <w:t xml:space="preserve"> compared to the </w:t>
      </w:r>
      <w:r>
        <w:rPr>
          <w:rFonts w:ascii="Arial" w:cs="Arial" w:eastAsia="Arial" w:hAnsi="Arial"/>
          <w:sz w:val="18"/>
          <w:szCs w:val="18"/>
          <w:color w:val="000000"/>
        </w:rPr>
        <w:t>three</w:t>
      </w:r>
      <w:r>
        <w:rPr>
          <w:rFonts w:ascii="Arial" w:cs="Arial" w:eastAsia="Arial" w:hAnsi="Arial"/>
          <w:sz w:val="18"/>
          <w:szCs w:val="18"/>
          <w:color w:val="231F20"/>
        </w:rPr>
        <w:t xml:space="preserve"> </w:t>
      </w:r>
      <w:r>
        <w:rPr>
          <w:rFonts w:ascii="Arial" w:cs="Arial" w:eastAsia="Arial" w:hAnsi="Arial"/>
          <w:sz w:val="18"/>
          <w:szCs w:val="18"/>
          <w:color w:val="000000"/>
        </w:rPr>
        <w:t>months ended September 30, 2013</w:t>
      </w:r>
      <w:r>
        <w:rPr>
          <w:rFonts w:ascii="Arial" w:cs="Arial" w:eastAsia="Arial" w:hAnsi="Arial"/>
          <w:sz w:val="18"/>
          <w:szCs w:val="18"/>
          <w:color w:val="231F20"/>
        </w:rPr>
        <w:t>, primarily driven by increased personnel expenses of $0.8 million, including higher employee stock-based</w:t>
      </w:r>
      <w:r>
        <w:rPr>
          <w:rFonts w:ascii="Arial" w:cs="Arial" w:eastAsia="Arial" w:hAnsi="Arial"/>
          <w:sz w:val="18"/>
          <w:szCs w:val="18"/>
          <w:color w:val="000000"/>
        </w:rPr>
        <w:t xml:space="preserve"> </w:t>
      </w:r>
      <w:r>
        <w:rPr>
          <w:rFonts w:ascii="Arial" w:cs="Arial" w:eastAsia="Arial" w:hAnsi="Arial"/>
          <w:sz w:val="18"/>
          <w:szCs w:val="18"/>
          <w:color w:val="231F20"/>
        </w:rPr>
        <w:t>compensation, principally due to the addition of employees to support the growth of our business; increased professional services of $0.1 million; and increased bad debt expense and other fees of $0.1 million, partially offset by lower non-employee stock-based compensation of $0.3 million relative to the same period a year ago.</w:t>
      </w:r>
    </w:p>
    <w:p>
      <w:pPr>
        <w:spacing w:after="0" w:line="3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Other Income (Expense), Net</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2560" w:type="dxa"/>
            <w:vAlign w:val="bottom"/>
            <w:gridSpan w:val="3"/>
          </w:tcPr>
          <w:p>
            <w:pPr>
              <w:jc w:val="center"/>
              <w:ind w:left="379"/>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83"/>
        </w:trPr>
        <w:tc>
          <w:tcPr>
            <w:tcW w:w="54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center"/>
              <w:ind w:right="399"/>
              <w:spacing w:after="0"/>
              <w:rPr>
                <w:sz w:val="20"/>
                <w:szCs w:val="20"/>
                <w:color w:val="auto"/>
              </w:rPr>
            </w:pPr>
            <w:r>
              <w:rPr>
                <w:rFonts w:ascii="Arial" w:cs="Arial" w:eastAsia="Arial" w:hAnsi="Arial"/>
                <w:sz w:val="16"/>
                <w:szCs w:val="16"/>
                <w:b w:val="1"/>
                <w:bCs w:val="1"/>
                <w:color w:val="auto"/>
              </w:rPr>
              <w:t>September 30,</w:t>
            </w:r>
          </w:p>
        </w:tc>
        <w:tc>
          <w:tcPr>
            <w:tcW w:w="4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20" w:type="dxa"/>
            <w:vAlign w:val="bottom"/>
            <w:tcBorders>
              <w:bottom w:val="single" w:sz="8" w:color="auto"/>
            </w:tcBorders>
          </w:tcPr>
          <w:p>
            <w:pPr>
              <w:spacing w:after="0"/>
              <w:rPr>
                <w:sz w:val="24"/>
                <w:szCs w:val="24"/>
                <w:color w:val="auto"/>
              </w:rPr>
            </w:pPr>
          </w:p>
        </w:tc>
      </w:tr>
      <w:tr>
        <w:trPr>
          <w:trHeight w:val="264"/>
        </w:trPr>
        <w:tc>
          <w:tcPr>
            <w:tcW w:w="548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5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2013</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09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w:t>
            </w:r>
          </w:p>
        </w:tc>
      </w:tr>
      <w:tr>
        <w:trPr>
          <w:trHeight w:val="247"/>
        </w:trPr>
        <w:tc>
          <w:tcPr>
            <w:tcW w:w="54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80" w:type="dxa"/>
            <w:vAlign w:val="bottom"/>
            <w:gridSpan w:val="5"/>
          </w:tcPr>
          <w:p>
            <w:pPr>
              <w:ind w:left="80"/>
              <w:spacing w:after="0"/>
              <w:rPr>
                <w:sz w:val="20"/>
                <w:szCs w:val="20"/>
                <w:color w:val="auto"/>
              </w:rPr>
            </w:pPr>
            <w:r>
              <w:rPr>
                <w:rFonts w:ascii="Arial" w:cs="Arial" w:eastAsia="Arial" w:hAnsi="Arial"/>
                <w:sz w:val="16"/>
                <w:szCs w:val="16"/>
                <w:b w:val="1"/>
                <w:bCs w:val="1"/>
                <w:color w:val="auto"/>
              </w:rPr>
              <w:t>(in thousands, except percentages)</w:t>
            </w:r>
          </w:p>
        </w:tc>
        <w:tc>
          <w:tcPr>
            <w:tcW w:w="920" w:type="dxa"/>
            <w:vAlign w:val="bottom"/>
          </w:tcPr>
          <w:p>
            <w:pPr>
              <w:spacing w:after="0"/>
              <w:rPr>
                <w:sz w:val="21"/>
                <w:szCs w:val="21"/>
                <w:color w:val="auto"/>
              </w:rPr>
            </w:pPr>
          </w:p>
        </w:tc>
      </w:tr>
      <w:tr>
        <w:trPr>
          <w:trHeight w:val="280"/>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(16)</w:t>
            </w:r>
          </w:p>
        </w:tc>
        <w:tc>
          <w:tcPr>
            <w:tcW w:w="104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(40)</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51"/>
        </w:trPr>
        <w:tc>
          <w:tcPr>
            <w:tcW w:w="5480" w:type="dxa"/>
            <w:vAlign w:val="bottom"/>
          </w:tcPr>
          <w:p>
            <w:pPr>
              <w:ind w:left="20"/>
              <w:spacing w:after="0"/>
              <w:rPr>
                <w:sz w:val="20"/>
                <w:szCs w:val="20"/>
                <w:color w:val="auto"/>
              </w:rPr>
            </w:pPr>
            <w:r>
              <w:rPr>
                <w:rFonts w:ascii="Arial" w:cs="Arial" w:eastAsia="Arial" w:hAnsi="Arial"/>
                <w:sz w:val="16"/>
                <w:szCs w:val="16"/>
                <w:color w:val="auto"/>
              </w:rPr>
              <w:t>Percentage of revenues</w:t>
            </w:r>
          </w:p>
        </w:tc>
        <w:tc>
          <w:tcPr>
            <w:tcW w:w="940" w:type="dxa"/>
            <w:vAlign w:val="bottom"/>
          </w:tcPr>
          <w:p>
            <w:pPr>
              <w:spacing w:after="0"/>
              <w:rPr>
                <w:sz w:val="21"/>
                <w:szCs w:val="21"/>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0 %</w:t>
            </w:r>
          </w:p>
        </w:tc>
        <w:tc>
          <w:tcPr>
            <w:tcW w:w="10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920" w:type="dxa"/>
            <w:vAlign w:val="bottom"/>
          </w:tcPr>
          <w:p>
            <w:pPr>
              <w:spacing w:after="0"/>
              <w:rPr>
                <w:sz w:val="21"/>
                <w:szCs w:val="21"/>
                <w:color w:val="auto"/>
              </w:rPr>
            </w:pPr>
          </w:p>
        </w:tc>
      </w:tr>
    </w:tbl>
    <w:p>
      <w:pPr>
        <w:spacing w:after="0" w:line="235"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231F20"/>
        </w:rPr>
        <w:t xml:space="preserve">Other income (expense), net remained relatively constant during the </w:t>
      </w:r>
      <w:r>
        <w:rPr>
          <w:rFonts w:ascii="Arial" w:cs="Arial" w:eastAsia="Arial" w:hAnsi="Arial"/>
          <w:sz w:val="18"/>
          <w:szCs w:val="18"/>
          <w:color w:val="000000"/>
        </w:rPr>
        <w:t>three months ended September 30, 2014</w:t>
      </w:r>
      <w:r>
        <w:rPr>
          <w:rFonts w:ascii="Arial" w:cs="Arial" w:eastAsia="Arial" w:hAnsi="Arial"/>
          <w:sz w:val="18"/>
          <w:szCs w:val="18"/>
          <w:color w:val="231F20"/>
        </w:rPr>
        <w:t xml:space="preserve"> compared to the </w:t>
      </w:r>
      <w:r>
        <w:rPr>
          <w:rFonts w:ascii="Arial" w:cs="Arial" w:eastAsia="Arial" w:hAnsi="Arial"/>
          <w:sz w:val="18"/>
          <w:szCs w:val="18"/>
          <w:color w:val="000000"/>
        </w:rPr>
        <w:t>three</w:t>
      </w:r>
      <w:r>
        <w:rPr>
          <w:rFonts w:ascii="Arial" w:cs="Arial" w:eastAsia="Arial" w:hAnsi="Arial"/>
          <w:sz w:val="18"/>
          <w:szCs w:val="18"/>
          <w:color w:val="231F20"/>
        </w:rPr>
        <w:t xml:space="preserve"> </w:t>
      </w:r>
      <w:r>
        <w:rPr>
          <w:rFonts w:ascii="Arial" w:cs="Arial" w:eastAsia="Arial" w:hAnsi="Arial"/>
          <w:sz w:val="18"/>
          <w:szCs w:val="18"/>
          <w:color w:val="000000"/>
        </w:rPr>
        <w:t>months ended September 30, 2013</w:t>
      </w:r>
      <w:r>
        <w:rPr>
          <w:rFonts w:ascii="Arial" w:cs="Arial" w:eastAsia="Arial" w:hAnsi="Arial"/>
          <w:sz w:val="18"/>
          <w:szCs w:val="18"/>
          <w:color w:val="231F20"/>
        </w:rPr>
        <w:t>. Other income (expense) during the</w:t>
      </w:r>
      <w:r>
        <w:rPr>
          <w:rFonts w:ascii="Arial" w:cs="Arial" w:eastAsia="Arial" w:hAnsi="Arial"/>
          <w:sz w:val="18"/>
          <w:szCs w:val="18"/>
          <w:color w:val="000000"/>
        </w:rPr>
        <w:t xml:space="preserve"> three months ended September 30, 2014 </w:t>
      </w:r>
      <w:r>
        <w:rPr>
          <w:rFonts w:ascii="Arial" w:cs="Arial" w:eastAsia="Arial" w:hAnsi="Arial"/>
          <w:sz w:val="18"/>
          <w:szCs w:val="18"/>
          <w:color w:val="231F20"/>
        </w:rPr>
        <w:t>and 2013 consisted primarily</w:t>
      </w:r>
      <w:r>
        <w:rPr>
          <w:rFonts w:ascii="Arial" w:cs="Arial" w:eastAsia="Arial" w:hAnsi="Arial"/>
          <w:sz w:val="18"/>
          <w:szCs w:val="18"/>
          <w:color w:val="000000"/>
        </w:rPr>
        <w:t xml:space="preserve"> </w:t>
      </w:r>
      <w:r>
        <w:rPr>
          <w:rFonts w:ascii="Arial" w:cs="Arial" w:eastAsia="Arial" w:hAnsi="Arial"/>
          <w:sz w:val="18"/>
          <w:szCs w:val="18"/>
          <w:color w:val="231F20"/>
        </w:rPr>
        <w:t>of interest and investment income of $0.1 million, offset by foreign exchange losses of $0.1 million.</w:t>
      </w:r>
    </w:p>
    <w:p>
      <w:pPr>
        <w:spacing w:after="0" w:line="34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Provision for Income Taxes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tcPr>
          <w:p>
            <w:pPr>
              <w:spacing w:after="0"/>
              <w:rPr>
                <w:sz w:val="18"/>
                <w:szCs w:val="18"/>
                <w:color w:val="auto"/>
              </w:rPr>
            </w:pPr>
          </w:p>
        </w:tc>
        <w:tc>
          <w:tcPr>
            <w:tcW w:w="2440" w:type="dxa"/>
            <w:vAlign w:val="bottom"/>
            <w:gridSpan w:val="3"/>
          </w:tcPr>
          <w:p>
            <w:pPr>
              <w:jc w:val="center"/>
              <w:ind w:left="439"/>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3"/>
        </w:trPr>
        <w:tc>
          <w:tcPr>
            <w:tcW w:w="55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299"/>
              <w:spacing w:after="0"/>
              <w:rPr>
                <w:sz w:val="20"/>
                <w:szCs w:val="20"/>
                <w:color w:val="auto"/>
              </w:rPr>
            </w:pPr>
            <w:r>
              <w:rPr>
                <w:rFonts w:ascii="Arial" w:cs="Arial" w:eastAsia="Arial" w:hAnsi="Arial"/>
                <w:sz w:val="16"/>
                <w:szCs w:val="16"/>
                <w:b w:val="1"/>
                <w:bCs w:val="1"/>
                <w:color w:val="auto"/>
              </w:rPr>
              <w:t>September 30,</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5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5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47"/>
        </w:trPr>
        <w:tc>
          <w:tcPr>
            <w:tcW w:w="5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50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283</w:t>
            </w:r>
          </w:p>
        </w:tc>
        <w:tc>
          <w:tcPr>
            <w:tcW w:w="98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73</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51"/>
        </w:trPr>
        <w:tc>
          <w:tcPr>
            <w:tcW w:w="550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9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262"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231F20"/>
        </w:rPr>
        <w:t xml:space="preserve">Provision for income taxes increased </w:t>
      </w:r>
      <w:r>
        <w:rPr>
          <w:rFonts w:ascii="Arial" w:cs="Arial" w:eastAsia="Arial" w:hAnsi="Arial"/>
          <w:sz w:val="18"/>
          <w:szCs w:val="18"/>
          <w:color w:val="000000"/>
        </w:rPr>
        <w:t>$0.1 million</w:t>
      </w:r>
      <w:r>
        <w:rPr>
          <w:rFonts w:ascii="Arial" w:cs="Arial" w:eastAsia="Arial" w:hAnsi="Arial"/>
          <w:sz w:val="18"/>
          <w:szCs w:val="18"/>
          <w:color w:val="231F20"/>
        </w:rPr>
        <w:t xml:space="preserve"> for the </w:t>
      </w:r>
      <w:r>
        <w:rPr>
          <w:rFonts w:ascii="Arial" w:cs="Arial" w:eastAsia="Arial" w:hAnsi="Arial"/>
          <w:sz w:val="18"/>
          <w:szCs w:val="18"/>
          <w:color w:val="000000"/>
        </w:rPr>
        <w:t>three months ended September 30, 2014</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 ended</w:t>
      </w:r>
      <w:r>
        <w:rPr>
          <w:rFonts w:ascii="Arial" w:cs="Arial" w:eastAsia="Arial" w:hAnsi="Arial"/>
          <w:sz w:val="18"/>
          <w:szCs w:val="18"/>
          <w:color w:val="231F20"/>
        </w:rPr>
        <w:t xml:space="preserve"> </w:t>
      </w:r>
      <w:r>
        <w:rPr>
          <w:rFonts w:ascii="Arial" w:cs="Arial" w:eastAsia="Arial" w:hAnsi="Arial"/>
          <w:sz w:val="18"/>
          <w:szCs w:val="18"/>
          <w:color w:val="000000"/>
        </w:rPr>
        <w:t>September 30, 2013</w:t>
      </w:r>
      <w:r>
        <w:rPr>
          <w:rFonts w:ascii="Arial" w:cs="Arial" w:eastAsia="Arial" w:hAnsi="Arial"/>
          <w:sz w:val="18"/>
          <w:szCs w:val="18"/>
          <w:color w:val="231F20"/>
        </w:rPr>
        <w:t>. The provision for income taxes is primarily for taxes on income in foreign jurisdictions and state income taxes in the</w:t>
      </w:r>
      <w:r>
        <w:rPr>
          <w:rFonts w:ascii="Arial" w:cs="Arial" w:eastAsia="Arial" w:hAnsi="Arial"/>
          <w:sz w:val="18"/>
          <w:szCs w:val="18"/>
          <w:color w:val="000000"/>
        </w:rPr>
        <w:t xml:space="preserve"> </w:t>
      </w:r>
      <w:r>
        <w:rPr>
          <w:rFonts w:ascii="Arial" w:cs="Arial" w:eastAsia="Arial" w:hAnsi="Arial"/>
          <w:sz w:val="18"/>
          <w:szCs w:val="18"/>
          <w:color w:val="231F20"/>
        </w:rPr>
        <w:t xml:space="preserve">United States. The increase is </w:t>
      </w:r>
      <w:r>
        <w:rPr>
          <w:rFonts w:ascii="Arial" w:cs="Arial" w:eastAsia="Arial" w:hAnsi="Arial"/>
          <w:sz w:val="18"/>
          <w:szCs w:val="18"/>
          <w:color w:val="000000"/>
        </w:rPr>
        <w:t>due to higher taxable income in foreign and state jurisdictions, primarily resulting from higher non-deductible</w:t>
      </w:r>
      <w:r>
        <w:rPr>
          <w:rFonts w:ascii="Arial" w:cs="Arial" w:eastAsia="Arial" w:hAnsi="Arial"/>
          <w:sz w:val="18"/>
          <w:szCs w:val="18"/>
          <w:color w:val="231F20"/>
        </w:rPr>
        <w:t xml:space="preserve"> </w:t>
      </w:r>
      <w:r>
        <w:rPr>
          <w:rFonts w:ascii="Arial" w:cs="Arial" w:eastAsia="Arial" w:hAnsi="Arial"/>
          <w:sz w:val="18"/>
          <w:szCs w:val="18"/>
          <w:color w:val="000000"/>
        </w:rPr>
        <w:t>stock-based compensation in the three months ended September 30, 2014.</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41" w:right="2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 xml:space="preserve">Comparison of Nine Months Ended September 30, 2014 and </w:t>
      </w:r>
      <w:r>
        <w:rPr>
          <w:rFonts w:ascii="Arial" w:cs="Arial" w:eastAsia="Arial" w:hAnsi="Arial"/>
          <w:sz w:val="18"/>
          <w:szCs w:val="18"/>
          <w:b w:val="1"/>
          <w:bCs w:val="1"/>
          <w:color w:val="000000"/>
        </w:rPr>
        <w:t>2013</w:t>
      </w:r>
    </w:p>
    <w:p>
      <w:pPr>
        <w:spacing w:after="0" w:line="3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Revenues</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gridSpan w:val="2"/>
          </w:tcPr>
          <w:p>
            <w:pPr>
              <w:jc w:val="center"/>
              <w:ind w:left="279"/>
              <w:spacing w:after="0"/>
              <w:rPr>
                <w:sz w:val="20"/>
                <w:szCs w:val="20"/>
                <w:color w:val="auto"/>
              </w:rPr>
            </w:pPr>
            <w:r>
              <w:rPr>
                <w:rFonts w:ascii="Arial" w:cs="Arial" w:eastAsia="Arial" w:hAnsi="Arial"/>
                <w:sz w:val="16"/>
                <w:szCs w:val="16"/>
                <w:b w:val="1"/>
                <w:bCs w:val="1"/>
                <w:color w:val="auto"/>
              </w:rPr>
              <w:t>Nine Months Ended</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83"/>
        </w:trPr>
        <w:tc>
          <w:tcPr>
            <w:tcW w:w="55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2"/>
          </w:tcPr>
          <w:p>
            <w:pPr>
              <w:jc w:val="center"/>
              <w:ind w:left="279"/>
              <w:spacing w:after="0"/>
              <w:rPr>
                <w:sz w:val="20"/>
                <w:szCs w:val="20"/>
                <w:color w:val="auto"/>
              </w:rPr>
            </w:pPr>
            <w:r>
              <w:rPr>
                <w:rFonts w:ascii="Arial" w:cs="Arial" w:eastAsia="Arial" w:hAnsi="Arial"/>
                <w:sz w:val="16"/>
                <w:szCs w:val="16"/>
                <w:b w:val="1"/>
                <w:bCs w:val="1"/>
                <w:color w:val="auto"/>
              </w:rPr>
              <w:t>September 30,</w:t>
            </w: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60" w:type="dxa"/>
            <w:vAlign w:val="bottom"/>
            <w:tcBorders>
              <w:bottom w:val="single" w:sz="8" w:color="auto"/>
            </w:tcBorders>
          </w:tcPr>
          <w:p>
            <w:pPr>
              <w:spacing w:after="0"/>
              <w:rPr>
                <w:sz w:val="24"/>
                <w:szCs w:val="24"/>
                <w:color w:val="auto"/>
              </w:rPr>
            </w:pPr>
          </w:p>
        </w:tc>
      </w:tr>
      <w:tr>
        <w:trPr>
          <w:trHeight w:val="264"/>
        </w:trPr>
        <w:tc>
          <w:tcPr>
            <w:tcW w:w="55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460" w:type="dxa"/>
            <w:vAlign w:val="bottom"/>
            <w:tcBorders>
              <w:bottom w:val="single" w:sz="8" w:color="auto"/>
            </w:tcBorders>
            <w:gridSpan w:val="2"/>
          </w:tcPr>
          <w:p>
            <w:pPr>
              <w:jc w:val="right"/>
              <w:ind w:right="41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47"/>
        </w:trPr>
        <w:tc>
          <w:tcPr>
            <w:tcW w:w="5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500" w:type="dxa"/>
            <w:vAlign w:val="bottom"/>
            <w:gridSpan w:val="5"/>
          </w:tcPr>
          <w:p>
            <w:pPr>
              <w:jc w:val="right"/>
              <w:ind w:right="519"/>
              <w:spacing w:after="0"/>
              <w:rPr>
                <w:sz w:val="20"/>
                <w:szCs w:val="20"/>
                <w:color w:val="auto"/>
              </w:rPr>
            </w:pPr>
            <w:r>
              <w:rPr>
                <w:rFonts w:ascii="Arial" w:cs="Arial" w:eastAsia="Arial" w:hAnsi="Arial"/>
                <w:sz w:val="16"/>
                <w:szCs w:val="16"/>
                <w:b w:val="1"/>
                <w:bCs w:val="1"/>
                <w:color w:val="auto"/>
              </w:rPr>
              <w:t>(in thousands, except percentages)</w:t>
            </w:r>
          </w:p>
        </w:tc>
        <w:tc>
          <w:tcPr>
            <w:tcW w:w="960" w:type="dxa"/>
            <w:vAlign w:val="bottom"/>
          </w:tcPr>
          <w:p>
            <w:pPr>
              <w:spacing w:after="0"/>
              <w:rPr>
                <w:sz w:val="21"/>
                <w:szCs w:val="21"/>
                <w:color w:val="auto"/>
              </w:rPr>
            </w:pPr>
          </w:p>
        </w:tc>
      </w:tr>
      <w:tr>
        <w:trPr>
          <w:trHeight w:val="280"/>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97,006</w:t>
            </w:r>
          </w:p>
        </w:tc>
        <w:tc>
          <w:tcPr>
            <w:tcW w:w="82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78,923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18,083</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bl>
    <w:p>
      <w:pPr>
        <w:spacing w:after="0" w:line="215" w:lineRule="exact"/>
        <w:rPr>
          <w:sz w:val="20"/>
          <w:szCs w:val="20"/>
          <w:color w:val="auto"/>
        </w:rPr>
      </w:pPr>
    </w:p>
    <w:p>
      <w:pPr>
        <w:ind w:right="240" w:firstLine="486"/>
        <w:spacing w:after="0" w:line="254" w:lineRule="auto"/>
        <w:rPr>
          <w:sz w:val="20"/>
          <w:szCs w:val="20"/>
          <w:color w:val="auto"/>
        </w:rPr>
      </w:pPr>
      <w:r>
        <w:rPr>
          <w:rFonts w:ascii="Arial" w:cs="Arial" w:eastAsia="Arial" w:hAnsi="Arial"/>
          <w:sz w:val="18"/>
          <w:szCs w:val="18"/>
          <w:color w:val="231F20"/>
        </w:rPr>
        <w:t>Revenues increased $18.1 million for the nine months ended September 30, 2014 compared to the nine months ended September 30, 2013, primarily due to new customer subscriptions entered into after September 30, 2013 and from an increase in the purchase of subscriptions from existing customers. Of the total increase of $ 18.1 million, $12.8 million was from customers in the United States and the remaining $5.3 million was from customers in foreign countries. The growth in revenues reflects increased demand for our solutions.</w:t>
      </w:r>
    </w:p>
    <w:p>
      <w:pPr>
        <w:spacing w:after="0" w:line="39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Cost of Revenues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8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rPr>
              <w:t>Nine Months Ended</w:t>
            </w:r>
          </w:p>
        </w:tc>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3"/>
        </w:trPr>
        <w:tc>
          <w:tcPr>
            <w:tcW w:w="53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center"/>
              <w:ind w:left="499"/>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3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w w:val="95"/>
              </w:rPr>
              <w:t>2013</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09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47"/>
        </w:trPr>
        <w:tc>
          <w:tcPr>
            <w:tcW w:w="5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40" w:type="dxa"/>
            <w:vAlign w:val="bottom"/>
            <w:gridSpan w:val="5"/>
          </w:tcPr>
          <w:p>
            <w:pPr>
              <w:jc w:val="right"/>
              <w:ind w:right="51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80"/>
        </w:trPr>
        <w:tc>
          <w:tcPr>
            <w:tcW w:w="5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21,442</w:t>
            </w:r>
          </w:p>
        </w:tc>
        <w:tc>
          <w:tcPr>
            <w:tcW w:w="5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18,134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3,308</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60"/>
        </w:trPr>
        <w:tc>
          <w:tcPr>
            <w:tcW w:w="538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w:t>
            </w:r>
          </w:p>
        </w:tc>
        <w:tc>
          <w:tcPr>
            <w:tcW w:w="5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80"/>
        </w:trPr>
        <w:tc>
          <w:tcPr>
            <w:tcW w:w="5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 percentage</w:t>
            </w: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231F20"/>
        </w:rPr>
        <w:t>Cost of revenues increased $3.3 million for the nine months ended September 30, 2014 compared to the nine months ended September 30, 2013, primarily due to a $1.5 million increase in depreciation expenses related to additional computer hardware and software for our new and existing data centers; increased consulting expenses of $0.6 million; increased personnel expenses of $0.6 million, principally driven by the addition of employees in our operations staff and higher stock-based compensation; and increased third-party software maintenance expense of $0.5 million.</w:t>
      </w:r>
    </w:p>
    <w:p>
      <w:pPr>
        <w:spacing w:after="0" w:line="200" w:lineRule="exact"/>
        <w:rPr>
          <w:sz w:val="20"/>
          <w:szCs w:val="20"/>
          <w:color w:val="auto"/>
        </w:rPr>
      </w:pPr>
    </w:p>
    <w:p>
      <w:pPr>
        <w:spacing w:after="0" w:line="30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Research and Development Expenses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8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rPr>
              <w:t>Nine Months Ended</w:t>
            </w:r>
          </w:p>
        </w:tc>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3"/>
        </w:trPr>
        <w:tc>
          <w:tcPr>
            <w:tcW w:w="53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center"/>
              <w:ind w:left="499"/>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3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w w:val="95"/>
              </w:rPr>
              <w:t>2013</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09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47"/>
        </w:trPr>
        <w:tc>
          <w:tcPr>
            <w:tcW w:w="5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40" w:type="dxa"/>
            <w:vAlign w:val="bottom"/>
            <w:gridSpan w:val="5"/>
          </w:tcPr>
          <w:p>
            <w:pPr>
              <w:jc w:val="right"/>
              <w:ind w:right="51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80"/>
        </w:trPr>
        <w:tc>
          <w:tcPr>
            <w:tcW w:w="5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19,305</w:t>
            </w:r>
          </w:p>
        </w:tc>
        <w:tc>
          <w:tcPr>
            <w:tcW w:w="5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15,739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3,566</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51"/>
        </w:trPr>
        <w:tc>
          <w:tcPr>
            <w:tcW w:w="538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w:t>
            </w:r>
          </w:p>
        </w:tc>
        <w:tc>
          <w:tcPr>
            <w:tcW w:w="5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343"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231F20"/>
        </w:rPr>
        <w:t>Research and development expenses increased $3.6 million in the nine months ended September 30, 2014 compared to the nine months ended September 30, 2013, primarily due to an increase in personnel expenses of $2.7 million, including higher stock-based compensation, principally driven by the addition of employees as we continue to invest in enhancing our platform and developing new solutions and capabilities; higher corporate overhead costs of $0.4 million, principally due to expansion of our research and development team in India; and $0.2 million in consulting and professional service expenses.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41"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Sales and Marketing Expenses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rPr>
              <w:t>Nine Months Ended</w:t>
            </w: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3"/>
        </w:trPr>
        <w:tc>
          <w:tcPr>
            <w:tcW w:w="54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center"/>
              <w:ind w:left="519"/>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4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6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w w:val="95"/>
              </w:rPr>
              <w:t>2013</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47"/>
        </w:trPr>
        <w:tc>
          <w:tcPr>
            <w:tcW w:w="5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52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80"/>
        </w:trPr>
        <w:tc>
          <w:tcPr>
            <w:tcW w:w="5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36,111</w:t>
            </w:r>
          </w:p>
        </w:tc>
        <w:tc>
          <w:tcPr>
            <w:tcW w:w="6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30,739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5,372</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51"/>
        </w:trPr>
        <w:tc>
          <w:tcPr>
            <w:tcW w:w="548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w:t>
            </w:r>
          </w:p>
        </w:tc>
        <w:tc>
          <w:tcPr>
            <w:tcW w:w="6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235"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231F20"/>
        </w:rPr>
        <w:t>Sales and marketing expenses increased $5.4 million for the nine months ended September 30, 2014 compared to the nine months ended September 30, 2013, primarily due to an increase in personnel expenses of $4.4 million, including higher commission expense and stock-based compensation, principally driven by the addition of employees as we continue to expand our domestic and international sales and marketing efforts. We also incurred increased marketing expenses of $0.8 million, primarily related to increased trade show and marketing program activities.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General and Administrative Expenses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rPr>
              <w:t>Nine Months Ended</w:t>
            </w: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3"/>
        </w:trPr>
        <w:tc>
          <w:tcPr>
            <w:tcW w:w="54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center"/>
              <w:ind w:left="519"/>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4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6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w w:val="95"/>
              </w:rPr>
              <w:t>2013</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47"/>
        </w:trPr>
        <w:tc>
          <w:tcPr>
            <w:tcW w:w="5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52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80"/>
        </w:trPr>
        <w:tc>
          <w:tcPr>
            <w:tcW w:w="5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15,112</w:t>
            </w:r>
          </w:p>
        </w:tc>
        <w:tc>
          <w:tcPr>
            <w:tcW w:w="6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12,226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2,886</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51"/>
        </w:trPr>
        <w:tc>
          <w:tcPr>
            <w:tcW w:w="548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w:t>
            </w:r>
          </w:p>
        </w:tc>
        <w:tc>
          <w:tcPr>
            <w:tcW w:w="6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235" w:lineRule="exact"/>
        <w:rPr>
          <w:sz w:val="20"/>
          <w:szCs w:val="20"/>
          <w:color w:val="auto"/>
        </w:rPr>
      </w:pPr>
    </w:p>
    <w:p>
      <w:pPr>
        <w:ind w:right="160" w:firstLine="486"/>
        <w:spacing w:after="0" w:line="253" w:lineRule="auto"/>
        <w:rPr>
          <w:sz w:val="20"/>
          <w:szCs w:val="20"/>
          <w:color w:val="auto"/>
        </w:rPr>
      </w:pPr>
      <w:r>
        <w:rPr>
          <w:rFonts w:ascii="Arial" w:cs="Arial" w:eastAsia="Arial" w:hAnsi="Arial"/>
          <w:sz w:val="18"/>
          <w:szCs w:val="18"/>
          <w:color w:val="231F20"/>
        </w:rPr>
        <w:t>General and administrative expenses increased $2.9 million for the nine months ended September 30, 2014 compared to the nine months ended September 30, 2013, primarily driven by increased personnel expenses of $2.1 million, including higher employee stock-based compensation, principally due to the addition of employees to support the growth of our business; increased professional services of $0.5 million; and increased bad debt expense and other fees of $0.3 million, partially offset by lower non-employee stock-based compensation of $0.3 million.</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Other Income (Expense), Net</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2440" w:type="dxa"/>
            <w:vAlign w:val="bottom"/>
            <w:gridSpan w:val="3"/>
          </w:tcPr>
          <w:p>
            <w:pPr>
              <w:jc w:val="center"/>
              <w:ind w:left="499"/>
              <w:spacing w:after="0"/>
              <w:rPr>
                <w:sz w:val="20"/>
                <w:szCs w:val="20"/>
                <w:color w:val="auto"/>
              </w:rPr>
            </w:pPr>
            <w:r>
              <w:rPr>
                <w:rFonts w:ascii="Arial" w:cs="Arial" w:eastAsia="Arial" w:hAnsi="Arial"/>
                <w:sz w:val="16"/>
                <w:szCs w:val="16"/>
                <w:b w:val="1"/>
                <w:bCs w:val="1"/>
                <w:color w:val="auto"/>
              </w:rPr>
              <w:t>Nine Months Ended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83"/>
        </w:trPr>
        <w:tc>
          <w:tcPr>
            <w:tcW w:w="54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center"/>
              <w:ind w:right="259"/>
              <w:spacing w:after="0"/>
              <w:rPr>
                <w:sz w:val="20"/>
                <w:szCs w:val="20"/>
                <w:color w:val="auto"/>
              </w:rPr>
            </w:pPr>
            <w:r>
              <w:rPr>
                <w:rFonts w:ascii="Arial" w:cs="Arial" w:eastAsia="Arial" w:hAnsi="Arial"/>
                <w:sz w:val="16"/>
                <w:szCs w:val="16"/>
                <w:b w:val="1"/>
                <w:bCs w:val="1"/>
                <w:color w:val="auto"/>
              </w:rPr>
              <w:t>September 30,</w:t>
            </w:r>
          </w:p>
        </w:tc>
        <w:tc>
          <w:tcPr>
            <w:tcW w:w="5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20" w:type="dxa"/>
            <w:vAlign w:val="bottom"/>
            <w:tcBorders>
              <w:bottom w:val="single" w:sz="8" w:color="auto"/>
            </w:tcBorders>
          </w:tcPr>
          <w:p>
            <w:pPr>
              <w:spacing w:after="0"/>
              <w:rPr>
                <w:sz w:val="24"/>
                <w:szCs w:val="24"/>
                <w:color w:val="auto"/>
              </w:rPr>
            </w:pPr>
          </w:p>
        </w:tc>
      </w:tr>
      <w:tr>
        <w:trPr>
          <w:trHeight w:val="264"/>
        </w:trPr>
        <w:tc>
          <w:tcPr>
            <w:tcW w:w="548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5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09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w:t>
            </w:r>
          </w:p>
        </w:tc>
      </w:tr>
      <w:tr>
        <w:trPr>
          <w:trHeight w:val="247"/>
        </w:trPr>
        <w:tc>
          <w:tcPr>
            <w:tcW w:w="5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540" w:type="dxa"/>
            <w:vAlign w:val="bottom"/>
            <w:gridSpan w:val="5"/>
          </w:tcPr>
          <w:p>
            <w:pPr>
              <w:jc w:val="right"/>
              <w:ind w:right="599"/>
              <w:spacing w:after="0"/>
              <w:rPr>
                <w:sz w:val="20"/>
                <w:szCs w:val="20"/>
                <w:color w:val="auto"/>
              </w:rPr>
            </w:pPr>
            <w:r>
              <w:rPr>
                <w:rFonts w:ascii="Arial" w:cs="Arial" w:eastAsia="Arial" w:hAnsi="Arial"/>
                <w:sz w:val="16"/>
                <w:szCs w:val="16"/>
                <w:b w:val="1"/>
                <w:bCs w:val="1"/>
                <w:color w:val="auto"/>
              </w:rPr>
              <w:t>(in thousands, except percentages)</w:t>
            </w:r>
          </w:p>
        </w:tc>
        <w:tc>
          <w:tcPr>
            <w:tcW w:w="920" w:type="dxa"/>
            <w:vAlign w:val="bottom"/>
          </w:tcPr>
          <w:p>
            <w:pPr>
              <w:spacing w:after="0"/>
              <w:rPr>
                <w:sz w:val="21"/>
                <w:szCs w:val="21"/>
                <w:color w:val="auto"/>
              </w:rPr>
            </w:pPr>
          </w:p>
        </w:tc>
      </w:tr>
      <w:tr>
        <w:trPr>
          <w:trHeight w:val="280"/>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77</w:t>
            </w:r>
          </w:p>
        </w:tc>
        <w:tc>
          <w:tcPr>
            <w:tcW w:w="98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96"/>
              </w:rPr>
              <w:t>(134)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211</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51"/>
        </w:trPr>
        <w:tc>
          <w:tcPr>
            <w:tcW w:w="5480" w:type="dxa"/>
            <w:vAlign w:val="bottom"/>
          </w:tcPr>
          <w:p>
            <w:pPr>
              <w:ind w:left="20"/>
              <w:spacing w:after="0"/>
              <w:rPr>
                <w:sz w:val="20"/>
                <w:szCs w:val="20"/>
                <w:color w:val="auto"/>
              </w:rPr>
            </w:pPr>
            <w:r>
              <w:rPr>
                <w:rFonts w:ascii="Arial" w:cs="Arial" w:eastAsia="Arial" w:hAnsi="Arial"/>
                <w:sz w:val="16"/>
                <w:szCs w:val="16"/>
                <w:color w:val="auto"/>
              </w:rPr>
              <w:t>Percentage of revenues</w:t>
            </w: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w:t>
            </w:r>
          </w:p>
        </w:tc>
        <w:tc>
          <w:tcPr>
            <w:tcW w:w="9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0 %</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920" w:type="dxa"/>
            <w:vAlign w:val="bottom"/>
          </w:tcPr>
          <w:p>
            <w:pPr>
              <w:spacing w:after="0"/>
              <w:rPr>
                <w:sz w:val="21"/>
                <w:szCs w:val="21"/>
                <w:color w:val="auto"/>
              </w:rPr>
            </w:pPr>
          </w:p>
        </w:tc>
      </w:tr>
    </w:tbl>
    <w:p>
      <w:pPr>
        <w:spacing w:after="0" w:line="235"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231F20"/>
        </w:rPr>
        <w:t>Other income (expense), net increased $0.2 million for the nine months ended September 30, 2014 compared to the nine months ended September 30, 2013. The increase is primarily due to lower foreign currency exchange losses of $ 0.3 million and higher interest and investment income of $0.1 million. Additionally, in 2013, we received proceeds of $0.2 million from a negotiated settlement that was included in other income (expense) that did not recur in 2014.</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41"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Provision for Income Taxes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tcPr>
          <w:p>
            <w:pPr>
              <w:spacing w:after="0"/>
              <w:rPr>
                <w:sz w:val="18"/>
                <w:szCs w:val="18"/>
                <w:color w:val="auto"/>
              </w:rPr>
            </w:pPr>
          </w:p>
        </w:tc>
        <w:tc>
          <w:tcPr>
            <w:tcW w:w="2440" w:type="dxa"/>
            <w:vAlign w:val="bottom"/>
            <w:gridSpan w:val="3"/>
          </w:tcPr>
          <w:p>
            <w:pPr>
              <w:jc w:val="center"/>
              <w:ind w:left="439"/>
              <w:spacing w:after="0"/>
              <w:rPr>
                <w:sz w:val="20"/>
                <w:szCs w:val="20"/>
                <w:color w:val="auto"/>
              </w:rPr>
            </w:pPr>
            <w:r>
              <w:rPr>
                <w:rFonts w:ascii="Arial" w:cs="Arial" w:eastAsia="Arial" w:hAnsi="Arial"/>
                <w:sz w:val="16"/>
                <w:szCs w:val="16"/>
                <w:b w:val="1"/>
                <w:bCs w:val="1"/>
                <w:color w:val="auto"/>
              </w:rPr>
              <w:t>Nine Months Ended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3"/>
        </w:trPr>
        <w:tc>
          <w:tcPr>
            <w:tcW w:w="55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299"/>
              <w:spacing w:after="0"/>
              <w:rPr>
                <w:sz w:val="20"/>
                <w:szCs w:val="20"/>
                <w:color w:val="auto"/>
              </w:rPr>
            </w:pPr>
            <w:r>
              <w:rPr>
                <w:rFonts w:ascii="Arial" w:cs="Arial" w:eastAsia="Arial" w:hAnsi="Arial"/>
                <w:sz w:val="16"/>
                <w:szCs w:val="16"/>
                <w:b w:val="1"/>
                <w:bCs w:val="1"/>
                <w:color w:val="auto"/>
              </w:rPr>
              <w:t>September 30,</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5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5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47"/>
        </w:trPr>
        <w:tc>
          <w:tcPr>
            <w:tcW w:w="5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50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639</w:t>
            </w:r>
          </w:p>
        </w:tc>
        <w:tc>
          <w:tcPr>
            <w:tcW w:w="98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372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267</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r>
      <w:tr>
        <w:trPr>
          <w:trHeight w:val="251"/>
        </w:trPr>
        <w:tc>
          <w:tcPr>
            <w:tcW w:w="550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9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262" w:lineRule="exact"/>
        <w:rPr>
          <w:sz w:val="20"/>
          <w:szCs w:val="20"/>
          <w:color w:val="auto"/>
        </w:rPr>
      </w:pPr>
    </w:p>
    <w:p>
      <w:pPr>
        <w:ind w:right="260" w:firstLine="486"/>
        <w:spacing w:after="0" w:line="254" w:lineRule="auto"/>
        <w:rPr>
          <w:sz w:val="20"/>
          <w:szCs w:val="20"/>
          <w:color w:val="auto"/>
        </w:rPr>
      </w:pPr>
      <w:r>
        <w:rPr>
          <w:rFonts w:ascii="Arial" w:cs="Arial" w:eastAsia="Arial" w:hAnsi="Arial"/>
          <w:sz w:val="18"/>
          <w:szCs w:val="18"/>
          <w:color w:val="231F20"/>
        </w:rPr>
        <w:t xml:space="preserve">Provision for income taxes increased $0.3 million for the nine months ended September 30, 2014 compared to the nine months ended September 30, 2013. The provision for income taxes is primarily for taxes on income in foreign jurisdictions and state income taxes in the United States. The increase is </w:t>
      </w:r>
      <w:r>
        <w:rPr>
          <w:rFonts w:ascii="Arial" w:cs="Arial" w:eastAsia="Arial" w:hAnsi="Arial"/>
          <w:sz w:val="18"/>
          <w:szCs w:val="18"/>
          <w:color w:val="000000"/>
        </w:rPr>
        <w:t>due to higher taxable income in foreign and state jurisdictions, primarily resulting from higher non-deductible</w:t>
      </w:r>
      <w:r>
        <w:rPr>
          <w:rFonts w:ascii="Arial" w:cs="Arial" w:eastAsia="Arial" w:hAnsi="Arial"/>
          <w:sz w:val="18"/>
          <w:szCs w:val="18"/>
          <w:color w:val="231F20"/>
        </w:rPr>
        <w:t xml:space="preserve"> </w:t>
      </w:r>
      <w:r>
        <w:rPr>
          <w:rFonts w:ascii="Arial" w:cs="Arial" w:eastAsia="Arial" w:hAnsi="Arial"/>
          <w:sz w:val="18"/>
          <w:szCs w:val="18"/>
          <w:color w:val="000000"/>
        </w:rPr>
        <w:t xml:space="preserve">stock-based compensation in the </w:t>
      </w:r>
      <w:r>
        <w:rPr>
          <w:rFonts w:ascii="Arial" w:cs="Arial" w:eastAsia="Arial" w:hAnsi="Arial"/>
          <w:sz w:val="18"/>
          <w:szCs w:val="18"/>
          <w:color w:val="231F20"/>
        </w:rPr>
        <w:t>nine months ended September 30, 2014.</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Liquidity and Capital Resources</w:t>
      </w:r>
    </w:p>
    <w:p>
      <w:pPr>
        <w:spacing w:after="0" w:line="328"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231F20"/>
        </w:rPr>
        <w:t xml:space="preserve">At </w:t>
      </w:r>
      <w:r>
        <w:rPr>
          <w:rFonts w:ascii="Arial" w:cs="Arial" w:eastAsia="Arial" w:hAnsi="Arial"/>
          <w:sz w:val="18"/>
          <w:szCs w:val="18"/>
          <w:color w:val="000000"/>
        </w:rPr>
        <w:t>September 30, 2014</w:t>
      </w:r>
      <w:r>
        <w:rPr>
          <w:rFonts w:ascii="Arial" w:cs="Arial" w:eastAsia="Arial" w:hAnsi="Arial"/>
          <w:sz w:val="18"/>
          <w:szCs w:val="18"/>
          <w:color w:val="231F20"/>
        </w:rPr>
        <w:t xml:space="preserve">, our principal source of liquidity was cash, cash equivalents, and short-term and long-term investments of </w:t>
      </w:r>
      <w:r>
        <w:rPr>
          <w:rFonts w:ascii="Arial" w:cs="Arial" w:eastAsia="Arial" w:hAnsi="Arial"/>
          <w:sz w:val="18"/>
          <w:szCs w:val="18"/>
          <w:color w:val="000000"/>
        </w:rPr>
        <w:t>$151.3</w:t>
      </w:r>
      <w:r>
        <w:rPr>
          <w:rFonts w:ascii="Arial" w:cs="Arial" w:eastAsia="Arial" w:hAnsi="Arial"/>
          <w:sz w:val="18"/>
          <w:szCs w:val="18"/>
          <w:color w:val="231F20"/>
        </w:rPr>
        <w:t xml:space="preserve"> </w:t>
      </w:r>
      <w:r>
        <w:rPr>
          <w:rFonts w:ascii="Arial" w:cs="Arial" w:eastAsia="Arial" w:hAnsi="Arial"/>
          <w:sz w:val="18"/>
          <w:szCs w:val="18"/>
          <w:color w:val="000000"/>
        </w:rPr>
        <w:t>million</w:t>
      </w:r>
      <w:r>
        <w:rPr>
          <w:rFonts w:ascii="Arial" w:cs="Arial" w:eastAsia="Arial" w:hAnsi="Arial"/>
          <w:sz w:val="18"/>
          <w:szCs w:val="18"/>
          <w:color w:val="231F20"/>
        </w:rPr>
        <w:t>, including $2.1 million held outside of the United States by our foreign subsidiaries. We do not anticipate that we will need funds</w:t>
      </w:r>
      <w:r>
        <w:rPr>
          <w:rFonts w:ascii="Arial" w:cs="Arial" w:eastAsia="Arial" w:hAnsi="Arial"/>
          <w:sz w:val="18"/>
          <w:szCs w:val="18"/>
          <w:color w:val="000000"/>
        </w:rPr>
        <w:t xml:space="preserve"> </w:t>
      </w:r>
      <w:r>
        <w:rPr>
          <w:rFonts w:ascii="Arial" w:cs="Arial" w:eastAsia="Arial" w:hAnsi="Arial"/>
          <w:sz w:val="18"/>
          <w:szCs w:val="18"/>
          <w:color w:val="231F20"/>
        </w:rPr>
        <w:t>generated from foreign operations to fund our domestic operations. However, if we repatriate these funds, we could be subject to U.S. income taxes on such amounts, less previously paid foreign income taxes.</w:t>
      </w:r>
    </w:p>
    <w:p>
      <w:pPr>
        <w:spacing w:after="0" w:line="204"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231F20"/>
        </w:rPr>
        <w:t>We have experienced positive cash flows from operations during the nine months ended September 30, 2014 and 2013. We believe our existing cash, cash equivalents, short-term and long-term investments, and cash from operations will be sufficient to fund our operations for at least the next twelve months. Our future capital requirements will depend on many factors, including our rate of revenue growth, the expansion of our sales and marketing activities, the timing and extent of our spending on research and development efforts, international expansion and investment in data centers. We may also seek to invest in or acquire complementary businesses or technologies.</w:t>
      </w:r>
    </w:p>
    <w:p>
      <w:pPr>
        <w:spacing w:after="0" w:line="3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w:t>
      </w:r>
    </w:p>
    <w:p>
      <w:pPr>
        <w:spacing w:after="0" w:line="193" w:lineRule="exact"/>
        <w:rPr>
          <w:sz w:val="20"/>
          <w:szCs w:val="20"/>
          <w:color w:val="auto"/>
        </w:rPr>
      </w:pPr>
    </w:p>
    <w:p>
      <w:pPr>
        <w:ind w:right="220" w:firstLine="486"/>
        <w:spacing w:after="0" w:line="262" w:lineRule="auto"/>
        <w:rPr>
          <w:sz w:val="20"/>
          <w:szCs w:val="20"/>
          <w:color w:val="auto"/>
        </w:rPr>
      </w:pPr>
      <w:r>
        <w:rPr>
          <w:rFonts w:ascii="Arial" w:cs="Arial" w:eastAsia="Arial" w:hAnsi="Arial"/>
          <w:sz w:val="18"/>
          <w:szCs w:val="18"/>
          <w:color w:val="231F20"/>
        </w:rPr>
        <w:t>The following summary of cash flows for the periods indicated has been derived from our condensed consolidated financial statements included elsewhere in this report:</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4"/>
          </w:tcPr>
          <w:p>
            <w:pPr>
              <w:jc w:val="right"/>
              <w:ind w:right="579"/>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85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b w:val="1"/>
                <w:bCs w:val="1"/>
                <w:color w:val="auto"/>
              </w:rPr>
              <w:t>September 30,</w:t>
            </w:r>
          </w:p>
        </w:tc>
      </w:tr>
      <w:tr>
        <w:trPr>
          <w:trHeight w:val="264"/>
        </w:trPr>
        <w:tc>
          <w:tcPr>
            <w:tcW w:w="85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r>
      <w:tr>
        <w:trPr>
          <w:trHeight w:val="247"/>
        </w:trPr>
        <w:tc>
          <w:tcPr>
            <w:tcW w:w="8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40" w:type="dxa"/>
            <w:vAlign w:val="bottom"/>
            <w:gridSpan w:val="4"/>
          </w:tcPr>
          <w:p>
            <w:pPr>
              <w:jc w:val="right"/>
              <w:ind w:right="779"/>
              <w:spacing w:after="0"/>
              <w:rPr>
                <w:sz w:val="20"/>
                <w:szCs w:val="20"/>
                <w:color w:val="auto"/>
              </w:rPr>
            </w:pPr>
            <w:r>
              <w:rPr>
                <w:rFonts w:ascii="Arial" w:cs="Arial" w:eastAsia="Arial" w:hAnsi="Arial"/>
                <w:sz w:val="16"/>
                <w:szCs w:val="16"/>
                <w:b w:val="1"/>
                <w:bCs w:val="1"/>
                <w:color w:val="auto"/>
              </w:rPr>
              <w:t>(in thousands)</w:t>
            </w:r>
          </w:p>
        </w:tc>
      </w:tr>
      <w:tr>
        <w:trPr>
          <w:trHeight w:val="280"/>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provided by operating activities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25,085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15,191</w:t>
            </w:r>
          </w:p>
        </w:tc>
      </w:tr>
      <w:tr>
        <w:trPr>
          <w:trHeight w:val="260"/>
        </w:trPr>
        <w:tc>
          <w:tcPr>
            <w:tcW w:w="8580" w:type="dxa"/>
            <w:vAlign w:val="bottom"/>
          </w:tcPr>
          <w:p>
            <w:pPr>
              <w:ind w:left="40"/>
              <w:spacing w:after="0"/>
              <w:rPr>
                <w:sz w:val="20"/>
                <w:szCs w:val="20"/>
                <w:color w:val="auto"/>
              </w:rPr>
            </w:pPr>
            <w:r>
              <w:rPr>
                <w:rFonts w:ascii="Arial" w:cs="Arial" w:eastAsia="Arial" w:hAnsi="Arial"/>
                <w:sz w:val="16"/>
                <w:szCs w:val="16"/>
                <w:color w:val="auto"/>
              </w:rPr>
              <w:t>Cash provided by (used in) investing activities</w:t>
            </w: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16,687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(10,415)</w:t>
            </w:r>
          </w:p>
        </w:tc>
      </w:tr>
      <w:tr>
        <w:trPr>
          <w:trHeight w:val="280"/>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provided by financing activities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4,372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2,513</w:t>
            </w: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r>
      <w:tr>
        <w:trPr>
          <w:trHeight w:val="24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45,916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7,233</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41"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Operating Activities</w:t>
      </w:r>
    </w:p>
    <w:p>
      <w:pPr>
        <w:spacing w:after="0" w:line="193"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nine months ended September 30, 2014</w:t>
      </w:r>
      <w:r>
        <w:rPr>
          <w:rFonts w:ascii="Arial" w:cs="Arial" w:eastAsia="Arial" w:hAnsi="Arial"/>
          <w:sz w:val="18"/>
          <w:szCs w:val="18"/>
          <w:color w:val="231F20"/>
        </w:rPr>
        <w:t xml:space="preserve">, cash flows from operating activities of </w:t>
      </w:r>
      <w:r>
        <w:rPr>
          <w:rFonts w:ascii="Arial" w:cs="Arial" w:eastAsia="Arial" w:hAnsi="Arial"/>
          <w:sz w:val="18"/>
          <w:szCs w:val="18"/>
          <w:color w:val="000000"/>
        </w:rPr>
        <w:t>$25.1 million</w:t>
      </w:r>
      <w:r>
        <w:rPr>
          <w:rFonts w:ascii="Arial" w:cs="Arial" w:eastAsia="Arial" w:hAnsi="Arial"/>
          <w:sz w:val="18"/>
          <w:szCs w:val="18"/>
          <w:color w:val="231F20"/>
        </w:rPr>
        <w:t xml:space="preserve"> resulted from our net income of approximately </w:t>
      </w:r>
      <w:r>
        <w:rPr>
          <w:rFonts w:ascii="Arial" w:cs="Arial" w:eastAsia="Arial" w:hAnsi="Arial"/>
          <w:sz w:val="18"/>
          <w:szCs w:val="18"/>
          <w:color w:val="000000"/>
        </w:rPr>
        <w:t>$4.5 million</w:t>
      </w:r>
      <w:r>
        <w:rPr>
          <w:rFonts w:ascii="Arial" w:cs="Arial" w:eastAsia="Arial" w:hAnsi="Arial"/>
          <w:sz w:val="18"/>
          <w:szCs w:val="18"/>
          <w:color w:val="231F20"/>
        </w:rPr>
        <w:t xml:space="preserve">, as adjusted by an increase in deferred revenues of </w:t>
      </w:r>
      <w:r>
        <w:rPr>
          <w:rFonts w:ascii="Arial" w:cs="Arial" w:eastAsia="Arial" w:hAnsi="Arial"/>
          <w:sz w:val="18"/>
          <w:szCs w:val="18"/>
          <w:color w:val="000000"/>
        </w:rPr>
        <w:t>$ 6.9 million,</w:t>
      </w:r>
      <w:r>
        <w:rPr>
          <w:rFonts w:ascii="Arial" w:cs="Arial" w:eastAsia="Arial" w:hAnsi="Arial"/>
          <w:sz w:val="18"/>
          <w:szCs w:val="18"/>
          <w:color w:val="231F20"/>
        </w:rPr>
        <w:t xml:space="preserve"> attributable to our continued growth. These working capital increases are further increased by non-cash items including depreciation and amortization expense of </w:t>
      </w:r>
      <w:r>
        <w:rPr>
          <w:rFonts w:ascii="Arial" w:cs="Arial" w:eastAsia="Arial" w:hAnsi="Arial"/>
          <w:sz w:val="18"/>
          <w:szCs w:val="18"/>
          <w:color w:val="000000"/>
        </w:rPr>
        <w:t>$8.8 million</w:t>
      </w:r>
      <w:r>
        <w:rPr>
          <w:rFonts w:ascii="Arial" w:cs="Arial" w:eastAsia="Arial" w:hAnsi="Arial"/>
          <w:sz w:val="18"/>
          <w:szCs w:val="18"/>
          <w:color w:val="231F20"/>
        </w:rPr>
        <w:t xml:space="preserve"> and stock-based compensation expense of </w:t>
      </w:r>
      <w:r>
        <w:rPr>
          <w:rFonts w:ascii="Arial" w:cs="Arial" w:eastAsia="Arial" w:hAnsi="Arial"/>
          <w:sz w:val="18"/>
          <w:szCs w:val="18"/>
          <w:color w:val="000000"/>
        </w:rPr>
        <w:t>$7.1 million</w:t>
      </w:r>
      <w:r>
        <w:rPr>
          <w:rFonts w:ascii="Arial" w:cs="Arial" w:eastAsia="Arial" w:hAnsi="Arial"/>
          <w:sz w:val="18"/>
          <w:szCs w:val="18"/>
          <w:color w:val="231F20"/>
        </w:rPr>
        <w:t>, partially offset by an increase in prepaid expenses and other assets of $ 1.2 million due to prepayment of certain maintenance contracts and an increase in accounts receivable of $2.0 million, due to the overall growth of our business.</w:t>
      </w:r>
    </w:p>
    <w:p>
      <w:pPr>
        <w:spacing w:after="0" w:line="206"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nine months ended September 30, 2013</w:t>
      </w:r>
      <w:r>
        <w:rPr>
          <w:rFonts w:ascii="Arial" w:cs="Arial" w:eastAsia="Arial" w:hAnsi="Arial"/>
          <w:sz w:val="18"/>
          <w:szCs w:val="18"/>
          <w:color w:val="231F20"/>
        </w:rPr>
        <w:t xml:space="preserve">, cash flows from operating activities of </w:t>
      </w:r>
      <w:r>
        <w:rPr>
          <w:rFonts w:ascii="Arial" w:cs="Arial" w:eastAsia="Arial" w:hAnsi="Arial"/>
          <w:sz w:val="18"/>
          <w:szCs w:val="18"/>
          <w:color w:val="000000"/>
        </w:rPr>
        <w:t>$15.2 million</w:t>
      </w:r>
      <w:r>
        <w:rPr>
          <w:rFonts w:ascii="Arial" w:cs="Arial" w:eastAsia="Arial" w:hAnsi="Arial"/>
          <w:sz w:val="18"/>
          <w:szCs w:val="18"/>
          <w:color w:val="231F20"/>
        </w:rPr>
        <w:t xml:space="preserve"> resulted from our net income of approximately </w:t>
      </w:r>
      <w:r>
        <w:rPr>
          <w:rFonts w:ascii="Arial" w:cs="Arial" w:eastAsia="Arial" w:hAnsi="Arial"/>
          <w:sz w:val="18"/>
          <w:szCs w:val="18"/>
          <w:color w:val="000000"/>
        </w:rPr>
        <w:t>$1.6 million</w:t>
      </w:r>
      <w:r>
        <w:rPr>
          <w:rFonts w:ascii="Arial" w:cs="Arial" w:eastAsia="Arial" w:hAnsi="Arial"/>
          <w:sz w:val="18"/>
          <w:szCs w:val="18"/>
          <w:color w:val="231F20"/>
        </w:rPr>
        <w:t xml:space="preserve">, as adjusted by an increase in deferred revenues of </w:t>
      </w:r>
      <w:r>
        <w:rPr>
          <w:rFonts w:ascii="Arial" w:cs="Arial" w:eastAsia="Arial" w:hAnsi="Arial"/>
          <w:sz w:val="18"/>
          <w:szCs w:val="18"/>
          <w:color w:val="000000"/>
        </w:rPr>
        <w:t>$ 4.7 million</w:t>
      </w:r>
      <w:r>
        <w:rPr>
          <w:rFonts w:ascii="Arial" w:cs="Arial" w:eastAsia="Arial" w:hAnsi="Arial"/>
          <w:sz w:val="18"/>
          <w:szCs w:val="18"/>
          <w:color w:val="231F20"/>
        </w:rPr>
        <w:t xml:space="preserve">, attributable to our continued growth. These working capital increases are further increased by non-cash items including depreciation and amortization expense of </w:t>
      </w:r>
      <w:r>
        <w:rPr>
          <w:rFonts w:ascii="Arial" w:cs="Arial" w:eastAsia="Arial" w:hAnsi="Arial"/>
          <w:sz w:val="18"/>
          <w:szCs w:val="18"/>
          <w:color w:val="000000"/>
        </w:rPr>
        <w:t>$7.1 million</w:t>
      </w:r>
      <w:r>
        <w:rPr>
          <w:rFonts w:ascii="Arial" w:cs="Arial" w:eastAsia="Arial" w:hAnsi="Arial"/>
          <w:sz w:val="18"/>
          <w:szCs w:val="18"/>
          <w:color w:val="231F20"/>
        </w:rPr>
        <w:t xml:space="preserve"> and stock-based compensation expense of </w:t>
      </w:r>
      <w:r>
        <w:rPr>
          <w:rFonts w:ascii="Arial" w:cs="Arial" w:eastAsia="Arial" w:hAnsi="Arial"/>
          <w:sz w:val="18"/>
          <w:szCs w:val="18"/>
          <w:color w:val="000000"/>
        </w:rPr>
        <w:t>$3.8 million</w:t>
      </w:r>
      <w:r>
        <w:rPr>
          <w:rFonts w:ascii="Arial" w:cs="Arial" w:eastAsia="Arial" w:hAnsi="Arial"/>
          <w:sz w:val="18"/>
          <w:szCs w:val="18"/>
          <w:color w:val="231F20"/>
        </w:rPr>
        <w:t xml:space="preserve">, partially offset by an increase in accounts receivable of </w:t>
      </w:r>
      <w:r>
        <w:rPr>
          <w:rFonts w:ascii="Arial" w:cs="Arial" w:eastAsia="Arial" w:hAnsi="Arial"/>
          <w:sz w:val="18"/>
          <w:szCs w:val="18"/>
          <w:color w:val="000000"/>
        </w:rPr>
        <w:t>$0.7 million</w:t>
      </w:r>
      <w:r>
        <w:rPr>
          <w:rFonts w:ascii="Arial" w:cs="Arial" w:eastAsia="Arial" w:hAnsi="Arial"/>
          <w:sz w:val="18"/>
          <w:szCs w:val="18"/>
          <w:color w:val="231F20"/>
        </w:rPr>
        <w:t>, as well as a decrease of $1.5 million in accounts payable and accrued liabilities due to the timing of payments.</w:t>
      </w:r>
    </w:p>
    <w:p>
      <w:pPr>
        <w:spacing w:after="0" w:line="3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Investing Activities</w:t>
      </w:r>
    </w:p>
    <w:p>
      <w:pPr>
        <w:spacing w:after="0" w:line="193"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nine months ended September 30, 2014</w:t>
      </w:r>
      <w:r>
        <w:rPr>
          <w:rFonts w:ascii="Arial" w:cs="Arial" w:eastAsia="Arial" w:hAnsi="Arial"/>
          <w:sz w:val="18"/>
          <w:szCs w:val="18"/>
          <w:color w:val="231F20"/>
        </w:rPr>
        <w:t xml:space="preserve">, investing activities provided </w:t>
      </w:r>
      <w:r>
        <w:rPr>
          <w:rFonts w:ascii="Arial" w:cs="Arial" w:eastAsia="Arial" w:hAnsi="Arial"/>
          <w:sz w:val="18"/>
          <w:szCs w:val="18"/>
          <w:color w:val="000000"/>
        </w:rPr>
        <w:t>$16.7 million primarily attributable to the maturity and sale of</w:t>
      </w:r>
      <w:r>
        <w:rPr>
          <w:rFonts w:ascii="Arial" w:cs="Arial" w:eastAsia="Arial" w:hAnsi="Arial"/>
          <w:sz w:val="18"/>
          <w:szCs w:val="18"/>
          <w:color w:val="231F20"/>
        </w:rPr>
        <w:t xml:space="preserve"> </w:t>
      </w:r>
      <w:r>
        <w:rPr>
          <w:rFonts w:ascii="Arial" w:cs="Arial" w:eastAsia="Arial" w:hAnsi="Arial"/>
          <w:sz w:val="18"/>
          <w:szCs w:val="18"/>
          <w:color w:val="000000"/>
        </w:rPr>
        <w:t>investments of $144.2 million, partially offset by the purchase of investments of $117.3 million and the use of $10.3 million of cash for capital expenditures, including computer hardware and software for our data centers to support our growth and development, and to purchase physical scanner appliances and computer hardware provided to certain customers as part of their subscriptions.</w:t>
      </w:r>
    </w:p>
    <w:p>
      <w:pPr>
        <w:spacing w:after="0" w:line="204"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nine months ended September 30, 2013</w:t>
      </w:r>
      <w:r>
        <w:rPr>
          <w:rFonts w:ascii="Arial" w:cs="Arial" w:eastAsia="Arial" w:hAnsi="Arial"/>
          <w:sz w:val="18"/>
          <w:szCs w:val="18"/>
          <w:color w:val="231F20"/>
        </w:rPr>
        <w:t xml:space="preserve">, cash used in investing activities of $10.4 million was primarily attributable to </w:t>
      </w:r>
      <w:r>
        <w:rPr>
          <w:rFonts w:ascii="Arial" w:cs="Arial" w:eastAsia="Arial" w:hAnsi="Arial"/>
          <w:sz w:val="18"/>
          <w:szCs w:val="18"/>
          <w:color w:val="000000"/>
        </w:rPr>
        <w:t>$10.4 million</w:t>
      </w:r>
      <w:r>
        <w:rPr>
          <w:rFonts w:ascii="Arial" w:cs="Arial" w:eastAsia="Arial" w:hAnsi="Arial"/>
          <w:sz w:val="18"/>
          <w:szCs w:val="18"/>
          <w:color w:val="231F20"/>
        </w:rPr>
        <w:t xml:space="preserve"> </w:t>
      </w:r>
      <w:r>
        <w:rPr>
          <w:rFonts w:ascii="Arial" w:cs="Arial" w:eastAsia="Arial" w:hAnsi="Arial"/>
          <w:sz w:val="18"/>
          <w:szCs w:val="18"/>
          <w:color w:val="000000"/>
        </w:rPr>
        <w:t xml:space="preserve">of cash for capital expenditures, including computer hardware and software for our data centers to support our growth and development, and to purchase physical scanner appliances provided to certain customers as part of their subscriptions. There were also purchases of investments of </w:t>
      </w:r>
      <w:r>
        <w:rPr>
          <w:rFonts w:ascii="Arial" w:cs="Arial" w:eastAsia="Arial" w:hAnsi="Arial"/>
          <w:sz w:val="18"/>
          <w:szCs w:val="18"/>
          <w:color w:val="231F20"/>
        </w:rPr>
        <w:t>$113.7 million</w:t>
      </w:r>
      <w:r>
        <w:rPr>
          <w:rFonts w:ascii="Arial" w:cs="Arial" w:eastAsia="Arial" w:hAnsi="Arial"/>
          <w:sz w:val="18"/>
          <w:szCs w:val="18"/>
          <w:color w:val="000000"/>
        </w:rPr>
        <w:t xml:space="preserve">, partially offset by sales and maturities of investments of </w:t>
      </w:r>
      <w:r>
        <w:rPr>
          <w:rFonts w:ascii="Arial" w:cs="Arial" w:eastAsia="Arial" w:hAnsi="Arial"/>
          <w:sz w:val="18"/>
          <w:szCs w:val="18"/>
          <w:color w:val="231F20"/>
        </w:rPr>
        <w:t>$113.5 million.</w:t>
      </w:r>
    </w:p>
    <w:p>
      <w:pPr>
        <w:spacing w:after="0" w:line="3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Financing Activities</w:t>
      </w:r>
    </w:p>
    <w:p>
      <w:pPr>
        <w:spacing w:after="0" w:line="193" w:lineRule="exact"/>
        <w:rPr>
          <w:sz w:val="20"/>
          <w:szCs w:val="20"/>
          <w:color w:val="auto"/>
        </w:rPr>
      </w:pPr>
    </w:p>
    <w:p>
      <w:pPr>
        <w:ind w:right="440" w:firstLine="486"/>
        <w:spacing w:after="0" w:line="262"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nine months ended September 30, 2014</w:t>
      </w:r>
      <w:r>
        <w:rPr>
          <w:rFonts w:ascii="Arial" w:cs="Arial" w:eastAsia="Arial" w:hAnsi="Arial"/>
          <w:sz w:val="18"/>
          <w:szCs w:val="18"/>
          <w:color w:val="231F20"/>
        </w:rPr>
        <w:t xml:space="preserve">, cash provided by financing activities of </w:t>
      </w:r>
      <w:r>
        <w:rPr>
          <w:rFonts w:ascii="Arial" w:cs="Arial" w:eastAsia="Arial" w:hAnsi="Arial"/>
          <w:sz w:val="18"/>
          <w:szCs w:val="18"/>
          <w:color w:val="000000"/>
        </w:rPr>
        <w:t>$4.4 million</w:t>
      </w:r>
      <w:r>
        <w:rPr>
          <w:rFonts w:ascii="Arial" w:cs="Arial" w:eastAsia="Arial" w:hAnsi="Arial"/>
          <w:sz w:val="18"/>
          <w:szCs w:val="18"/>
          <w:color w:val="231F20"/>
        </w:rPr>
        <w:t xml:space="preserve"> was primarily attributable to </w:t>
      </w:r>
      <w:r>
        <w:rPr>
          <w:rFonts w:ascii="Arial" w:cs="Arial" w:eastAsia="Arial" w:hAnsi="Arial"/>
          <w:sz w:val="18"/>
          <w:szCs w:val="18"/>
          <w:color w:val="000000"/>
        </w:rPr>
        <w:t>$5.0</w:t>
      </w:r>
      <w:r>
        <w:rPr>
          <w:rFonts w:ascii="Arial" w:cs="Arial" w:eastAsia="Arial" w:hAnsi="Arial"/>
          <w:sz w:val="18"/>
          <w:szCs w:val="18"/>
          <w:color w:val="231F20"/>
        </w:rPr>
        <w:t xml:space="preserve"> </w:t>
      </w:r>
      <w:r>
        <w:rPr>
          <w:rFonts w:ascii="Arial" w:cs="Arial" w:eastAsia="Arial" w:hAnsi="Arial"/>
          <w:sz w:val="18"/>
          <w:szCs w:val="18"/>
          <w:color w:val="000000"/>
        </w:rPr>
        <w:t xml:space="preserve">million </w:t>
      </w:r>
      <w:r>
        <w:rPr>
          <w:rFonts w:ascii="Arial" w:cs="Arial" w:eastAsia="Arial" w:hAnsi="Arial"/>
          <w:sz w:val="18"/>
          <w:szCs w:val="18"/>
          <w:color w:val="231F20"/>
        </w:rPr>
        <w:t>of proceeds from the exercise of stock options, partially offset by repayments on our capital lease obligations of</w:t>
      </w:r>
      <w:r>
        <w:rPr>
          <w:rFonts w:ascii="Arial" w:cs="Arial" w:eastAsia="Arial" w:hAnsi="Arial"/>
          <w:sz w:val="18"/>
          <w:szCs w:val="18"/>
          <w:color w:val="000000"/>
        </w:rPr>
        <w:t xml:space="preserve"> $0.8 million</w:t>
      </w:r>
      <w:r>
        <w:rPr>
          <w:rFonts w:ascii="Arial" w:cs="Arial" w:eastAsia="Arial" w:hAnsi="Arial"/>
          <w:sz w:val="18"/>
          <w:szCs w:val="18"/>
          <w:color w:val="231F20"/>
        </w:rPr>
        <w:t>.</w:t>
      </w:r>
    </w:p>
    <w:p>
      <w:pPr>
        <w:spacing w:after="0" w:line="196" w:lineRule="exact"/>
        <w:rPr>
          <w:sz w:val="20"/>
          <w:szCs w:val="20"/>
          <w:color w:val="auto"/>
        </w:rPr>
      </w:pPr>
    </w:p>
    <w:p>
      <w:pPr>
        <w:ind w:right="440" w:firstLine="486"/>
        <w:spacing w:after="0" w:line="262"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nine months ended September 30, 2013</w:t>
      </w:r>
      <w:r>
        <w:rPr>
          <w:rFonts w:ascii="Arial" w:cs="Arial" w:eastAsia="Arial" w:hAnsi="Arial"/>
          <w:sz w:val="18"/>
          <w:szCs w:val="18"/>
          <w:color w:val="231F20"/>
        </w:rPr>
        <w:t xml:space="preserve">, cash provided by financing activities of </w:t>
      </w:r>
      <w:r>
        <w:rPr>
          <w:rFonts w:ascii="Arial" w:cs="Arial" w:eastAsia="Arial" w:hAnsi="Arial"/>
          <w:sz w:val="18"/>
          <w:szCs w:val="18"/>
          <w:color w:val="000000"/>
        </w:rPr>
        <w:t>$2.5 million</w:t>
      </w:r>
      <w:r>
        <w:rPr>
          <w:rFonts w:ascii="Arial" w:cs="Arial" w:eastAsia="Arial" w:hAnsi="Arial"/>
          <w:sz w:val="18"/>
          <w:szCs w:val="18"/>
          <w:color w:val="231F20"/>
        </w:rPr>
        <w:t xml:space="preserve"> was primarily attributable to </w:t>
      </w:r>
      <w:r>
        <w:rPr>
          <w:rFonts w:ascii="Arial" w:cs="Arial" w:eastAsia="Arial" w:hAnsi="Arial"/>
          <w:sz w:val="18"/>
          <w:szCs w:val="18"/>
          <w:color w:val="000000"/>
        </w:rPr>
        <w:t>$3.4</w:t>
      </w:r>
      <w:r>
        <w:rPr>
          <w:rFonts w:ascii="Arial" w:cs="Arial" w:eastAsia="Arial" w:hAnsi="Arial"/>
          <w:sz w:val="18"/>
          <w:szCs w:val="18"/>
          <w:color w:val="231F20"/>
        </w:rPr>
        <w:t xml:space="preserve"> </w:t>
      </w:r>
      <w:r>
        <w:rPr>
          <w:rFonts w:ascii="Arial" w:cs="Arial" w:eastAsia="Arial" w:hAnsi="Arial"/>
          <w:sz w:val="18"/>
          <w:szCs w:val="18"/>
          <w:color w:val="000000"/>
        </w:rPr>
        <w:t xml:space="preserve">million </w:t>
      </w:r>
      <w:r>
        <w:rPr>
          <w:rFonts w:ascii="Arial" w:cs="Arial" w:eastAsia="Arial" w:hAnsi="Arial"/>
          <w:sz w:val="18"/>
          <w:szCs w:val="18"/>
          <w:color w:val="231F20"/>
        </w:rPr>
        <w:t>of proceeds from the exercise of stock options, partially offset by repayments on our capital lease obligations of</w:t>
      </w:r>
      <w:r>
        <w:rPr>
          <w:rFonts w:ascii="Arial" w:cs="Arial" w:eastAsia="Arial" w:hAnsi="Arial"/>
          <w:sz w:val="18"/>
          <w:szCs w:val="18"/>
          <w:color w:val="000000"/>
        </w:rPr>
        <w:t xml:space="preserve"> $0.9 million</w:t>
      </w:r>
      <w:r>
        <w:rPr>
          <w:rFonts w:ascii="Arial" w:cs="Arial" w:eastAsia="Arial" w:hAnsi="Arial"/>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41"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Contractual Obligations</w:t>
      </w:r>
    </w:p>
    <w:p>
      <w:pPr>
        <w:spacing w:after="0" w:line="193" w:lineRule="exact"/>
        <w:rPr>
          <w:sz w:val="20"/>
          <w:szCs w:val="20"/>
          <w:color w:val="auto"/>
        </w:rPr>
      </w:pPr>
    </w:p>
    <w:p>
      <w:pPr>
        <w:ind w:right="200" w:firstLine="486"/>
        <w:spacing w:after="0" w:line="256" w:lineRule="auto"/>
        <w:rPr>
          <w:sz w:val="20"/>
          <w:szCs w:val="20"/>
          <w:color w:val="auto"/>
        </w:rPr>
      </w:pPr>
      <w:r>
        <w:rPr>
          <w:rFonts w:ascii="Arial" w:cs="Arial" w:eastAsia="Arial" w:hAnsi="Arial"/>
          <w:sz w:val="18"/>
          <w:szCs w:val="18"/>
          <w:color w:val="231F20"/>
        </w:rPr>
        <w:t xml:space="preserve">Our principal commitments consist of obligations under our outstanding leases for office space, third-party data centers and certain computer equipment. The following table summarizes our contractual cash obligations at </w:t>
      </w:r>
      <w:r>
        <w:rPr>
          <w:rFonts w:ascii="Arial" w:cs="Arial" w:eastAsia="Arial" w:hAnsi="Arial"/>
          <w:sz w:val="18"/>
          <w:szCs w:val="18"/>
          <w:color w:val="000000"/>
        </w:rPr>
        <w:t>September 30, 2014</w:t>
      </w:r>
      <w:r>
        <w:rPr>
          <w:rFonts w:ascii="Arial" w:cs="Arial" w:eastAsia="Arial" w:hAnsi="Arial"/>
          <w:sz w:val="18"/>
          <w:szCs w:val="18"/>
          <w:color w:val="231F20"/>
        </w:rPr>
        <w:t xml:space="preserve"> and the effect such obligations are expected to have on our liquidity and cash flows in future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6"/>
                <w:szCs w:val="16"/>
                <w:b w:val="1"/>
                <w:bCs w:val="1"/>
                <w:color w:val="auto"/>
              </w:rPr>
              <w:t>Payment Due by Period</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Remainder of</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199"/>
              <w:spacing w:after="0"/>
              <w:rPr>
                <w:sz w:val="20"/>
                <w:szCs w:val="20"/>
                <w:color w:val="auto"/>
              </w:rPr>
            </w:pPr>
            <w:r>
              <w:rPr>
                <w:rFonts w:ascii="Arial" w:cs="Arial" w:eastAsia="Arial" w:hAnsi="Arial"/>
                <w:sz w:val="16"/>
                <w:szCs w:val="16"/>
                <w:b w:val="1"/>
                <w:bCs w:val="1"/>
                <w:color w:val="auto"/>
              </w:rPr>
              <w:t>2019 and</w:t>
            </w:r>
          </w:p>
        </w:tc>
        <w:tc>
          <w:tcPr>
            <w:tcW w:w="0" w:type="dxa"/>
            <w:vAlign w:val="bottom"/>
          </w:tcPr>
          <w:p>
            <w:pPr>
              <w:spacing w:after="0"/>
              <w:rPr>
                <w:sz w:val="1"/>
                <w:szCs w:val="1"/>
                <w:color w:val="auto"/>
              </w:rPr>
            </w:pPr>
          </w:p>
        </w:tc>
      </w:tr>
      <w:tr>
        <w:trPr>
          <w:trHeight w:val="180"/>
        </w:trPr>
        <w:tc>
          <w:tcPr>
            <w:tcW w:w="4700" w:type="dxa"/>
            <w:vAlign w:val="bottom"/>
            <w:gridSpan w:val="4"/>
          </w:tcPr>
          <w:p>
            <w:pPr>
              <w:ind w:left="40"/>
              <w:spacing w:after="0" w:line="181" w:lineRule="exact"/>
              <w:rPr>
                <w:sz w:val="20"/>
                <w:szCs w:val="20"/>
                <w:color w:val="auto"/>
              </w:rPr>
            </w:pPr>
            <w:r>
              <w:rPr>
                <w:rFonts w:ascii="Arial" w:cs="Arial" w:eastAsia="Arial" w:hAnsi="Arial"/>
                <w:sz w:val="16"/>
                <w:szCs w:val="16"/>
                <w:b w:val="1"/>
                <w:bCs w:val="1"/>
                <w:color w:val="auto"/>
              </w:rPr>
              <w:t>Contractual Obligations</w:t>
            </w:r>
          </w:p>
        </w:tc>
        <w:tc>
          <w:tcPr>
            <w:tcW w:w="280" w:type="dxa"/>
            <w:vAlign w:val="bottom"/>
          </w:tcPr>
          <w:p>
            <w:pPr>
              <w:spacing w:after="0"/>
              <w:rPr>
                <w:sz w:val="15"/>
                <w:szCs w:val="15"/>
                <w:color w:val="auto"/>
              </w:rPr>
            </w:pPr>
          </w:p>
        </w:tc>
        <w:tc>
          <w:tcPr>
            <w:tcW w:w="1100" w:type="dxa"/>
            <w:vAlign w:val="bottom"/>
            <w:gridSpan w:val="2"/>
          </w:tcPr>
          <w:p>
            <w:pPr>
              <w:ind w:left="160"/>
              <w:spacing w:after="0" w:line="181" w:lineRule="exact"/>
              <w:rPr>
                <w:sz w:val="20"/>
                <w:szCs w:val="20"/>
                <w:color w:val="auto"/>
              </w:rPr>
            </w:pPr>
            <w:r>
              <w:rPr>
                <w:rFonts w:ascii="Arial" w:cs="Arial" w:eastAsia="Arial" w:hAnsi="Arial"/>
                <w:sz w:val="16"/>
                <w:szCs w:val="16"/>
                <w:b w:val="1"/>
                <w:bCs w:val="1"/>
                <w:color w:val="auto"/>
              </w:rPr>
              <w:t>Total</w:t>
            </w:r>
          </w:p>
        </w:tc>
        <w:tc>
          <w:tcPr>
            <w:tcW w:w="260" w:type="dxa"/>
            <w:vAlign w:val="bottom"/>
          </w:tcPr>
          <w:p>
            <w:pPr>
              <w:spacing w:after="0"/>
              <w:rPr>
                <w:sz w:val="15"/>
                <w:szCs w:val="15"/>
                <w:color w:val="auto"/>
              </w:rPr>
            </w:pPr>
          </w:p>
        </w:tc>
        <w:tc>
          <w:tcPr>
            <w:tcW w:w="980" w:type="dxa"/>
            <w:vAlign w:val="bottom"/>
          </w:tcPr>
          <w:p>
            <w:pPr>
              <w:jc w:val="right"/>
              <w:ind w:right="359"/>
              <w:spacing w:after="0" w:line="181" w:lineRule="exact"/>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159"/>
              <w:spacing w:after="0" w:line="181" w:lineRule="exact"/>
              <w:rPr>
                <w:sz w:val="20"/>
                <w:szCs w:val="20"/>
                <w:color w:val="auto"/>
              </w:rPr>
            </w:pPr>
            <w:r>
              <w:rPr>
                <w:rFonts w:ascii="Arial" w:cs="Arial" w:eastAsia="Arial" w:hAnsi="Arial"/>
                <w:sz w:val="16"/>
                <w:szCs w:val="16"/>
                <w:b w:val="1"/>
                <w:bCs w:val="1"/>
                <w:color w:val="auto"/>
              </w:rPr>
              <w:t>2015-2016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159"/>
              <w:spacing w:after="0" w:line="181" w:lineRule="exact"/>
              <w:rPr>
                <w:sz w:val="20"/>
                <w:szCs w:val="20"/>
                <w:color w:val="auto"/>
              </w:rPr>
            </w:pPr>
            <w:r>
              <w:rPr>
                <w:rFonts w:ascii="Arial" w:cs="Arial" w:eastAsia="Arial" w:hAnsi="Arial"/>
                <w:sz w:val="16"/>
                <w:szCs w:val="16"/>
                <w:b w:val="1"/>
                <w:bCs w:val="1"/>
                <w:color w:val="auto"/>
              </w:rPr>
              <w:t>2017-2018</w:t>
            </w:r>
          </w:p>
        </w:tc>
        <w:tc>
          <w:tcPr>
            <w:tcW w:w="280" w:type="dxa"/>
            <w:vAlign w:val="bottom"/>
          </w:tcPr>
          <w:p>
            <w:pPr>
              <w:spacing w:after="0"/>
              <w:rPr>
                <w:sz w:val="15"/>
                <w:szCs w:val="15"/>
                <w:color w:val="auto"/>
              </w:rPr>
            </w:pPr>
          </w:p>
        </w:tc>
        <w:tc>
          <w:tcPr>
            <w:tcW w:w="1080" w:type="dxa"/>
            <w:vAlign w:val="bottom"/>
          </w:tcPr>
          <w:p>
            <w:pPr>
              <w:jc w:val="right"/>
              <w:ind w:right="179"/>
              <w:spacing w:after="0" w:line="181" w:lineRule="exact"/>
              <w:rPr>
                <w:sz w:val="20"/>
                <w:szCs w:val="20"/>
                <w:color w:val="auto"/>
              </w:rPr>
            </w:pPr>
            <w:r>
              <w:rPr>
                <w:rFonts w:ascii="Arial" w:cs="Arial" w:eastAsia="Arial" w:hAnsi="Arial"/>
                <w:sz w:val="16"/>
                <w:szCs w:val="16"/>
                <w:b w:val="1"/>
                <w:bCs w:val="1"/>
                <w:color w:val="auto"/>
              </w:rPr>
              <w:t>thereafter</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184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9"/>
              </w:rPr>
              <w:t>(in thousands)</w:t>
            </w: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40" w:type="dxa"/>
            <w:vAlign w:val="bottom"/>
            <w:shd w:val="clear" w:color="auto" w:fill="CCEEFF"/>
          </w:tcPr>
          <w:p>
            <w:pPr>
              <w:spacing w:after="0"/>
              <w:rPr>
                <w:sz w:val="16"/>
                <w:szCs w:val="16"/>
                <w:color w:val="auto"/>
              </w:rPr>
            </w:pPr>
          </w:p>
        </w:tc>
        <w:tc>
          <w:tcPr>
            <w:tcW w:w="200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shd w:val="clear" w:color="auto" w:fill="CCEEFF"/>
              </w:rPr>
              <w:t>Operating lease obligations</w:t>
            </w:r>
          </w:p>
        </w:tc>
        <w:tc>
          <w:tcPr>
            <w:tcW w:w="2660" w:type="dxa"/>
            <w:vAlign w:val="bottom"/>
            <w:shd w:val="clear" w:color="auto" w:fill="CCEEFF"/>
          </w:tcPr>
          <w:p>
            <w:pPr>
              <w:jc w:val="right"/>
              <w:ind w:right="2466"/>
              <w:spacing w:after="0"/>
              <w:rPr>
                <w:sz w:val="20"/>
                <w:szCs w:val="20"/>
                <w:color w:val="auto"/>
              </w:rPr>
            </w:pPr>
            <w:r>
              <w:rPr>
                <w:rFonts w:ascii="Arial" w:cs="Arial" w:eastAsia="Arial" w:hAnsi="Arial"/>
                <w:sz w:val="11"/>
                <w:szCs w:val="11"/>
                <w:color w:val="auto"/>
                <w:w w:val="88"/>
                <w:shd w:val="clear" w:color="auto" w:fill="CCEEFF"/>
              </w:rPr>
              <w:t>(1)</w:t>
            </w:r>
          </w:p>
        </w:tc>
        <w:tc>
          <w:tcPr>
            <w:tcW w:w="2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9,951</w:t>
            </w:r>
          </w:p>
        </w:tc>
        <w:tc>
          <w:tcPr>
            <w:tcW w:w="12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1,049</w:t>
            </w:r>
          </w:p>
        </w:tc>
        <w:tc>
          <w:tcPr>
            <w:tcW w:w="12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5,280</w:t>
            </w:r>
          </w:p>
        </w:tc>
        <w:tc>
          <w:tcPr>
            <w:tcW w:w="10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2,273</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1,349</w:t>
            </w:r>
          </w:p>
        </w:tc>
        <w:tc>
          <w:tcPr>
            <w:tcW w:w="0" w:type="dxa"/>
            <w:vAlign w:val="bottom"/>
          </w:tcPr>
          <w:p>
            <w:pPr>
              <w:spacing w:after="0"/>
              <w:rPr>
                <w:sz w:val="1"/>
                <w:szCs w:val="1"/>
                <w:color w:val="auto"/>
              </w:rPr>
            </w:pPr>
          </w:p>
        </w:tc>
      </w:tr>
      <w:tr>
        <w:trPr>
          <w:trHeight w:val="90"/>
        </w:trPr>
        <w:tc>
          <w:tcPr>
            <w:tcW w:w="40" w:type="dxa"/>
            <w:vAlign w:val="bottom"/>
            <w:tcBorders>
              <w:bottom w:val="single" w:sz="8" w:color="CCEEFF"/>
            </w:tcBorders>
            <w:shd w:val="clear" w:color="auto" w:fill="CCEEFF"/>
          </w:tcPr>
          <w:p>
            <w:pPr>
              <w:spacing w:after="0"/>
              <w:rPr>
                <w:sz w:val="7"/>
                <w:szCs w:val="7"/>
                <w:color w:val="auto"/>
              </w:rPr>
            </w:pPr>
          </w:p>
        </w:tc>
        <w:tc>
          <w:tcPr>
            <w:tcW w:w="2000" w:type="dxa"/>
            <w:vAlign w:val="bottom"/>
            <w:tcBorders>
              <w:bottom w:val="single" w:sz="8" w:color="CCEEFF"/>
            </w:tcBorders>
            <w:gridSpan w:val="2"/>
            <w:vMerge w:val="continue"/>
            <w:shd w:val="clear" w:color="auto" w:fill="CCEEFF"/>
          </w:tcPr>
          <w:p>
            <w:pPr>
              <w:spacing w:after="0"/>
              <w:rPr>
                <w:sz w:val="7"/>
                <w:szCs w:val="7"/>
                <w:color w:val="auto"/>
              </w:rPr>
            </w:pPr>
          </w:p>
        </w:tc>
        <w:tc>
          <w:tcPr>
            <w:tcW w:w="2660" w:type="dxa"/>
            <w:vAlign w:val="bottom"/>
            <w:tcBorders>
              <w:bottom w:val="single" w:sz="8" w:color="CCEEFF"/>
            </w:tcBorders>
            <w:shd w:val="clear" w:color="auto" w:fill="CCEEFF"/>
          </w:tcPr>
          <w:p>
            <w:pPr>
              <w:spacing w:after="0"/>
              <w:rPr>
                <w:sz w:val="7"/>
                <w:szCs w:val="7"/>
                <w:color w:val="auto"/>
              </w:rPr>
            </w:pPr>
          </w:p>
        </w:tc>
        <w:tc>
          <w:tcPr>
            <w:tcW w:w="280" w:type="dxa"/>
            <w:vAlign w:val="bottom"/>
            <w:tcBorders>
              <w:bottom w:val="single" w:sz="8" w:color="CCEEFF"/>
            </w:tcBorders>
            <w:vMerge w:val="continue"/>
            <w:shd w:val="clear" w:color="auto" w:fill="CCEEFF"/>
          </w:tcPr>
          <w:p>
            <w:pPr>
              <w:spacing w:after="0"/>
              <w:rPr>
                <w:sz w:val="7"/>
                <w:szCs w:val="7"/>
                <w:color w:val="auto"/>
              </w:rPr>
            </w:pPr>
          </w:p>
        </w:tc>
        <w:tc>
          <w:tcPr>
            <w:tcW w:w="98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60" w:type="dxa"/>
            <w:vAlign w:val="bottom"/>
            <w:tcBorders>
              <w:bottom w:val="single" w:sz="8" w:color="CCEEFF"/>
            </w:tcBorders>
            <w:vMerge w:val="continue"/>
            <w:shd w:val="clear" w:color="auto" w:fill="CCEEFF"/>
          </w:tcPr>
          <w:p>
            <w:pPr>
              <w:spacing w:after="0"/>
              <w:rPr>
                <w:sz w:val="7"/>
                <w:szCs w:val="7"/>
                <w:color w:val="auto"/>
              </w:rPr>
            </w:pPr>
          </w:p>
        </w:tc>
        <w:tc>
          <w:tcPr>
            <w:tcW w:w="98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vMerge w:val="continue"/>
            <w:shd w:val="clear" w:color="auto" w:fill="CCEEFF"/>
          </w:tcPr>
          <w:p>
            <w:pPr>
              <w:spacing w:after="0"/>
              <w:rPr>
                <w:sz w:val="7"/>
                <w:szCs w:val="7"/>
                <w:color w:val="auto"/>
              </w:rPr>
            </w:pPr>
          </w:p>
        </w:tc>
        <w:tc>
          <w:tcPr>
            <w:tcW w:w="108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vMerge w:val="continue"/>
            <w:shd w:val="clear" w:color="auto" w:fill="CCEEFF"/>
          </w:tcPr>
          <w:p>
            <w:pPr>
              <w:spacing w:after="0"/>
              <w:rPr>
                <w:sz w:val="7"/>
                <w:szCs w:val="7"/>
                <w:color w:val="auto"/>
              </w:rPr>
            </w:pPr>
          </w:p>
        </w:tc>
        <w:tc>
          <w:tcPr>
            <w:tcW w:w="1080" w:type="dxa"/>
            <w:vAlign w:val="bottom"/>
            <w:tcBorders>
              <w:bottom w:val="single" w:sz="8" w:color="CCEEFF"/>
            </w:tcBorders>
            <w:vMerge w:val="continue"/>
            <w:shd w:val="clear" w:color="auto" w:fill="CCEEFF"/>
          </w:tcPr>
          <w:p>
            <w:pPr>
              <w:spacing w:after="0"/>
              <w:rPr>
                <w:sz w:val="7"/>
                <w:szCs w:val="7"/>
                <w:color w:val="auto"/>
              </w:rPr>
            </w:pPr>
          </w:p>
        </w:tc>
        <w:tc>
          <w:tcPr>
            <w:tcW w:w="280" w:type="dxa"/>
            <w:vAlign w:val="bottom"/>
            <w:tcBorders>
              <w:bottom w:val="single" w:sz="8" w:color="CCEEFF"/>
            </w:tcBorders>
            <w:vMerge w:val="continue"/>
            <w:shd w:val="clear" w:color="auto" w:fill="CCEEFF"/>
          </w:tcPr>
          <w:p>
            <w:pPr>
              <w:spacing w:after="0"/>
              <w:rPr>
                <w:sz w:val="7"/>
                <w:szCs w:val="7"/>
                <w:color w:val="auto"/>
              </w:rPr>
            </w:pPr>
          </w:p>
        </w:tc>
        <w:tc>
          <w:tcPr>
            <w:tcW w:w="108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4660" w:type="dxa"/>
            <w:vAlign w:val="bottom"/>
            <w:gridSpan w:val="3"/>
          </w:tcPr>
          <w:p>
            <w:pPr>
              <w:ind w:left="24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9,951</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1,049</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5,280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2,273</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1,349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340" w:right="280" w:hanging="332"/>
        <w:spacing w:after="0" w:line="278" w:lineRule="auto"/>
        <w:tabs>
          <w:tab w:leader="none" w:pos="232" w:val="left"/>
        </w:tabs>
        <w:numPr>
          <w:ilvl w:val="0"/>
          <w:numId w:val="5"/>
        </w:numPr>
        <w:rPr>
          <w:rFonts w:ascii="Arial" w:cs="Arial" w:eastAsia="Arial" w:hAnsi="Arial"/>
          <w:sz w:val="14"/>
          <w:szCs w:val="14"/>
          <w:color w:val="231F20"/>
        </w:rPr>
      </w:pPr>
      <w:r>
        <w:rPr>
          <w:rFonts w:ascii="Arial" w:cs="Arial" w:eastAsia="Arial" w:hAnsi="Arial"/>
          <w:sz w:val="14"/>
          <w:szCs w:val="14"/>
          <w:color w:val="231F20"/>
        </w:rPr>
        <w:t xml:space="preserve">Operating lease obligations represent our obligations to make payments under the lease agreements for our facilities, data centers, and office equipment leases. During the </w:t>
      </w:r>
      <w:r>
        <w:rPr>
          <w:rFonts w:ascii="Arial" w:cs="Arial" w:eastAsia="Arial" w:hAnsi="Arial"/>
          <w:sz w:val="14"/>
          <w:szCs w:val="14"/>
          <w:color w:val="000000"/>
        </w:rPr>
        <w:t>nine months ended September 30, 2014</w:t>
      </w:r>
      <w:r>
        <w:rPr>
          <w:rFonts w:ascii="Arial" w:cs="Arial" w:eastAsia="Arial" w:hAnsi="Arial"/>
          <w:sz w:val="14"/>
          <w:szCs w:val="14"/>
          <w:color w:val="231F20"/>
        </w:rPr>
        <w:t>, we made regular payments on our operating lease obligations of $3.3 million.</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Off-Balance Sheet Arrangements</w:t>
      </w:r>
    </w:p>
    <w:p>
      <w:pPr>
        <w:spacing w:after="0" w:line="193" w:lineRule="exact"/>
        <w:rPr>
          <w:sz w:val="20"/>
          <w:szCs w:val="20"/>
          <w:color w:val="auto"/>
        </w:rPr>
      </w:pPr>
    </w:p>
    <w:p>
      <w:pPr>
        <w:ind w:right="540" w:firstLine="486"/>
        <w:spacing w:after="0" w:line="262" w:lineRule="auto"/>
        <w:rPr>
          <w:sz w:val="20"/>
          <w:szCs w:val="20"/>
          <w:color w:val="auto"/>
        </w:rPr>
      </w:pPr>
      <w:r>
        <w:rPr>
          <w:rFonts w:ascii="Arial" w:cs="Arial" w:eastAsia="Arial" w:hAnsi="Arial"/>
          <w:sz w:val="18"/>
          <w:szCs w:val="18"/>
          <w:color w:val="231F20"/>
        </w:rPr>
        <w:t>During the periods presented, we did not have, nor do we currently have, any relationships with unconsolidated entities or financial partnerships, such as entities often referred to as structured finance or special purpose entities.</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Recent Accounting Pronouncements</w:t>
      </w:r>
    </w:p>
    <w:p>
      <w:pPr>
        <w:spacing w:after="0" w:line="193" w:lineRule="exact"/>
        <w:rPr>
          <w:sz w:val="20"/>
          <w:szCs w:val="20"/>
          <w:color w:val="auto"/>
        </w:rPr>
      </w:pPr>
    </w:p>
    <w:p>
      <w:pPr>
        <w:ind w:right="280" w:firstLine="486"/>
        <w:spacing w:after="0" w:line="262" w:lineRule="auto"/>
        <w:rPr>
          <w:sz w:val="20"/>
          <w:szCs w:val="20"/>
          <w:color w:val="auto"/>
        </w:rPr>
      </w:pPr>
      <w:r>
        <w:rPr>
          <w:rFonts w:ascii="Arial" w:cs="Arial" w:eastAsia="Arial" w:hAnsi="Arial"/>
          <w:sz w:val="18"/>
          <w:szCs w:val="18"/>
          <w:color w:val="231F20"/>
        </w:rPr>
        <w:t>See Note 1 to the unaudited condensed consolidated financial statements in Part I, Item 1 of this Quarterly Report on Form 10-Q for a discussion of recent accounting pronouncements.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Critical Accounting Policies and Estimates</w:t>
      </w:r>
    </w:p>
    <w:p>
      <w:pPr>
        <w:spacing w:after="0" w:line="193" w:lineRule="exact"/>
        <w:rPr>
          <w:sz w:val="20"/>
          <w:szCs w:val="20"/>
          <w:color w:val="auto"/>
        </w:rPr>
      </w:pPr>
    </w:p>
    <w:p>
      <w:pPr>
        <w:ind w:right="460" w:firstLine="486"/>
        <w:spacing w:after="0" w:line="254" w:lineRule="auto"/>
        <w:rPr>
          <w:sz w:val="20"/>
          <w:szCs w:val="20"/>
          <w:color w:val="auto"/>
        </w:rPr>
      </w:pPr>
      <w:r>
        <w:rPr>
          <w:rFonts w:ascii="Arial" w:cs="Arial" w:eastAsia="Arial" w:hAnsi="Arial"/>
          <w:sz w:val="18"/>
          <w:szCs w:val="18"/>
          <w:color w:val="231F20"/>
        </w:rPr>
        <w:t>Our condensed consolidated financial statements are prepared in accordance with U.S. GAAP. The preparation of these financial statements requires us to make estimates and assumptions that affect the reported amounts of assets, liabilities, revenues, expenses and related disclosures. On an ongoing basis, we evaluate our estimates and assumptions. Our actual results may differ from these estimates under different assumptions or conditions.</w:t>
      </w:r>
    </w:p>
    <w:p>
      <w:pPr>
        <w:spacing w:after="0" w:line="204"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231F20"/>
        </w:rPr>
        <w:t>We believe that of our significant accounting policies, which are described in the notes to our consolidated financial statements in our Annual Report on Form 10-K for the fiscal year ended December 31, 2013, filed with the SEC on February 28, 2014, the accounting policies related to revenue recognition, income taxes and stock-based compensation involve the greatest degree of judgment and complexity and have the greatest potential impact on our consolidated financial statements. A critical accounting policy is one that is material to the presentation of our consolidated financial statements and requires us to make difficult, subjective or complex judgments for uncertain matters that could have a material effect on our financial condition and results of operations. Accordingly, these are the policies we believe are the most critical to aid in fully understanding and evaluating our financial condition and results of operations. There have been no material changes to our critical accounting policies and estimates as compared to the critical accounting policies and estimates as described in our Annual Report on Form 10-K for the fiscal year ended December 31,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41"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18"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231F20"/>
        </w:rPr>
        <w:t>Quantitative and Qualitative Disclosures about Market Risk</w:t>
      </w:r>
    </w:p>
    <w:p>
      <w:pPr>
        <w:spacing w:after="0" w:line="328" w:lineRule="exact"/>
        <w:rPr>
          <w:sz w:val="20"/>
          <w:szCs w:val="20"/>
          <w:color w:val="auto"/>
        </w:rPr>
      </w:pPr>
    </w:p>
    <w:p>
      <w:pPr>
        <w:jc w:val="both"/>
        <w:ind w:right="180" w:firstLine="486"/>
        <w:spacing w:after="0" w:line="254" w:lineRule="auto"/>
        <w:rPr>
          <w:sz w:val="20"/>
          <w:szCs w:val="20"/>
          <w:color w:val="auto"/>
        </w:rPr>
      </w:pPr>
      <w:r>
        <w:rPr>
          <w:rFonts w:ascii="Arial" w:cs="Arial" w:eastAsia="Arial" w:hAnsi="Arial"/>
          <w:sz w:val="18"/>
          <w:szCs w:val="18"/>
          <w:color w:val="231F20"/>
        </w:rPr>
        <w:t>We have domestic and international operations and we are exposed to market risks in the ordinary course of our business. These risks primarily include interest rate, foreign exchange and inflation risks, as well as risks relating to changes in the general economic conditions in the countries where we conduct business. To reduce certain of these risks, we monitor the financial condition of our large customers and limit credit exposure by collecting subscription fees in advance.</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Foreign Currency Risk</w:t>
      </w:r>
    </w:p>
    <w:p>
      <w:pPr>
        <w:spacing w:after="0" w:line="139"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231F20"/>
        </w:rPr>
        <w:t>Our results of operations and cash flows have been and will continue to be subject to fluctuations because of changes in foreign currency exchange rates, particularly changes in exchange rates between the U.S. dollar and the Euro and British pound, the currencies of countries where we currently have our most significant international operations. A portion of our invoicing is denominated in the Euro, British pound and Japanese yen. Our expenses in international locations are generally denominated in the currencies of the countries in which our operations are located.</w:t>
      </w:r>
    </w:p>
    <w:p>
      <w:pPr>
        <w:spacing w:after="0" w:line="179" w:lineRule="exact"/>
        <w:rPr>
          <w:sz w:val="20"/>
          <w:szCs w:val="20"/>
          <w:color w:val="auto"/>
        </w:rPr>
      </w:pPr>
    </w:p>
    <w:p>
      <w:pPr>
        <w:ind w:right="400" w:firstLine="486"/>
        <w:spacing w:after="0" w:line="253" w:lineRule="auto"/>
        <w:rPr>
          <w:sz w:val="20"/>
          <w:szCs w:val="20"/>
          <w:color w:val="auto"/>
        </w:rPr>
      </w:pPr>
      <w:r>
        <w:rPr>
          <w:rFonts w:ascii="Arial" w:cs="Arial" w:eastAsia="Arial" w:hAnsi="Arial"/>
          <w:sz w:val="18"/>
          <w:szCs w:val="18"/>
          <w:color w:val="231F20"/>
        </w:rPr>
        <w:t>We use foreign exchange forward contracts to partially mitigate the impact of fluctuations in cash and accounts receivable balances denominated in Euros and British pounds. We do not use these contracts for speculative or trading purposes, nor are they designated as hedges. These contracts typically have a maturity of one month, and we record gains and losses from these instruments in other income (expense), net. The effect of an immediate 10% adverse change in foreign exchange rates would not be material to our financial condition, operating results or cash flows.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93" w:lineRule="exact"/>
        <w:rPr>
          <w:sz w:val="20"/>
          <w:szCs w:val="20"/>
          <w:color w:val="auto"/>
        </w:rPr>
      </w:pPr>
    </w:p>
    <w:p>
      <w:pPr>
        <w:ind w:right="140" w:firstLine="486"/>
        <w:spacing w:after="0" w:line="253" w:lineRule="auto"/>
        <w:rPr>
          <w:sz w:val="20"/>
          <w:szCs w:val="20"/>
          <w:color w:val="auto"/>
        </w:rPr>
      </w:pPr>
      <w:r>
        <w:rPr>
          <w:rFonts w:ascii="Arial" w:cs="Arial" w:eastAsia="Arial" w:hAnsi="Arial"/>
          <w:sz w:val="18"/>
          <w:szCs w:val="18"/>
          <w:color w:val="auto"/>
        </w:rPr>
        <w:t>We have $151.3 million in cash, cash equivalents and short-term and long-term investments at September 30, 2014. Cash and cash equivalents include cash held in banks and highly liquid money market funds, corporate bonds, U.S. government agency securities, and commercial paper. Investments consist of fixed-income U.S. government agency securities, corporate bonds, asset-backed securities, municipal bonds and commercial paper. All of these investments, excluding long-term investments, have maturities of less than one year from date of purchase. Long-term investments have maturities that extend more than one year from date of purchase.</w:t>
      </w:r>
    </w:p>
    <w:p>
      <w:pPr>
        <w:spacing w:after="0" w:line="165" w:lineRule="exact"/>
        <w:rPr>
          <w:sz w:val="20"/>
          <w:szCs w:val="20"/>
          <w:color w:val="auto"/>
        </w:rPr>
      </w:pPr>
    </w:p>
    <w:p>
      <w:pPr>
        <w:jc w:val="both"/>
        <w:ind w:right="160" w:firstLine="486"/>
        <w:spacing w:after="0" w:line="254" w:lineRule="auto"/>
        <w:rPr>
          <w:sz w:val="20"/>
          <w:szCs w:val="20"/>
          <w:color w:val="auto"/>
        </w:rPr>
      </w:pPr>
      <w:r>
        <w:rPr>
          <w:rFonts w:ascii="Arial" w:cs="Arial" w:eastAsia="Arial" w:hAnsi="Arial"/>
          <w:sz w:val="18"/>
          <w:szCs w:val="18"/>
          <w:color w:val="auto"/>
        </w:rPr>
        <w:t>The primary objectives of our investment activities are the preservation of principal and support of our liquidity requirements. We do not enter into investments for trading or speculative purposes. Our investments are subject to market risk due to changes in interest rates, which may affect the interest income we earn and the fair market value. Due to the nature of these investments held as available-for-sale securities, we do not believe that a 10% increase or decrease in interest rates would have a material impact on our operating results or cash flows.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41" w:right="25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4. Controls and Procedures</w:t>
      </w:r>
    </w:p>
    <w:p>
      <w:pPr>
        <w:spacing w:after="0" w:line="33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Evaluation of Disclosure Controls and Procedures</w:t>
      </w:r>
    </w:p>
    <w:p>
      <w:pPr>
        <w:spacing w:after="0" w:line="274"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evaluated the effectiveness of our disclosure controls and procedures as of September 30, 2014.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2014, our Chief Executive Officer and Chief Financial Officer concluded that, as of such date, our disclosure controls and procedures were effective at the reasonable assurance level.</w:t>
      </w:r>
    </w:p>
    <w:p>
      <w:pPr>
        <w:spacing w:after="0" w:line="200" w:lineRule="exact"/>
        <w:rPr>
          <w:sz w:val="20"/>
          <w:szCs w:val="20"/>
          <w:color w:val="auto"/>
        </w:rPr>
      </w:pPr>
    </w:p>
    <w:p>
      <w:pPr>
        <w:spacing w:after="0" w:line="23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Changes in Internal Control over Financial Reporting</w:t>
      </w:r>
    </w:p>
    <w:p>
      <w:pPr>
        <w:spacing w:after="0" w:line="274" w:lineRule="exact"/>
        <w:rPr>
          <w:sz w:val="20"/>
          <w:szCs w:val="20"/>
          <w:color w:val="auto"/>
        </w:rPr>
      </w:pPr>
    </w:p>
    <w:p>
      <w:pPr>
        <w:jc w:val="both"/>
        <w:ind w:right="240" w:firstLine="486"/>
        <w:spacing w:after="0" w:line="256"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Exchange Act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141" w:right="29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PART II. OTHER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 Legal Proceedings</w:t>
      </w:r>
    </w:p>
    <w:p>
      <w:pPr>
        <w:spacing w:after="0" w:line="171" w:lineRule="exact"/>
        <w:rPr>
          <w:sz w:val="20"/>
          <w:szCs w:val="20"/>
          <w:color w:val="auto"/>
        </w:rPr>
      </w:pPr>
    </w:p>
    <w:p>
      <w:pPr>
        <w:jc w:val="both"/>
        <w:ind w:right="140" w:firstLine="486"/>
        <w:spacing w:after="0" w:line="254" w:lineRule="auto"/>
        <w:rPr>
          <w:sz w:val="20"/>
          <w:szCs w:val="20"/>
          <w:color w:val="auto"/>
        </w:rPr>
      </w:pPr>
      <w:r>
        <w:rPr>
          <w:rFonts w:ascii="Arial" w:cs="Arial" w:eastAsia="Arial" w:hAnsi="Arial"/>
          <w:sz w:val="18"/>
          <w:szCs w:val="18"/>
          <w:color w:val="231F20"/>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1A. Risk Factors</w:t>
      </w:r>
    </w:p>
    <w:p>
      <w:pPr>
        <w:spacing w:after="0" w:line="229"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i w:val="1"/>
          <w:iCs w:val="1"/>
          <w:color w:val="231F20"/>
        </w:rPr>
        <w:t>An investment in our common stock involves a high degree of risk. You should carefully consider the risks and uncertainties described below, and all other information contained in this Quarterly Report on Form 10-Q, including our condensed consolidated financial statements and the related notes, before making a decision to invest in our common stock. Our business, operating results, financial condition, or prospects could be materially and adversely affected by any of these risks and uncertainties. In that case, the trading price of our common stock could decline, and you might lose all or part or all of your investment. In addition, the risks and uncertainties discussed below are not the only ones we face. Our business, operating results, financial performance or prospects could also be harmed by risks and uncertainties not currently known to us or that we currently do not believe are material.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have a limited history of profitability and may not achieve or maintain profitability in the future.</w:t>
      </w:r>
    </w:p>
    <w:p>
      <w:pPr>
        <w:spacing w:after="0" w:line="247"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We have not been consistently profitable on a quarterly or annual basis. While we have experienced significant revenue growth over recent years, we may not be able to sustain or increase our growth or maintain profitability in the future. Although we have been profitable in 2013, 2012 and 2011, we have had losses in certain quarters within these years. Additionally, our net income for the most recent year ended December 31, 2013 was lower than the prior year, primarily due to increased sales and marketing activities, as we continued to expand our worldwide customer base and focus on the promotion of our new solutions; increased investments to expand our data center infrastructure and to add capacity to deploy new solutions on our cloud platform; and increased personnel, professional services and other expenses to operate as a public company. We plan to continue to invest in our infrastructure, new solutions, research and development and sales and marketing, and as a result, we cannot assure you that we will maintain profitability. In addition, we will continue to incur increased personnel and professional services expenses to ensure compliance with Section 404 of the Sarbanes-Oxley Act. As a result of these increased expenditures, we will have to generate and sustain increased revenues to achieve future profitability. We may incur losses in the future for a number of reasons, including without limitation, the other risks and uncertainties described in this Quarterly Report on Form 10-Q. Additionally, we may encounter unforeseen operating expenses, difficulties, complications, delays and other unknown factors that may result in losses in future periods. If our revenue growth does not meet our expectations in future periods, our financial performance may be harmed and we may not again achieve or maintain profitability in the future.</w:t>
      </w:r>
    </w:p>
    <w:p>
      <w:pPr>
        <w:spacing w:after="0" w:line="189"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If the market for cloud solutions for IT security and compliance does not evolve as we anticipate, our revenues may not grow and our operating results would be harmed.</w:t>
      </w:r>
    </w:p>
    <w:p>
      <w:pPr>
        <w:spacing w:after="0" w:line="175" w:lineRule="exact"/>
        <w:rPr>
          <w:sz w:val="20"/>
          <w:szCs w:val="20"/>
          <w:color w:val="auto"/>
        </w:rPr>
      </w:pPr>
    </w:p>
    <w:p>
      <w:pPr>
        <w:ind w:right="60" w:firstLine="405"/>
        <w:spacing w:after="0" w:line="251" w:lineRule="auto"/>
        <w:rPr>
          <w:sz w:val="20"/>
          <w:szCs w:val="20"/>
          <w:color w:val="auto"/>
        </w:rPr>
      </w:pPr>
      <w:r>
        <w:rPr>
          <w:rFonts w:ascii="Arial" w:cs="Arial" w:eastAsia="Arial" w:hAnsi="Arial"/>
          <w:sz w:val="18"/>
          <w:szCs w:val="18"/>
          <w:color w:val="231F20"/>
        </w:rPr>
        <w:t>Our success depends to a significant extent on the willingness of organizations to increase their use of cloud solutions for their IT security and compliance. However, the market for cloud solutions for IT security and compliance is at an early stage relative to on-premise solutions, and as such, it is difficult to predict important market trends, including the potential growth, if any, of the market for cloud security and compliance solutions. To date, some organizations have been reluctant to use cloud solutions because they have concerns regarding the risks associated with the reliability or security of the technology delivery model associated with these solutions. If other cloud service providers experience security incidents, loss of customer data, disruptions in service delivery or other problems, the market for cloud solutions as a whole, including our solutions, may be negatively impacted. Moreover, many organizations have invested substantial personnel and financial resources to integrate on-premise software into their businesses, and as a result may be reluctant or unwilling to migrate to a cloud solution. Organizations that use on-premise security products, such as network firewalls, security information and event management products or data loss prevention solutions, may also believe that these products sufficiently protect their IT infrastructure and deliver adequate security. Therefore, they may continue spending their IT security</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41" w:right="25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231F20"/>
        </w:rPr>
        <w:t>budgets on these products and may not adopt our security and compliance solutions in addition to or as a replacement for such products.</w:t>
      </w:r>
    </w:p>
    <w:p>
      <w:pPr>
        <w:spacing w:after="0" w:line="225" w:lineRule="exact"/>
        <w:rPr>
          <w:sz w:val="20"/>
          <w:szCs w:val="20"/>
          <w:color w:val="auto"/>
        </w:rPr>
      </w:pPr>
    </w:p>
    <w:p>
      <w:pPr>
        <w:jc w:val="both"/>
        <w:ind w:right="160" w:firstLine="405"/>
        <w:spacing w:after="0" w:line="256" w:lineRule="auto"/>
        <w:rPr>
          <w:sz w:val="20"/>
          <w:szCs w:val="20"/>
          <w:color w:val="auto"/>
        </w:rPr>
      </w:pPr>
      <w:r>
        <w:rPr>
          <w:rFonts w:ascii="Arial" w:cs="Arial" w:eastAsia="Arial" w:hAnsi="Arial"/>
          <w:sz w:val="18"/>
          <w:szCs w:val="18"/>
          <w:color w:val="231F20"/>
        </w:rPr>
        <w:t>If the market for cloud solutions for IT security and compliance does not evolve in the way we anticipate or if customers do not recognize the benefits of our cloud solutions over traditional on-premise enterprise software products, and as a result we are unable to increase sales of subscriptions to our solutions, then our revenues may not grow or may decline, and our operating results would be harmed.</w:t>
      </w:r>
    </w:p>
    <w:p>
      <w:pPr>
        <w:spacing w:after="0" w:line="180" w:lineRule="exact"/>
        <w:rPr>
          <w:sz w:val="20"/>
          <w:szCs w:val="20"/>
          <w:color w:val="auto"/>
        </w:rPr>
      </w:pPr>
    </w:p>
    <w:p>
      <w:pPr>
        <w:ind w:right="360"/>
        <w:spacing w:after="0" w:line="269" w:lineRule="auto"/>
        <w:rPr>
          <w:sz w:val="20"/>
          <w:szCs w:val="20"/>
          <w:color w:val="auto"/>
        </w:rPr>
      </w:pPr>
      <w:r>
        <w:rPr>
          <w:rFonts w:ascii="Arial" w:cs="Arial" w:eastAsia="Arial" w:hAnsi="Arial"/>
          <w:sz w:val="18"/>
          <w:szCs w:val="18"/>
          <w:b w:val="1"/>
          <w:bCs w:val="1"/>
          <w:i w:val="1"/>
          <w:iCs w:val="1"/>
          <w:color w:val="231F20"/>
        </w:rPr>
        <w:t>If we do not successfully anticipate market needs and opportunities or are unable to enhance our solutions and develop new solutions that meet those needs and opportunities on a timely basis, we may not be able to compete effectively and our business and financial condition may be harmed.</w:t>
      </w:r>
    </w:p>
    <w:p>
      <w:pPr>
        <w:spacing w:after="0" w:line="190"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231F20"/>
        </w:rPr>
        <w:t>The IT security and compliance market is characterized by rapid technological advances, changes in customer requirements, frequent new product introductions and enhancements and evolving industry standards and regulatory mandates. We must also continually change and improve our solutions in response to changes in operating systems, application software, computer and communications hardware, networking software, data center architectures, programming tools and computer language technology.</w:t>
      </w:r>
    </w:p>
    <w:p>
      <w:pPr>
        <w:spacing w:after="0" w:line="204"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231F20"/>
        </w:rPr>
        <w:t>We may not be able to anticipate future market needs and opportunities or develop enhancements or new solutions to meet such needs or opportunities in a timely manner or at all. The market for cloud solutions for IT security and compliance is relatively new, and it is uncertain whether our new solutions will gain market acceptance.</w:t>
      </w:r>
    </w:p>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Our solution enhancements or new solutions could fail to attain sufficient market acceptance for many reasons, including:</w:t>
      </w:r>
    </w:p>
    <w:p>
      <w:pPr>
        <w:spacing w:after="0" w:line="11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timely meet market demand for product functionality;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inability to identify and provide intelligence regarding the attacks or techniques used by cyber attackers;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inability to interoperate effectively with the database technologies, file systems or web applications of our prospective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defects, errors or failures;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in releasing our enhancements or new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introduction or anticipated introduction of products by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poor business conditions, causing customers to delay IT security and compliance purchases;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easing or changing of external regulations related to IT security and compliance;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reluctance of customers to purchase cloud solutions for IT security and compliance.</w:t>
      </w:r>
    </w:p>
    <w:p>
      <w:pPr>
        <w:spacing w:after="0" w:line="333"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231F20"/>
        </w:rPr>
        <w:t>Furthermore, diversifying our solutions and expanding into new IT security and compliance markets will require significant investment and planning, require that our research and development and sales and marketing organizations develop expertise in these new markets, bring us more directly into competition with security and compliance providers that may be better established or have greater resources than we do, require additional investment of time and resources in the development and training of our channel partners and entail significant risk of failure.</w:t>
      </w:r>
    </w:p>
    <w:p>
      <w:pPr>
        <w:spacing w:after="0" w:line="204" w:lineRule="exact"/>
        <w:rPr>
          <w:sz w:val="20"/>
          <w:szCs w:val="20"/>
          <w:color w:val="auto"/>
        </w:rPr>
      </w:pPr>
    </w:p>
    <w:p>
      <w:pPr>
        <w:ind w:right="420" w:firstLine="405"/>
        <w:spacing w:after="0" w:line="254" w:lineRule="auto"/>
        <w:rPr>
          <w:sz w:val="20"/>
          <w:szCs w:val="20"/>
          <w:color w:val="auto"/>
        </w:rPr>
      </w:pPr>
      <w:r>
        <w:rPr>
          <w:rFonts w:ascii="Arial" w:cs="Arial" w:eastAsia="Arial" w:hAnsi="Arial"/>
          <w:sz w:val="18"/>
          <w:szCs w:val="18"/>
          <w:color w:val="231F20"/>
        </w:rPr>
        <w:t>If we fail to anticipate market requirements or fail to develop and introduce solution enhancements or new solutions to satisfy those requirements in a timely manner, such failure could substantially decrease or delay market acceptance and sales of our present and future solutions and cause us to lose existing customers or fail to gain new customers, which would significantly harm our business, financial condition and results of operations.</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41" w:right="2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231F20"/>
        </w:rPr>
        <w:t>If we fail to continue to effectively scale and adapt our platform to meet the performance and other requirements of our customers, our operating results and our business would be harmed.</w:t>
      </w:r>
    </w:p>
    <w:p>
      <w:pPr>
        <w:spacing w:after="0" w:line="175" w:lineRule="exact"/>
        <w:rPr>
          <w:sz w:val="20"/>
          <w:szCs w:val="20"/>
          <w:color w:val="auto"/>
        </w:rPr>
      </w:pPr>
    </w:p>
    <w:p>
      <w:pPr>
        <w:ind w:right="20" w:firstLine="405"/>
        <w:spacing w:after="0" w:line="250" w:lineRule="auto"/>
        <w:rPr>
          <w:sz w:val="20"/>
          <w:szCs w:val="20"/>
          <w:color w:val="auto"/>
        </w:rPr>
      </w:pPr>
      <w:r>
        <w:rPr>
          <w:rFonts w:ascii="Arial" w:cs="Arial" w:eastAsia="Arial" w:hAnsi="Arial"/>
          <w:sz w:val="18"/>
          <w:szCs w:val="18"/>
          <w:color w:val="231F20"/>
        </w:rPr>
        <w:t>Our future growth is dependent upon our ability to continue to meet the expanding needs of our customers as their use of our cloud platform grows. As these customers gain more experience with our solutions, the number of users and the number of locations where our solutions are being accessed may expand rapidly in the future. In order to ensure that we meet the performance and other requirements of our customers, we intend to continue to</w:t>
      </w:r>
    </w:p>
    <w:p>
      <w:pPr>
        <w:spacing w:after="0" w:line="2" w:lineRule="exact"/>
        <w:rPr>
          <w:sz w:val="20"/>
          <w:szCs w:val="20"/>
          <w:color w:val="auto"/>
        </w:rPr>
      </w:pPr>
    </w:p>
    <w:p>
      <w:pPr>
        <w:spacing w:after="0" w:line="254" w:lineRule="auto"/>
        <w:rPr>
          <w:sz w:val="20"/>
          <w:szCs w:val="20"/>
          <w:color w:val="auto"/>
        </w:rPr>
      </w:pPr>
      <w:r>
        <w:rPr>
          <w:rFonts w:ascii="Arial" w:cs="Arial" w:eastAsia="Arial" w:hAnsi="Arial"/>
          <w:sz w:val="18"/>
          <w:szCs w:val="18"/>
          <w:color w:val="231F20"/>
        </w:rPr>
        <w:t>make significant investments to develop and implement new proprietary and third-party technologies at all levels of our cloud platform. These technologies, which include databases, applications and server optimizations, and network and hosting strategies, are often complex, new and unproven. We may not be successful in developing or implementing these technologies. To the extent that we do not effectively scale our platform to maintain performance as our customers expand their use of our platform, our operating results and our business may be harmed.</w:t>
      </w:r>
    </w:p>
    <w:p>
      <w:pPr>
        <w:spacing w:after="0" w:line="182"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Our quarterly operating results may vary from period to period, which could result in our failure to meet expectations with respect to operating results and cause the trading price of our stock to decline.</w:t>
      </w:r>
    </w:p>
    <w:p>
      <w:pPr>
        <w:spacing w:after="0" w:line="175" w:lineRule="exact"/>
        <w:rPr>
          <w:sz w:val="20"/>
          <w:szCs w:val="20"/>
          <w:color w:val="auto"/>
        </w:rPr>
      </w:pPr>
    </w:p>
    <w:p>
      <w:pPr>
        <w:ind w:right="60" w:firstLine="405"/>
        <w:spacing w:after="0" w:line="262" w:lineRule="auto"/>
        <w:rPr>
          <w:sz w:val="20"/>
          <w:szCs w:val="20"/>
          <w:color w:val="auto"/>
        </w:rPr>
      </w:pPr>
      <w:r>
        <w:rPr>
          <w:rFonts w:ascii="Arial" w:cs="Arial" w:eastAsia="Arial" w:hAnsi="Arial"/>
          <w:sz w:val="18"/>
          <w:szCs w:val="18"/>
          <w:color w:val="231F20"/>
        </w:rPr>
        <w:t>Our operating results have historically varied from period to period, and we expect that they will continue to do so as a result of a number of factors, many of which are outside of our control, including:</w:t>
      </w:r>
    </w:p>
    <w:p>
      <w:pPr>
        <w:spacing w:after="0" w:line="8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demand for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customer renewals of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extent to which customers subscribe for additional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seasonal buying patterns of our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perceived threats to IT security;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security breaches, technical difficulties or interruptions with our service;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growth rate of the IT security and compliance market;</w:t>
      </w:r>
    </w:p>
    <w:p>
      <w:pPr>
        <w:spacing w:after="0" w:line="117" w:lineRule="exact"/>
        <w:rPr>
          <w:rFonts w:ascii="Arial" w:cs="Arial" w:eastAsia="Arial" w:hAnsi="Arial"/>
          <w:sz w:val="18"/>
          <w:szCs w:val="18"/>
          <w:color w:val="auto"/>
        </w:rPr>
      </w:pPr>
    </w:p>
    <w:p>
      <w:pPr>
        <w:ind w:left="660" w:right="540" w:hanging="328"/>
        <w:spacing w:after="0" w:line="26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and success of new product or service introductions by us or our competitors or any other changes in the competitive landscape of our industry, including consolidation among our competitors;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introduction or adoption of new technologies that compete with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decisions by potential customers to purchase IT security and compliance products or services from other vendors;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amount and timing of operating costs and capital expenditures related to the operations and expansion of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of sales commissions relative to the recognition of revenues;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announcement or adoption of new regulations and policy mandates or changes to existing regulations and policy mandates;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price competition;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insolvency or credit difficulties confronting our customers, affecting their ability to purchase or pay for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 the foreign markets in which we sell our solutions;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40"/>
          </w:cols>
          <w:pgMar w:left="240" w:top="141" w:right="31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70"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231F20"/>
        </w:rPr>
        <w:t>Each factor above or discussed elsewhere in this Quarterly Report on Form 10-Q or the cumulative effect of some of these factors may result in fluctuations in our operating results. This variability and unpredictability could result in our failure to meet expectations with respect to operating results, or those of securities analysts or investors, for a particular period. In addition, a significant percentage of our operating expenses are fixed in nature and based on forecasted trends in revenues. Accordingly, in the event of shortfalls in revenues, we are generally unable to mitigate the negative impact on margins in the short term by reducing our operating expenses. If we fail to meet or exceed expectations for our operating results for these or any other reasons, the trading price of our common stock could fall and we could face costly lawsuits, including securities class action suits.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Adverse economic conditions or reduced IT spending may adversely impact our business.</w:t>
      </w:r>
    </w:p>
    <w:p>
      <w:pPr>
        <w:spacing w:after="0" w:line="247"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231F20"/>
        </w:rPr>
        <w:t>Our business depends on the overall demand for IT and on the economic health of our current and prospective customers. In general, worldwide economic conditions remain unstable, and these conditions make it difficult for our customers, prospective customers and us to forecast and plan future business activities accurately, and they could cause our customers or prospective customers to reevaluate their decision to purchase our solutions. Weak global economic conditions, or a reduction in IT spending even if economic conditions improve, could adversely impact our business, financial condition and results of operations in a number of ways, including longer sales cycles, lower prices for our solutions, reduced bookings and lower or no growth.</w:t>
      </w:r>
    </w:p>
    <w:p>
      <w:pPr>
        <w:spacing w:after="0" w:line="187"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231F20"/>
        </w:rPr>
        <w:t>Our business depends substantially on retaining our current customers, and any reduction in our customer renewals or revenues from such customers could harm our future operating results.</w:t>
      </w:r>
    </w:p>
    <w:p>
      <w:pPr>
        <w:spacing w:after="0" w:line="175" w:lineRule="exact"/>
        <w:rPr>
          <w:sz w:val="20"/>
          <w:szCs w:val="20"/>
          <w:color w:val="auto"/>
        </w:rPr>
      </w:pPr>
    </w:p>
    <w:p>
      <w:pPr>
        <w:ind w:right="80" w:firstLine="405"/>
        <w:spacing w:after="0" w:line="251" w:lineRule="auto"/>
        <w:rPr>
          <w:sz w:val="20"/>
          <w:szCs w:val="20"/>
          <w:color w:val="auto"/>
        </w:rPr>
      </w:pPr>
      <w:r>
        <w:rPr>
          <w:rFonts w:ascii="Arial" w:cs="Arial" w:eastAsia="Arial" w:hAnsi="Arial"/>
          <w:sz w:val="18"/>
          <w:szCs w:val="18"/>
          <w:color w:val="231F20"/>
        </w:rPr>
        <w:t>We offer our QualysGuard Cloud Platform and integrated suite of solutions pursuant to a software-as-a-service model, and our customers purchase subscriptions from us that are generally one year in length. Our customers have no obligation to renew their subscriptions after their subscription period expires, and they may not renew their subscriptions at the same or higher levels or at all. As a result, our ability to grow depends in part on customers renewing their existing subscriptions and purchasing additional subscriptions and solutions. Our customers may choose not to renew their subscriptions to our solutions or purchase additional solutions due to a number of factors, including their satisfaction or dissatisfaction with our solutions, the prices of our solutions, the prices of products or services offered by our competitors, reductions in our customers’ spending levels due to the macroeconomic environment or other factors. If our customers do not renew their subscriptions to our solutions, renew on less favorable terms, or do not purchase additional solutions or subscriptions, our revenues may grow more slowly than expected or decline and our results of operations may be harmed.</w:t>
      </w:r>
    </w:p>
    <w:p>
      <w:pPr>
        <w:spacing w:after="0" w:line="191"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231F20"/>
        </w:rPr>
        <w:t>If we are unable to continue to attract new customers and grow our customer base, our growth could be slower than we expect and our business may be harmed.</w:t>
      </w:r>
    </w:p>
    <w:p>
      <w:pPr>
        <w:spacing w:after="0" w:line="175"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231F20"/>
        </w:rPr>
        <w:t>We believe that our future growth depends in part upon increasing our customer base. Our ability to achieve significant growth in revenues in the future will depend, in large part, upon continually attracting new customers and obtaining subscription renewals to our solutions from those customers. If we fail to attract new customers our revenues may grow more slowly than expected and our business may be harmed.</w:t>
      </w:r>
    </w:p>
    <w:p>
      <w:pPr>
        <w:spacing w:after="0" w:line="180"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b w:val="1"/>
          <w:bCs w:val="1"/>
          <w:i w:val="1"/>
          <w:iCs w:val="1"/>
          <w:color w:val="231F20"/>
        </w:rPr>
        <w:t>Subscriptions to our QualysGuard Vulnerability Management solution generate most of our revenues, and if we are unable to continue to renew and grow subscriptions for this solution, our operating results would suffer.</w:t>
      </w:r>
    </w:p>
    <w:p>
      <w:pPr>
        <w:spacing w:after="0" w:line="17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We derived 82</w:t>
      </w:r>
      <w:r>
        <w:rPr>
          <w:rFonts w:ascii="Arial" w:cs="Arial" w:eastAsia="Arial" w:hAnsi="Arial"/>
          <w:sz w:val="18"/>
          <w:szCs w:val="18"/>
          <w:color w:val="000000"/>
        </w:rPr>
        <w:t>% and 84%</w:t>
      </w:r>
      <w:r>
        <w:rPr>
          <w:rFonts w:ascii="Arial" w:cs="Arial" w:eastAsia="Arial" w:hAnsi="Arial"/>
          <w:sz w:val="18"/>
          <w:szCs w:val="18"/>
          <w:color w:val="231F20"/>
        </w:rPr>
        <w:t xml:space="preserve"> of our revenues from subscriptions to our QualysGuard Vulnerability Management solution for the nine months ended September 30, 2014 and </w:t>
      </w:r>
      <w:r>
        <w:rPr>
          <w:rFonts w:ascii="Arial" w:cs="Arial" w:eastAsia="Arial" w:hAnsi="Arial"/>
          <w:sz w:val="18"/>
          <w:szCs w:val="18"/>
          <w:color w:val="000000"/>
        </w:rPr>
        <w:t>2013</w:t>
      </w:r>
      <w:r>
        <w:rPr>
          <w:rFonts w:ascii="Arial" w:cs="Arial" w:eastAsia="Arial" w:hAnsi="Arial"/>
          <w:sz w:val="18"/>
          <w:szCs w:val="18"/>
          <w:color w:val="231F20"/>
        </w:rPr>
        <w:t>, respectively, and we expect to continue to derive a significant majority of our revenues from sales of subscriptions to this solution for the foreseeable future. As a result, the market demand for our QualysGuard Vulnerability Management solution is critical to our continued success. Demand for this solution is affected by a number of factors beyond our control, including continued market acceptance of our solution for existing and new use cases, the timing of development and release of new products or services by our competitors, technological change, and growth or contraction in our market. Our inability to renew or increase subscriptions for this solution or a decline in price of this solution would harm our business and operating results more seriously than if we derived significant revenues from a variety of solutions.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41" w:right="2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sell subscriptions to additional solutions, our future revenue growth may be harmed and our business may suffer.</w:t>
      </w:r>
    </w:p>
    <w:p>
      <w:pPr>
        <w:spacing w:after="0" w:line="247" w:lineRule="exact"/>
        <w:rPr>
          <w:sz w:val="20"/>
          <w:szCs w:val="20"/>
          <w:color w:val="auto"/>
        </w:rPr>
      </w:pPr>
    </w:p>
    <w:p>
      <w:pPr>
        <w:jc w:val="both"/>
        <w:ind w:right="820" w:firstLine="405"/>
        <w:spacing w:after="0" w:line="250" w:lineRule="auto"/>
        <w:rPr>
          <w:sz w:val="20"/>
          <w:szCs w:val="20"/>
          <w:color w:val="auto"/>
        </w:rPr>
      </w:pPr>
      <w:r>
        <w:rPr>
          <w:rFonts w:ascii="Arial" w:cs="Arial" w:eastAsia="Arial" w:hAnsi="Arial"/>
          <w:sz w:val="18"/>
          <w:szCs w:val="18"/>
          <w:color w:val="231F20"/>
        </w:rPr>
        <w:t>We will need to increase the revenues that we derive from our current and future solutions other than QualysGuard Vulnerability Management for our business and revenues to grow as we expect. Revenues from our other solutions, including our Web Application Scanning, Policy Compliance, PCI Compliance, Malware Detection</w:t>
      </w:r>
    </w:p>
    <w:p>
      <w:pPr>
        <w:spacing w:after="0" w:line="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231F20"/>
        </w:rPr>
        <w:t>Service and Qualys SECURE Seal, have been relatively modest compared to revenues from our QualysGuard Vulnerability Management solution. Our future success depends in part on our ability to sell subscriptions to these additional solutions to existing and new customers. This may require more costly sales and marketing efforts and may not result in additional sales. If our efforts to sell subscriptions to additional solutions to existing and new customers are not successful, our business may suffer.</w:t>
      </w:r>
    </w:p>
    <w:p>
      <w:pPr>
        <w:spacing w:after="0" w:line="182"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b w:val="1"/>
          <w:bCs w:val="1"/>
          <w:i w:val="1"/>
          <w:iCs w:val="1"/>
          <w:color w:val="231F20"/>
        </w:rPr>
        <w:t>Our security and compliance solutions are primarily delivered from four data centers, and any disruption of service at these facilities would interrupt or delay our ability to deliver our solutions to our customers which could reduce our revenues and harm our operating results.</w:t>
      </w:r>
    </w:p>
    <w:p>
      <w:pPr>
        <w:spacing w:after="0" w:line="190"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231F20"/>
        </w:rPr>
        <w:t>We currently host substantially all of our solutions from four third-party data centers, located in the United States and Switzerland. These facilities are vulnerable to damage or interruption from earthquakes, hurricanes, floods, fires, cyber attacks, terrorist attacks, employee negligence, power losses, telecommunications failures and similar events. The facilities also could be subject to break-ins, sabotage, intentional acts of vandalism and other misconduct. The occurrence of a natural disaster, an act of terrorism or misconduct, a decision to close the facilities without adequate notice or other unanticipated problems could result in interruptions in our services.</w:t>
      </w:r>
    </w:p>
    <w:p>
      <w:pPr>
        <w:spacing w:after="0" w:line="206"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231F20"/>
        </w:rPr>
        <w:t>Our data centers are not currently redundant and we cannot rapidly move customers from one data center to another, which may increase delays in the restoration of our service for our customers if an adverse event occurs. We added data center facilities in 2013 to provide additional capacity for our cloud platform and to enable disaster recovery. We are continuing to build out these facilities and anticipate they will be fully operational by early 2015. However, the additional facilities may not be operational in the anticipated time-frame and we may incur unplanned expenses.</w:t>
      </w:r>
    </w:p>
    <w:p>
      <w:pPr>
        <w:spacing w:after="0" w:line="206"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231F20"/>
        </w:rPr>
        <w:t>Additionally, our existing data center facilities providers have no obligations to renew their agreements with us on commercially reasonable terms, or at all. If we are unable to renew our agreements with the facilities providers on commercially reasonable terms or if in the future we add additional data center facility providers, we may experience costs or downtime in connection with the loss of an existing facility or the transfer to, or addition of, new data center facilities.</w:t>
      </w:r>
    </w:p>
    <w:p>
      <w:pPr>
        <w:spacing w:after="0" w:line="204" w:lineRule="exact"/>
        <w:rPr>
          <w:sz w:val="20"/>
          <w:szCs w:val="20"/>
          <w:color w:val="auto"/>
        </w:rPr>
      </w:pPr>
    </w:p>
    <w:p>
      <w:pPr>
        <w:ind w:right="240" w:firstLine="405"/>
        <w:spacing w:after="0" w:line="256" w:lineRule="auto"/>
        <w:rPr>
          <w:sz w:val="20"/>
          <w:szCs w:val="20"/>
          <w:color w:val="auto"/>
        </w:rPr>
      </w:pPr>
      <w:r>
        <w:rPr>
          <w:rFonts w:ascii="Arial" w:cs="Arial" w:eastAsia="Arial" w:hAnsi="Arial"/>
          <w:sz w:val="18"/>
          <w:szCs w:val="18"/>
          <w:color w:val="231F20"/>
        </w:rPr>
        <w:t>Any disruptions or other performance problems with our solutions could harm our reputation and business and may damage our customers’ businesses. Interruptions in our service delivery might reduce our revenues, cause us to issue credits to customers, subject us to potential liability and cause customers to terminate their subscriptions or not renew their subscriptions.</w:t>
      </w:r>
    </w:p>
    <w:p>
      <w:pPr>
        <w:spacing w:after="0" w:line="180"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231F20"/>
        </w:rPr>
        <w:t>If we are unable to increase market awareness of our company and our new solutions, our revenues may not continue to grow, or may decline.</w:t>
      </w:r>
    </w:p>
    <w:p>
      <w:pPr>
        <w:spacing w:after="0" w:line="175" w:lineRule="exact"/>
        <w:rPr>
          <w:sz w:val="20"/>
          <w:szCs w:val="20"/>
          <w:color w:val="auto"/>
        </w:rPr>
      </w:pPr>
    </w:p>
    <w:p>
      <w:pPr>
        <w:ind w:right="400" w:firstLine="405"/>
        <w:spacing w:after="0" w:line="253" w:lineRule="auto"/>
        <w:rPr>
          <w:sz w:val="20"/>
          <w:szCs w:val="20"/>
          <w:color w:val="auto"/>
        </w:rPr>
      </w:pPr>
      <w:r>
        <w:rPr>
          <w:rFonts w:ascii="Arial" w:cs="Arial" w:eastAsia="Arial" w:hAnsi="Arial"/>
          <w:sz w:val="18"/>
          <w:szCs w:val="18"/>
          <w:color w:val="231F20"/>
        </w:rPr>
        <w:t>We have a limited operating history, particularly in certain markets and solution offerings, and we believe that we need to continue to develop market awareness in the IT security and compliance market. Market awareness of our capabilities and solutions is essential to our continued growth and success in all of our markets, particularly for the large enterprise, service provider and government markets. If our marketing programs are not successful in creating market awareness of our company and our full suite of solutions, our business, financial condition and results of operations may be adversely affected, and we may not be able to achieve our expected growth.</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41" w:right="2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231F20"/>
        </w:rPr>
        <w:t>If our solutions fail to help our customers achieve and maintain compliance with regulations and industry standards, our revenues and operating results could be harmed.</w:t>
      </w:r>
    </w:p>
    <w:p>
      <w:pPr>
        <w:spacing w:after="0" w:line="175"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231F20"/>
        </w:rPr>
        <w:t>We generate a portion of our revenues from solutions that help organizations achieve and maintain compliance with regulations and industry standards. For example, many of our customers subscribe to our security and compliance solutions to help them comply with the security standards developed and maintained by the Payment Card Industry Security Standards Council, or the PCI Council, which apply to companies that store cardholder data. Industry organizations like the PCI Council may significantly change their security standards with little or no notice, including changes that could make their standards more or less onerous for businesses. Governments may also adopt new laws or regulations, or make changes to existing laws or regulations, that could impact the demand for or value of our solutions.</w:t>
      </w:r>
    </w:p>
    <w:p>
      <w:pPr>
        <w:spacing w:after="0" w:line="209"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If we are unable to adapt our solutions to changing regulatory standards in a timely manner, or if our solutions fail to assist with or expedite our customers’ compliance initiatives, our customers may lose confidence in our solutions and could switch to products offered by our competitors. In addition, if regulations and standards related to data security, vulnerability management and other IT security and compliance requirements are relaxed or the penalties for non-compliance are changed in a manner that makes them less onerous, our customers may view government and industry regulatory compliance as less critical to their businesses, and our customers may be less willing to purchase our solutions. In any of these cases, our revenues and operating results could be harmed.</w:t>
      </w:r>
    </w:p>
    <w:p>
      <w:pPr>
        <w:spacing w:after="0" w:line="187"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231F20"/>
        </w:rPr>
        <w:t>If our solutions fail to detect vulnerabilities or incorrectly detect vulnerabilities, our brand and reputation could be harmed, which could have an adverse effect on our business and results of operations.</w:t>
      </w:r>
    </w:p>
    <w:p>
      <w:pPr>
        <w:spacing w:after="0" w:line="175" w:lineRule="exact"/>
        <w:rPr>
          <w:sz w:val="20"/>
          <w:szCs w:val="20"/>
          <w:color w:val="auto"/>
        </w:rPr>
      </w:pPr>
    </w:p>
    <w:p>
      <w:pPr>
        <w:ind w:right="120" w:firstLine="405"/>
        <w:spacing w:after="0" w:line="251" w:lineRule="auto"/>
        <w:rPr>
          <w:sz w:val="20"/>
          <w:szCs w:val="20"/>
          <w:color w:val="auto"/>
        </w:rPr>
      </w:pPr>
      <w:r>
        <w:rPr>
          <w:rFonts w:ascii="Arial" w:cs="Arial" w:eastAsia="Arial" w:hAnsi="Arial"/>
          <w:sz w:val="18"/>
          <w:szCs w:val="18"/>
          <w:color w:val="231F20"/>
        </w:rPr>
        <w:t>If our solutions fail to detect vulnerabilities in our customers’ IT infrastructures, or if our solutions fail to identify and respond to new and increasingly complex methods of attacks, our business and reputation may suffer. There is no guarantee that our solutions will detect all vulnerabilities. Additionally, our security and compliance solutions may falsely detect vulnerabilities or threats that do not actually exist. For example, some of our solutions rely on information on attack sources aggregated from third-party data providers who monitor global malicious activity originating from a variety of sources, including anonymous proxies, specific IP addresses, botnets and phishing sites. If the information from these data providers is inaccurate, the potential for false indications of security vulnerabilities increases. These false positives, while typical in the industry, may impair the perceived reliability of our solutions and may therefore adversely impact market acceptance of our solutions. They may also result in negative publicity, loss of customers and sales, costs to remedy the incorrect information or claims by aggrieved parties. Similar issues may be generated by the misuse of our tools to identify and exploit vulnerabilities.</w:t>
      </w:r>
    </w:p>
    <w:p>
      <w:pPr>
        <w:spacing w:after="0" w:line="213" w:lineRule="exact"/>
        <w:rPr>
          <w:sz w:val="20"/>
          <w:szCs w:val="20"/>
          <w:color w:val="auto"/>
        </w:rPr>
      </w:pPr>
    </w:p>
    <w:p>
      <w:pPr>
        <w:ind w:right="400" w:firstLine="405"/>
        <w:spacing w:after="0" w:line="256" w:lineRule="auto"/>
        <w:rPr>
          <w:sz w:val="20"/>
          <w:szCs w:val="20"/>
          <w:color w:val="auto"/>
        </w:rPr>
      </w:pPr>
      <w:r>
        <w:rPr>
          <w:rFonts w:ascii="Arial" w:cs="Arial" w:eastAsia="Arial" w:hAnsi="Arial"/>
          <w:sz w:val="18"/>
          <w:szCs w:val="18"/>
          <w:color w:val="231F20"/>
        </w:rPr>
        <w:t>In addition, our solutions do not currently extend to cover mobile devices or personal devices that employees may bring into an organization. As such, our solutions would not identify or address vulnerabilities in mobile devices, such as mobile phones or tablets, or personal devices, and our customers’ IT infrastructures may be compromised by attacks that infiltrate their networks through such devices.</w:t>
      </w:r>
    </w:p>
    <w:p>
      <w:pPr>
        <w:spacing w:after="0" w:line="202" w:lineRule="exact"/>
        <w:rPr>
          <w:sz w:val="20"/>
          <w:szCs w:val="20"/>
          <w:color w:val="auto"/>
        </w:rPr>
      </w:pPr>
    </w:p>
    <w:p>
      <w:pPr>
        <w:ind w:right="840" w:firstLine="405"/>
        <w:spacing w:after="0" w:line="262" w:lineRule="auto"/>
        <w:rPr>
          <w:sz w:val="20"/>
          <w:szCs w:val="20"/>
          <w:color w:val="auto"/>
        </w:rPr>
      </w:pPr>
      <w:r>
        <w:rPr>
          <w:rFonts w:ascii="Arial" w:cs="Arial" w:eastAsia="Arial" w:hAnsi="Arial"/>
          <w:sz w:val="18"/>
          <w:szCs w:val="18"/>
          <w:color w:val="231F20"/>
        </w:rPr>
        <w:t>An actual or perceived security breach or theft of the sensitive data of one of our customers, regardless of whether the breach is attributable to the failure of our solutions, could adversely affect the market’s perception of our security solutions.</w:t>
      </w:r>
    </w:p>
    <w:p>
      <w:pPr>
        <w:spacing w:after="0" w:line="174"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231F20"/>
        </w:rPr>
        <w:t>Incorrect or improper implementation or use of our solutions could result in customer dissatisfaction and harm our business and reputation.</w:t>
      </w:r>
    </w:p>
    <w:p>
      <w:pPr>
        <w:spacing w:after="0" w:line="175" w:lineRule="exact"/>
        <w:rPr>
          <w:sz w:val="20"/>
          <w:szCs w:val="20"/>
          <w:color w:val="auto"/>
        </w:rPr>
      </w:pPr>
    </w:p>
    <w:p>
      <w:pPr>
        <w:ind w:right="140" w:firstLine="405"/>
        <w:spacing w:after="0" w:line="253" w:lineRule="auto"/>
        <w:rPr>
          <w:sz w:val="20"/>
          <w:szCs w:val="20"/>
          <w:color w:val="auto"/>
        </w:rPr>
      </w:pPr>
      <w:r>
        <w:rPr>
          <w:rFonts w:ascii="Arial" w:cs="Arial" w:eastAsia="Arial" w:hAnsi="Arial"/>
          <w:sz w:val="18"/>
          <w:szCs w:val="18"/>
          <w:color w:val="231F20"/>
        </w:rPr>
        <w:t>Our solutions are deployed in a wide variety of IT environments, including large-scale, complex infrastructures. If our customers are unable to implement our solutions successfully, customer perceptions of our platform may be impaired or our reputation and brand may suffer. Our customers have in the past inadvertently misused our solutions, which triggered downtime in their internal infrastructure until the problem was resolved. Any misuse of our solutions could result in customer dissatisfaction, impact the perceived reliability of our solutions, result in negative press coverage, negatively affect our reputation and harm our financial results.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41"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b w:val="1"/>
          <w:bCs w:val="1"/>
          <w:i w:val="1"/>
          <w:iCs w:val="1"/>
          <w:color w:val="231F20"/>
        </w:rPr>
        <w:t>As a security provider, our platform, website and internal systems may be subject to intentional disruption that could adversely impact our reputation and future sales.</w:t>
      </w:r>
    </w:p>
    <w:p>
      <w:pPr>
        <w:spacing w:after="0" w:line="175" w:lineRule="exact"/>
        <w:rPr>
          <w:sz w:val="20"/>
          <w:szCs w:val="20"/>
          <w:color w:val="auto"/>
        </w:rPr>
      </w:pPr>
    </w:p>
    <w:p>
      <w:pPr>
        <w:ind w:right="160" w:firstLine="405"/>
        <w:spacing w:after="0" w:line="252" w:lineRule="auto"/>
        <w:rPr>
          <w:sz w:val="20"/>
          <w:szCs w:val="20"/>
          <w:color w:val="auto"/>
        </w:rPr>
      </w:pPr>
      <w:r>
        <w:rPr>
          <w:rFonts w:ascii="Arial" w:cs="Arial" w:eastAsia="Arial" w:hAnsi="Arial"/>
          <w:sz w:val="18"/>
          <w:szCs w:val="18"/>
          <w:color w:val="231F20"/>
        </w:rPr>
        <w:t>Our operations involve providing IT security solutions to our customers, and as a result we could be a target of cyber attacks designed to impede the performance of our solutions, penetrate our network security or the security of our cloud platform or our internal systems, misappropriate proprietary information and/or cause interruptions to our services. If an actual or perceived breach of our network security occurs, it could adversely affect the market perception of our solutions, negatively affecting our reputation, and may expose us to the loss of information, litigation and possible liability. Such a security breach could also divert the efforts of our technical and management personnel. In addition, such a security breach could impair our ability to operate our business and provide solutions to our customers. If this happens, our reputation could be harmed, our revenues could decline and our business could suffer.</w:t>
      </w:r>
    </w:p>
    <w:p>
      <w:pPr>
        <w:spacing w:after="0" w:line="185"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Undetected software errors or flaws in our cloud platform could harm our reputation or decrease market acceptance of our solutions, which would harm our operating results.</w:t>
      </w:r>
    </w:p>
    <w:p>
      <w:pPr>
        <w:spacing w:after="0" w:line="175"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Our solutions may contain undetected errors or defects when first introduced or as new versions are released. We have experienced these errors or defects in the past in connection with new solutions and solution upgrades and we expect that these errors or defects will be found from time to time in the future in new or enhanced solutions after commercial release of these solutions. Since our customers use our solutions for security and compliance reasons, any errors, defects, disruptions in service or other performance problems with our solutions may damage our customers’ business and could hurt our reputation. If that occurs, we may incur significant costs, the attention of our key personnel could be diverted, our customers may delay or withhold payment to us or elect not to renew, or other significant customer relations problems may arise. We may also be subject to liability claims for damages related to errors or defects in our solutions. A material liability claim or other occurrence that harms our reputation or decreases market acceptance of our solutions may harm our business and operating results.</w:t>
      </w:r>
    </w:p>
    <w:p>
      <w:pPr>
        <w:spacing w:after="0" w:line="184"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231F20"/>
        </w:rPr>
        <w:t>Our solutions could be used to collect and store personal information of our customers’ employees or customers, and therefore privacy concerns could result in additional cost and liability to us or inhibit sales of our solutions.</w:t>
      </w:r>
    </w:p>
    <w:p>
      <w:pPr>
        <w:spacing w:after="0" w:line="175"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We collect the names and email addresses of our customers in connection with subscriptions to our solutions. Additionally, the data that our solutions collect to help secure and protect the IT infrastructure of our customers may include additional personal information of our customers’ employees and their customers. Personal privacy has become a significant issue in the United States and in many other countries where we offer our solutions. The regulatory framework for privacy issues worldwide is currently evolving and is likely to remain uncertain for the foreseeable future. Many federal, state and foreign government bodies and agencies have adopted or are considering adopting laws and regulations regarding the collection, use, disclosure and retention of personal information. In the United States, these include, for example, rules and regulations promulgated under the authority of the Federal Trade Commission, the Health Insurance Portability and Accountability Act of 1996, or HIPAA, the Gramm-Leach-Bliley Act, or GLB, and state breach notification laws. Internationally, virtually every jurisdiction in which we operate has established its own data security and privacy legal framework with which we or our customers must comply, including the Data Protection Directive established in the European Union and the Federal Data Protection Act passed in Germany.</w:t>
      </w:r>
    </w:p>
    <w:p>
      <w:pPr>
        <w:spacing w:after="0" w:line="212"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In addition to laws and regulations, privacy advocacy and industry groups or other private parties may propose new and different privacy standards that either legally or contractually apply to us. Because the interpretation and application of privacy and data protection laws and privacy standards are still uncertain, it is possible that these laws or privacy standards may be interpreted and applied in a manner that is inconsistent with our existing data management practices or the features of our solutions. If so, in addition to the possibility of fines, lawsuits and other claims, we could be required to fundamentally change our business activities and practices or modify our solutions, which could have an adverse effect on our business. Any inability to adequately address privacy concerns, even if unfounded, or comply with applicable privacy or data protection laws, regulations and privacy standards, could result in additional cost and liability to us, damage our reputation, inhibit sales of subscriptions and harm our business.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41" w:right="2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231F20"/>
        </w:rPr>
        <w:t>Furthermore, the costs of compliance with, and other burdens imposed by, the laws, regulations, and privacy standards that are applicable to the businesses of our customers may limit the use and adoption of, and reduce the overall demand for, our solutions. Privacy concerns, whether valid or not valid, may inhibit market adoption of our solutions particularly in certain industries and foreign countries.</w:t>
      </w:r>
    </w:p>
    <w:p>
      <w:pPr>
        <w:spacing w:after="0" w:line="180"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231F20"/>
        </w:rPr>
        <w:t>Disruptive technologies could gain wide adoption and supplant our cloud security and compliance solutions, thereby weakening our sales and harming our results of operations.</w:t>
      </w:r>
    </w:p>
    <w:p>
      <w:pPr>
        <w:spacing w:after="0" w:line="175" w:lineRule="exact"/>
        <w:rPr>
          <w:sz w:val="20"/>
          <w:szCs w:val="20"/>
          <w:color w:val="auto"/>
        </w:rPr>
      </w:pPr>
    </w:p>
    <w:p>
      <w:pPr>
        <w:ind w:right="260" w:firstLine="405"/>
        <w:spacing w:after="0" w:line="250" w:lineRule="auto"/>
        <w:rPr>
          <w:sz w:val="20"/>
          <w:szCs w:val="20"/>
          <w:color w:val="auto"/>
        </w:rPr>
      </w:pPr>
      <w:r>
        <w:rPr>
          <w:rFonts w:ascii="Arial" w:cs="Arial" w:eastAsia="Arial" w:hAnsi="Arial"/>
          <w:sz w:val="18"/>
          <w:szCs w:val="18"/>
          <w:color w:val="231F20"/>
        </w:rPr>
        <w:t>The introduction of products and services embodying new technologies could render our existing solutions obsolete or less attractive to customers. Our business could be harmed if new security and compliance technologies are widely adopted. We may not be able to successfully anticipate or adapt to changing technology or customer requirements on a timely basis, or at all. If we fail to keep up with technological changes or to convince</w:t>
      </w:r>
    </w:p>
    <w:p>
      <w:pPr>
        <w:spacing w:after="0" w:line="2"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231F20"/>
        </w:rPr>
        <w:t>our customers and potential customers of the value of our solutions even in light of new technologies, our business could be harmed and our revenues may decline.</w:t>
      </w:r>
    </w:p>
    <w:p>
      <w:pPr>
        <w:spacing w:after="0" w:line="174"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231F20"/>
        </w:rPr>
        <w:t>We face competition in our markets, and we may lack sufficient financial or other resources to maintain or improve our competitive position.</w:t>
      </w:r>
    </w:p>
    <w:p>
      <w:pPr>
        <w:spacing w:after="0" w:line="175" w:lineRule="exact"/>
        <w:rPr>
          <w:sz w:val="20"/>
          <w:szCs w:val="20"/>
          <w:color w:val="auto"/>
        </w:rPr>
      </w:pPr>
    </w:p>
    <w:p>
      <w:pPr>
        <w:ind w:right="280" w:firstLine="405"/>
        <w:spacing w:after="0" w:line="254" w:lineRule="auto"/>
        <w:rPr>
          <w:sz w:val="20"/>
          <w:szCs w:val="20"/>
          <w:color w:val="auto"/>
        </w:rPr>
      </w:pPr>
      <w:r>
        <w:rPr>
          <w:rFonts w:ascii="Arial" w:cs="Arial" w:eastAsia="Arial" w:hAnsi="Arial"/>
          <w:sz w:val="18"/>
          <w:szCs w:val="18"/>
          <w:color w:val="231F20"/>
        </w:rPr>
        <w:t>We compete with a large range of established and emerging vulnerability management vendors, compliance vendors and data security vendors in a highly fragmented and competitive environment. We face significant competition for each of our solutions from companies with broad product suites and greater name recognition and resources than we have, as well as from small companies focused on specialized security solutions.</w:t>
      </w:r>
    </w:p>
    <w:p>
      <w:pPr>
        <w:spacing w:after="0" w:line="204"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231F20"/>
        </w:rPr>
        <w:t>We compete with large public companies, such as Barracuda Networks, Inc., Hewlett-Packard Company, Imperva, Inc., International Business Machines Corporation, McAfee, Inc. (a subsidiary of Intel Corporation), and Symantec Corporation, as well as privately held security providers including BeyondTrust Software, Inc., nCircle Network Security, Inc., NetIQ Corporation, Rapid7 LLC, Tenable Network Security, Inc. and Trustwave Holdings, Inc. We also seek to replace IT security and compliance solutions that organizations have developed internally. As we continue to extend our cloud platform’s functionality by further developing security and compliance solutions, such as web application scanning and firewalls, we expect to face additional competition in these new markets. Our competitors may also attempt to further expand their presence in the IT security and compliance market and compete more directly against one or more of our solutions.</w:t>
      </w:r>
    </w:p>
    <w:p>
      <w:pPr>
        <w:spacing w:after="0" w:line="207" w:lineRule="exact"/>
        <w:rPr>
          <w:sz w:val="20"/>
          <w:szCs w:val="20"/>
          <w:color w:val="auto"/>
        </w:rPr>
      </w:pPr>
    </w:p>
    <w:p>
      <w:pPr>
        <w:jc w:val="both"/>
        <w:ind w:right="560" w:firstLine="405"/>
        <w:spacing w:after="0" w:line="256" w:lineRule="auto"/>
        <w:rPr>
          <w:sz w:val="20"/>
          <w:szCs w:val="20"/>
          <w:color w:val="auto"/>
        </w:rPr>
      </w:pPr>
      <w:r>
        <w:rPr>
          <w:rFonts w:ascii="Arial" w:cs="Arial" w:eastAsia="Arial" w:hAnsi="Arial"/>
          <w:sz w:val="18"/>
          <w:szCs w:val="18"/>
          <w:color w:val="231F20"/>
        </w:rPr>
        <w:t>We believe that the principal competitive factors affecting our markets include product functionality, breadth of offerings, flexibility of delivery models, ease of deployment and use, total cost of ownership, scalability and performance, customer support and extensibility of platform. Many of our existing and potential competitors have competitive advantages, including:</w:t>
      </w:r>
    </w:p>
    <w:p>
      <w:pPr>
        <w:spacing w:after="0" w:line="94"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greater brand name recognition;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broader distribution networks and more established relationships with distributors and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greater resources to develop and introduce products that compete with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greater resources to meet relevant regulatory requirements;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333" w:lineRule="exact"/>
        <w:rPr>
          <w:sz w:val="20"/>
          <w:szCs w:val="20"/>
          <w:color w:val="auto"/>
        </w:rPr>
      </w:pPr>
    </w:p>
    <w:p>
      <w:pPr>
        <w:ind w:right="420" w:firstLine="405"/>
        <w:spacing w:after="0" w:line="256" w:lineRule="auto"/>
        <w:rPr>
          <w:sz w:val="20"/>
          <w:szCs w:val="20"/>
          <w:color w:val="auto"/>
        </w:rPr>
      </w:pPr>
      <w:r>
        <w:rPr>
          <w:rFonts w:ascii="Arial" w:cs="Arial" w:eastAsia="Arial" w:hAnsi="Arial"/>
          <w:sz w:val="18"/>
          <w:szCs w:val="18"/>
          <w:color w:val="231F20"/>
        </w:rPr>
        <w:t>As a result, our competitors may be able to respond more quickly and effectively than we can to new or changing opportunities, technologies, standards or customer requirements. With the introduction of new technologies, the evolution of our service and new market entrants, we expect competition to intensify in the future.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41" w:right="25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231F20"/>
        </w:rPr>
        <w:t>In addition, some of our larger competitors have substantially broader product offerings and can bundle competing products and services with other software offerings. As a result, customers may choose a bundled product offering from our competitors, even if individual products have more limited functionality than our solutions. These competitors may also offer their products at a lower price as part of this larger sale, which could increase pricing pressure on our solutions and cause the average sales price for our solutions to decline. These larger competitors are also often in a better position to withstand any significant reduction in capital spending, and will therefore not be as susceptible to economic downturns.</w:t>
      </w:r>
    </w:p>
    <w:p>
      <w:pPr>
        <w:spacing w:after="0" w:line="209" w:lineRule="exact"/>
        <w:rPr>
          <w:sz w:val="20"/>
          <w:szCs w:val="20"/>
          <w:color w:val="auto"/>
        </w:rPr>
      </w:pPr>
    </w:p>
    <w:p>
      <w:pPr>
        <w:ind w:right="40" w:firstLine="405"/>
        <w:spacing w:after="0" w:line="250" w:lineRule="auto"/>
        <w:rPr>
          <w:sz w:val="20"/>
          <w:szCs w:val="20"/>
          <w:color w:val="auto"/>
        </w:rPr>
      </w:pPr>
      <w:r>
        <w:rPr>
          <w:rFonts w:ascii="Arial" w:cs="Arial" w:eastAsia="Arial" w:hAnsi="Arial"/>
          <w:sz w:val="18"/>
          <w:szCs w:val="18"/>
          <w:color w:val="231F20"/>
        </w:rPr>
        <w:t>Furthermore, our current and potential competitors may establish cooperative relationships among themselves or with third parties that may further enhance their resources and product and services offerings in the markets we address. In addition, current or potential competitors may be acquired by third parties with greater available resources. As a result of such relationships and acquisitions, our current or potential competitors might be able to adapt more quickly to new technologies and customer needs, devote greater resources to the promotion or</w:t>
      </w:r>
    </w:p>
    <w:p>
      <w:pPr>
        <w:spacing w:after="0" w:line="2" w:lineRule="exact"/>
        <w:rPr>
          <w:sz w:val="20"/>
          <w:szCs w:val="20"/>
          <w:color w:val="auto"/>
        </w:rPr>
      </w:pPr>
    </w:p>
    <w:p>
      <w:pPr>
        <w:jc w:val="both"/>
        <w:ind w:right="380"/>
        <w:spacing w:after="0" w:line="256" w:lineRule="auto"/>
        <w:rPr>
          <w:sz w:val="20"/>
          <w:szCs w:val="20"/>
          <w:color w:val="auto"/>
        </w:rPr>
      </w:pPr>
      <w:r>
        <w:rPr>
          <w:rFonts w:ascii="Arial" w:cs="Arial" w:eastAsia="Arial" w:hAnsi="Arial"/>
          <w:sz w:val="18"/>
          <w:szCs w:val="18"/>
          <w:color w:val="231F20"/>
        </w:rPr>
        <w:t>sale of their products and services, initiate or withstand substantial price competition, take advantage of other opportunities more readily or develop and expand their product and service offerings more quickly than we do. For all of these reasons, we may not be able to compete successfully against our current or future competitors.</w:t>
      </w:r>
    </w:p>
    <w:p>
      <w:pPr>
        <w:spacing w:after="0" w:line="180"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Our business and operations have experienced rapid growth, and if we do not appropriately manage any future growth, or are unable to improve our systems and processes, our operating results may be negatively affected.</w:t>
      </w:r>
    </w:p>
    <w:p>
      <w:pPr>
        <w:spacing w:after="0" w:line="175"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231F20"/>
        </w:rPr>
        <w:t xml:space="preserve">We have experienced rapid growth over the last several years. From </w:t>
      </w:r>
      <w:r>
        <w:rPr>
          <w:rFonts w:ascii="Arial" w:cs="Arial" w:eastAsia="Arial" w:hAnsi="Arial"/>
          <w:sz w:val="18"/>
          <w:szCs w:val="18"/>
          <w:color w:val="000000"/>
        </w:rPr>
        <w:t>2011</w:t>
      </w:r>
      <w:r>
        <w:rPr>
          <w:rFonts w:ascii="Arial" w:cs="Arial" w:eastAsia="Arial" w:hAnsi="Arial"/>
          <w:sz w:val="18"/>
          <w:szCs w:val="18"/>
          <w:color w:val="231F20"/>
        </w:rPr>
        <w:t xml:space="preserve"> to </w:t>
      </w:r>
      <w:r>
        <w:rPr>
          <w:rFonts w:ascii="Arial" w:cs="Arial" w:eastAsia="Arial" w:hAnsi="Arial"/>
          <w:sz w:val="18"/>
          <w:szCs w:val="18"/>
          <w:color w:val="000000"/>
        </w:rPr>
        <w:t>2013</w:t>
      </w:r>
      <w:r>
        <w:rPr>
          <w:rFonts w:ascii="Arial" w:cs="Arial" w:eastAsia="Arial" w:hAnsi="Arial"/>
          <w:sz w:val="18"/>
          <w:szCs w:val="18"/>
          <w:color w:val="231F20"/>
        </w:rPr>
        <w:t xml:space="preserve">, our revenues grew from </w:t>
      </w:r>
      <w:r>
        <w:rPr>
          <w:rFonts w:ascii="Arial" w:cs="Arial" w:eastAsia="Arial" w:hAnsi="Arial"/>
          <w:sz w:val="18"/>
          <w:szCs w:val="18"/>
          <w:color w:val="000000"/>
        </w:rPr>
        <w:t>$76.2 million</w:t>
      </w:r>
      <w:r>
        <w:rPr>
          <w:rFonts w:ascii="Arial" w:cs="Arial" w:eastAsia="Arial" w:hAnsi="Arial"/>
          <w:sz w:val="18"/>
          <w:szCs w:val="18"/>
          <w:color w:val="231F20"/>
        </w:rPr>
        <w:t xml:space="preserve"> to $ 108.0 million, and our headcount increased from 256 employees at the beginning of 2011 to 418 employees at September 30, 2014. We rely on information technology systems to help manage critical functions such as order processing, revenue recognition and financial forecasts. To manage any future growth effectively we must continue to improve and expand our IT systems, financial infrastructure, and operating and administrative systems and controls, and continue to manage headcount, capital and processes in an efficient manner. We may not be able to successfully implement improvements to these systems and processes in a timely or efficient manner.</w:t>
      </w:r>
    </w:p>
    <w:p>
      <w:pPr>
        <w:spacing w:after="0" w:line="209"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231F20"/>
        </w:rPr>
        <w:t>Our failure to improve our systems and processes, or their failure to operate in the intended manner, may result in our inability to manage the growth of our business and to accurately forecast our revenues, expenses and earnings, or to prevent certain losses. In addition, as we continue to grow, our productivity and the quality of our solutions may also be adversely affected if we do not integrate and train our new employees quickly and effectively. Any future growth would add complexity to our organization and require effective coordination across our organization. Failure to manage any future growth effectively could result in increased costs, harm our results of operations and lead to investors losing confidence in our internal systems and processes.</w:t>
      </w:r>
    </w:p>
    <w:p>
      <w:pPr>
        <w:spacing w:after="0" w:line="187"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Forecasts of market growth may prove to be inaccurate, and even if the markets in which we compete achieve the forecasted growth, there can be no assurance that our business will grow at similar rates, or at all.</w:t>
      </w:r>
    </w:p>
    <w:p>
      <w:pPr>
        <w:spacing w:after="0" w:line="175"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231F20"/>
        </w:rPr>
        <w:t>Growth forecasts relating to the expected growth in the market for IT security and compliance and other markets are subject to significant uncertainty and are based on assumptions and estimates which may prove to be inaccurate. Even if these markets experience the forecasted growth, we may not grow our business at similar rates, or at all. Our growth is subject to many factors, including our success in implementing our business strategy, which is subject to many risks and uncertainties. Accordingly, forecasts of market growth should not be taken as indicative of our future growth.</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41" w:right="25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b w:val="1"/>
          <w:bCs w:val="1"/>
          <w:i w:val="1"/>
          <w:iCs w:val="1"/>
          <w:color w:val="231F20"/>
        </w:rPr>
        <w:t>If we are unable to continue the expansion of our sales force, sales of our solutions and the growth of our business would be harmed.</w:t>
      </w:r>
    </w:p>
    <w:p>
      <w:pPr>
        <w:spacing w:after="0" w:line="17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We believe that our growth will depend, to a significant extent, on our success in recruiting and retaining a sufficient number of qualified sales personnel and their ability to obtain new customers, manage our existing customer base and expand the sales of our newer solutions. We plan to continue to expand our sales force and make significant investment in our sales and marketing activities. Our recent hires and planned hires may not become as productive as quickly as we would like, and we may be unable to hire or retain sufficient numbers of qualified individuals in the future in the markets where we do business. If we are unable to recruit and retain a sufficient number of productive sales personnel, sales of our solutions and the growth of our business may be harmed. Additionally, if our efforts do not result in increased revenues, our operating results could be negatively impacted due to the upfront operating expenses associated with expanding our sales force.</w:t>
      </w:r>
    </w:p>
    <w:p>
      <w:pPr>
        <w:spacing w:after="0" w:line="18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i w:val="1"/>
          <w:iCs w:val="1"/>
          <w:color w:val="231F20"/>
        </w:rPr>
        <w:t>Our sales cycle can be long and unpredictable, and our sales efforts require considerable time and expense. As a result, revenues may vary from period to period, which may cause our operating results to fluctuate and could harm our business.</w:t>
      </w:r>
    </w:p>
    <w:p>
      <w:pPr>
        <w:spacing w:after="0" w:line="175"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The timing of sales of subscriptions for our solutions is difficult to forecast because of the length and unpredictability of our sales cycle, particularly with large enterprises. We sell subscriptions to our security and compliance solutions primarily to IT departments that are managing a growing set of user and compliance demands, which has increased the complexity of customer requirements to be met and confirmed during the sales cycle and prolonged our sales cycle. Further, the length of time that potential customers devote to their testing and evaluation, contract negotiation and budgeting processes varies significantly, which has also made our sales cycle long and unpredictable. The length of the sales cycle for our solutions typically ranges from six to twelve months but can be more than eighteen months. In addition, we might devote substantial time and effort to a particular unsuccessful sales effort, and as a result we could lose other sales opportunities or incur expenses that are not offset by an increase in revenues, which could harm our business.</w:t>
      </w:r>
    </w:p>
    <w:p>
      <w:pPr>
        <w:spacing w:after="0" w:line="184"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231F20"/>
        </w:rPr>
        <w:t>We rely on third-party channel partners to generate a substantial amount of our revenues, and if we fail to expand and manage our distribution channels, our revenues could decline and our growth prospects could suffer.</w:t>
      </w:r>
    </w:p>
    <w:p>
      <w:pPr>
        <w:spacing w:after="0" w:line="175"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 xml:space="preserve">Our success is significantly dependent upon establishing and maintaining relationships with a variety of channel partners and we anticipate that we will continue to depend on these partners in order to grow our business. For the nine months ended September 30, 2014 and </w:t>
      </w:r>
      <w:r>
        <w:rPr>
          <w:rFonts w:ascii="Arial" w:cs="Arial" w:eastAsia="Arial" w:hAnsi="Arial"/>
          <w:sz w:val="18"/>
          <w:szCs w:val="18"/>
          <w:color w:val="000000"/>
        </w:rPr>
        <w:t>2013</w:t>
      </w:r>
      <w:r>
        <w:rPr>
          <w:rFonts w:ascii="Arial" w:cs="Arial" w:eastAsia="Arial" w:hAnsi="Arial"/>
          <w:sz w:val="18"/>
          <w:szCs w:val="18"/>
          <w:color w:val="231F20"/>
        </w:rPr>
        <w:t>, we derived approximately</w:t>
      </w:r>
      <w:r>
        <w:rPr>
          <w:rFonts w:ascii="Arial" w:cs="Arial" w:eastAsia="Arial" w:hAnsi="Arial"/>
          <w:sz w:val="18"/>
          <w:szCs w:val="18"/>
          <w:color w:val="000000"/>
        </w:rPr>
        <w:t xml:space="preserve"> 37% and 39% </w:t>
      </w:r>
      <w:r>
        <w:rPr>
          <w:rFonts w:ascii="Arial" w:cs="Arial" w:eastAsia="Arial" w:hAnsi="Arial"/>
          <w:sz w:val="18"/>
          <w:szCs w:val="18"/>
          <w:color w:val="231F20"/>
        </w:rPr>
        <w:t>of our revenues, respectively, from sales of subscriptions for our solutions through channel</w:t>
      </w:r>
      <w:r>
        <w:rPr>
          <w:rFonts w:ascii="Arial" w:cs="Arial" w:eastAsia="Arial" w:hAnsi="Arial"/>
          <w:sz w:val="18"/>
          <w:szCs w:val="18"/>
          <w:color w:val="000000"/>
        </w:rPr>
        <w:t xml:space="preserve"> </w:t>
      </w:r>
      <w:r>
        <w:rPr>
          <w:rFonts w:ascii="Arial" w:cs="Arial" w:eastAsia="Arial" w:hAnsi="Arial"/>
          <w:sz w:val="18"/>
          <w:szCs w:val="18"/>
          <w:color w:val="231F20"/>
        </w:rPr>
        <w:t>partners. The percentage of revenues derived from channel partners may increase in future periods. Our agreements with our channel partners are generally non-exclusive and do not prohibit them from working with our competitors or offering competing solutions, and many of our channel partners have more established relationships with our competitors. If our channel partners choose to place greater emphasis on products of their own or those offered by our competitors, do not effectively market and sell our solutions, or fail to meet the needs of our customers, then our ability to grow our business and sell our solutions may be adversely affected. In addition, the loss of one or more of our larger channel partners, who may cease marketing our solutions with limited or no notice, and our possible inability to replace them, could adversely affect our sales. Moreover, our ability to expand our distribution channels depends in part on our ability to educate our channel partners about our solutions, which can be complex. Our failure to recruit additional channel partners, or any reduction or delay in their sales of our solutions or conflicts between channel sales and our direct sales and marketing activities may harm our results of operations. Even if we are successful, these relationships may not result in greater customer usage of our solutions or increased revenues.</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41" w:right="25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231F20"/>
        </w:rPr>
        <w:t>We rely on software-as-a-service vendors to operate certain functions of our business and any failure of such vendors to provide services to us could adversely impact our business and operations.</w:t>
      </w:r>
    </w:p>
    <w:p>
      <w:pPr>
        <w:spacing w:after="0" w:line="175"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231F20"/>
        </w:rPr>
        <w:t>We rely on software-as-a-service vendors to operate certain critical functions of our business, including financial management and human resource management. If these services become unavailable due to extended outages or interruptions or because they are no longer available on commercially reasonable terms or prices, our expenses could increase, our ability to manage our finances could be interrupted and our processes for managing sales of our solutions and supporting our customers could be impaired until equivalent services, if available, are identified, obtained and integrated, all of which could harm our business.</w:t>
      </w:r>
    </w:p>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We use third-party software and data that may be difficult to replace or cause errors or failures of our solutions that could lead to lost customers or harm to our reputation and our operating results.</w:t>
      </w:r>
    </w:p>
    <w:p>
      <w:pPr>
        <w:spacing w:after="0" w:line="175" w:lineRule="exact"/>
        <w:rPr>
          <w:sz w:val="20"/>
          <w:szCs w:val="20"/>
          <w:color w:val="auto"/>
        </w:rPr>
      </w:pPr>
    </w:p>
    <w:p>
      <w:pPr>
        <w:ind w:right="140" w:firstLine="405"/>
        <w:spacing w:after="0" w:line="250" w:lineRule="auto"/>
        <w:rPr>
          <w:sz w:val="20"/>
          <w:szCs w:val="20"/>
          <w:color w:val="auto"/>
        </w:rPr>
      </w:pPr>
      <w:r>
        <w:rPr>
          <w:rFonts w:ascii="Arial" w:cs="Arial" w:eastAsia="Arial" w:hAnsi="Arial"/>
          <w:sz w:val="18"/>
          <w:szCs w:val="18"/>
          <w:color w:val="231F20"/>
        </w:rPr>
        <w:t>We license third-party software as well as security and compliance data from various third parties to deliver our solutions. In the future, this software or data may not be available to us on commercially reasonable terms, or at all. Any loss of the right to use any of this software or data could result in delays in the provisioning of our solutions</w:t>
      </w:r>
    </w:p>
    <w:p>
      <w:pPr>
        <w:spacing w:after="0" w:line="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231F20"/>
        </w:rPr>
        <w:t>until equivalent technology or data is either developed by us, or, if available, is identified, obtained and integrated, which could harm our business. In addition, any errors or defects in or failures of this third-party software could result in errors or defects in our solutions or cause our solutions to fail, which could harm our business and be costly to correct. Many of these providers attempt to impose limitations on their liability for such errors, defects or failures, and if enforceable, we may have additional liability to our customers or third-party providers that could harm our reputation and increase our operating costs.</w:t>
      </w:r>
    </w:p>
    <w:p>
      <w:pPr>
        <w:spacing w:after="0" w:line="206" w:lineRule="exact"/>
        <w:rPr>
          <w:sz w:val="20"/>
          <w:szCs w:val="20"/>
          <w:color w:val="auto"/>
        </w:rPr>
      </w:pPr>
    </w:p>
    <w:p>
      <w:pPr>
        <w:ind w:right="140" w:firstLine="405"/>
        <w:spacing w:after="0" w:line="256" w:lineRule="auto"/>
        <w:rPr>
          <w:sz w:val="20"/>
          <w:szCs w:val="20"/>
          <w:color w:val="auto"/>
        </w:rPr>
      </w:pPr>
      <w:r>
        <w:rPr>
          <w:rFonts w:ascii="Arial" w:cs="Arial" w:eastAsia="Arial" w:hAnsi="Arial"/>
          <w:sz w:val="18"/>
          <w:szCs w:val="18"/>
          <w:color w:val="231F20"/>
        </w:rPr>
        <w:t>We will need to maintain our relationships with third-party software and data providers, and to obtain software and data from such providers that does not contain any errors or defects. Any failure to do so could adversely impact our ability to deliver effective solutions to our customers and could harm our operating results.</w:t>
      </w:r>
    </w:p>
    <w:p>
      <w:pPr>
        <w:spacing w:after="0" w:line="180"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231F20"/>
        </w:rPr>
        <w:t>Our solutions contain third-party open source software components, and our failure to comply with the terms of the underlying open source software licenses could restrict our ability to sell our solutions.</w:t>
      </w:r>
    </w:p>
    <w:p>
      <w:pPr>
        <w:spacing w:after="0" w:line="175"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231F20"/>
        </w:rPr>
        <w:t>Our solutions contain software licensed to us by third-parties under so-called “open source” licenses, including the GNU General Public License, or GPL, the GNU Lesser General Public License, or LGPL, the BSD License, the Apache License and others. From time to time, there have been claims against companies that distribute or use open source software in their products and services, asserting that such open source software infringes the claimants’ intellectual property rights. We could be subject to suits by parties claiming that what we believe to be licensed open source software infringes their intellectual property rights. Use and distribution of open source software may entail greater risks than use of third-party commercial software, as open source licensors generally do not provide warranties or other contractual protections regarding infringement claims or the quality of the code. In addition, certain open source licenses require that source code for software programs that are subject to the license be made available to the public and that any modifications or derivative works to such open source software continue to be licensed under the same terms. If we combine our proprietary software with open source software in certain ways, we could, in some circumstances, be required to release the source code of our proprietary software to the public. Disclosing the source code of our proprietary software could make it easier for cyber attackers and other third parties to discover vulnerabilities in or to defeat the protections of our solutions, which could result in our solutions failing to provide our customers with the security they expect from our services. This could harm our business and reputation. Disclosing our proprietary source code also could allow our competitors to create similar products with lower development effort and time and ultimately could result in a loss of sales for us. Any of these events could have a material adverse effect on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41" w:right="2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 xml:space="preserve">Although we monitor our use of open source software in an effort both to comply with the terms of the applicable open source licenses and to avoid subjecting our solutions to conditions we do not intend, the terms of many open source licenses have not been interpreted by U.S. courts, and there is a risk that these licenses could be construed in a way that could impose unanticipated conditions or restrictions on our ability to commercialize our solutions. In this event, we could be required to seek </w:t>
      </w:r>
      <w:r>
        <w:rPr>
          <w:rFonts w:ascii="Arial" w:cs="Arial" w:eastAsia="Arial" w:hAnsi="Arial"/>
          <w:sz w:val="18"/>
          <w:szCs w:val="18"/>
          <w:color w:val="000000"/>
        </w:rPr>
        <w:t>l</w:t>
      </w:r>
      <w:r>
        <w:rPr>
          <w:rFonts w:ascii="Arial" w:cs="Arial" w:eastAsia="Arial" w:hAnsi="Arial"/>
          <w:sz w:val="18"/>
          <w:szCs w:val="18"/>
          <w:color w:val="231F20"/>
        </w:rPr>
        <w:t>icenses from third parties to continue offering our solutions, to make our proprietary code generally available in source code form, to re-engineer our solutions or to discontinue the sale of our solutions if re-engineering could not be accomplished on a timely basis, any of which could adversely affect our business, operating results and financial condition.</w:t>
      </w:r>
    </w:p>
    <w:p>
      <w:pPr>
        <w:spacing w:after="0" w:line="18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231F20"/>
        </w:rPr>
        <w:t>Delays or interruptions in the manufacturing and delivery of our physical scanner appliances by our sole source manufacturer may harm our business.</w:t>
      </w:r>
    </w:p>
    <w:p>
      <w:pPr>
        <w:spacing w:after="0" w:line="175"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231F20"/>
        </w:rPr>
        <w:t>Upon customer request, we provide physical or virtual scanner appliances on a subscription basis as an additional capability to the customer’s subscription for use during their subscription term. Our physical scanner appliances are built by a single manufacturer. Our reliance on a sole manufacturer involves several risks, including a potential inability to obtain an adequate supply of physical scanner appliances and limited control over pricing, quality and timely deployment of such scanner appliances. In addition, replacing this manufacturer may be difficult and could result in an inability or delay in deploying our solutions to customers that request physical scanner appliances as part of their subscriptions.</w:t>
      </w:r>
    </w:p>
    <w:p>
      <w:pPr>
        <w:spacing w:after="0" w:line="209"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231F20"/>
        </w:rPr>
        <w:t>Furthermore, our manufacturer’s ability to timely manufacture and ship our physical scanner appliances depends on a variety of factors, such as the availability of hardware components, supply shortages or contractual restrictions. In the event of an interruption from this manufacturer, we may not be able to develop alternate or secondary sources in a timely manner. If we are unable to purchase physical scanner appliances in quantities sufficient to meet our requirements on a timely basis, we may not be able to effectively deploy our solutions to new customers that request physical scanner appliances, which could harm our business.</w:t>
      </w:r>
    </w:p>
    <w:p>
      <w:pPr>
        <w:spacing w:after="0" w:line="184" w:lineRule="exact"/>
        <w:rPr>
          <w:sz w:val="20"/>
          <w:szCs w:val="20"/>
          <w:color w:val="auto"/>
        </w:rPr>
      </w:pPr>
    </w:p>
    <w:p>
      <w:pPr>
        <w:jc w:val="both"/>
        <w:ind w:right="120"/>
        <w:spacing w:after="0" w:line="269" w:lineRule="auto"/>
        <w:rPr>
          <w:sz w:val="20"/>
          <w:szCs w:val="20"/>
          <w:color w:val="auto"/>
        </w:rPr>
      </w:pPr>
      <w:r>
        <w:rPr>
          <w:rFonts w:ascii="Arial" w:cs="Arial" w:eastAsia="Arial" w:hAnsi="Arial"/>
          <w:sz w:val="18"/>
          <w:szCs w:val="18"/>
          <w:b w:val="1"/>
          <w:bCs w:val="1"/>
          <w:i w:val="1"/>
          <w:iCs w:val="1"/>
          <w:color w:val="231F20"/>
        </w:rPr>
        <w:t>A significant portion of our customers and channel partners are located outside of the United States, which subjects us to a number of risks associated with conducting international operations and if we are unable to successfully manage these risks, our business and operating results could be harmed.</w:t>
      </w:r>
    </w:p>
    <w:p>
      <w:pPr>
        <w:spacing w:after="0" w:line="190"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231F20"/>
        </w:rPr>
        <w:t>We market and sell subscriptions to our solutions throughout the world and have personnel in many parts of the world. In addition, we have sales offices and research and development facilities outside the United States and we conduct, and expect to continue to conduct, a significant amount of our business with organizations that are located outside the United States, particularly in Europe and Asia. Therefore, we are subject to risks associated with having international sales and worldwide operations, including:</w:t>
      </w:r>
    </w:p>
    <w:p>
      <w:pPr>
        <w:spacing w:after="0" w:line="96"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foreign currency exchange fluctuations;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trade and foreign exchange restrictions;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uncertainty and limitation of protection for intellectual property rights in some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of compliance with foreign laws and regulations and the risks and costs of non-compliance with such laws and regulations;</w:t>
      </w:r>
    </w:p>
    <w:p>
      <w:pPr>
        <w:spacing w:after="0" w:line="117" w:lineRule="exact"/>
        <w:rPr>
          <w:rFonts w:ascii="Arial" w:cs="Arial" w:eastAsia="Arial" w:hAnsi="Arial"/>
          <w:sz w:val="18"/>
          <w:szCs w:val="18"/>
          <w:color w:val="auto"/>
        </w:rPr>
      </w:pPr>
    </w:p>
    <w:p>
      <w:pPr>
        <w:jc w:val="both"/>
        <w:ind w:left="660" w:right="40" w:hanging="328"/>
        <w:spacing w:after="0" w:line="25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of complying with U.S. laws and regulations for foreign operations, including the Foreign Corrupt Practices Act, import and export control laws, tariffs, trade barriers, economic sanctions and other regulatory or contractual limitations on our ability to sell our solutions in certain foreign markets, and the risks and costs of non-compliance;</w:t>
      </w:r>
    </w:p>
    <w:p>
      <w:pPr>
        <w:spacing w:after="0" w:line="93" w:lineRule="exact"/>
        <w:rPr>
          <w:rFonts w:ascii="Arial" w:cs="Arial" w:eastAsia="Arial" w:hAnsi="Arial"/>
          <w:sz w:val="18"/>
          <w:szCs w:val="18"/>
          <w:color w:val="auto"/>
        </w:rPr>
      </w:pPr>
    </w:p>
    <w:p>
      <w:pPr>
        <w:ind w:left="660" w:right="220" w:hanging="328"/>
        <w:spacing w:after="0" w:line="26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arrangements that may impact financial results and result in restatements of, and irregularities in, financial statements;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41" w:right="23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for political unrest, acts of terrorism, hostilities or war;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multiple and possibly overlapping tax structures.</w:t>
      </w:r>
    </w:p>
    <w:p>
      <w:pPr>
        <w:spacing w:after="0" w:line="225"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Our business, including the sales of subscriptions of our solutions, may be subject to foreign governmental regulations, which vary substantially from country to country and change from time to time. Failure to comply with these regulations could adversely affect our business. Further, in many foreign countries it is common for others to engage in business practices that are prohibited by our internal policies and procedures or U.S. regulations applicable to us. Although we have implemented policies and procedures designed to ensure compliance with these laws and policies, there can be no assurance that all of our employees, contractors, channel partners and agents have complied or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solutions and could have a material adverse effect on our business and results of operations. If we are unable to successfully manage the challenges of international operations, our business and operating results could be adversely affected.</w:t>
      </w:r>
    </w:p>
    <w:p>
      <w:pPr>
        <w:spacing w:after="0" w:line="191"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b w:val="1"/>
          <w:bCs w:val="1"/>
          <w:i w:val="1"/>
          <w:iCs w:val="1"/>
          <w:color w:val="231F20"/>
        </w:rPr>
        <w:t>We are exposed to fluctuations in currency exchange rates, which could negatively affect our financial condition and results of operations.</w:t>
      </w:r>
    </w:p>
    <w:p>
      <w:pPr>
        <w:spacing w:after="0" w:line="175" w:lineRule="exact"/>
        <w:rPr>
          <w:sz w:val="20"/>
          <w:szCs w:val="20"/>
          <w:color w:val="auto"/>
        </w:rPr>
      </w:pPr>
    </w:p>
    <w:p>
      <w:pPr>
        <w:ind w:right="80" w:firstLine="405"/>
        <w:spacing w:after="0" w:line="251" w:lineRule="auto"/>
        <w:rPr>
          <w:sz w:val="20"/>
          <w:szCs w:val="20"/>
          <w:color w:val="auto"/>
        </w:rPr>
      </w:pPr>
      <w:r>
        <w:rPr>
          <w:rFonts w:ascii="Arial" w:cs="Arial" w:eastAsia="Arial" w:hAnsi="Arial"/>
          <w:sz w:val="18"/>
          <w:szCs w:val="18"/>
          <w:color w:val="231F20"/>
        </w:rPr>
        <w:t xml:space="preserve">Our reporting currency is the U.S. dollar and we generate a majority of our revenues in U.S. dollars. However, for the nine months ended September 30, 2014, we incurred approximately </w:t>
      </w:r>
      <w:r>
        <w:rPr>
          <w:rFonts w:ascii="Arial" w:cs="Arial" w:eastAsia="Arial" w:hAnsi="Arial"/>
          <w:sz w:val="18"/>
          <w:szCs w:val="18"/>
          <w:color w:val="000000"/>
        </w:rPr>
        <w:t>22%</w:t>
      </w:r>
      <w:r>
        <w:rPr>
          <w:rFonts w:ascii="Arial" w:cs="Arial" w:eastAsia="Arial" w:hAnsi="Arial"/>
          <w:sz w:val="18"/>
          <w:szCs w:val="18"/>
          <w:color w:val="231F20"/>
        </w:rPr>
        <w:t xml:space="preserve"> of our expenses outside of the United States in foreign currencies, primarily Euros, principally with respect to salaries and related personnel expenses associated with our European operations. Additionally, for the nine months ended September 30, 2014 approximately </w:t>
      </w:r>
      <w:r>
        <w:rPr>
          <w:rFonts w:ascii="Arial" w:cs="Arial" w:eastAsia="Arial" w:hAnsi="Arial"/>
          <w:sz w:val="18"/>
          <w:szCs w:val="18"/>
          <w:color w:val="000000"/>
        </w:rPr>
        <w:t>18%</w:t>
      </w:r>
      <w:r>
        <w:rPr>
          <w:rFonts w:ascii="Arial" w:cs="Arial" w:eastAsia="Arial" w:hAnsi="Arial"/>
          <w:sz w:val="18"/>
          <w:szCs w:val="18"/>
          <w:color w:val="231F20"/>
        </w:rPr>
        <w:t xml:space="preserve"> of our revenues were generated in foreign currencies. Accordingly, changes in exchange rates may have a material adverse effect on our business, operating results and financial condition. The exchange rate between the U.S. dollar and foreign currencies has fluctuated substantially in recent years and may continue to fluctuate substantially in the future. We expect that a majority of our revenues will continue to be generated in U.S. dollars for the foreseeable future and that a significant portion of our expenses, including personnel costs, as well as capital and operating expenditures, will continue to be denominated in Euros. The results of our operations may be adversely affected by foreign exchange fluctuations.</w:t>
      </w:r>
    </w:p>
    <w:p>
      <w:pPr>
        <w:spacing w:after="0" w:line="213" w:lineRule="exact"/>
        <w:rPr>
          <w:sz w:val="20"/>
          <w:szCs w:val="20"/>
          <w:color w:val="auto"/>
        </w:rPr>
      </w:pPr>
    </w:p>
    <w:p>
      <w:pPr>
        <w:ind w:right="180" w:firstLine="405"/>
        <w:spacing w:after="0" w:line="254" w:lineRule="auto"/>
        <w:rPr>
          <w:sz w:val="20"/>
          <w:szCs w:val="20"/>
          <w:color w:val="auto"/>
        </w:rPr>
      </w:pPr>
      <w:r>
        <w:rPr>
          <w:rFonts w:ascii="Arial" w:cs="Arial" w:eastAsia="Arial" w:hAnsi="Arial"/>
          <w:sz w:val="18"/>
          <w:szCs w:val="18"/>
          <w:color w:val="231F20"/>
        </w:rPr>
        <w:t>We use forward foreign exchange contracts to mitigate the effect of changes in foreign exchange rates on cash and accounts receivable balances denominated in certain foreign currencies. However, we may not be able to purchase derivative instruments that are adequate to insulate ourselves from foreign currency exchange risks. Additionally, our hedging activities may contribute to increased losses as a result of volatility in foreign currency markets.</w:t>
      </w:r>
    </w:p>
    <w:p>
      <w:pPr>
        <w:spacing w:after="0" w:line="182"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231F20"/>
        </w:rPr>
        <w:t>Failure to protect our proprietary technology and intellectual property rights could substantially harm our business and operating results.</w:t>
      </w:r>
    </w:p>
    <w:p>
      <w:pPr>
        <w:spacing w:after="0" w:line="175" w:lineRule="exact"/>
        <w:rPr>
          <w:sz w:val="20"/>
          <w:szCs w:val="20"/>
          <w:color w:val="auto"/>
        </w:rPr>
      </w:pPr>
    </w:p>
    <w:p>
      <w:pPr>
        <w:jc w:val="both"/>
        <w:ind w:right="180" w:firstLine="405"/>
        <w:spacing w:after="0" w:line="256" w:lineRule="auto"/>
        <w:rPr>
          <w:sz w:val="20"/>
          <w:szCs w:val="20"/>
          <w:color w:val="auto"/>
        </w:rPr>
      </w:pPr>
      <w:r>
        <w:rPr>
          <w:rFonts w:ascii="Arial" w:cs="Arial" w:eastAsia="Arial" w:hAnsi="Arial"/>
          <w:sz w:val="18"/>
          <w:szCs w:val="18"/>
          <w:color w:val="231F20"/>
        </w:rPr>
        <w:t>The success of our business depends in part on our ability to protect and enforce our trade secrets, trademarks, copyrights, patents and other intellectual property rights. We attempt to protect our intellectual property under copyright, trade secret, patent and trademark laws, and through a combination of confidentiality procedures, contractual provisions and other methods, all of which offer only limited protection.</w:t>
      </w:r>
    </w:p>
    <w:p>
      <w:pPr>
        <w:spacing w:after="0" w:line="202"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We primarily rely on our unpatented proprietary technology and trade secrets. Despite our efforts to protect our proprietary technology and trade secrets, unauthorized parties may attempt to misappropriate, reverse engineer or otherwise obtain and use them. The contractual provisions that we enter into with employees, consultants, partners, vendors and customers may not prevent unauthorized use or disclosure of our proprietary technology or intellectual property rights and may not provide an adequate remedy in the event of unauthorized use or disclosure of our proprietary technology or intellectual property rights. Moreover, policing unauthorized use of our technologies, solutions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We may be unable to determine the extent of any unauthorized use or infringement of our solutions, technologies or intellectual property rights.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41" w:right="25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231F20"/>
        </w:rPr>
        <w:t>We have three issued patents and several pending U.S. patent applications, and may file additional patent applications in the future. Additionally, we have an exclusive license to four third-party patents. The process of obtaining patent protection is expensive and time-consuming, and we may not be able to prosecute all necessary or desirable patent applications at a reasonable cost or in a timely manner, if at all. We may choose not to seek patent protection for certain innovations and may choose not to pursue patent protection in certain jurisdictions.</w:t>
      </w:r>
    </w:p>
    <w:p>
      <w:pPr>
        <w:spacing w:after="0" w:line="204" w:lineRule="exact"/>
        <w:rPr>
          <w:sz w:val="20"/>
          <w:szCs w:val="20"/>
          <w:color w:val="auto"/>
        </w:rPr>
      </w:pPr>
    </w:p>
    <w:p>
      <w:pPr>
        <w:ind w:right="80" w:firstLine="405"/>
        <w:spacing w:after="0" w:line="253" w:lineRule="auto"/>
        <w:rPr>
          <w:sz w:val="20"/>
          <w:szCs w:val="20"/>
          <w:color w:val="auto"/>
        </w:rPr>
      </w:pPr>
      <w:r>
        <w:rPr>
          <w:rFonts w:ascii="Arial" w:cs="Arial" w:eastAsia="Arial" w:hAnsi="Arial"/>
          <w:sz w:val="18"/>
          <w:szCs w:val="18"/>
          <w:color w:val="231F20"/>
        </w:rPr>
        <w:t>Furthermore, it is possible that our patent applications may not result in granted patents, that the scope of our issued patents will be limited or not provide the coverage originally sought, that our issued patents will not provide us with any competitive advantages, or that our patents and other intellectual property rights may be challenged by others or invalidated through administrative processes or litigation. In addition, issuance of a patent does not guarantee that we have an absolute right to practice the patented invention. As a result, we may not be able to obtain adequate patent protection or to enforce our issued patents effectively.</w:t>
      </w:r>
    </w:p>
    <w:p>
      <w:pPr>
        <w:spacing w:after="0" w:line="206" w:lineRule="exact"/>
        <w:rPr>
          <w:sz w:val="20"/>
          <w:szCs w:val="20"/>
          <w:color w:val="auto"/>
        </w:rPr>
      </w:pPr>
    </w:p>
    <w:p>
      <w:pPr>
        <w:ind w:right="140" w:firstLine="405"/>
        <w:spacing w:after="0" w:line="250" w:lineRule="auto"/>
        <w:rPr>
          <w:sz w:val="20"/>
          <w:szCs w:val="20"/>
          <w:color w:val="auto"/>
        </w:rPr>
      </w:pPr>
      <w:r>
        <w:rPr>
          <w:rFonts w:ascii="Arial" w:cs="Arial" w:eastAsia="Arial" w:hAnsi="Arial"/>
          <w:sz w:val="18"/>
          <w:szCs w:val="18"/>
          <w:color w:val="231F20"/>
        </w:rPr>
        <w:t>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Such litigation could result in substantial costs and diversion of resources and could negatively affect our business, operating results and financial condition. If we are unable to</w:t>
      </w:r>
    </w:p>
    <w:p>
      <w:pPr>
        <w:spacing w:after="0" w:line="2" w:lineRule="exact"/>
        <w:rPr>
          <w:sz w:val="20"/>
          <w:szCs w:val="20"/>
          <w:color w:val="auto"/>
        </w:rPr>
      </w:pPr>
    </w:p>
    <w:p>
      <w:pPr>
        <w:ind w:right="680"/>
        <w:spacing w:after="0" w:line="262" w:lineRule="auto"/>
        <w:rPr>
          <w:sz w:val="20"/>
          <w:szCs w:val="20"/>
          <w:color w:val="auto"/>
        </w:rPr>
      </w:pPr>
      <w:r>
        <w:rPr>
          <w:rFonts w:ascii="Arial" w:cs="Arial" w:eastAsia="Arial" w:hAnsi="Arial"/>
          <w:sz w:val="18"/>
          <w:szCs w:val="18"/>
          <w:color w:val="231F20"/>
        </w:rPr>
        <w:t>protect our intellectual property rights, we may find ourselves at a competitive disadvantage to others who need not incur the additional expense, time and effort required to create the innovative solutions that have enabled us to be successful to date.</w:t>
      </w:r>
    </w:p>
    <w:p>
      <w:pPr>
        <w:spacing w:after="0" w:line="174"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i w:val="1"/>
          <w:iCs w:val="1"/>
          <w:color w:val="231F20"/>
        </w:rPr>
        <w:t>Assertions by third parties of infringement or other violations by us of their intellectual property rights could result in significant costs and harm our business and operating results.</w:t>
      </w:r>
    </w:p>
    <w:p>
      <w:pPr>
        <w:spacing w:after="0" w:line="175"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231F20"/>
        </w:rPr>
        <w:t>Patent and other intellectual property disputes are common in our industry. Some companies, including some of our competitors, own large numbers of patents, copyrights and trademarks, which they may use to assert claims against us. Third parties may in the future assert claims of infringement, misappropriation or other violations of intellectual property rights against us. They may also assert such claims against our customers or channel partners whom we typically indemnify against claims that our solutions infringe, misappropriate or otherwise violate the intellectual property rights of third parties. As the numbers of products and competitors in our market increase and overlaps occur, claims of infringement, misappropriation and other violations of intellectual property rights may increase. Any claim of infringement, misappropriation or other violation of intellectual property rights by a third party, even those without merit, could cause us to incur substantial costs defending against the claim and could distract our management from our business.</w:t>
      </w:r>
    </w:p>
    <w:p>
      <w:pPr>
        <w:spacing w:after="0" w:line="206"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231F20"/>
        </w:rPr>
        <w:t>The patent portfolios of our most significant competitors are larger than ours. This disparity may increase the risk that they may sue us for patent infringement and may limit our ability to counterclaim for patent infringement or settle through patent cross-licenses. In addition, future assertions of patent rights by third parties, and any resulting litigation, may involve patent holding companies or other adverse patent owners who have no relevant product revenues and against whom our own patents may therefore provide little or no deterrence or protection. There can be no assurance that we will not be found to infringe or otherwise violate any third-party intellectual property rights or to have done so in the past.</w:t>
      </w:r>
    </w:p>
    <w:p>
      <w:pPr>
        <w:spacing w:after="0" w:line="209"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An adverse outcome of a dispute may require us to:</w:t>
      </w:r>
    </w:p>
    <w:p>
      <w:pPr>
        <w:spacing w:after="0" w:line="11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 substantial damages, including treble damages, if we are found to have willfully infringed a third party’s patents or copyrights;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cease making, licensing or using solutions that are alleged to infringe or misappropriate the intellectual property of others;</w:t>
      </w:r>
    </w:p>
    <w:p>
      <w:pPr>
        <w:spacing w:after="0" w:line="117"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expend additional development resources to attempt to redesign our solutions or otherwise develop non-infringing technology, which may not be successful;</w:t>
      </w:r>
    </w:p>
    <w:p>
      <w:pPr>
        <w:spacing w:after="0" w:line="88" w:lineRule="exact"/>
        <w:rPr>
          <w:rFonts w:ascii="Arial" w:cs="Arial" w:eastAsia="Arial" w:hAnsi="Arial"/>
          <w:sz w:val="18"/>
          <w:szCs w:val="18"/>
          <w:color w:val="auto"/>
        </w:rPr>
      </w:pPr>
    </w:p>
    <w:p>
      <w:pPr>
        <w:ind w:left="660" w:right="6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 into potentially unfavorable royalty or license agreements in order to obtain the right to use necessary technologies or intellectual property rights; and</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indemnify our partners and other third parties.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41" w:right="25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ind w:right="380" w:firstLine="405"/>
        <w:spacing w:after="0" w:line="254" w:lineRule="auto"/>
        <w:rPr>
          <w:sz w:val="20"/>
          <w:szCs w:val="20"/>
          <w:color w:val="auto"/>
        </w:rPr>
      </w:pPr>
      <w:r>
        <w:rPr>
          <w:rFonts w:ascii="Arial" w:cs="Arial" w:eastAsia="Arial" w:hAnsi="Arial"/>
          <w:sz w:val="18"/>
          <w:szCs w:val="18"/>
          <w:color w:val="231F20"/>
        </w:rPr>
        <w:t>In addition, royalty or licensing agreements, if required or desirable, may be unavailable on terms acceptable to us, or at all, and may require significant royalty payments and other expenditures. Some licenses may also be non-exclusive, and therefore our competitors may have access to the same technology licensed to us. Any of the foregoing events could seriously harm our business, financial condition and results of operations.</w:t>
      </w:r>
    </w:p>
    <w:p>
      <w:pPr>
        <w:spacing w:after="0" w:line="182"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If we are required to collect sales and use or other taxes on the solutions we sell, we may be subject to liability for past sales and our future sales may decrease.</w:t>
      </w:r>
    </w:p>
    <w:p>
      <w:pPr>
        <w:spacing w:after="0" w:line="175"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 xml:space="preserve">Taxing jurisdictions, including state and local entities, have differing rules and regulations governing sales and use or other taxes, and these rules and regulations are subject to varying interpretations that may change over time. In particular, the applicability of sales taxes to our subscription services in various jurisdictions is unclear. We have recorded sales tax liabilities of </w:t>
      </w:r>
      <w:r>
        <w:rPr>
          <w:rFonts w:ascii="Arial" w:cs="Arial" w:eastAsia="Arial" w:hAnsi="Arial"/>
          <w:sz w:val="18"/>
          <w:szCs w:val="18"/>
          <w:color w:val="000000"/>
        </w:rPr>
        <w:t>$0.5 million</w:t>
      </w:r>
      <w:r>
        <w:rPr>
          <w:rFonts w:ascii="Arial" w:cs="Arial" w:eastAsia="Arial" w:hAnsi="Arial"/>
          <w:sz w:val="18"/>
          <w:szCs w:val="18"/>
          <w:color w:val="231F20"/>
        </w:rPr>
        <w:t xml:space="preserve"> on our condensed consolidated balance sheet as of </w:t>
      </w:r>
      <w:r>
        <w:rPr>
          <w:rFonts w:ascii="Arial" w:cs="Arial" w:eastAsia="Arial" w:hAnsi="Arial"/>
          <w:sz w:val="18"/>
          <w:szCs w:val="18"/>
          <w:color w:val="000000"/>
        </w:rPr>
        <w:t>September 30, 2014</w:t>
      </w:r>
      <w:r>
        <w:rPr>
          <w:rFonts w:ascii="Arial" w:cs="Arial" w:eastAsia="Arial" w:hAnsi="Arial"/>
          <w:sz w:val="18"/>
          <w:szCs w:val="18"/>
          <w:color w:val="231F20"/>
        </w:rPr>
        <w:t xml:space="preserve"> with respect to sales and use tax liabilities in various jurisdictions where we have not yet billed sales tax to our customers and where we believe we may have exposure. It is possible that we could face sales tax audits and that our liability for these taxes could exceed our estimates as tax authorities could still assert that we are obligated to collect additional amounts as taxes from our customers and remit those taxes to those authorities. We could also be subject to audits with respect to state and international jurisdictions for which we have not accrued tax liabilities. A successful assertion that we should be collecting additional sales or other taxes on our services in jurisdictions where we have not historically done so and do not accrue for sales taxes could result in substantial tax liabilities for past sales, discourage customers from purchasing our solutions or otherwise harm our business and operating results.</w:t>
      </w:r>
    </w:p>
    <w:p>
      <w:pPr>
        <w:spacing w:after="0" w:line="190"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231F20"/>
        </w:rPr>
        <w:t>We are dependent on the continued services and performance of our senior management and other key employees, the loss of any of whom could adversely affect our business, operating results and financial condition.</w:t>
      </w:r>
    </w:p>
    <w:p>
      <w:pPr>
        <w:spacing w:after="0" w:line="17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Our future performance depends on the continued services and continuing contributions of our senior management, particularly Philippe F. Courtot, our Chairman, President and Chief Executive Officer, and other key employees to execute on our business plan and to identify and pursue new opportunities and product innovations. We do not maintain key-man insurance for Mr. Courtot or for any other member of our senior management team. From time to time, there may be changes in our senior management team resulting from the termination or departure of executives. Our senior management and key employees are generally employed on an at-will basis, which means that they could terminate their employment with us at any time. The loss of the services of our senior management, particularly Mr. Courtot, or other key employees for any reason could significantly delay or prevent the achievement of our development and strategic objectives and harm our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hire, retain and motivate qualified personnel, our business may suffer.</w:t>
      </w:r>
    </w:p>
    <w:p>
      <w:pPr>
        <w:spacing w:after="0" w:line="247"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231F20"/>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Any of our employees may terminate their employment at any time. Competition for highly skilled personnel is frequently intense, especially in the San Francisco Bay Area, one of the locations in which we have a substantial presence and need for highly skilled personnel and we may not be able to compete for these employees.</w:t>
      </w:r>
    </w:p>
    <w:p>
      <w:pPr>
        <w:spacing w:after="0" w:line="192"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231F20"/>
        </w:rPr>
        <w:t xml:space="preserve">We are required under </w:t>
      </w:r>
      <w:r>
        <w:rPr>
          <w:rFonts w:ascii="Arial" w:cs="Arial" w:eastAsia="Arial" w:hAnsi="Arial"/>
          <w:sz w:val="18"/>
          <w:szCs w:val="18"/>
          <w:color w:val="000000"/>
        </w:rPr>
        <w:t>accounting principles generally accepted in the United States (“U.S. GAAP”)</w:t>
      </w:r>
      <w:r>
        <w:rPr>
          <w:rFonts w:ascii="Arial" w:cs="Arial" w:eastAsia="Arial" w:hAnsi="Arial"/>
          <w:sz w:val="18"/>
          <w:szCs w:val="18"/>
          <w:color w:val="231F20"/>
        </w:rPr>
        <w:t xml:space="preserve"> to recognize compensation expense in our operating results for employee stock-based compensation under our equity grant programs, which may negatively impact our operating results and may increase the pressure to limit stock-based compensation that we might otherwise offer to current or potential employees. In addition, to the extent we hire personnel from competitors, we may be subject to allegations that they have been improperly solicited or divulged proprietary or other confidential information.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41" w:right="25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231F20"/>
        </w:rPr>
        <w:t>Changes in laws or regulations related to the Internet may diminish the demand for our solutions and could have a negative impact on our business.</w:t>
      </w:r>
    </w:p>
    <w:p>
      <w:pPr>
        <w:spacing w:after="0" w:line="175"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231F20"/>
        </w:rPr>
        <w:t>We deliver our solutions through the Internet. Federal, state or foreign government bodies or agencies have in the past adopted, and may in the future adopt, laws or regulations affecting data privacy and the use of the Internet. In addition, government agencies or private organizations may begin to impose taxes, fees or other charges for accessing the Internet or on commerce conducted via the Internet. These laws or charges could limit the viability of Internet-based solutions such as ours and reduce the demand for our solutions.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 portion of our revenues are generated by sales to government entities, which are subject to a number of challenges and risks.</w:t>
      </w:r>
    </w:p>
    <w:p>
      <w:pPr>
        <w:spacing w:after="0" w:line="247" w:lineRule="exact"/>
        <w:rPr>
          <w:sz w:val="20"/>
          <w:szCs w:val="20"/>
          <w:color w:val="auto"/>
        </w:rPr>
      </w:pPr>
    </w:p>
    <w:p>
      <w:pPr>
        <w:ind w:right="40" w:firstLine="405"/>
        <w:spacing w:after="0" w:line="250" w:lineRule="auto"/>
        <w:rPr>
          <w:sz w:val="20"/>
          <w:szCs w:val="20"/>
          <w:color w:val="auto"/>
        </w:rPr>
      </w:pPr>
      <w:r>
        <w:rPr>
          <w:rFonts w:ascii="Arial" w:cs="Arial" w:eastAsia="Arial" w:hAnsi="Arial"/>
          <w:sz w:val="18"/>
          <w:szCs w:val="18"/>
          <w:color w:val="231F20"/>
        </w:rPr>
        <w:t>Government entities have historically been particularly concerned about adopting cloud-based solutions for their operations, including security solutions, and increasing sales of subscriptions for our solutions to government entities may be more challenging than selling to commercial organizations. Selling to government entities can be highly competitive, expensive and time-consuming, often requiring significant upfront time and expense without any assurance that we will win a sale. We have invested in the creation of a cloud offering certified under the Federal Information Security Management Act, or FISMA, for government usage but we cannot be sure that we will continue to sustain or renew this certification, that the government will continue to mandate such certification or that other</w:t>
      </w:r>
    </w:p>
    <w:p>
      <w:pPr>
        <w:spacing w:after="0" w:line="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231F20"/>
        </w:rPr>
        <w:t>government agencies or entities will use this cloud offering. Government demand and payment for our solutions may be impacted by public sector budgetary cycles and funding authorizations, with funding reductions or delays adversely affecting public sector demand for our solutions. Government entities may have contractual or other legal rights to terminate contracts with our channel partners for convenience or due to a default, and any such termination may adversely impact our future results of operations. Governments routinely investigate and audit government contractors’ administrative processes, and any unfavorable audit could result in the government refusing to continue buying our solutions, a reduction of revenues or fines or civil or criminal liability if the audit uncovers improper or illegal activities. Any such penalties could adversely impact our results of operations in a material way.</w:t>
      </w:r>
    </w:p>
    <w:p>
      <w:pPr>
        <w:spacing w:after="0" w:line="185"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b w:val="1"/>
          <w:bCs w:val="1"/>
          <w:i w:val="1"/>
          <w:iCs w:val="1"/>
          <w:color w:val="231F20"/>
        </w:rPr>
        <w:t>Governmental export or import controls could subject us to liability if we violate them or limit our ability to compete in foreign markets.</w:t>
      </w:r>
    </w:p>
    <w:p>
      <w:pPr>
        <w:spacing w:after="0" w:line="175"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Our solutions are subject to U.S. export controls, and we incorporate encryption technology into certain of our solutions. These encryption solutions and the underlying technology may be exported only with the required export authorizations, including by license, a license exception or other appropriate government authorizations. U.S. export controls may require submission of an encryption registration, product classification and/or annual or semi-annual reports. Governmental regulation of encryption technology and regulation of imports or exports of encryption products, or our failure to obtain required import or export authorization for our solutions, when applicable, could harm our international sales and adversely affect our revenues. Compliance with applicable regulatory requirements regarding the export of our solutions, including with respect to new releases of our solutions, may create delays in the introduction of our solutions in international markets, prevent our customers with international operations from deploying our solutions throughout their globally-distributed systems or, in some cases, prevent the export of our solutions to some countries altogether. In addition, various countries regulate the import of our appliance-based solutions and have enacted laws that could limit our ability to distribute solutions or could limit our customers’ ability to implement our solutions in those countries. Any new export or import restrictions, new legislation or shifting approaches in the enforcement or scope of existing regulations, or in the countries, persons or technologies targeted by such regulations, could result in decreased use of our solutions by existing customers with international operations, declining adoption of our solutions by new customers with international operations and decreased revenues. If we fail to comply with export and import regulations, we may be fined or other penalties could be imposed, including a denial of certain export privileges.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141" w:right="27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success in acquiring and integrating other businesses, products or technologies could impact our financial position.</w:t>
      </w:r>
    </w:p>
    <w:p>
      <w:pPr>
        <w:spacing w:after="0" w:line="247" w:lineRule="exact"/>
        <w:rPr>
          <w:sz w:val="20"/>
          <w:szCs w:val="20"/>
          <w:color w:val="auto"/>
        </w:rPr>
      </w:pPr>
    </w:p>
    <w:p>
      <w:pPr>
        <w:ind w:right="40" w:firstLine="405"/>
        <w:spacing w:after="0" w:line="251" w:lineRule="auto"/>
        <w:rPr>
          <w:sz w:val="20"/>
          <w:szCs w:val="20"/>
          <w:color w:val="auto"/>
        </w:rPr>
      </w:pPr>
      <w:r>
        <w:rPr>
          <w:rFonts w:ascii="Arial" w:cs="Arial" w:eastAsia="Arial" w:hAnsi="Arial"/>
          <w:sz w:val="18"/>
          <w:szCs w:val="18"/>
          <w:color w:val="231F20"/>
        </w:rPr>
        <w:t>In order to remain competitive, we have in the past and may in the future seek to acquire additional businesses, products or technologies. The environment for acquisitions in our industry is very competitive and acquisition candidate purchase prices will likely exceed what we would prefer to pay. Moreover, achieving the anticipated benefits of future acquisitions will depend in part upon whether we can integrate acquired operations, products and technology in a timely and cost-effective manner. The acquisition and integration process is complex, expensive and time-consuming, and may cause an interruption of, or loss of momentum in, product development and sales activities and operations of both companies. We may not find suitable acquisition candidates, and acquisitions we complete may be unsuccessful. If we consummate a transaction, we may be unable to integrate and manage acquired products and businesses effectively or retain key personnel. We may issue equity securities which would dilute current stockholders' ownership, incur debt, assume contingent or other liabilities and expend cash in acquisitions, which could negatively impact our financial position, stockholders' equity and stock price. If we are unable to effectively execute acquisitions, our business, financial condition and operating results could be adversely affected.</w:t>
      </w:r>
    </w:p>
    <w:p>
      <w:pPr>
        <w:spacing w:after="0" w:line="190"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231F20"/>
        </w:rPr>
        <w:t>Our financial results are based in part on our estimates or judgments relating to our critical accounting policies. These estimates or judgments may prove to be incorrect, which could harm our operating results and result in a decline in our stock price.</w:t>
      </w:r>
    </w:p>
    <w:p>
      <w:pPr>
        <w:spacing w:after="0" w:line="175" w:lineRule="exact"/>
        <w:rPr>
          <w:sz w:val="20"/>
          <w:szCs w:val="20"/>
          <w:color w:val="auto"/>
        </w:rPr>
      </w:pPr>
    </w:p>
    <w:p>
      <w:pPr>
        <w:ind w:right="60" w:firstLine="405"/>
        <w:spacing w:after="0" w:line="268" w:lineRule="auto"/>
        <w:rPr>
          <w:sz w:val="20"/>
          <w:szCs w:val="20"/>
          <w:color w:val="auto"/>
        </w:rPr>
      </w:pPr>
      <w:r>
        <w:rPr>
          <w:rFonts w:ascii="Arial" w:cs="Arial" w:eastAsia="Arial" w:hAnsi="Arial"/>
          <w:sz w:val="17"/>
          <w:szCs w:val="17"/>
          <w:color w:val="231F20"/>
        </w:rPr>
        <w:t>The preparation of financial statements in conformity with U.S. GAAP requires management to make estimates and assumptions that affect the amounts reported in the condensed consolidated financial statements and accompanying notes. We base our estimates on historical experience and on various other assumptions that we believe to be reasonable under the circumstances, as provided in the section titled “Item 2 - Management’s Discussion and Analysis of Financial Condition and Results of Operations,” the results of which form the basis for making judgments about the carrying values of assets, liabilities, equity, revenues and expenses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condensed consolidated financial statements include those related to revenue recognition, accounting for income taxes, stock-based compensation, common stock valuations and fair value measurement.</w:t>
      </w:r>
    </w:p>
    <w:p>
      <w:pPr>
        <w:spacing w:after="0" w:line="174"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Changes in financial accounting standards may cause adverse and unexpected revenue fluctuations and impact our reported results of operations.</w:t>
      </w:r>
    </w:p>
    <w:p>
      <w:pPr>
        <w:spacing w:after="0" w:line="175" w:lineRule="exact"/>
        <w:rPr>
          <w:sz w:val="20"/>
          <w:szCs w:val="20"/>
          <w:color w:val="auto"/>
        </w:rPr>
      </w:pPr>
    </w:p>
    <w:p>
      <w:pPr>
        <w:ind w:right="200" w:firstLine="405"/>
        <w:spacing w:after="0" w:line="254" w:lineRule="auto"/>
        <w:rPr>
          <w:sz w:val="20"/>
          <w:szCs w:val="20"/>
          <w:color w:val="auto"/>
        </w:rPr>
      </w:pPr>
      <w:r>
        <w:rPr>
          <w:rFonts w:ascii="Arial" w:cs="Arial" w:eastAsia="Arial" w:hAnsi="Arial"/>
          <w:sz w:val="18"/>
          <w:szCs w:val="18"/>
          <w:color w:val="231F20"/>
        </w:rPr>
        <w:t>A change in accounting standards or practices could harm our operating results and may even affect our reporting of transactions completed before the change is effective. New accounting pronouncements and varying interpretations of accounting pronouncements have occurred and may occur in the future. Changes to existing rules or the questioning of current practices may harm our operating results or the way we conduct our business.</w:t>
      </w:r>
    </w:p>
    <w:p>
      <w:pPr>
        <w:spacing w:after="0" w:line="182" w:lineRule="exact"/>
        <w:rPr>
          <w:sz w:val="20"/>
          <w:szCs w:val="20"/>
          <w:color w:val="auto"/>
        </w:rPr>
      </w:pPr>
    </w:p>
    <w:p>
      <w:pPr>
        <w:jc w:val="both"/>
        <w:ind w:right="200"/>
        <w:spacing w:after="0" w:line="269" w:lineRule="auto"/>
        <w:rPr>
          <w:sz w:val="20"/>
          <w:szCs w:val="20"/>
          <w:color w:val="auto"/>
        </w:rPr>
      </w:pPr>
      <w:r>
        <w:rPr>
          <w:rFonts w:ascii="Arial" w:cs="Arial" w:eastAsia="Arial" w:hAnsi="Arial"/>
          <w:sz w:val="18"/>
          <w:szCs w:val="18"/>
          <w:b w:val="1"/>
          <w:bCs w:val="1"/>
          <w:i w:val="1"/>
          <w:iCs w:val="1"/>
          <w:color w:val="231F20"/>
        </w:rPr>
        <w:t>Because we expense commissions associated with sales of our solutions immediately upon receipt of a subscription order from a customer and generally recognize the revenues associated with such sale over the term of the agreement, our operating income in any period may not be indicative of our financial health and future performance.</w:t>
      </w:r>
    </w:p>
    <w:p>
      <w:pPr>
        <w:spacing w:after="0" w:line="190"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231F20"/>
        </w:rPr>
        <w:t>We expense commissions paid to our sales personnel in the quarter in which the related order is received. In contrast, we generally recognize the revenues associated with a sale of our solutions ratably over the term of the subscription, which is typically one year. Although we believe increased sales is a positive indicator of the long-term health of our business, increased sales would increase our operating expenses and decrease net income in any particular period. Thus, we may report poor operating results due to higher sales commissions in a period in which we experience strong sales of our solutions. Alternatively, we may report better operating results due to the reduction of sales commissions in a period in which we experience a slowdown in sales. Therefore, you should not rely on our operating results during any one quarter as an indication of our financial health and future performance.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141" w:right="27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231F20"/>
        </w:rPr>
        <w:t>We recognize revenues from subscriptions over the term of the relevant service period, and therefore any decreases or increases in bookings are not immediately reflected in our operating results.</w:t>
      </w:r>
    </w:p>
    <w:p>
      <w:pPr>
        <w:spacing w:after="0" w:line="17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We recognize revenues from subscriptions over the term of the relevant service period, which is typically one year. As a result, most of our reported revenues in each quarter are derived from the recognition of deferred revenues relating to subscriptions entered into during previous quarters. Consequently, a shortfall in demand for our solutions in any period may not significantly reduce our revenues for that period, but could negatively affect revenues in future periods. Accordingly, the effect of significant downturns in bookings may not be fully reflected in our results of operations until future periods. We may be unable to adjust our costs and expenses to compensate for such a potential shortfall in revenues. Our subscription model also makes it difficult for us to rapidly increase our revenues through additional bookings in any period, as revenues are recognized ratably over the subscription period.</w:t>
      </w:r>
    </w:p>
    <w:p>
      <w:pPr>
        <w:spacing w:after="0" w:line="185"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b w:val="1"/>
          <w:bCs w:val="1"/>
          <w:i w:val="1"/>
          <w:iCs w:val="1"/>
          <w:color w:val="231F20"/>
        </w:rPr>
        <w:t>Changes in our provision for income taxes or adverse outcomes resulting from examination of our income tax returns could adversely affect our operating results.</w:t>
      </w:r>
    </w:p>
    <w:p>
      <w:pPr>
        <w:spacing w:after="0" w:line="175"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231F20"/>
        </w:rPr>
        <w:t xml:space="preserve">We are subject to income taxes in the United States and various foreign jurisdictions, and our domestic and international tax liabilities are subject to the allocation of expenses in differing jurisdictions. Our tax rate is affected by changes in the mix of earnings and losses in countries with differing statutory tax rates, certain non-deductible expenses arising from the requirement to expense stock options and the valuation of deferred tax assets and liabilities, including our ability to utilize our federal net operating losses, which were </w:t>
      </w:r>
      <w:r>
        <w:rPr>
          <w:rFonts w:ascii="Arial" w:cs="Arial" w:eastAsia="Arial" w:hAnsi="Arial"/>
          <w:sz w:val="18"/>
          <w:szCs w:val="18"/>
          <w:color w:val="000000"/>
        </w:rPr>
        <w:t>$51.4 million</w:t>
      </w:r>
      <w:r>
        <w:rPr>
          <w:rFonts w:ascii="Arial" w:cs="Arial" w:eastAsia="Arial" w:hAnsi="Arial"/>
          <w:sz w:val="18"/>
          <w:szCs w:val="18"/>
          <w:color w:val="231F20"/>
        </w:rPr>
        <w:t xml:space="preserve"> as of </w:t>
      </w:r>
      <w:r>
        <w:rPr>
          <w:rFonts w:ascii="Arial" w:cs="Arial" w:eastAsia="Arial" w:hAnsi="Arial"/>
          <w:sz w:val="18"/>
          <w:szCs w:val="18"/>
          <w:color w:val="000000"/>
        </w:rPr>
        <w:t>December 31,</w:t>
      </w:r>
      <w:r>
        <w:rPr>
          <w:rFonts w:ascii="Arial" w:cs="Arial" w:eastAsia="Arial" w:hAnsi="Arial"/>
          <w:sz w:val="18"/>
          <w:szCs w:val="18"/>
          <w:color w:val="231F20"/>
        </w:rPr>
        <w:t xml:space="preserve"> </w:t>
      </w:r>
      <w:r>
        <w:rPr>
          <w:rFonts w:ascii="Arial" w:cs="Arial" w:eastAsia="Arial" w:hAnsi="Arial"/>
          <w:sz w:val="18"/>
          <w:szCs w:val="18"/>
          <w:color w:val="000000"/>
        </w:rPr>
        <w:t>2013</w:t>
      </w:r>
      <w:r>
        <w:rPr>
          <w:rFonts w:ascii="Arial" w:cs="Arial" w:eastAsia="Arial" w:hAnsi="Arial"/>
          <w:sz w:val="18"/>
          <w:szCs w:val="18"/>
          <w:color w:val="231F20"/>
        </w:rPr>
        <w:t>. Increases in our effective tax rate could harm our operating results.</w:t>
      </w:r>
    </w:p>
    <w:p>
      <w:pPr>
        <w:spacing w:after="0" w:line="184"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231F20"/>
        </w:rPr>
        <w:t>Our business is subject to the risks of earthquakes, fire, power outages, floods and other catastrophic events, and to interruption by manmade problems such as terrorism.</w:t>
      </w:r>
    </w:p>
    <w:p>
      <w:pPr>
        <w:spacing w:after="0" w:line="175"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A significant natural disaster, such as an earthquake, fire or a flood, or a significant power outage could have a material adverse impact on our business, operating results and financial condition. Our corporate headquarters and a significant portion of our operations are located in the San Francisco Bay Area, a region known for seismic activity. In addition, natural disasters could affect our business partners’ ability to perform services for us on a timely basis. In the event we or our business partners are hindered by any of the events discussed above, our ability to provide our solutions to customers could be delayed, resulting in our missing financial targets, such as revenues and net income, for a particular quarter. Further, if a natural disaster occurs in a region from which we derive a significant portion of our revenues, customers in that region may delay or forego subscriptions of our solutions, which may materially and adversely impact our results of operations for a particular period. In addition, acts of terrorism could cause disruptions in our business or the business of our business partners, customers or the economy as a whole. All of the aforementioned risks may be exacerbated if the disaster recovery plans for us and our suppliers prove to be inadequate. To the extent that any of the above results in delays of customer subscriptions or commercialization of our solutions, our business, financial condition and results of operations could be adversely affected.</w:t>
      </w:r>
    </w:p>
    <w:p>
      <w:pPr>
        <w:spacing w:after="0" w:line="190"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b w:val="1"/>
          <w:bCs w:val="1"/>
          <w:i w:val="1"/>
          <w:iCs w:val="1"/>
          <w:color w:val="231F20"/>
        </w:rPr>
        <w:t>If we fail to maintain an effective system of internal control over financial reporting, our ability to produce timely and accurate financial statements or comply with applicable regulations could be impaired.</w:t>
      </w:r>
    </w:p>
    <w:p>
      <w:pPr>
        <w:spacing w:after="0" w:line="175"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231F20"/>
        </w:rPr>
        <w:t>As a public company, we are subject to the reporting requirements of the Securities Exchange Act of 1934, or the Exchange Act, the Sarbanes-Oxley Act, and the rules and regulations of the NASDAQ Stock Market. To comply with the requirements of being a public company, we may need to undertake various actions, such as implementing new internal controls and procedures and hiring accounting or internal audit staff.</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41" w:right="25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40" w:firstLine="405"/>
        <w:spacing w:after="0" w:line="251" w:lineRule="auto"/>
        <w:rPr>
          <w:sz w:val="20"/>
          <w:szCs w:val="20"/>
          <w:color w:val="auto"/>
        </w:rPr>
      </w:pPr>
      <w:r>
        <w:rPr>
          <w:rFonts w:ascii="Arial" w:cs="Arial" w:eastAsia="Arial" w:hAnsi="Arial"/>
          <w:sz w:val="18"/>
          <w:szCs w:val="18"/>
          <w:color w:val="231F20"/>
        </w:rPr>
        <w:t xml:space="preserve">Our </w:t>
      </w:r>
      <w:r>
        <w:rPr>
          <w:rFonts w:ascii="Arial" w:cs="Arial" w:eastAsia="Arial" w:hAnsi="Arial"/>
          <w:sz w:val="18"/>
          <w:szCs w:val="18"/>
          <w:color w:val="000000"/>
        </w:rPr>
        <w:t>internal control over financial reporting is a process designed to provide reasonable assurance regarding the reliability of financial</w:t>
      </w:r>
      <w:r>
        <w:rPr>
          <w:rFonts w:ascii="Arial" w:cs="Arial" w:eastAsia="Arial" w:hAnsi="Arial"/>
          <w:sz w:val="18"/>
          <w:szCs w:val="18"/>
          <w:color w:val="231F20"/>
        </w:rPr>
        <w:t xml:space="preserve"> </w:t>
      </w:r>
      <w:r>
        <w:rPr>
          <w:rFonts w:ascii="Arial" w:cs="Arial" w:eastAsia="Arial" w:hAnsi="Arial"/>
          <w:sz w:val="18"/>
          <w:szCs w:val="18"/>
          <w:color w:val="000000"/>
        </w:rPr>
        <w:t xml:space="preserve">reporting and the preparation of financial statements in accordance with GAAP. Our </w:t>
      </w:r>
      <w:r>
        <w:rPr>
          <w:rFonts w:ascii="Arial" w:cs="Arial" w:eastAsia="Arial" w:hAnsi="Arial"/>
          <w:sz w:val="18"/>
          <w:szCs w:val="18"/>
          <w:color w:val="231F20"/>
        </w:rPr>
        <w:t>current controls and any new controls that we develop may</w:t>
      </w:r>
      <w:r>
        <w:rPr>
          <w:rFonts w:ascii="Arial" w:cs="Arial" w:eastAsia="Arial" w:hAnsi="Arial"/>
          <w:sz w:val="18"/>
          <w:szCs w:val="18"/>
          <w:color w:val="000000"/>
        </w:rPr>
        <w:t xml:space="preserve"> </w:t>
      </w:r>
      <w:r>
        <w:rPr>
          <w:rFonts w:ascii="Arial" w:cs="Arial" w:eastAsia="Arial" w:hAnsi="Arial"/>
          <w:sz w:val="18"/>
          <w:szCs w:val="18"/>
          <w:color w:val="231F20"/>
        </w:rPr>
        <w:t>become inadequate because of changes in conditions in our business. Any failure to develop or maintain effective controls, or any difficulties encountered in their implementation or improvement, could harm our operating results or cause us to fail to meet our reporting obligations.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be required to include in our periodic reports we will file with the SEC under Section 404 of the Sarbanes-Oxley Act. In the event that we are not able to demonstrate compliance with Section 404 of the Sarbanes-Oxley Act, that our internal control over financial reporting is perceived as inadequate or that we are unable to produce timely or accurate financial statements, investors may lose confidence in our operating results and our stock price could decline. In addition, if we are unable to continue to meet these requirements, we may not be able to remain listed on the NASDAQ Stock Market.</w:t>
      </w:r>
    </w:p>
    <w:p>
      <w:pPr>
        <w:spacing w:after="0" w:line="212"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231F20"/>
        </w:rPr>
        <w:t>As a public company, we are required to comply with certain of these rules, which require management to certify financial and other information in this Quarterly Report on Form 10-Q and other quarterly and annual reports and provide an annual management report on the effectiveness of our internal control over financial reporting. Our independent registered public accounting firm is not required to formally attest to the effectiveness of our internal control over financial reporting until the first annual report required to be filed with the SEC following the date we are no longer an “emerging growth company” as defined in the JOBS Act. At such time, our independent registered public accounting firm may issue a report that is adverse in the event it is not satisfied with the level at which our controls are documented, designed or operating. Our remediation efforts may not enable us to avoid a material weakness in the future. We will cease to be an “emerging growth company” upon the earliest of (i) the first fiscal year following the fifth anniversary of September 28, 2012, the date of our initial public offering, (ii) the first fiscal year after our annual gross revenues are $1 billion or more, (iii) the date on which we have, during the previous three-year period, issued more than $1 billion in non-convertible debt securities, or (iv) the date on which we are deemed to be a “large accelerated filer” as defined in the Exchange Act.</w:t>
      </w:r>
    </w:p>
    <w:p>
      <w:pPr>
        <w:spacing w:after="0" w:line="190" w:lineRule="exact"/>
        <w:rPr>
          <w:sz w:val="20"/>
          <w:szCs w:val="20"/>
          <w:color w:val="auto"/>
        </w:rPr>
      </w:pPr>
    </w:p>
    <w:p>
      <w:pPr>
        <w:ind w:right="580"/>
        <w:spacing w:after="0" w:line="269" w:lineRule="auto"/>
        <w:rPr>
          <w:sz w:val="20"/>
          <w:szCs w:val="20"/>
          <w:color w:val="auto"/>
        </w:rPr>
      </w:pPr>
      <w:r>
        <w:rPr>
          <w:rFonts w:ascii="Arial" w:cs="Arial" w:eastAsia="Arial" w:hAnsi="Arial"/>
          <w:sz w:val="18"/>
          <w:szCs w:val="18"/>
          <w:b w:val="1"/>
          <w:bCs w:val="1"/>
          <w:i w:val="1"/>
          <w:iCs w:val="1"/>
          <w:color w:val="231F20"/>
        </w:rPr>
        <w:t>We have incurred and expect to continue to incur significant costs and have devoted and will continue to devote substantial management time as a result of operating as a public company, and these commitments will increase after we are no longer an “emerging growth company,” which could adversely affect our business and operating results.</w:t>
      </w:r>
    </w:p>
    <w:p>
      <w:pPr>
        <w:spacing w:after="0" w:line="190" w:lineRule="exact"/>
        <w:rPr>
          <w:sz w:val="20"/>
          <w:szCs w:val="20"/>
          <w:color w:val="auto"/>
        </w:rPr>
      </w:pPr>
    </w:p>
    <w:p>
      <w:pPr>
        <w:ind w:right="80" w:firstLine="405"/>
        <w:spacing w:after="0" w:line="251" w:lineRule="auto"/>
        <w:rPr>
          <w:sz w:val="20"/>
          <w:szCs w:val="20"/>
          <w:color w:val="auto"/>
        </w:rPr>
      </w:pPr>
      <w:r>
        <w:rPr>
          <w:rFonts w:ascii="Arial" w:cs="Arial" w:eastAsia="Arial" w:hAnsi="Arial"/>
          <w:sz w:val="18"/>
          <w:szCs w:val="18"/>
          <w:color w:val="231F20"/>
        </w:rPr>
        <w:t>As a public company, we have incurred and expect to continue to incur significant legal, accounting and other expenses. For example, we are required to comply with certain of the requirements of the Sarbanes-Oxley Act and the Dodd Frank Wall Street Reform and Consumer Protection Act, as well as rules and regulations implemented by the SEC and the NASDAQ Stock Market, including the establishment and maintenance of effective disclosure controls and procedures, internal control over financial reporting, and changes in corporate governance practices. Despite recent reform made possible by the JOBS Act, which allows us to take advantage of certain exemptions from various reporting requirements applicable to other public companies that are not “emerging growth companies,” compliance with these requirements increases our legal and financial compliance costs and makes some activities more time-consuming and costly compared to when we were a privately-held company. In addition, our management and other personnel must divert attention from operational and other business matters to devote substantial time to these public company requirements.</w:t>
      </w:r>
    </w:p>
    <w:p>
      <w:pPr>
        <w:spacing w:after="0" w:line="213" w:lineRule="exact"/>
        <w:rPr>
          <w:sz w:val="20"/>
          <w:szCs w:val="20"/>
          <w:color w:val="auto"/>
        </w:rPr>
      </w:pPr>
    </w:p>
    <w:p>
      <w:pPr>
        <w:ind w:right="60" w:firstLine="405"/>
        <w:spacing w:after="0" w:line="262" w:lineRule="auto"/>
        <w:rPr>
          <w:sz w:val="20"/>
          <w:szCs w:val="20"/>
          <w:color w:val="auto"/>
        </w:rPr>
      </w:pPr>
      <w:r>
        <w:rPr>
          <w:rFonts w:ascii="Arial" w:cs="Arial" w:eastAsia="Arial" w:hAnsi="Arial"/>
          <w:sz w:val="18"/>
          <w:szCs w:val="18"/>
          <w:color w:val="231F20"/>
        </w:rPr>
        <w:t>After we are no longer an “emerging growth company,” we expect to incur increasing expenses and devote substantial management effort toward ensuring compliance with the requirements of Section 404(b) of the Sarbanes-Oxley Act, when applicable to us.</w:t>
      </w:r>
    </w:p>
    <w:p>
      <w:pPr>
        <w:spacing w:after="0" w:line="196"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231F20"/>
        </w:rPr>
        <w:t>We cannot predict or estimate the amount of additional costs we may incur in the future as a result of being a public company or the timing of such costs. Being a public company also makes it more difficult and more expensive for us to obtain director and officer liability insurance, and we may be required to accept reduced policy limits and coverage or incur substantially higher costs to obtain the same or similar coverage for our officers and directors in the future. As a result, it may be more difficult for us to attract and retain qualified people to serve on our board of directors and our board committees or as executive officers.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41" w:right="23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231F20"/>
        </w:rPr>
        <w:t>We are an “emerging growth company” and we cannot be certain if the reduced disclosure requirements applicable to emerging growth companies makes our common stock less attractive to investors.</w:t>
      </w:r>
    </w:p>
    <w:p>
      <w:pPr>
        <w:spacing w:after="0" w:line="17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We are an “emerging growth company,” as defined in the JOBS Act, and, for so long as we remain an "emerging growth company," we may choose to take advantage of certain exemptions from various reporting requirements that are applicable to other public companies that are not “emerging growth companies” including, but not limited to,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cannot assess if investors find our common stock less attractive for so long as we choose to rely on these exemptions. If some investors find our common stock less attractive as a result of our choice to reduce disclosure, there may be a less active trading market for our common stock and our trading price may be more volatile.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Market volatility may affect our stock price and the value of an investment in our common stock and could subject us to litigation.</w:t>
      </w:r>
    </w:p>
    <w:p>
      <w:pPr>
        <w:spacing w:after="0" w:line="247" w:lineRule="exact"/>
        <w:rPr>
          <w:sz w:val="20"/>
          <w:szCs w:val="20"/>
          <w:color w:val="auto"/>
        </w:rPr>
      </w:pPr>
    </w:p>
    <w:p>
      <w:pPr>
        <w:ind w:right="280" w:firstLine="405"/>
        <w:spacing w:after="0" w:line="262" w:lineRule="auto"/>
        <w:rPr>
          <w:sz w:val="20"/>
          <w:szCs w:val="20"/>
          <w:color w:val="auto"/>
        </w:rPr>
      </w:pPr>
      <w:r>
        <w:rPr>
          <w:rFonts w:ascii="Arial" w:cs="Arial" w:eastAsia="Arial" w:hAnsi="Arial"/>
          <w:sz w:val="18"/>
          <w:szCs w:val="18"/>
          <w:color w:val="231F20"/>
        </w:rPr>
        <w:t>The trading price of our common stock has been, and may continue to be, subject to significant fluctuations in response to a number of factors, most of which we cannot predict or control, including:</w:t>
      </w:r>
    </w:p>
    <w:p>
      <w:pPr>
        <w:spacing w:after="0" w:line="88" w:lineRule="exact"/>
        <w:rPr>
          <w:sz w:val="20"/>
          <w:szCs w:val="20"/>
          <w:color w:val="auto"/>
        </w:rPr>
      </w:pPr>
    </w:p>
    <w:p>
      <w:pPr>
        <w:ind w:left="660" w:right="72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announcements of new solutions, services or technologies, commercial relationships, acquisitions or other events by us or our competitors;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securities of similar companies;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variations in our operating results, or the operating results of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additions or departures of any of our key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announcements related to litigation;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changing legal or regulatory developments in the United States and other countries;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discussion of us or our stock price by the financial press and in online investor communities.</w:t>
      </w:r>
    </w:p>
    <w:p>
      <w:pPr>
        <w:spacing w:after="0" w:line="333"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231F20"/>
        </w:rPr>
        <w:t>In addition, the stock market in general, and the stocks of technology companies such as ours in particular, have experienced substantial price and volume volatility that is often seemingly unrelated to the operating performance of particular companies. These broad market fluctuations may cause the trading price of our common stock to decline. In the past, securities class action litigation has often been brought against a company after a period of volatility in the trading price of its common stock. We may become involved in this type of litigation in the future. Any securities litigation claims brought against us could result in substantial expenses and the diversion of our management’s attention from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actual operating results may differ significantly from our guidance.</w:t>
      </w:r>
    </w:p>
    <w:p>
      <w:pPr>
        <w:spacing w:after="0" w:line="247"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From time to time, we have released, and may continue to release guidance in our quarterly earnings conference calls, quarterly earnings releases, or otherwise, regarding our future performance that represents our management's estimates as of the date of release. This guidance, which includes forward-looking statements, has been and will be based on projections prepared by our management. These projections are not prepared with a view toward compliance with published guidelines of the American Institute of Certified Public Accountants, and neither our registered public accountants nor any other independent expert or outside party compiles or examines the projections. Accordingly, no such person expresses any opinion or any other form of assurance with respect to the projections.</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141" w:right="25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We do not accept any responsibility for any projections or reports published by any such third parties.</w:t>
      </w:r>
    </w:p>
    <w:p>
      <w:pPr>
        <w:spacing w:after="0" w:line="207" w:lineRule="exact"/>
        <w:rPr>
          <w:sz w:val="20"/>
          <w:szCs w:val="20"/>
          <w:color w:val="auto"/>
        </w:rPr>
      </w:pPr>
    </w:p>
    <w:p>
      <w:pPr>
        <w:ind w:right="160" w:firstLine="405"/>
        <w:spacing w:after="0" w:line="254" w:lineRule="auto"/>
        <w:rPr>
          <w:sz w:val="20"/>
          <w:szCs w:val="20"/>
          <w:color w:val="auto"/>
        </w:rPr>
      </w:pPr>
      <w:r>
        <w:rPr>
          <w:rFonts w:ascii="Arial" w:cs="Arial" w:eastAsia="Arial" w:hAnsi="Arial"/>
          <w:sz w:val="18"/>
          <w:szCs w:val="18"/>
          <w:color w:val="auto"/>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spacing w:after="0" w:line="204" w:lineRule="exact"/>
        <w:rPr>
          <w:sz w:val="20"/>
          <w:szCs w:val="20"/>
          <w:color w:val="auto"/>
        </w:rPr>
      </w:pPr>
    </w:p>
    <w:p>
      <w:pPr>
        <w:ind w:right="100" w:firstLine="405"/>
        <w:spacing w:after="0" w:line="256" w:lineRule="auto"/>
        <w:rPr>
          <w:sz w:val="20"/>
          <w:szCs w:val="20"/>
          <w:color w:val="auto"/>
        </w:rPr>
      </w:pPr>
      <w:r>
        <w:rPr>
          <w:rFonts w:ascii="Arial" w:cs="Arial" w:eastAsia="Arial" w:hAnsi="Arial"/>
          <w:sz w:val="18"/>
          <w:szCs w:val="18"/>
          <w:color w:val="auto"/>
        </w:rPr>
        <w:t>Any failure to successfully implement our operating strategy or the occurrence of any of the events or circumstances set forth in this “Risk Factors” section in this Quarterly Report on Form 10-Q could result in the actual operating results being different from our guidance, and the differences may be adverse and material.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An active trading market for our common stock may not be sustained.</w:t>
      </w:r>
    </w:p>
    <w:p>
      <w:pPr>
        <w:spacing w:after="0" w:line="247" w:lineRule="exact"/>
        <w:rPr>
          <w:sz w:val="20"/>
          <w:szCs w:val="20"/>
          <w:color w:val="auto"/>
        </w:rPr>
      </w:pPr>
    </w:p>
    <w:p>
      <w:pPr>
        <w:ind w:right="160" w:firstLine="405"/>
        <w:spacing w:after="0" w:line="278" w:lineRule="auto"/>
        <w:rPr>
          <w:sz w:val="20"/>
          <w:szCs w:val="20"/>
          <w:color w:val="auto"/>
        </w:rPr>
      </w:pPr>
      <w:r>
        <w:rPr>
          <w:rFonts w:ascii="Arial" w:cs="Arial" w:eastAsia="Arial" w:hAnsi="Arial"/>
          <w:sz w:val="17"/>
          <w:szCs w:val="17"/>
          <w:color w:val="231F20"/>
        </w:rPr>
        <w:t>Our common stock is listed on the NASDAQ Stock Market under the symbol “QLYS.” However, there can be no assurance that an active trading market for our common stock will be sustained. Accordingly, we cannot provide any assurance regarding the liquidity of any trading market or the ability of an investor to sell shares of our common stock when desired or the prices that may be obtained for such shares.</w:t>
      </w:r>
    </w:p>
    <w:p>
      <w:pPr>
        <w:spacing w:after="0" w:line="16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231F20"/>
        </w:rPr>
        <w:t>Concentration of ownership among our existing executive officers, directors and holders of 5% or more of our outstanding common stock may prevent new investors from influencing significant corporate decisions.</w:t>
      </w:r>
    </w:p>
    <w:p>
      <w:pPr>
        <w:spacing w:after="0" w:line="17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September 30, 2014</w:t>
      </w:r>
      <w:r>
        <w:rPr>
          <w:rFonts w:ascii="Arial" w:cs="Arial" w:eastAsia="Arial" w:hAnsi="Arial"/>
          <w:sz w:val="18"/>
          <w:szCs w:val="18"/>
          <w:color w:val="231F20"/>
        </w:rPr>
        <w:t>, our executive officers, directors and holders of 5% or more of our outstanding common stock beneficially own, in the aggregate, approximately 45% of our outstanding common stock. As a result, such persons, acting together, have significant ability to control our management and affairs and substantially all matters submitted to our stockholders for approval, including the election and removal of directors and approval of any significant transaction. This concentration of ownership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Future sales of shares by existing stockholders could cause our stock price to decline.</w:t>
      </w:r>
    </w:p>
    <w:p>
      <w:pPr>
        <w:spacing w:after="0" w:line="247"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231F20"/>
        </w:rPr>
        <w:t>The market price of shares of our common stock could decline as a result of substantial sales of our common stock, particularly sales by our directors, executive officers, employees and significant stockholders, a large number of shares of our common stock becoming available for sale, or the perception in the market that holders of a large number of shares intend to sell their shares. As of September 30, 2014, we had approximately 33.3 million shares of our common stock outstanding. Certain holders of shares of common stock have rights, subject to some conditions, to require us to file registration statements covering their shares or to include these shares in registration statements that we may file for ourselves or other stockholders.</w:t>
      </w:r>
    </w:p>
    <w:p>
      <w:pPr>
        <w:spacing w:after="0" w:line="209"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231F20"/>
        </w:rPr>
        <w:t xml:space="preserve">In addition, as of September 30, 2014, we had outstanding options to purchase approximately 7.1 million shares of common stock options that, if exercised, will result in these additional shares becoming available for sale. As of September 30, 2014, we had an aggregate of </w:t>
      </w:r>
      <w:r>
        <w:rPr>
          <w:rFonts w:ascii="Arial" w:cs="Arial" w:eastAsia="Arial" w:hAnsi="Arial"/>
          <w:sz w:val="18"/>
          <w:szCs w:val="18"/>
          <w:color w:val="000000"/>
        </w:rPr>
        <w:t>1.6</w:t>
      </w:r>
      <w:r>
        <w:rPr>
          <w:rFonts w:ascii="Arial" w:cs="Arial" w:eastAsia="Arial" w:hAnsi="Arial"/>
          <w:sz w:val="18"/>
          <w:szCs w:val="18"/>
          <w:color w:val="231F20"/>
        </w:rPr>
        <w:t xml:space="preserve"> </w:t>
      </w:r>
      <w:r>
        <w:rPr>
          <w:rFonts w:ascii="Arial" w:cs="Arial" w:eastAsia="Arial" w:hAnsi="Arial"/>
          <w:sz w:val="18"/>
          <w:szCs w:val="18"/>
          <w:color w:val="000000"/>
        </w:rPr>
        <w:t xml:space="preserve">million </w:t>
      </w:r>
      <w:r>
        <w:rPr>
          <w:rFonts w:ascii="Arial" w:cs="Arial" w:eastAsia="Arial" w:hAnsi="Arial"/>
          <w:sz w:val="18"/>
          <w:szCs w:val="18"/>
          <w:color w:val="231F20"/>
        </w:rPr>
        <w:t>shares of our common stock reserved for future issuance under our 2012 Equity Incentive Plan, which can be freely sold in the public</w:t>
      </w:r>
      <w:r>
        <w:rPr>
          <w:rFonts w:ascii="Arial" w:cs="Arial" w:eastAsia="Arial" w:hAnsi="Arial"/>
          <w:sz w:val="18"/>
          <w:szCs w:val="18"/>
          <w:color w:val="000000"/>
        </w:rPr>
        <w:t xml:space="preserve"> </w:t>
      </w:r>
      <w:r>
        <w:rPr>
          <w:rFonts w:ascii="Arial" w:cs="Arial" w:eastAsia="Arial" w:hAnsi="Arial"/>
          <w:sz w:val="18"/>
          <w:szCs w:val="18"/>
          <w:color w:val="231F20"/>
        </w:rPr>
        <w:t>market upon issuance. If a large number of these shares are sold in the public market, the sales could reduce the trading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41" w:right="23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i w:val="1"/>
          <w:iCs w:val="1"/>
          <w:color w:val="231F20"/>
        </w:rPr>
        <w:t>If securities or industry analysts do not publish research or publish inaccurate or unfavorable research about our business, our stock price and trading volume could decline.</w:t>
      </w:r>
    </w:p>
    <w:p>
      <w:pPr>
        <w:spacing w:after="0" w:line="175" w:lineRule="exact"/>
        <w:rPr>
          <w:sz w:val="20"/>
          <w:szCs w:val="20"/>
          <w:color w:val="auto"/>
        </w:rPr>
      </w:pPr>
    </w:p>
    <w:p>
      <w:pPr>
        <w:ind w:right="80" w:firstLine="405"/>
        <w:spacing w:after="0" w:line="253" w:lineRule="auto"/>
        <w:rPr>
          <w:sz w:val="20"/>
          <w:szCs w:val="20"/>
          <w:color w:val="auto"/>
        </w:rPr>
      </w:pPr>
      <w:r>
        <w:rPr>
          <w:rFonts w:ascii="Arial" w:cs="Arial" w:eastAsia="Arial" w:hAnsi="Arial"/>
          <w:sz w:val="18"/>
          <w:szCs w:val="18"/>
          <w:color w:val="231F20"/>
        </w:rPr>
        <w:t>The trading market for our common stock depends in part on the research and reports that securities and industry analysts publish about us and our business. If we do not maintain adequate research coverage or if one or more of the analysts who covers us downgrades our stock or publishes inaccurate or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do not intend to pay dividends on our common stock and therefore any returns will be limited to the value of our stock.</w:t>
      </w:r>
    </w:p>
    <w:p>
      <w:pPr>
        <w:spacing w:after="0" w:line="24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value of their stock.</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75" w:lineRule="exact"/>
        <w:rPr>
          <w:sz w:val="20"/>
          <w:szCs w:val="20"/>
          <w:color w:val="auto"/>
        </w:rPr>
      </w:pPr>
    </w:p>
    <w:p>
      <w:pPr>
        <w:ind w:right="100" w:firstLine="405"/>
        <w:spacing w:after="0" w:line="262" w:lineRule="auto"/>
        <w:rPr>
          <w:sz w:val="20"/>
          <w:szCs w:val="20"/>
          <w:color w:val="auto"/>
        </w:rPr>
      </w:pPr>
      <w:r>
        <w:rPr>
          <w:rFonts w:ascii="Arial" w:cs="Arial" w:eastAsia="Arial" w:hAnsi="Arial"/>
          <w:sz w:val="18"/>
          <w:szCs w:val="18"/>
          <w:color w:val="231F20"/>
        </w:rPr>
        <w:t>Our amended and restated certificate of incorporation and amended and restated bylaws contain provisions that may delay or prevent an acquisition of us or a change in our management. These provisions include:</w:t>
      </w:r>
    </w:p>
    <w:p>
      <w:pPr>
        <w:spacing w:after="0" w:line="88" w:lineRule="exact"/>
        <w:rPr>
          <w:sz w:val="20"/>
          <w:szCs w:val="20"/>
          <w:color w:val="auto"/>
        </w:rPr>
      </w:pPr>
    </w:p>
    <w:p>
      <w:pPr>
        <w:ind w:left="660" w:right="60" w:hanging="328"/>
        <w:spacing w:after="0" w:line="256"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board without stockholder approval and may contain voting, liquidation, dividend and other rights superior to our common stock, which would increase the number of outstanding shares and could thwart a takeover attempt;</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classified board of directors whose members can only be dismissed for cause;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prohibition on actions by written consent of our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limitation on who may call a special meeting of stockholders;</w:t>
      </w:r>
    </w:p>
    <w:p>
      <w:pPr>
        <w:spacing w:after="0" w:line="117" w:lineRule="exact"/>
        <w:rPr>
          <w:rFonts w:ascii="Arial" w:cs="Arial" w:eastAsia="Arial" w:hAnsi="Arial"/>
          <w:sz w:val="18"/>
          <w:szCs w:val="18"/>
          <w:color w:val="auto"/>
        </w:rPr>
      </w:pPr>
    </w:p>
    <w:p>
      <w:pPr>
        <w:ind w:left="660" w:right="28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establishment of advance notice requirements for nominations for election to our board of directors or for proposing matters that can be acted upon at stockholder meetings; and</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requirement of at least two-thirds of the outstanding capital stock to amend any of the foregoing second through fifth provisions.</w:t>
      </w:r>
    </w:p>
    <w:p>
      <w:pPr>
        <w:spacing w:after="0" w:line="22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231F20"/>
        </w:rPr>
        <w:t>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acquirers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41" w:right="25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right="5320"/>
        <w:spacing w:after="0" w:line="381" w:lineRule="auto"/>
        <w:rPr>
          <w:sz w:val="20"/>
          <w:szCs w:val="20"/>
          <w:color w:val="auto"/>
        </w:rPr>
      </w:pPr>
      <w:r>
        <w:rPr>
          <w:rFonts w:ascii="Arial" w:cs="Arial" w:eastAsia="Arial" w:hAnsi="Arial"/>
          <w:sz w:val="18"/>
          <w:szCs w:val="18"/>
          <w:b w:val="1"/>
          <w:bCs w:val="1"/>
          <w:color w:val="231F20"/>
        </w:rPr>
        <w:t xml:space="preserve">Item 2. Unregistered Sales of Equity Securities and Use of Proceeds </w:t>
      </w:r>
      <w:r>
        <w:rPr>
          <w:rFonts w:ascii="Arial" w:cs="Arial" w:eastAsia="Arial" w:hAnsi="Arial"/>
          <w:sz w:val="18"/>
          <w:szCs w:val="18"/>
          <w:color w:val="231F20"/>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3. Defaults upon Senior Securities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4. Mine Safety Disclosures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5. Other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6. Exhibits</w:t>
      </w:r>
    </w:p>
    <w:p>
      <w:pPr>
        <w:spacing w:after="0" w:line="315"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231F20"/>
        </w:rPr>
        <w:t>See the Exhibit Index on the page immediately preceding the exhibits for a list of exhibits filed as part of this Quarterly Report on Form 10-Q, which Exhibit Index is incorporated herein by reference.</w:t>
      </w:r>
    </w:p>
    <w:p>
      <w:pPr>
        <w:spacing w:after="0" w:line="200" w:lineRule="exact"/>
        <w:rPr>
          <w:sz w:val="20"/>
          <w:szCs w:val="20"/>
          <w:color w:val="auto"/>
        </w:rPr>
      </w:pPr>
    </w:p>
    <w:p>
      <w:pPr>
        <w:spacing w:after="0" w:line="23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60"/>
          </w:cols>
          <w:pgMar w:left="240" w:top="141" w:right="49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88" w:lineRule="exact"/>
        <w:rPr>
          <w:sz w:val="20"/>
          <w:szCs w:val="20"/>
          <w:color w:val="auto"/>
        </w:rPr>
      </w:pPr>
    </w:p>
    <w:p>
      <w:pPr>
        <w:ind w:left="80" w:firstLine="432"/>
        <w:spacing w:after="0" w:line="262" w:lineRule="auto"/>
        <w:rPr>
          <w:sz w:val="20"/>
          <w:szCs w:val="20"/>
          <w:color w:val="auto"/>
        </w:rPr>
      </w:pPr>
      <w:r>
        <w:rPr>
          <w:rFonts w:ascii="Arial" w:cs="Arial" w:eastAsia="Arial" w:hAnsi="Arial"/>
          <w:sz w:val="18"/>
          <w:szCs w:val="18"/>
          <w:color w:val="231F20"/>
        </w:rPr>
        <w:t>Pursuant to the requirements of the Securities Exchange Act of 1934, the registrant has duly caused this report to be signed on its behalf by the undersigned, thereunto duly authorized, in the City of Redwood City, State of California on November 6, 2014.</w:t>
      </w:r>
    </w:p>
    <w:p>
      <w:pPr>
        <w:spacing w:after="0" w:line="120" w:lineRule="exact"/>
        <w:rPr>
          <w:sz w:val="20"/>
          <w:szCs w:val="20"/>
          <w:color w:val="auto"/>
        </w:rPr>
      </w:pPr>
    </w:p>
    <w:p>
      <w:pPr>
        <w:ind w:left="7400"/>
        <w:spacing w:after="0"/>
        <w:rPr>
          <w:sz w:val="20"/>
          <w:szCs w:val="20"/>
          <w:color w:val="auto"/>
        </w:rPr>
      </w:pPr>
      <w:r>
        <w:rPr>
          <w:rFonts w:ascii="Arial" w:cs="Arial" w:eastAsia="Arial" w:hAnsi="Arial"/>
          <w:sz w:val="18"/>
          <w:szCs w:val="18"/>
          <w:b w:val="1"/>
          <w:bCs w:val="1"/>
          <w:color w:val="auto"/>
        </w:rPr>
        <w:t>QUALYS, INC.</w:t>
      </w:r>
    </w:p>
    <w:p>
      <w:pPr>
        <w:spacing w:after="0" w:line="59"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 xml:space="preserve">By:  </w:t>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26035</wp:posOffset>
            </wp:positionV>
            <wp:extent cx="23583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61"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Name: Philippe F. Courtot</w:t>
      </w:r>
    </w:p>
    <w:p>
      <w:pPr>
        <w:spacing w:after="0" w:line="45"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Title: Chairman, President and Chief</w:t>
      </w:r>
    </w:p>
    <w:p>
      <w:pPr>
        <w:ind w:left="7740"/>
        <w:spacing w:after="0"/>
        <w:rPr>
          <w:sz w:val="20"/>
          <w:szCs w:val="20"/>
          <w:color w:val="auto"/>
        </w:rPr>
      </w:pPr>
      <w:r>
        <w:rPr>
          <w:rFonts w:ascii="Arial" w:cs="Arial" w:eastAsia="Arial" w:hAnsi="Arial"/>
          <w:sz w:val="18"/>
          <w:szCs w:val="18"/>
          <w:color w:val="auto"/>
        </w:rPr>
        <w:t>Executive Officer</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(principal executive officer)</w:t>
      </w:r>
    </w:p>
    <w:p>
      <w:pPr>
        <w:spacing w:after="0" w:line="159"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 xml:space="preserve">By:  </w:t>
      </w:r>
      <w:r>
        <w:rPr>
          <w:rFonts w:ascii="Arial" w:cs="Arial" w:eastAsia="Arial" w:hAnsi="Arial"/>
          <w:sz w:val="14"/>
          <w:szCs w:val="14"/>
          <w:color w:val="auto"/>
        </w:rPr>
        <w:t>/s/ DONALD C. McCAULEY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26035</wp:posOffset>
            </wp:positionV>
            <wp:extent cx="23583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61"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Name: Donald C. McCauley</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Title: Chief Financial Officer</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141" w:right="25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84"/>
        </w:trPr>
        <w:tc>
          <w:tcPr>
            <w:tcW w:w="1880" w:type="dxa"/>
            <w:vAlign w:val="bottom"/>
            <w:gridSpan w:val="4"/>
          </w:tcPr>
          <w:p>
            <w:pPr>
              <w:jc w:val="center"/>
              <w:ind w:right="620"/>
              <w:spacing w:after="0"/>
              <w:rPr>
                <w:rFonts w:ascii="Arial" w:cs="Arial" w:eastAsia="Arial" w:hAnsi="Arial"/>
                <w:sz w:val="16"/>
                <w:szCs w:val="16"/>
                <w:color w:val="0000EE"/>
                <w:w w:val="99"/>
              </w:rPr>
            </w:pPr>
            <w:hyperlink w:anchor="page1">
              <w:r>
                <w:rPr>
                  <w:rFonts w:ascii="Arial" w:cs="Arial" w:eastAsia="Arial" w:hAnsi="Arial"/>
                  <w:sz w:val="16"/>
                  <w:szCs w:val="16"/>
                  <w:color w:val="0000EE"/>
                  <w:w w:val="99"/>
                </w:rPr>
                <w:t>Table of Contents</w:t>
              </w:r>
            </w:hyperlink>
          </w:p>
        </w:tc>
        <w:tc>
          <w:tcPr>
            <w:tcW w:w="8460" w:type="dxa"/>
            <w:vAlign w:val="bottom"/>
          </w:tcPr>
          <w:p>
            <w:pPr>
              <w:spacing w:after="0"/>
              <w:rPr>
                <w:sz w:val="16"/>
                <w:szCs w:val="16"/>
                <w:color w:val="auto"/>
              </w:rPr>
            </w:pPr>
          </w:p>
        </w:tc>
      </w:tr>
      <w:tr>
        <w:trPr>
          <w:trHeight w:val="466"/>
        </w:trPr>
        <w:tc>
          <w:tcPr>
            <w:tcW w:w="38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60" w:type="dxa"/>
            <w:vAlign w:val="bottom"/>
          </w:tcPr>
          <w:p>
            <w:pPr>
              <w:ind w:left="3180"/>
              <w:spacing w:after="0"/>
              <w:rPr>
                <w:sz w:val="20"/>
                <w:szCs w:val="20"/>
                <w:color w:val="auto"/>
              </w:rPr>
            </w:pPr>
            <w:r>
              <w:rPr>
                <w:rFonts w:ascii="Arial" w:cs="Arial" w:eastAsia="Arial" w:hAnsi="Arial"/>
                <w:sz w:val="18"/>
                <w:szCs w:val="18"/>
                <w:b w:val="1"/>
                <w:bCs w:val="1"/>
                <w:color w:val="auto"/>
              </w:rPr>
              <w:t>EXHIBIT INDEX</w:t>
            </w:r>
          </w:p>
        </w:tc>
      </w:tr>
      <w:tr>
        <w:trPr>
          <w:trHeight w:val="453"/>
        </w:trPr>
        <w:tc>
          <w:tcPr>
            <w:tcW w:w="1880" w:type="dxa"/>
            <w:vAlign w:val="bottom"/>
            <w:gridSpan w:val="4"/>
          </w:tcPr>
          <w:p>
            <w:pPr>
              <w:ind w:left="280"/>
              <w:spacing w:after="0"/>
              <w:rPr>
                <w:sz w:val="20"/>
                <w:szCs w:val="20"/>
                <w:color w:val="auto"/>
              </w:rPr>
            </w:pPr>
            <w:r>
              <w:rPr>
                <w:rFonts w:ascii="Arial" w:cs="Arial" w:eastAsia="Arial" w:hAnsi="Arial"/>
                <w:sz w:val="18"/>
                <w:szCs w:val="18"/>
                <w:color w:val="auto"/>
              </w:rPr>
              <w:t>Exhibit Number</w:t>
            </w:r>
          </w:p>
        </w:tc>
        <w:tc>
          <w:tcPr>
            <w:tcW w:w="8460" w:type="dxa"/>
            <w:vAlign w:val="bottom"/>
          </w:tcPr>
          <w:p>
            <w:pPr>
              <w:ind w:left="20"/>
              <w:spacing w:after="0"/>
              <w:rPr>
                <w:sz w:val="20"/>
                <w:szCs w:val="20"/>
                <w:color w:val="auto"/>
              </w:rPr>
            </w:pPr>
            <w:r>
              <w:rPr>
                <w:rFonts w:ascii="Arial" w:cs="Arial" w:eastAsia="Arial" w:hAnsi="Arial"/>
                <w:sz w:val="18"/>
                <w:szCs w:val="18"/>
                <w:color w:val="auto"/>
              </w:rPr>
              <w:t>Description</w:t>
            </w:r>
          </w:p>
        </w:tc>
      </w:tr>
      <w:tr>
        <w:trPr>
          <w:trHeight w:val="431"/>
        </w:trPr>
        <w:tc>
          <w:tcPr>
            <w:tcW w:w="3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231F20"/>
              </w:rPr>
              <w:t>Certification of Chief Executive Officer pursuant to Rule 13a-14(a) or Rule 15d-14(a) of the Securities</w:t>
            </w:r>
          </w:p>
        </w:tc>
      </w:tr>
      <w:tr>
        <w:trPr>
          <w:trHeight w:val="217"/>
        </w:trPr>
        <w:tc>
          <w:tcPr>
            <w:tcW w:w="380" w:type="dxa"/>
            <w:vAlign w:val="bottom"/>
          </w:tcPr>
          <w:p>
            <w:pPr>
              <w:ind w:left="40"/>
              <w:spacing w:after="0"/>
              <w:rPr>
                <w:sz w:val="20"/>
                <w:szCs w:val="20"/>
                <w:color w:val="auto"/>
              </w:rPr>
            </w:pPr>
            <w:r>
              <w:rPr>
                <w:rFonts w:ascii="Arial" w:cs="Arial" w:eastAsia="Arial" w:hAnsi="Arial"/>
                <w:sz w:val="18"/>
                <w:szCs w:val="18"/>
                <w:color w:val="auto"/>
                <w:w w:val="91"/>
              </w:rPr>
              <w:t>31.1</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60" w:type="dxa"/>
            <w:vAlign w:val="bottom"/>
          </w:tcPr>
          <w:p>
            <w:pPr>
              <w:ind w:left="340"/>
              <w:spacing w:after="0"/>
              <w:rPr>
                <w:sz w:val="20"/>
                <w:szCs w:val="20"/>
                <w:color w:val="auto"/>
              </w:rPr>
            </w:pPr>
            <w:r>
              <w:rPr>
                <w:rFonts w:ascii="Arial" w:cs="Arial" w:eastAsia="Arial" w:hAnsi="Arial"/>
                <w:sz w:val="18"/>
                <w:szCs w:val="18"/>
                <w:color w:val="231F20"/>
              </w:rPr>
              <w:t>Exchange Act of 1934, as adopted pursuant to Section 302 of The Sarbanes-Oxley Act of 2002.</w:t>
            </w:r>
          </w:p>
        </w:tc>
      </w:tr>
      <w:tr>
        <w:trPr>
          <w:trHeight w:val="445"/>
        </w:trPr>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60" w:type="dxa"/>
            <w:vAlign w:val="bottom"/>
          </w:tcPr>
          <w:p>
            <w:pPr>
              <w:ind w:left="20"/>
              <w:spacing w:after="0"/>
              <w:rPr>
                <w:sz w:val="20"/>
                <w:szCs w:val="20"/>
                <w:color w:val="auto"/>
              </w:rPr>
            </w:pPr>
            <w:r>
              <w:rPr>
                <w:rFonts w:ascii="Arial" w:cs="Arial" w:eastAsia="Arial" w:hAnsi="Arial"/>
                <w:sz w:val="18"/>
                <w:szCs w:val="18"/>
                <w:color w:val="231F20"/>
              </w:rPr>
              <w:t>Certification of Chief Financial Officer pursuant to Rule 13a-14(a) or Rule 15d-14(a) of the Securities</w:t>
            </w:r>
          </w:p>
        </w:tc>
      </w:tr>
      <w:tr>
        <w:trPr>
          <w:trHeight w:val="217"/>
        </w:trPr>
        <w:tc>
          <w:tcPr>
            <w:tcW w:w="380" w:type="dxa"/>
            <w:vAlign w:val="bottom"/>
          </w:tcPr>
          <w:p>
            <w:pPr>
              <w:ind w:left="40"/>
              <w:spacing w:after="0"/>
              <w:rPr>
                <w:sz w:val="20"/>
                <w:szCs w:val="20"/>
                <w:color w:val="auto"/>
              </w:rPr>
            </w:pPr>
            <w:r>
              <w:rPr>
                <w:rFonts w:ascii="Arial" w:cs="Arial" w:eastAsia="Arial" w:hAnsi="Arial"/>
                <w:sz w:val="18"/>
                <w:szCs w:val="18"/>
                <w:color w:val="auto"/>
                <w:w w:val="91"/>
              </w:rPr>
              <w:t>31.2</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60" w:type="dxa"/>
            <w:vAlign w:val="bottom"/>
          </w:tcPr>
          <w:p>
            <w:pPr>
              <w:ind w:left="340"/>
              <w:spacing w:after="0"/>
              <w:rPr>
                <w:sz w:val="20"/>
                <w:szCs w:val="20"/>
                <w:color w:val="auto"/>
              </w:rPr>
            </w:pPr>
            <w:r>
              <w:rPr>
                <w:rFonts w:ascii="Arial" w:cs="Arial" w:eastAsia="Arial" w:hAnsi="Arial"/>
                <w:sz w:val="18"/>
                <w:szCs w:val="18"/>
                <w:color w:val="231F20"/>
              </w:rPr>
              <w:t>Exchange Act of 1934, as adopted pursuant to Section 302 of The Sarbanes-Oxley Act of 2002.</w:t>
            </w:r>
          </w:p>
        </w:tc>
      </w:tr>
      <w:tr>
        <w:trPr>
          <w:trHeight w:val="445"/>
        </w:trPr>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60" w:type="dxa"/>
            <w:vAlign w:val="bottom"/>
          </w:tcPr>
          <w:p>
            <w:pPr>
              <w:ind w:left="20"/>
              <w:spacing w:after="0"/>
              <w:rPr>
                <w:sz w:val="20"/>
                <w:szCs w:val="20"/>
                <w:color w:val="auto"/>
              </w:rPr>
            </w:pPr>
            <w:r>
              <w:rPr>
                <w:rFonts w:ascii="Arial" w:cs="Arial" w:eastAsia="Arial" w:hAnsi="Arial"/>
                <w:sz w:val="18"/>
                <w:szCs w:val="18"/>
                <w:color w:val="231F20"/>
              </w:rPr>
              <w:t>Certification of Chief Executive Officer pursuant to Rule 13a-14(b) or Rule 15d-14(b) of the Securities</w:t>
            </w:r>
          </w:p>
        </w:tc>
      </w:tr>
      <w:tr>
        <w:trPr>
          <w:trHeight w:val="203"/>
        </w:trPr>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60" w:type="dxa"/>
            <w:vAlign w:val="bottom"/>
          </w:tcPr>
          <w:p>
            <w:pPr>
              <w:ind w:left="340"/>
              <w:spacing w:after="0" w:line="202" w:lineRule="exact"/>
              <w:rPr>
                <w:sz w:val="20"/>
                <w:szCs w:val="20"/>
                <w:color w:val="auto"/>
              </w:rPr>
            </w:pPr>
            <w:r>
              <w:rPr>
                <w:rFonts w:ascii="Arial" w:cs="Arial" w:eastAsia="Arial" w:hAnsi="Arial"/>
                <w:sz w:val="18"/>
                <w:szCs w:val="18"/>
                <w:color w:val="231F20"/>
              </w:rPr>
              <w:t>Exchange Act of 1934 and 18 U.S.C. Section 1350 as adopted pursuant to Section 906 of The</w:t>
            </w:r>
          </w:p>
        </w:tc>
      </w:tr>
      <w:tr>
        <w:trPr>
          <w:trHeight w:val="217"/>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32.1^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60" w:type="dxa"/>
            <w:vAlign w:val="bottom"/>
          </w:tcPr>
          <w:p>
            <w:pPr>
              <w:ind w:left="340"/>
              <w:spacing w:after="0"/>
              <w:rPr>
                <w:sz w:val="20"/>
                <w:szCs w:val="20"/>
                <w:color w:val="auto"/>
              </w:rPr>
            </w:pPr>
            <w:r>
              <w:rPr>
                <w:rFonts w:ascii="Arial" w:cs="Arial" w:eastAsia="Arial" w:hAnsi="Arial"/>
                <w:sz w:val="18"/>
                <w:szCs w:val="18"/>
                <w:color w:val="231F20"/>
              </w:rPr>
              <w:t>Sarbanes-Oxley Act of 2002.</w:t>
            </w:r>
          </w:p>
        </w:tc>
      </w:tr>
      <w:tr>
        <w:trPr>
          <w:trHeight w:val="485"/>
        </w:trPr>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6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 pursuant to Rule 13a-14(b) or Rule 15d-14(b) of the Securities</w:t>
            </w:r>
          </w:p>
        </w:tc>
      </w:tr>
      <w:tr>
        <w:trPr>
          <w:trHeight w:val="203"/>
        </w:trPr>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60" w:type="dxa"/>
            <w:vAlign w:val="bottom"/>
          </w:tcPr>
          <w:p>
            <w:pPr>
              <w:ind w:left="340"/>
              <w:spacing w:after="0" w:line="202" w:lineRule="exact"/>
              <w:rPr>
                <w:sz w:val="20"/>
                <w:szCs w:val="20"/>
                <w:color w:val="auto"/>
              </w:rPr>
            </w:pPr>
            <w:r>
              <w:rPr>
                <w:rFonts w:ascii="Arial" w:cs="Arial" w:eastAsia="Arial" w:hAnsi="Arial"/>
                <w:sz w:val="18"/>
                <w:szCs w:val="18"/>
                <w:color w:val="auto"/>
              </w:rPr>
              <w:t>Exchange Act of 1934 and 18 U.S.C. Section 1350 as adopted pursuant to Section 906 of The</w:t>
            </w:r>
          </w:p>
        </w:tc>
      </w:tr>
      <w:tr>
        <w:trPr>
          <w:trHeight w:val="217"/>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32.2^</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60" w:type="dxa"/>
            <w:vAlign w:val="bottom"/>
          </w:tcPr>
          <w:p>
            <w:pPr>
              <w:ind w:left="340"/>
              <w:spacing w:after="0"/>
              <w:rPr>
                <w:sz w:val="20"/>
                <w:szCs w:val="20"/>
                <w:color w:val="auto"/>
              </w:rPr>
            </w:pPr>
            <w:r>
              <w:rPr>
                <w:rFonts w:ascii="Arial" w:cs="Arial" w:eastAsia="Arial" w:hAnsi="Arial"/>
                <w:sz w:val="18"/>
                <w:szCs w:val="18"/>
                <w:color w:val="auto"/>
              </w:rPr>
              <w:t>Sarbanes-Oxley Act of 2002.</w:t>
            </w:r>
          </w:p>
        </w:tc>
      </w:tr>
      <w:tr>
        <w:trPr>
          <w:trHeight w:val="473"/>
        </w:trPr>
        <w:tc>
          <w:tcPr>
            <w:tcW w:w="380" w:type="dxa"/>
            <w:vAlign w:val="bottom"/>
          </w:tcPr>
          <w:p>
            <w:pPr>
              <w:ind w:left="40"/>
              <w:spacing w:after="0"/>
              <w:rPr>
                <w:sz w:val="20"/>
                <w:szCs w:val="20"/>
                <w:color w:val="auto"/>
              </w:rPr>
            </w:pPr>
            <w:r>
              <w:rPr>
                <w:rFonts w:ascii="Arial" w:cs="Arial" w:eastAsia="Arial" w:hAnsi="Arial"/>
                <w:sz w:val="18"/>
                <w:szCs w:val="18"/>
                <w:color w:val="auto"/>
              </w:rPr>
              <w:t>101</w:t>
            </w:r>
          </w:p>
        </w:tc>
        <w:tc>
          <w:tcPr>
            <w:tcW w:w="1500" w:type="dxa"/>
            <w:vAlign w:val="bottom"/>
            <w:gridSpan w:val="3"/>
          </w:tcPr>
          <w:p>
            <w:pPr>
              <w:jc w:val="center"/>
              <w:ind w:right="1020"/>
              <w:spacing w:after="0"/>
              <w:rPr>
                <w:sz w:val="20"/>
                <w:szCs w:val="20"/>
                <w:color w:val="auto"/>
              </w:rPr>
            </w:pPr>
            <w:r>
              <w:rPr>
                <w:rFonts w:ascii="Arial" w:cs="Arial" w:eastAsia="Arial" w:hAnsi="Arial"/>
                <w:sz w:val="18"/>
                <w:szCs w:val="18"/>
                <w:color w:val="auto"/>
              </w:rPr>
              <w:t>INS^^</w:t>
            </w:r>
          </w:p>
        </w:tc>
        <w:tc>
          <w:tcPr>
            <w:tcW w:w="8460" w:type="dxa"/>
            <w:vAlign w:val="bottom"/>
          </w:tcPr>
          <w:p>
            <w:pPr>
              <w:ind w:left="20"/>
              <w:spacing w:after="0"/>
              <w:rPr>
                <w:sz w:val="20"/>
                <w:szCs w:val="20"/>
                <w:color w:val="auto"/>
              </w:rPr>
            </w:pPr>
            <w:r>
              <w:rPr>
                <w:rFonts w:ascii="Arial" w:cs="Arial" w:eastAsia="Arial" w:hAnsi="Arial"/>
                <w:sz w:val="18"/>
                <w:szCs w:val="18"/>
                <w:color w:val="231F20"/>
              </w:rPr>
              <w:t>XBRL Instance Document</w:t>
            </w:r>
          </w:p>
        </w:tc>
      </w:tr>
      <w:tr>
        <w:trPr>
          <w:trHeight w:val="500"/>
        </w:trPr>
        <w:tc>
          <w:tcPr>
            <w:tcW w:w="1880" w:type="dxa"/>
            <w:vAlign w:val="bottom"/>
            <w:gridSpan w:val="4"/>
          </w:tcPr>
          <w:p>
            <w:pPr>
              <w:ind w:left="40"/>
              <w:spacing w:after="0"/>
              <w:rPr>
                <w:sz w:val="20"/>
                <w:szCs w:val="20"/>
                <w:color w:val="auto"/>
              </w:rPr>
            </w:pPr>
            <w:r>
              <w:rPr>
                <w:rFonts w:ascii="Arial" w:cs="Arial" w:eastAsia="Arial" w:hAnsi="Arial"/>
                <w:sz w:val="18"/>
                <w:szCs w:val="18"/>
                <w:color w:val="auto"/>
              </w:rPr>
              <w:t>101 SCH^^</w:t>
            </w:r>
          </w:p>
        </w:tc>
        <w:tc>
          <w:tcPr>
            <w:tcW w:w="8460" w:type="dxa"/>
            <w:vAlign w:val="bottom"/>
          </w:tcPr>
          <w:p>
            <w:pPr>
              <w:ind w:left="20"/>
              <w:spacing w:after="0"/>
              <w:rPr>
                <w:sz w:val="20"/>
                <w:szCs w:val="20"/>
                <w:color w:val="auto"/>
              </w:rPr>
            </w:pPr>
            <w:r>
              <w:rPr>
                <w:rFonts w:ascii="Arial" w:cs="Arial" w:eastAsia="Arial" w:hAnsi="Arial"/>
                <w:sz w:val="18"/>
                <w:szCs w:val="18"/>
                <w:color w:val="231F20"/>
              </w:rPr>
              <w:t>XBRL Taxonomy Extension Schema Document</w:t>
            </w:r>
          </w:p>
        </w:tc>
      </w:tr>
      <w:tr>
        <w:trPr>
          <w:trHeight w:val="459"/>
        </w:trPr>
        <w:tc>
          <w:tcPr>
            <w:tcW w:w="380" w:type="dxa"/>
            <w:vAlign w:val="bottom"/>
          </w:tcPr>
          <w:p>
            <w:pPr>
              <w:ind w:left="40"/>
              <w:spacing w:after="0"/>
              <w:rPr>
                <w:sz w:val="20"/>
                <w:szCs w:val="20"/>
                <w:color w:val="auto"/>
              </w:rPr>
            </w:pPr>
            <w:r>
              <w:rPr>
                <w:rFonts w:ascii="Arial" w:cs="Arial" w:eastAsia="Arial" w:hAnsi="Arial"/>
                <w:sz w:val="18"/>
                <w:szCs w:val="18"/>
                <w:color w:val="auto"/>
              </w:rPr>
              <w:t>101</w:t>
            </w:r>
          </w:p>
        </w:tc>
        <w:tc>
          <w:tcPr>
            <w:tcW w:w="1500" w:type="dxa"/>
            <w:vAlign w:val="bottom"/>
            <w:gridSpan w:val="3"/>
          </w:tcPr>
          <w:p>
            <w:pPr>
              <w:jc w:val="center"/>
              <w:ind w:right="980"/>
              <w:spacing w:after="0"/>
              <w:rPr>
                <w:sz w:val="20"/>
                <w:szCs w:val="20"/>
                <w:color w:val="auto"/>
              </w:rPr>
            </w:pPr>
            <w:r>
              <w:rPr>
                <w:rFonts w:ascii="Arial" w:cs="Arial" w:eastAsia="Arial" w:hAnsi="Arial"/>
                <w:sz w:val="18"/>
                <w:szCs w:val="18"/>
                <w:color w:val="auto"/>
              </w:rPr>
              <w:t>CAL^^</w:t>
            </w:r>
          </w:p>
        </w:tc>
        <w:tc>
          <w:tcPr>
            <w:tcW w:w="8460" w:type="dxa"/>
            <w:vAlign w:val="bottom"/>
          </w:tcPr>
          <w:p>
            <w:pPr>
              <w:ind w:left="20"/>
              <w:spacing w:after="0"/>
              <w:rPr>
                <w:sz w:val="20"/>
                <w:szCs w:val="20"/>
                <w:color w:val="auto"/>
              </w:rPr>
            </w:pPr>
            <w:r>
              <w:rPr>
                <w:rFonts w:ascii="Arial" w:cs="Arial" w:eastAsia="Arial" w:hAnsi="Arial"/>
                <w:sz w:val="18"/>
                <w:szCs w:val="18"/>
                <w:color w:val="231F20"/>
              </w:rPr>
              <w:t>XBRL Taxonomy Extension Calculation Linkbase Document.</w:t>
            </w:r>
          </w:p>
        </w:tc>
      </w:tr>
      <w:tr>
        <w:trPr>
          <w:trHeight w:val="459"/>
        </w:trPr>
        <w:tc>
          <w:tcPr>
            <w:tcW w:w="380" w:type="dxa"/>
            <w:vAlign w:val="bottom"/>
          </w:tcPr>
          <w:p>
            <w:pPr>
              <w:ind w:left="40"/>
              <w:spacing w:after="0"/>
              <w:rPr>
                <w:sz w:val="20"/>
                <w:szCs w:val="20"/>
                <w:color w:val="auto"/>
              </w:rPr>
            </w:pPr>
            <w:r>
              <w:rPr>
                <w:rFonts w:ascii="Arial" w:cs="Arial" w:eastAsia="Arial" w:hAnsi="Arial"/>
                <w:sz w:val="18"/>
                <w:szCs w:val="18"/>
                <w:color w:val="auto"/>
              </w:rPr>
              <w:t>101</w:t>
            </w:r>
          </w:p>
        </w:tc>
        <w:tc>
          <w:tcPr>
            <w:tcW w:w="1500" w:type="dxa"/>
            <w:vAlign w:val="bottom"/>
            <w:gridSpan w:val="3"/>
          </w:tcPr>
          <w:p>
            <w:pPr>
              <w:jc w:val="center"/>
              <w:ind w:right="960"/>
              <w:spacing w:after="0"/>
              <w:rPr>
                <w:sz w:val="20"/>
                <w:szCs w:val="20"/>
                <w:color w:val="auto"/>
              </w:rPr>
            </w:pPr>
            <w:r>
              <w:rPr>
                <w:rFonts w:ascii="Arial" w:cs="Arial" w:eastAsia="Arial" w:hAnsi="Arial"/>
                <w:sz w:val="18"/>
                <w:szCs w:val="18"/>
                <w:color w:val="auto"/>
              </w:rPr>
              <w:t>DEF^^</w:t>
            </w:r>
          </w:p>
        </w:tc>
        <w:tc>
          <w:tcPr>
            <w:tcW w:w="8460" w:type="dxa"/>
            <w:vAlign w:val="bottom"/>
          </w:tcPr>
          <w:p>
            <w:pPr>
              <w:ind w:left="20"/>
              <w:spacing w:after="0"/>
              <w:rPr>
                <w:sz w:val="20"/>
                <w:szCs w:val="20"/>
                <w:color w:val="auto"/>
              </w:rPr>
            </w:pPr>
            <w:r>
              <w:rPr>
                <w:rFonts w:ascii="Arial" w:cs="Arial" w:eastAsia="Arial" w:hAnsi="Arial"/>
                <w:sz w:val="18"/>
                <w:szCs w:val="18"/>
                <w:color w:val="231F20"/>
              </w:rPr>
              <w:t>XBRL Taxonomy Extension Definition Linkbase Document.</w:t>
            </w:r>
          </w:p>
        </w:tc>
      </w:tr>
      <w:tr>
        <w:trPr>
          <w:trHeight w:val="459"/>
        </w:trPr>
        <w:tc>
          <w:tcPr>
            <w:tcW w:w="380" w:type="dxa"/>
            <w:vAlign w:val="bottom"/>
          </w:tcPr>
          <w:p>
            <w:pPr>
              <w:ind w:left="40"/>
              <w:spacing w:after="0"/>
              <w:rPr>
                <w:sz w:val="20"/>
                <w:szCs w:val="20"/>
                <w:color w:val="auto"/>
              </w:rPr>
            </w:pPr>
            <w:r>
              <w:rPr>
                <w:rFonts w:ascii="Arial" w:cs="Arial" w:eastAsia="Arial" w:hAnsi="Arial"/>
                <w:sz w:val="18"/>
                <w:szCs w:val="18"/>
                <w:color w:val="auto"/>
              </w:rPr>
              <w:t>101</w:t>
            </w:r>
          </w:p>
        </w:tc>
        <w:tc>
          <w:tcPr>
            <w:tcW w:w="1500" w:type="dxa"/>
            <w:vAlign w:val="bottom"/>
            <w:gridSpan w:val="3"/>
          </w:tcPr>
          <w:p>
            <w:pPr>
              <w:jc w:val="center"/>
              <w:ind w:right="980"/>
              <w:spacing w:after="0"/>
              <w:rPr>
                <w:sz w:val="20"/>
                <w:szCs w:val="20"/>
                <w:color w:val="auto"/>
              </w:rPr>
            </w:pPr>
            <w:r>
              <w:rPr>
                <w:rFonts w:ascii="Arial" w:cs="Arial" w:eastAsia="Arial" w:hAnsi="Arial"/>
                <w:sz w:val="18"/>
                <w:szCs w:val="18"/>
                <w:color w:val="auto"/>
              </w:rPr>
              <w:t>LAB^^</w:t>
            </w:r>
          </w:p>
        </w:tc>
        <w:tc>
          <w:tcPr>
            <w:tcW w:w="8460" w:type="dxa"/>
            <w:vAlign w:val="bottom"/>
          </w:tcPr>
          <w:p>
            <w:pPr>
              <w:ind w:left="20"/>
              <w:spacing w:after="0"/>
              <w:rPr>
                <w:sz w:val="20"/>
                <w:szCs w:val="20"/>
                <w:color w:val="auto"/>
              </w:rPr>
            </w:pPr>
            <w:r>
              <w:rPr>
                <w:rFonts w:ascii="Arial" w:cs="Arial" w:eastAsia="Arial" w:hAnsi="Arial"/>
                <w:sz w:val="18"/>
                <w:szCs w:val="18"/>
                <w:color w:val="231F20"/>
              </w:rPr>
              <w:t>XBRL Taxonomy Extension Labels Linkbase Document.</w:t>
            </w:r>
          </w:p>
        </w:tc>
      </w:tr>
      <w:tr>
        <w:trPr>
          <w:trHeight w:val="459"/>
        </w:trPr>
        <w:tc>
          <w:tcPr>
            <w:tcW w:w="380" w:type="dxa"/>
            <w:vAlign w:val="bottom"/>
          </w:tcPr>
          <w:p>
            <w:pPr>
              <w:ind w:left="40"/>
              <w:spacing w:after="0"/>
              <w:rPr>
                <w:sz w:val="20"/>
                <w:szCs w:val="20"/>
                <w:color w:val="auto"/>
              </w:rPr>
            </w:pPr>
            <w:r>
              <w:rPr>
                <w:rFonts w:ascii="Arial" w:cs="Arial" w:eastAsia="Arial" w:hAnsi="Arial"/>
                <w:sz w:val="18"/>
                <w:szCs w:val="18"/>
                <w:color w:val="auto"/>
              </w:rPr>
              <w:t>101</w:t>
            </w:r>
          </w:p>
        </w:tc>
        <w:tc>
          <w:tcPr>
            <w:tcW w:w="1500" w:type="dxa"/>
            <w:vAlign w:val="bottom"/>
            <w:gridSpan w:val="3"/>
          </w:tcPr>
          <w:p>
            <w:pPr>
              <w:jc w:val="center"/>
              <w:ind w:right="960"/>
              <w:spacing w:after="0"/>
              <w:rPr>
                <w:sz w:val="20"/>
                <w:szCs w:val="20"/>
                <w:color w:val="auto"/>
              </w:rPr>
            </w:pPr>
            <w:r>
              <w:rPr>
                <w:rFonts w:ascii="Arial" w:cs="Arial" w:eastAsia="Arial" w:hAnsi="Arial"/>
                <w:sz w:val="18"/>
                <w:szCs w:val="18"/>
                <w:color w:val="auto"/>
              </w:rPr>
              <w:t>PRE^^</w:t>
            </w:r>
          </w:p>
        </w:tc>
        <w:tc>
          <w:tcPr>
            <w:tcW w:w="8460" w:type="dxa"/>
            <w:vAlign w:val="bottom"/>
          </w:tcPr>
          <w:p>
            <w:pPr>
              <w:ind w:left="20"/>
              <w:spacing w:after="0"/>
              <w:rPr>
                <w:sz w:val="20"/>
                <w:szCs w:val="20"/>
                <w:color w:val="auto"/>
              </w:rPr>
            </w:pPr>
            <w:r>
              <w:rPr>
                <w:rFonts w:ascii="Arial" w:cs="Arial" w:eastAsia="Arial" w:hAnsi="Arial"/>
                <w:sz w:val="18"/>
                <w:szCs w:val="18"/>
                <w:color w:val="231F20"/>
              </w:rPr>
              <w:t>XBRL Taxonomy Extension Presentation Linkbase Document.</w:t>
            </w:r>
          </w:p>
        </w:tc>
      </w:tr>
    </w:tbl>
    <w:p>
      <w:pPr>
        <w:spacing w:after="0" w:line="200" w:lineRule="exact"/>
        <w:rPr>
          <w:sz w:val="20"/>
          <w:szCs w:val="20"/>
          <w:color w:val="auto"/>
        </w:rPr>
      </w:pPr>
    </w:p>
    <w:p>
      <w:pPr>
        <w:spacing w:after="0" w:line="285" w:lineRule="exact"/>
        <w:rPr>
          <w:sz w:val="20"/>
          <w:szCs w:val="20"/>
          <w:color w:val="auto"/>
        </w:rPr>
      </w:pPr>
    </w:p>
    <w:p>
      <w:pPr>
        <w:ind w:left="500" w:right="120" w:hanging="492"/>
        <w:spacing w:after="0" w:line="253" w:lineRule="auto"/>
        <w:tabs>
          <w:tab w:leader="none" w:pos="50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Exhibits 32.1 and 32.2 are being furnished and shall not be deemed to be “filed” for purposes of Section 18 of the Securities Exchange Act of 1934, as amended (the “Exchange Act”), or otherwise subject to the liability of that section, nor shall such exhibits be deemed to be incorporated by reference in any registration statement or other document filed under the Securities Act of 1933, as amended, or the Exchange Act, except as otherwise specifically stated in such filing.</w:t>
      </w:r>
    </w:p>
    <w:p>
      <w:pPr>
        <w:spacing w:after="0" w:line="19" w:lineRule="exact"/>
        <w:rPr>
          <w:sz w:val="20"/>
          <w:szCs w:val="20"/>
          <w:color w:val="auto"/>
        </w:rPr>
      </w:pPr>
    </w:p>
    <w:p>
      <w:pPr>
        <w:ind w:left="500" w:hanging="492"/>
        <w:spacing w:after="0" w:line="302" w:lineRule="auto"/>
        <w:tabs>
          <w:tab w:leader="none" w:pos="500" w:val="left"/>
        </w:tabs>
        <w:numPr>
          <w:ilvl w:val="0"/>
          <w:numId w:val="15"/>
        </w:numPr>
        <w:rPr>
          <w:rFonts w:ascii="Arial" w:cs="Arial" w:eastAsia="Arial" w:hAnsi="Arial"/>
          <w:sz w:val="20"/>
          <w:szCs w:val="20"/>
          <w:color w:val="auto"/>
        </w:rPr>
      </w:pPr>
      <w:r>
        <w:rPr>
          <w:rFonts w:ascii="Arial" w:cs="Arial" w:eastAsia="Arial" w:hAnsi="Arial"/>
          <w:sz w:val="18"/>
          <w:szCs w:val="18"/>
          <w:color w:val="231F20"/>
        </w:rPr>
        <w:t>Pursuant to Rule 406T of Regulation S-T, the Interactive Data Files on Exhibit 101 hereto are deemed not “filed” for purposes of Sections 11 or 12 of the Securities Act are deemed not filed for purposes of Section 18 of the Exchange Act, and otherwise are not subject to liability under those Sections.</w:t>
      </w: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118" w:right="27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Philippe F. Courtot, certify that:</w:t>
      </w:r>
    </w:p>
    <w:p>
      <w:pPr>
        <w:spacing w:after="0" w:line="225"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Qualys, Inc.;</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hanging="332"/>
        <w:spacing w:after="0" w:line="250"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jc w:val="both"/>
        <w:ind w:left="980" w:hanging="324"/>
        <w:spacing w:after="0" w:line="250" w:lineRule="auto"/>
        <w:tabs>
          <w:tab w:leader="none" w:pos="939"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54"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jc w:val="both"/>
        <w:ind w:left="980" w:right="20" w:hanging="324"/>
        <w:spacing w:after="0" w:line="250" w:lineRule="auto"/>
        <w:tabs>
          <w:tab w:leader="none" w:pos="931"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980" w:hanging="324"/>
        <w:spacing w:after="0" w:line="250" w:lineRule="auto"/>
        <w:tabs>
          <w:tab w:leader="none" w:pos="934"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20" w:hanging="324"/>
        <w:spacing w:after="0" w:line="262" w:lineRule="auto"/>
        <w:tabs>
          <w:tab w:leader="none" w:pos="945"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9"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November 6, 2014</w:t>
      </w:r>
    </w:p>
    <w:p>
      <w:pPr>
        <w:spacing w:after="0" w:line="28"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36830</wp:posOffset>
            </wp:positionV>
            <wp:extent cx="28555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Philippe F. Courtot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Donald C. McCauley, certify that:</w:t>
      </w:r>
    </w:p>
    <w:p>
      <w:pPr>
        <w:spacing w:after="0" w:line="225"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Qualys, Inc.;</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hanging="332"/>
        <w:spacing w:after="0" w:line="250"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jc w:val="both"/>
        <w:ind w:left="980" w:hanging="324"/>
        <w:spacing w:after="0" w:line="250" w:lineRule="auto"/>
        <w:tabs>
          <w:tab w:leader="none" w:pos="939"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54"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jc w:val="both"/>
        <w:ind w:left="980" w:right="20" w:hanging="324"/>
        <w:spacing w:after="0" w:line="250" w:lineRule="auto"/>
        <w:tabs>
          <w:tab w:leader="none" w:pos="931"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980" w:hanging="324"/>
        <w:spacing w:after="0" w:line="250" w:lineRule="auto"/>
        <w:tabs>
          <w:tab w:leader="none" w:pos="934"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20" w:hanging="324"/>
        <w:spacing w:after="0" w:line="262" w:lineRule="auto"/>
        <w:tabs>
          <w:tab w:leader="none" w:pos="945"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9"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November 6, 2014</w:t>
      </w:r>
    </w:p>
    <w:p>
      <w:pPr>
        <w:spacing w:after="0" w:line="28"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DONALD C. McCAULEY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36830</wp:posOffset>
            </wp:positionV>
            <wp:extent cx="23323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Donald C. McCauley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32.1</w:t>
      </w:r>
    </w:p>
    <w:p>
      <w:pPr>
        <w:spacing w:after="0" w:line="32" w:lineRule="exact"/>
        <w:rPr>
          <w:sz w:val="20"/>
          <w:szCs w:val="20"/>
          <w:color w:val="auto"/>
        </w:rPr>
      </w:pPr>
    </w:p>
    <w:p>
      <w:pPr>
        <w:jc w:val="center"/>
        <w:ind w:left="260" w:right="2400"/>
        <w:spacing w:after="0" w:line="263" w:lineRule="auto"/>
        <w:rPr>
          <w:sz w:val="20"/>
          <w:szCs w:val="20"/>
          <w:color w:val="auto"/>
        </w:rPr>
      </w:pPr>
      <w:r>
        <w:rPr>
          <w:rFonts w:ascii="Arial" w:cs="Arial" w:eastAsia="Arial" w:hAnsi="Arial"/>
          <w:sz w:val="18"/>
          <w:szCs w:val="18"/>
          <w:b w:val="1"/>
          <w:bCs w:val="1"/>
          <w:color w:val="auto"/>
        </w:rPr>
        <w:t>CERTIFICATION OF CHIEF EXECUTIVE OFFICER PURSUANT TO RULE 13a-14(b) OR RULE 15d-14(b) OF THE SECURITIES EXCHANGE ACT OF 1934 AND 18 U.S.C. SECTION 1350</w:t>
      </w:r>
    </w:p>
    <w:p>
      <w:pPr>
        <w:spacing w:after="0" w:line="200" w:lineRule="exact"/>
        <w:rPr>
          <w:sz w:val="20"/>
          <w:szCs w:val="20"/>
          <w:color w:val="auto"/>
        </w:rPr>
      </w:pPr>
    </w:p>
    <w:p>
      <w:pPr>
        <w:spacing w:after="0" w:line="24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Quarterly Report of Qualys, Inc. (the “Company”) on Form 10-Q for the quarter ended September 30, 2014, as filed with the Securities and Exchange Commission on the date hereof (the “Report”), I, Philippe F. Courtot, Chairman, President and Chief Executive Officer of the Company, certify, pursuant to 18 U.S.C. § 1350, as adopted pursuant to § 906 of the Sarbanes-Oxley Act of 2002, that, to the best of my knowledge:</w:t>
      </w:r>
    </w:p>
    <w:p>
      <w:pPr>
        <w:spacing w:after="0" w:line="150" w:lineRule="exact"/>
        <w:rPr>
          <w:sz w:val="20"/>
          <w:szCs w:val="20"/>
          <w:color w:val="auto"/>
        </w:rPr>
      </w:pPr>
    </w:p>
    <w:p>
      <w:pPr>
        <w:ind w:left="780" w:hanging="272"/>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0" w:firstLine="526"/>
        <w:spacing w:after="0" w:line="262" w:lineRule="auto"/>
        <w:tabs>
          <w:tab w:leader="none" w:pos="789"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November 6, 2014</w:t>
      </w:r>
    </w:p>
    <w:p>
      <w:pPr>
        <w:spacing w:after="0" w:line="28"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36830</wp:posOffset>
            </wp:positionV>
            <wp:extent cx="28555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Philippe F. Courtot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32.2</w:t>
      </w:r>
    </w:p>
    <w:p>
      <w:pPr>
        <w:spacing w:after="0" w:line="239" w:lineRule="exact"/>
        <w:rPr>
          <w:sz w:val="20"/>
          <w:szCs w:val="20"/>
          <w:color w:val="auto"/>
        </w:rPr>
      </w:pPr>
    </w:p>
    <w:p>
      <w:pPr>
        <w:jc w:val="center"/>
        <w:ind w:left="260" w:right="2400"/>
        <w:spacing w:after="0" w:line="269" w:lineRule="auto"/>
        <w:rPr>
          <w:sz w:val="20"/>
          <w:szCs w:val="20"/>
          <w:color w:val="auto"/>
        </w:rPr>
      </w:pPr>
      <w:r>
        <w:rPr>
          <w:rFonts w:ascii="Arial" w:cs="Arial" w:eastAsia="Arial" w:hAnsi="Arial"/>
          <w:sz w:val="18"/>
          <w:szCs w:val="18"/>
          <w:b w:val="1"/>
          <w:bCs w:val="1"/>
          <w:color w:val="auto"/>
        </w:rPr>
        <w:t>CERTIFICATION OF CHIEF FINANCIAL OFFICER PURSUANT TO RULE 13a-14(b) OR RULE 15d-14(b) OF THE SECURITIES EXCHANGE ACT OF 1934 AND 18 U.S.C. SECTION 1350</w:t>
      </w:r>
    </w:p>
    <w:p>
      <w:pPr>
        <w:spacing w:after="0" w:line="200" w:lineRule="exact"/>
        <w:rPr>
          <w:sz w:val="20"/>
          <w:szCs w:val="20"/>
          <w:color w:val="auto"/>
        </w:rPr>
      </w:pPr>
    </w:p>
    <w:p>
      <w:pPr>
        <w:spacing w:after="0" w:line="23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Quarterly Report of Qualys, Inc. (the “Company”) on Form 10-Q for the quarter ended September 30, 2014, as filed with the Securities and Exchange Commission on the date hereof (the “Report”), I, Donald C. McCauley, Chief Financial Officer of the Company, certify, pursuant to 18 U.S.C. § 1350, as adopted pursuant to § 906 of the Sarbanes-Oxley Act of 2002, that, to the best of my knowledge:</w:t>
      </w:r>
    </w:p>
    <w:p>
      <w:pPr>
        <w:spacing w:after="0" w:line="148" w:lineRule="exact"/>
        <w:rPr>
          <w:sz w:val="20"/>
          <w:szCs w:val="20"/>
          <w:color w:val="auto"/>
        </w:rPr>
      </w:pPr>
    </w:p>
    <w:p>
      <w:pPr>
        <w:ind w:left="780" w:hanging="272"/>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0" w:firstLine="526"/>
        <w:spacing w:after="0" w:line="262" w:lineRule="auto"/>
        <w:tabs>
          <w:tab w:leader="none" w:pos="789"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0"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6, 2014</w:t>
      </w:r>
    </w:p>
    <w:p>
      <w:pPr>
        <w:spacing w:after="0" w:line="28"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DONALD C. McCAULEY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36830</wp:posOffset>
            </wp:positionV>
            <wp:extent cx="26498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Donald C. McCauley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sectPr>
      <w:pgSz w:w="11900" w:h="16838" w:orient="portrait"/>
      <w:cols w:equalWidth="0" w:num="1">
        <w:col w:w="11420"/>
      </w:cols>
      <w:pgMar w:left="240" w:top="58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x"/>
      <w:numFmt w:val="bullet"/>
      <w:start w:val="1"/>
    </w:lvl>
  </w:abstractNum>
  <w:abstractNum w:abstractNumId="1">
    <w:nsid w:val="216231B"/>
    <w:multiLevelType w:val="hybridMultilevel"/>
    <w:lvl w:ilvl="0">
      <w:lvlJc w:val="left"/>
      <w:lvlText w:val="o"/>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lvl w:ilvl="1">
      <w:lvlJc w:val="left"/>
      <w:lvlText w:val="(%2)"/>
      <w:numFmt w:val="decimal"/>
      <w:start w:val="2"/>
    </w:lvl>
  </w:abstractNum>
  <w:abstractNum w:abstractNumId="18">
    <w:nsid w:val="7C83E458"/>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2019-12-06T23:36:09Z</dcterms:created>
  <dcterms:modified xsi:type="dcterms:W3CDTF">2019-12-06T23:36:09Z</dcterms:modified>
</cp:coreProperties>
</file>