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0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000"/>
          </w:cols>
          <w:pgMar w:left="320" w:top="719" w:right="579" w:bottom="1440" w:gutter="0" w:footer="0" w:header="0"/>
        </w:sectPr>
      </w:pPr>
    </w:p>
    <w:p>
      <w:pPr>
        <w:spacing w:after="0" w:line="20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77-0534145</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719" w:right="57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919 E. Hillsdale Boulevard, 4th Floor, Foster City, California 94404</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801-6100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00"/>
          </w:cols>
          <w:pgMar w:left="320" w:top="719" w:right="579" w:bottom="1440" w:gutter="0" w:footer="0" w:header="0"/>
          <w:type w:val="continuous"/>
        </w:sectPr>
      </w:pPr>
    </w:p>
    <w:p>
      <w:pPr>
        <w:spacing w:after="0" w:line="20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340"/>
          </w:cols>
          <w:pgMar w:left="320" w:top="719" w:right="579" w:bottom="1440" w:gutter="0" w:footer="0" w:header="0"/>
          <w:type w:val="continuous"/>
        </w:sectPr>
      </w:pPr>
    </w:p>
    <w:p>
      <w:pPr>
        <w:spacing w:after="0" w:line="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3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right="14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October 29, 2020 was 39,016,591.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19" w:right="579" w:bottom="144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4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720" w:type="dxa"/>
            <w:vAlign w:val="bottom"/>
          </w:tcPr>
          <w:p>
            <w:pPr>
              <w:spacing w:after="0"/>
              <w:rPr>
                <w:sz w:val="24"/>
                <w:szCs w:val="24"/>
                <w:color w:val="auto"/>
              </w:rPr>
            </w:pPr>
          </w:p>
        </w:tc>
        <w:tc>
          <w:tcPr>
            <w:tcW w:w="9720" w:type="dxa"/>
            <w:vAlign w:val="bottom"/>
          </w:tcPr>
          <w:p>
            <w:pPr>
              <w:jc w:val="center"/>
              <w:spacing w:after="0"/>
              <w:rPr>
                <w:sz w:val="20"/>
                <w:szCs w:val="20"/>
                <w:color w:val="auto"/>
              </w:rPr>
            </w:pPr>
            <w:r>
              <w:rPr>
                <w:rFonts w:ascii="Arial" w:cs="Arial" w:eastAsia="Arial" w:hAnsi="Arial"/>
                <w:sz w:val="18"/>
                <w:szCs w:val="18"/>
                <w:b w:val="1"/>
                <w:bCs w:val="1"/>
                <w:color w:val="auto"/>
                <w:w w:val="90"/>
              </w:rPr>
              <w:t>Qualys,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972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9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580" w:type="dxa"/>
            <w:vAlign w:val="bottom"/>
          </w:tcPr>
          <w:p>
            <w:pPr>
              <w:ind w:left="24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97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Financial Statements</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720" w:type="dxa"/>
            <w:vAlign w:val="bottom"/>
          </w:tcPr>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as of September 30, 2020 and December 31, 2019</w:t>
              </w:r>
            </w:hyperlink>
          </w:p>
        </w:tc>
        <w:tc>
          <w:tcPr>
            <w:tcW w:w="580" w:type="dxa"/>
            <w:vAlign w:val="bottom"/>
          </w:tcPr>
          <w:p>
            <w:pPr>
              <w:jc w:val="center"/>
              <w:ind w:left="150"/>
              <w:spacing w:after="0"/>
              <w:rPr>
                <w:rFonts w:ascii="Arial" w:cs="Arial" w:eastAsia="Arial" w:hAnsi="Arial"/>
                <w:sz w:val="18"/>
                <w:szCs w:val="18"/>
                <w:u w:val="single" w:color="auto"/>
                <w:color w:val="0000EE"/>
                <w:w w:val="99"/>
              </w:rPr>
            </w:pPr>
            <w:hyperlink w:anchor="page2">
              <w:r>
                <w:rPr>
                  <w:rFonts w:ascii="Arial" w:cs="Arial" w:eastAsia="Arial" w:hAnsi="Arial"/>
                  <w:sz w:val="18"/>
                  <w:szCs w:val="18"/>
                  <w:u w:val="single" w:color="auto"/>
                  <w:color w:val="0000EE"/>
                  <w:w w:val="99"/>
                </w:rPr>
                <w:t>3</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7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Operations for the three and nine months ended September 30, 2020 and 2019</w:t>
              </w:r>
            </w:hyperlink>
          </w:p>
        </w:tc>
        <w:tc>
          <w:tcPr>
            <w:tcW w:w="580" w:type="dxa"/>
            <w:vAlign w:val="bottom"/>
          </w:tcPr>
          <w:p>
            <w:pPr>
              <w:jc w:val="center"/>
              <w:ind w:left="150"/>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4</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720" w:type="dxa"/>
            <w:vAlign w:val="bottom"/>
          </w:tcPr>
          <w:p>
            <w:pPr>
              <w:ind w:left="80"/>
              <w:spacing w:after="0"/>
              <w:rPr>
                <w:rFonts w:ascii="Arial" w:cs="Arial" w:eastAsia="Arial" w:hAnsi="Arial"/>
                <w:sz w:val="18"/>
                <w:szCs w:val="18"/>
                <w:u w:val="single" w:color="auto"/>
                <w:color w:val="0000EE"/>
                <w:w w:val="91"/>
              </w:rPr>
            </w:pPr>
            <w:hyperlink w:anchor="page3">
              <w:r>
                <w:rPr>
                  <w:rFonts w:ascii="Arial" w:cs="Arial" w:eastAsia="Arial" w:hAnsi="Arial"/>
                  <w:sz w:val="18"/>
                  <w:szCs w:val="18"/>
                  <w:u w:val="single" w:color="auto"/>
                  <w:color w:val="0000EE"/>
                  <w:w w:val="91"/>
                </w:rPr>
                <w:t>Condensed Consolidated Statements of Comprehensive Income for the three and nine months ended September 30, 2020 and 2019</w:t>
              </w:r>
            </w:hyperlink>
          </w:p>
        </w:tc>
        <w:tc>
          <w:tcPr>
            <w:tcW w:w="580" w:type="dxa"/>
            <w:vAlign w:val="bottom"/>
          </w:tcPr>
          <w:p>
            <w:pPr>
              <w:jc w:val="center"/>
              <w:ind w:left="150"/>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5</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7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580" w:type="dxa"/>
            <w:vAlign w:val="bottom"/>
          </w:tcPr>
          <w:p>
            <w:pPr>
              <w:jc w:val="center"/>
              <w:ind w:left="150"/>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6</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720" w:type="dxa"/>
            <w:vAlign w:val="bottom"/>
          </w:tcPr>
          <w:p>
            <w:pPr>
              <w:ind w:left="80"/>
              <w:spacing w:after="0"/>
              <w:rPr>
                <w:rFonts w:ascii="Arial" w:cs="Arial" w:eastAsia="Arial" w:hAnsi="Arial"/>
                <w:sz w:val="18"/>
                <w:szCs w:val="18"/>
                <w:u w:val="single" w:color="auto"/>
                <w:color w:val="0000EE"/>
                <w:w w:val="93"/>
              </w:rPr>
            </w:pPr>
            <w:hyperlink w:anchor="page4">
              <w:r>
                <w:rPr>
                  <w:rFonts w:ascii="Arial" w:cs="Arial" w:eastAsia="Arial" w:hAnsi="Arial"/>
                  <w:sz w:val="18"/>
                  <w:szCs w:val="18"/>
                  <w:u w:val="single" w:color="auto"/>
                  <w:color w:val="0000EE"/>
                  <w:w w:val="93"/>
                </w:rPr>
                <w:t>Condensed Consolidated Statements of Stockholders' Equity for the three and nine months ended September 30, 2020 and 2019</w:t>
              </w:r>
            </w:hyperlink>
          </w:p>
        </w:tc>
        <w:tc>
          <w:tcPr>
            <w:tcW w:w="580" w:type="dxa"/>
            <w:vAlign w:val="bottom"/>
          </w:tcPr>
          <w:p>
            <w:pPr>
              <w:jc w:val="center"/>
              <w:ind w:left="150"/>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7</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72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tc>
        <w:tc>
          <w:tcPr>
            <w:tcW w:w="580" w:type="dxa"/>
            <w:vAlign w:val="bottom"/>
          </w:tcPr>
          <w:p>
            <w:pPr>
              <w:jc w:val="center"/>
              <w:ind w:left="15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9</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27</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37</w:t>
              </w:r>
            </w:hyperlink>
          </w:p>
        </w:tc>
        <w:tc>
          <w:tcPr>
            <w:tcW w:w="0" w:type="dxa"/>
            <w:vAlign w:val="bottom"/>
          </w:tcPr>
          <w:p>
            <w:pPr>
              <w:spacing w:after="0"/>
              <w:rPr>
                <w:sz w:val="1"/>
                <w:szCs w:val="1"/>
                <w:color w:val="auto"/>
              </w:rPr>
            </w:pPr>
          </w:p>
        </w:tc>
      </w:tr>
      <w:tr>
        <w:trPr>
          <w:trHeight w:val="212"/>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38</w:t>
              </w:r>
            </w:hyperlink>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9720" w:type="dxa"/>
            <w:vAlign w:val="bottom"/>
          </w:tcPr>
          <w:p>
            <w:pPr>
              <w:ind w:left="3560"/>
              <w:spacing w:after="0"/>
              <w:rPr>
                <w:sz w:val="20"/>
                <w:szCs w:val="20"/>
                <w:color w:val="auto"/>
              </w:rPr>
            </w:pPr>
            <w:r>
              <w:rPr>
                <w:rFonts w:ascii="Arial" w:cs="Arial" w:eastAsia="Arial" w:hAnsi="Arial"/>
                <w:sz w:val="18"/>
                <w:szCs w:val="18"/>
                <w:b w:val="1"/>
                <w:bCs w:val="1"/>
                <w:color w:val="auto"/>
              </w:rPr>
              <w:t>PART II – OTHER INFORMATION</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39</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39</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Unregistered Sales of Equity Securities and Use of Proceeds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62</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Defaults upon Senior Securities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62</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Mine Safety Disclosures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62</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Other Information</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62</w:t>
              </w:r>
            </w:hyperlink>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63</w:t>
              </w:r>
            </w:hyperlink>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9720" w:type="dxa"/>
            <w:vAlign w:val="bottom"/>
          </w:tcPr>
          <w:p>
            <w:pPr>
              <w:ind w:left="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Signatures</w:t>
              </w:r>
            </w:hyperlink>
          </w:p>
        </w:tc>
        <w:tc>
          <w:tcPr>
            <w:tcW w:w="580" w:type="dxa"/>
            <w:vAlign w:val="bottom"/>
          </w:tcPr>
          <w:p>
            <w:pPr>
              <w:jc w:val="center"/>
              <w:ind w:left="150"/>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64</w:t>
              </w:r>
            </w:hyperlink>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97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 w:type="dxa"/>
            <w:vAlign w:val="bottom"/>
          </w:tcPr>
          <w:p>
            <w:pPr>
              <w:spacing w:after="0"/>
              <w:rPr>
                <w:sz w:val="24"/>
                <w:szCs w:val="24"/>
                <w:color w:val="auto"/>
              </w:rPr>
            </w:pPr>
          </w:p>
        </w:tc>
        <w:tc>
          <w:tcPr>
            <w:tcW w:w="7400" w:type="dxa"/>
            <w:vAlign w:val="bottom"/>
          </w:tcPr>
          <w:p>
            <w:pPr>
              <w:ind w:left="4540"/>
              <w:spacing w:after="0"/>
              <w:rPr>
                <w:sz w:val="20"/>
                <w:szCs w:val="20"/>
                <w:color w:val="auto"/>
              </w:rPr>
            </w:pPr>
            <w:r>
              <w:rPr>
                <w:rFonts w:ascii="Arial" w:cs="Arial" w:eastAsia="Arial" w:hAnsi="Arial"/>
                <w:sz w:val="18"/>
                <w:szCs w:val="18"/>
                <w:b w:val="1"/>
                <w:bCs w:val="1"/>
                <w:color w:val="auto"/>
              </w:rPr>
              <w:t>Qualys,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Assets</w:t>
            </w:r>
          </w:p>
        </w:tc>
        <w:tc>
          <w:tcPr>
            <w:tcW w:w="7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225,734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211,331</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of $664 and $585 as of September 30, 2020 and December 31,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2019, respectively</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tcPr>
          <w:p>
            <w:pPr>
              <w:spacing w:after="0"/>
              <w:rPr>
                <w:sz w:val="18"/>
                <w:szCs w:val="18"/>
                <w:color w:val="auto"/>
              </w:rPr>
            </w:pPr>
          </w:p>
        </w:tc>
      </w:tr>
      <w:tr>
        <w:trPr>
          <w:trHeight w:val="210"/>
        </w:trPr>
        <w:tc>
          <w:tcPr>
            <w:tcW w:w="600" w:type="dxa"/>
            <w:vAlign w:val="bottom"/>
            <w:shd w:val="clear" w:color="auto" w:fill="CCEEFF"/>
          </w:tcPr>
          <w:p>
            <w:pPr>
              <w:spacing w:after="0"/>
              <w:rPr>
                <w:sz w:val="18"/>
                <w:szCs w:val="18"/>
                <w:color w:val="auto"/>
              </w:rPr>
            </w:pPr>
          </w:p>
        </w:tc>
        <w:tc>
          <w:tcPr>
            <w:tcW w:w="7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395,616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119,508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47,985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40,551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16,795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707,084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675,608</w:t>
            </w: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24,772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22,784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 current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192,172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18"/>
                <w:szCs w:val="18"/>
                <w:color w:val="auto"/>
              </w:rPr>
            </w:pPr>
          </w:p>
        </w:tc>
      </w:tr>
      <w:tr>
        <w:trPr>
          <w:trHeight w:val="209"/>
        </w:trPr>
        <w:tc>
          <w:tcPr>
            <w:tcW w:w="600" w:type="dxa"/>
            <w:vAlign w:val="bottom"/>
            <w:shd w:val="clear" w:color="auto" w:fill="CCEEFF"/>
          </w:tcPr>
          <w:p>
            <w:pPr>
              <w:spacing w:after="0"/>
              <w:rPr>
                <w:sz w:val="18"/>
                <w:szCs w:val="18"/>
                <w:color w:val="auto"/>
              </w:rPr>
            </w:pPr>
          </w:p>
        </w:tc>
        <w:tc>
          <w:tcPr>
            <w:tcW w:w="7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223,467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20,935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r>
      <w:tr>
        <w:trPr>
          <w:trHeight w:val="210"/>
        </w:trPr>
        <w:tc>
          <w:tcPr>
            <w:tcW w:w="600" w:type="dxa"/>
            <w:vAlign w:val="bottom"/>
            <w:shd w:val="clear" w:color="auto" w:fill="CCEEFF"/>
          </w:tcPr>
          <w:p>
            <w:pPr>
              <w:spacing w:after="0"/>
              <w:rPr>
                <w:sz w:val="18"/>
                <w:szCs w:val="18"/>
                <w:color w:val="auto"/>
              </w:rPr>
            </w:pPr>
          </w:p>
        </w:tc>
        <w:tc>
          <w:tcPr>
            <w:tcW w:w="7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288,805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4"/>
        </w:trPr>
        <w:tc>
          <w:tcPr>
            <w:tcW w:w="600" w:type="dxa"/>
            <w:vAlign w:val="bottom"/>
            <w:shd w:val="clear" w:color="auto" w:fill="CCEEFF"/>
          </w:tcPr>
          <w:p>
            <w:pPr>
              <w:spacing w:after="0"/>
              <w:rPr>
                <w:sz w:val="12"/>
                <w:szCs w:val="12"/>
                <w:color w:val="auto"/>
              </w:rPr>
            </w:pPr>
          </w:p>
        </w:tc>
        <w:tc>
          <w:tcPr>
            <w:tcW w:w="7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240"/>
          </w:cols>
          <w:pgMar w:left="320" w:top="125"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5"/>
              </w:rPr>
              <w:t>Preferred stock, $0.001 par value; 20,000,000 shares authorized, no shares issued and outstanding at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September 30, 2020 and December 31, 2019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1,000,000,000 shares authorized; 39,119,169 and 39,146,272 shares</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at September 30, 2020 and December 31, 2019, respectively</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388,814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362,408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23,194</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400,299</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707,084</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675,608</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268,162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20,619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58,005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52,354</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184,589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16,060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50,073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51,489</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46,147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43,014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137,915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131,881</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6,391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Arial" w:cs="Arial" w:eastAsia="Arial" w:hAnsi="Arial"/>
                <w:sz w:val="18"/>
                <w:szCs w:val="18"/>
                <w:color w:val="auto"/>
              </w:rPr>
              <w:t>Total other income, net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1,331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4,891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22,743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48,672</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0.56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0.47</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39,238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39,014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39,171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39,099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40,764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41,162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40,907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41,447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Three Months Ended</w:t>
            </w:r>
          </w:p>
        </w:tc>
        <w:tc>
          <w:tcPr>
            <w:tcW w:w="16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48,672</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debt 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820" w:type="dxa"/>
            <w:vAlign w:val="bottom"/>
          </w:tcPr>
          <w:p>
            <w:pPr>
              <w:ind w:left="500"/>
              <w:spacing w:after="0" w:line="201" w:lineRule="exact"/>
              <w:rPr>
                <w:sz w:val="20"/>
                <w:szCs w:val="20"/>
                <w:color w:val="auto"/>
              </w:rPr>
            </w:pPr>
            <w:r>
              <w:rPr>
                <w:rFonts w:ascii="Arial" w:cs="Arial" w:eastAsia="Arial" w:hAnsi="Arial"/>
                <w:sz w:val="18"/>
                <w:szCs w:val="18"/>
                <w:color w:val="auto"/>
                <w:w w:val="96"/>
              </w:rPr>
              <w:t>Changes in net unrealized gains (losses), net of tax effects of $183 and ($6) in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tcPr>
          <w:p>
            <w:pPr>
              <w:ind w:left="500"/>
              <w:spacing w:after="0"/>
              <w:rPr>
                <w:sz w:val="20"/>
                <w:szCs w:val="20"/>
                <w:color w:val="auto"/>
              </w:rPr>
            </w:pPr>
            <w:r>
              <w:rPr>
                <w:rFonts w:ascii="Arial" w:cs="Arial" w:eastAsia="Arial" w:hAnsi="Arial"/>
                <w:sz w:val="18"/>
                <w:szCs w:val="18"/>
                <w:color w:val="auto"/>
                <w:w w:val="89"/>
              </w:rPr>
              <w:t>three months ended September 30, 2020 and 2019, respectively, and ($245) and ($257)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in the nine months ended September 30, 2020 and 2019, respectively.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r>
      <w:tr>
        <w:trPr>
          <w:trHeight w:val="202"/>
        </w:trPr>
        <w:tc>
          <w:tcPr>
            <w:tcW w:w="68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1"/>
              </w:rPr>
              <w:t>Reclassification adjustments for net realized (gains) losses included in net income, net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25</w:t>
            </w:r>
          </w:p>
        </w:tc>
      </w:tr>
      <w:tr>
        <w:trPr>
          <w:trHeight w:val="230"/>
        </w:trPr>
        <w:tc>
          <w:tcPr>
            <w:tcW w:w="6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of tax effects of ($32) and $0 in the three months ended September 30, 2020 and 2019,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63"/>
        </w:trPr>
        <w:tc>
          <w:tcPr>
            <w:tcW w:w="6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respectively, and ($2) and ($6) in the nine months ended September 30, 2020 and</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2019,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ind w:left="660"/>
              <w:spacing w:after="0"/>
              <w:rPr>
                <w:sz w:val="20"/>
                <w:szCs w:val="20"/>
                <w:color w:val="auto"/>
              </w:rPr>
            </w:pPr>
            <w:r>
              <w:rPr>
                <w:rFonts w:ascii="Arial" w:cs="Arial" w:eastAsia="Arial" w:hAnsi="Arial"/>
                <w:sz w:val="18"/>
                <w:szCs w:val="18"/>
                <w:color w:val="auto"/>
                <w:w w:val="99"/>
              </w:rPr>
              <w:t>Total changes in unrealized gains (losses) on marketable securities, net of tax</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flow hedges: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tcPr>
          <w:p>
            <w:pPr>
              <w:ind w:left="500"/>
              <w:spacing w:after="0" w:line="201" w:lineRule="exact"/>
              <w:rPr>
                <w:sz w:val="20"/>
                <w:szCs w:val="20"/>
                <w:color w:val="auto"/>
              </w:rPr>
            </w:pPr>
            <w:r>
              <w:rPr>
                <w:rFonts w:ascii="Arial" w:cs="Arial" w:eastAsia="Arial" w:hAnsi="Arial"/>
                <w:sz w:val="18"/>
                <w:szCs w:val="18"/>
                <w:color w:val="auto"/>
                <w:w w:val="94"/>
              </w:rPr>
              <w:t>Changes in net unrealized gains (losses), net of tax effects of $213 and ($313) in the</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500"/>
              <w:spacing w:after="0"/>
              <w:rPr>
                <w:sz w:val="20"/>
                <w:szCs w:val="20"/>
                <w:color w:val="auto"/>
              </w:rPr>
            </w:pPr>
            <w:r>
              <w:rPr>
                <w:rFonts w:ascii="Arial" w:cs="Arial" w:eastAsia="Arial" w:hAnsi="Arial"/>
                <w:sz w:val="18"/>
                <w:szCs w:val="18"/>
                <w:color w:val="auto"/>
                <w:w w:val="92"/>
              </w:rPr>
              <w:t>three months ended September 30, 2020 and 2019, respectively, and $152 and ($404)</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in the nine months ended September 30, 2020 and 2019, respectively.</w:t>
            </w: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2"/>
              </w:rPr>
              <w:t>Reclassification adjustments for net realized (gains) losses included in net income, net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of tax effects of $39 and $16 in the three months ended September 30, 2020 and 2019,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respectively, and $121 and $0 in the nine months ended September 30, 2020 and 2019,</w:t>
            </w:r>
          </w:p>
        </w:tc>
        <w:tc>
          <w:tcPr>
            <w:tcW w:w="2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tcPr>
          <w:p>
            <w:pPr>
              <w:ind w:left="660"/>
              <w:spacing w:after="0"/>
              <w:rPr>
                <w:sz w:val="20"/>
                <w:szCs w:val="20"/>
                <w:color w:val="auto"/>
              </w:rPr>
            </w:pPr>
            <w:r>
              <w:rPr>
                <w:rFonts w:ascii="Arial" w:cs="Arial" w:eastAsia="Arial" w:hAnsi="Arial"/>
                <w:sz w:val="18"/>
                <w:szCs w:val="18"/>
                <w:color w:val="auto"/>
              </w:rPr>
              <w:t>Total changes in unrealized gains (losses) on cash flow hedges, net of tax</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(849)</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21,383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20,205</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67,669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51,529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67,756</w:t>
            </w:r>
          </w:p>
        </w:tc>
        <w:tc>
          <w:tcPr>
            <w:tcW w:w="1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48,672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23,486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premiums (accretion of discounts) on marketable securities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14,355</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(6,071)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(6,568)</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1,518</w:t>
            </w:r>
          </w:p>
        </w:tc>
      </w:tr>
      <w:tr>
        <w:trPr>
          <w:trHeight w:val="216"/>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revenues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126,949</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(290,534)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(259,286)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263,874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(22,742)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businesses, net of cash acquired, and purchases of intangible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 of privately-held investment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(17,360)</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(73,877)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11,014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Principal payments under finance lease obligations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94,227</w:t>
            </w:r>
          </w:p>
        </w:tc>
        <w:tc>
          <w:tcPr>
            <w:tcW w:w="1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76,815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240"/>
          </w:cols>
          <w:pgMar w:left="320" w:top="134" w:right="3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020" w:type="dxa"/>
            <w:vAlign w:val="bottom"/>
            <w:gridSpan w:val="3"/>
            <w:vMerge w:val="restart"/>
          </w:tcPr>
          <w:p>
            <w:pPr>
              <w:jc w:val="right"/>
              <w:ind w:right="23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202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Paid-In</w:t>
            </w: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2"/>
              </w:rPr>
              <w:t>Retained</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39,146,272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362,408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386,803</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18,694</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18,694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144,989</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4,714</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(346,250)</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(24,766)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138,260</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Taxes related to net share settlement of equity</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(58,598)</w:t>
            </w:r>
          </w:p>
        </w:tc>
        <w:tc>
          <w:tcPr>
            <w:tcW w:w="8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10,054</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39,024,673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368,016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386,730</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26,319</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26,319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448,056</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15,715</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(242,500)</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(22,343)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(25,256)</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146,343</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Taxes related to net share settlement of equity</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(61,235)</w:t>
            </w:r>
          </w:p>
        </w:tc>
        <w:tc>
          <w:tcPr>
            <w:tcW w:w="8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(6,115)</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9,498</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39,315,337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384,202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407,774</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22,743</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22,743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102,254</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(352,000)</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(33,470)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(37,699)</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97,408</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Taxes related to net share settlement of equity</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(43,830)</w:t>
            </w:r>
          </w:p>
        </w:tc>
        <w:tc>
          <w:tcPr>
            <w:tcW w:w="8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(5,223)</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10,532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39,119,169</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388,814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400,299</w:t>
            </w:r>
          </w:p>
        </w:tc>
        <w:tc>
          <w:tcPr>
            <w:tcW w:w="0" w:type="dxa"/>
            <w:vAlign w:val="bottom"/>
          </w:tcPr>
          <w:p>
            <w:pPr>
              <w:spacing w:after="0"/>
              <w:rPr>
                <w:sz w:val="1"/>
                <w:szCs w:val="1"/>
                <w:color w:val="auto"/>
              </w:rPr>
            </w:pPr>
          </w:p>
        </w:tc>
      </w:tr>
      <w:tr>
        <w:trPr>
          <w:trHeight w:val="413"/>
        </w:trPr>
        <w:tc>
          <w:tcPr>
            <w:tcW w:w="382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020" w:type="dxa"/>
            <w:vAlign w:val="bottom"/>
            <w:gridSpan w:val="3"/>
            <w:vMerge w:val="restart"/>
          </w:tcPr>
          <w:p>
            <w:pPr>
              <w:jc w:val="right"/>
              <w:ind w:right="23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202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Paid-In</w:t>
            </w: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2"/>
              </w:rPr>
              <w:t>Retained</w:t>
            </w:r>
          </w:p>
        </w:tc>
        <w:tc>
          <w:tcPr>
            <w:tcW w:w="116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39,015,034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330,572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27,964</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357,989</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13,266</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13,266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152,164</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4,047</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(94,090)</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99,601</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Taxes related to net share settlement of equity</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(38,877)</w:t>
            </w:r>
          </w:p>
        </w:tc>
        <w:tc>
          <w:tcPr>
            <w:tcW w:w="8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8,443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39,133,832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338,566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373,403</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16,232</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192,687</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4,944</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(183,948)</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126,754</w:t>
            </w:r>
          </w:p>
        </w:tc>
        <w:tc>
          <w:tcPr>
            <w:tcW w:w="8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Taxes related to net share settlement of equity</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(45,250)</w:t>
            </w:r>
          </w:p>
        </w:tc>
        <w:tc>
          <w:tcPr>
            <w:tcW w:w="8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(4,044)</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16"/>
        </w:trPr>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8,378</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39,224,075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345,637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36,682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383,598</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19,174</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19,174</w:t>
            </w: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68,059</w:t>
            </w:r>
          </w:p>
        </w:tc>
        <w:tc>
          <w:tcPr>
            <w:tcW w:w="46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r>
      <w:tr>
        <w:trPr>
          <w:trHeight w:val="216"/>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(603,417)</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(42,521)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(49,761)</w:t>
            </w:r>
          </w:p>
        </w:tc>
      </w:tr>
      <w:tr>
        <w:trPr>
          <w:trHeight w:val="202"/>
        </w:trPr>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103,206</w:t>
            </w:r>
          </w:p>
        </w:tc>
        <w:tc>
          <w:tcPr>
            <w:tcW w:w="46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Taxes related to net share settlement of equity</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(41,120)</w:t>
            </w:r>
          </w:p>
        </w:tc>
        <w:tc>
          <w:tcPr>
            <w:tcW w:w="4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(3,453)</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(3,453)</w:t>
            </w:r>
          </w:p>
        </w:tc>
      </w:tr>
      <w:tr>
        <w:trPr>
          <w:trHeight w:val="216"/>
        </w:trPr>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8,411</w:t>
            </w:r>
          </w:p>
        </w:tc>
        <w:tc>
          <w:tcPr>
            <w:tcW w:w="4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8,411</w:t>
            </w:r>
          </w:p>
        </w:tc>
      </w:tr>
      <w:tr>
        <w:trPr>
          <w:trHeight w:val="20"/>
        </w:trPr>
        <w:tc>
          <w:tcPr>
            <w:tcW w:w="3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38,750,803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345,378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361,023</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 distributed IT infrastructures.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2019,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months ended September 30, 2020 are not necessarily indicative of the results of operations expected for the entire year ending December 31, 2020 or for any other future annual or interim periods. These condensed consolidated financial statements should be read in conjunction with the consolidated financial statements and related notes included in the Company’s Annual Report on Form 10-K for the year ended December 31, 2019, filed with the SEC on February 21, 2020.</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March 2020, the World Health Organization declared the outbreak of a novel strain of coronavirus (“COVID-19”) as a pandemic. As a result of COVID-19, the Company has modified certain aspects of its business, including restricting employee travel, requiring employees to 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COVID-19 outbreak, the Company is unable to accurately predict the full impact that COVID-19 will have due to numerous uncertainties, including the duration of the outbreak, actions that may be taken by governmental authorities and the impact to the business of its customers and partners. The Company will continue to evaluate the nature and extent of the impact to its business, financial position, results of operations and cash flows.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 results could differ from those estimates and such differences may be material to the accompanying unaudited condensed consolidated financial statements.</w:t>
      </w:r>
    </w:p>
    <w:p>
      <w:pPr>
        <w:sectPr>
          <w:pgSz w:w="11900" w:h="16838" w:orient="portrait"/>
          <w:cols w:equalWidth="0" w:num="1">
            <w:col w:w="11240"/>
          </w:cols>
          <w:pgMar w:left="320" w:top="125" w:right="339" w:bottom="771"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7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condensed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condensed consolidated statements of operations.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recognizes the fair value of its employee stock options and restricted stock units over the requisite service periods for those awards ultimately expected to vest. The fair value of each option is estimated on the date of grant using the Black-Scholes-Merton option pricing model and the fair value of each restricted stock unit ("RSU") is based on the price of the Company's stock on the date of grant. Forfeitures are estimated on the date of grant and revised if actual or expected forfeiture activity differs materially from original estimates.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issued performance-based awards and stock options, and accounts for these awards and options as stock-based compensation with multiple performance conditions. For these performance-based awards, the Company records compensation expense for only the performance milestones that are probable of being achieved, with such expense recorded on a straight-line basis over the expected vesting period. The Company reassesses performance-based estimates each reporting period and if there are any changes in the probability of achievement, the Company recognizes the cumulative effect in the period when the estimate changes.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During the fiscal year ended December 31, 2018, the Company invested $2.5 million in preferred stock of a privately-held company. The fair value of the investment is not readily available, and there are no quoted market prices for the investment. The investment is included in other noncurrent assets on the condensed consolidated balance sheets and measured at cost less impairment, adjusted for observable price changes. The investment is assessed for impairment annually or whenever events or changes in circumstances indicate that the carrying amount may not be recoverable. During the second quarter ended June 30, 2019, the Company made an advance payment of $0.6 million to the investee for certain development work, which is recorded in other noncurrent assets on the condensed consolidated balance sheet. During the third quarter ended September 30, 2019, the Company made an additional investment of $0.6 million in a convertible security issued by this investee and recorded it in other current assets on the condensed consolidated balance sheet. As of September 30, 2020 and December 31, 2019, no impairment was recorded for the investments.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2018-15, Intangibles - Goodwill and Other - Internal-Use Software (Subtopic 350-40): Customer's Accounting for Implementation Costs Incurred in a Cloud Computing Arrangement That Is a Service Contract. This ASU aligns the requirements for capitalizing implementation costs incurred in a hosting arrangement that is a service contract with the requirements for capitalizing implementation costs related to internal-use software. It also requires the Company to expense the capitalized implementation costs of a hosting arrangement that is a service contract over the term of the hosting arrangement. The Company adopted this ASU prospectively to applicable implementation costs incurred since January 1, 2020. The adoption did not have a material impact on the Company's condensed consolidated financial statements.</w:t>
      </w:r>
    </w:p>
    <w:p>
      <w:pPr>
        <w:spacing w:after="0" w:line="19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as modified by subsequently issued ASU No. 2018-19, 2019-04 and 2019-05, which introduces a new accounting model, Current Expected Credit Losses ("CECL").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The Company adopted this ASU on January 1, 2020, using a modified retrospective transition method, which requires a cumulative-effect adjustment, if any, to the opening balance of retained earnings to be recognized on the date of adoption with prior periods not restated. The adoption did not have a material impact on the Company's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January 2020, the FASB issued ASU No. 2020-01, Investments—Equity Securities (Topic 321), Investments—Equity Method and Joint Ventures (Topic 323), and Derivatives and Hedging (Topic 815) ("ASU 2020-01"). This ASU clarifies the interaction of the accounting for equity securities under Topic 321, the accounting for equity method investments in Topic 323, and the accounting for certain forward contracts and purchased options in Topic</w:t>
      </w:r>
    </w:p>
    <w:p>
      <w:pPr>
        <w:spacing w:after="0" w:line="2" w:lineRule="exact"/>
        <w:rPr>
          <w:sz w:val="20"/>
          <w:szCs w:val="20"/>
          <w:color w:val="auto"/>
        </w:rPr>
      </w:pPr>
    </w:p>
    <w:p>
      <w:pPr>
        <w:ind w:firstLine="8"/>
        <w:spacing w:after="0" w:line="260" w:lineRule="auto"/>
        <w:tabs>
          <w:tab w:leader="none" w:pos="361"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effective for the Company beginning in the first quarter of fiscal 2021, and earlier adoption is permitted. The Company is currently evaluating the impact of its pending adoption of ASU 2020-01 on the Company's condensed consolidated financial statements.</w:t>
      </w:r>
    </w:p>
    <w:p>
      <w:pPr>
        <w:spacing w:after="0" w:line="18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December 2019, the FASB issued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is currently evaluating the impacts of the provisions of ASU 2019-12 on its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1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measures and reports certain cash equivalents, marketable securities, derivative foreign currency forward contracts and commitments associated with prior business combinations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left="420"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or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4" w:lineRule="exact"/>
        <w:rPr>
          <w:sz w:val="20"/>
          <w:szCs w:val="20"/>
          <w:color w:val="auto"/>
        </w:rPr>
      </w:pPr>
    </w:p>
    <w:p>
      <w:pPr>
        <w:jc w:val="both"/>
        <w:ind w:left="420"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Level 1 assets include highly liquid money market funds, which are valued using unadjusted quoted prices that are available in an active market for an identical asset. Level 2 assets include 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 During the fiscal years ended December 31, 2019 and 2018, the Company made investments of $0.6 million in a convertible security and $2.5 million in preferred stock, respectively, issued by a privately-held company. The estimated fair value of the investments was determined based on Level 3 inputs. As of September 30, 2020 and December 31, 2019, management estimated that the fair value of the investments equaled their carrying value.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 2020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33,566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33,566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58,511</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30,508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30,756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188,525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188,790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225,196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225,734</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40,657</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37,414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37,785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government agencies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52,870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53,784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131,652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133,260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449,875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452,021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 2019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84,102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84,102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87,559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33,048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33,098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173,364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173,545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211,331</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40,193</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46,447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46,817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118,684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119,508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417,332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418,398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There were no marketable securities that had been in a continuous unrealized loss position for 12 months or longer. As of September 30, 2020, the Company had the ability and intent to hold all marketable securities that were in an unrealized loss position until maturity or recovery.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3"/>
              </w:rPr>
              <w:t>September 30, 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paper</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226,575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Foreign government agencies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84,540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46,196</w:t>
            </w:r>
          </w:p>
        </w:tc>
      </w:tr>
      <w:tr>
        <w:trPr>
          <w:trHeight w:val="20"/>
        </w:trPr>
        <w:tc>
          <w:tcPr>
            <w:tcW w:w="4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418,455</w:t>
            </w: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6"/>
              </w:rPr>
              <w:t>December 31, 2019</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140" w:type="dxa"/>
            <w:vAlign w:val="bottom"/>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Commercial paper</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5,638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220,362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Corporate bonds</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65,596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65,596</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81"/>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334,238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334,296</w:t>
            </w:r>
          </w:p>
        </w:tc>
      </w:tr>
      <w:tr>
        <w:trPr>
          <w:trHeight w:val="20"/>
        </w:trPr>
        <w:tc>
          <w:tcPr>
            <w:tcW w:w="6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and Level 2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fair value of marketable securities by contractual maturity as of September 30, 2020 and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5"/>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One Year</w:t>
            </w:r>
          </w:p>
        </w:tc>
        <w:tc>
          <w:tcPr>
            <w:tcW w:w="2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00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188,790</w:t>
            </w: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37,600</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226,575</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agencies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Corporate bonds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30,756</w:t>
            </w: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33,505</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20,279</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84,540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17,788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22,869</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46,196</w:t>
            </w:r>
          </w:p>
        </w:tc>
      </w:tr>
      <w:tr>
        <w:trPr>
          <w:trHeight w:val="20"/>
        </w:trPr>
        <w:tc>
          <w:tcPr>
            <w:tcW w:w="3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226,684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88,893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44,367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359,944</w:t>
            </w:r>
          </w:p>
        </w:tc>
      </w:tr>
      <w:tr>
        <w:trPr>
          <w:trHeight w:val="20"/>
        </w:trPr>
        <w:tc>
          <w:tcPr>
            <w:tcW w:w="3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5"/>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One Year</w:t>
            </w:r>
          </w:p>
        </w:tc>
        <w:tc>
          <w:tcPr>
            <w:tcW w:w="2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00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173,546</w:t>
            </w: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46,816</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220,362</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33,098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23,251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9,247</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65,596</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15,550</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24,643</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42,642</w:t>
            </w:r>
          </w:p>
        </w:tc>
      </w:tr>
      <w:tr>
        <w:trPr>
          <w:trHeight w:val="20"/>
        </w:trPr>
        <w:tc>
          <w:tcPr>
            <w:tcW w:w="3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85,617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334,238</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uses a hedging strategy to reduce its exposure to foreign currency exchange rate fluctuations for forecasted subscription renewals and new orders in British Pound ("GBP") and Euro. The Company uses forward currency contracts accounted for as cash flow hedges against a designated portion of forecasted subscription renewals and new orders. Unrealized foreign exchange gains or losses related to those designated cash flow hedge contracts are recorded in AOCI and will be reclassified into revenues in the same periods when the hedged contracts are recognized into revenues.</w:t>
      </w:r>
    </w:p>
    <w:p>
      <w:pPr>
        <w:spacing w:after="0" w:line="1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 Company uses a hedging strategy to reduce its exposure associated with costs incurred in Indian Rupee ("INR"). Unrealized foreign exchange gains or losses related to those designated cash flow hedge contracts are recorded in AOCI and will be reclassified into operating expenses when the associated hedged expenses are incurred.</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September 30, 2020, the Company had 39 open designated cash flow hedge contracts with notional amounts of €22.5 million,£8.8 million and Rs.1,745.0 million. At December 31, 2019, the Company had 26 open designated cash flow hedge contracts with notional amounts of €24.2 million and £9.7 million.</w:t>
      </w:r>
    </w:p>
    <w:p>
      <w:pPr>
        <w:spacing w:after="0" w:line="18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shows the gains and losses, before tax, of the Company's derivative instruments designated as cash flow hedges in AOCI and the condensed consolidated statements of operations for the three and nine months ended September 30,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designated as cash flow hedges: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gains (losses) recognized in AOCI:</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Foreign currency forward contracts (GBP, Euro and INR)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Net unrealized (gains) losses reclassified from AOCI into income: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forward contracts (GBP and Euro)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forward contracts (INR)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AOCI before tax</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0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34"/>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1,827</w:t>
            </w:r>
          </w:p>
        </w:tc>
      </w:tr>
      <w:tr>
        <w:trPr>
          <w:trHeight w:val="634"/>
        </w:trPr>
        <w:tc>
          <w:tcPr>
            <w:tcW w:w="2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-993775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2020, the net amount of unrealized gains and losses on the foreign currency forward contracts for GBP and Euro reported in AOCI that is expected to be reclassified into revenue within the next 12 months is a loss of $0.5 million (before tax). As of September 30, 2020, the net amount of unrealized gains and losses on the foreign currency forward contracts for INR reported in AOCI that is expected to be reclassified into operating expenses is a gain of $0.1 million (before tax).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September 30, 2020, the Company had 18 outstanding non-designated forward contracts with notional amounts of €13.9 million, £8.0 million and Rs.173.6 million. At December 31, 2019, the Company had 15 outstanding non-designated forward contracts with notional amounts of €20.0 million, £5.6 million and Rs.756.0 million.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derivative financial instruments as of September 30, 2020 and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(1,227)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(1,892)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foreign currency forward contracts were valued at fair value using Level 2 inputs.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net on the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140" w:type="dxa"/>
            <w:vAlign w:val="bottom"/>
            <w:gridSpan w:val="4"/>
          </w:tcPr>
          <w:p>
            <w:pPr>
              <w:jc w:val="right"/>
              <w:ind w:right="258"/>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non-designated forward contracts</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(688)</w:t>
            </w:r>
          </w:p>
        </w:tc>
        <w:tc>
          <w:tcPr>
            <w:tcW w:w="760" w:type="dxa"/>
            <w:vAlign w:val="bottom"/>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foreign currency transactions gains (losses)</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(906)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r>
      <w:tr>
        <w:trPr>
          <w:trHeight w:val="20"/>
        </w:trPr>
        <w:tc>
          <w:tcPr>
            <w:tcW w:w="5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foreign exchange gains (losses), net</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0"/>
        </w:trPr>
        <w:tc>
          <w:tcPr>
            <w:tcW w:w="59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Other expenses</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0"/>
        </w:trPr>
        <w:tc>
          <w:tcPr>
            <w:tcW w:w="5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(loss), net</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760" w:type="dxa"/>
            <w:vAlign w:val="bottom"/>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Accumulated Other Comprehensive Income</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components and changes in accumulated other comprehensive income, net of taxes, for the nine months ended September 30, 2020 and 2019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gains</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gains (losses)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on AFS debt</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on cash flow</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r>
      <w:tr>
        <w:trPr>
          <w:trHeight w:val="216"/>
        </w:trPr>
        <w:tc>
          <w:tcPr>
            <w:tcW w:w="53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Reclassification of (gains) losses from other comprehensive income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r>
      <w:tr>
        <w:trPr>
          <w:trHeight w:val="20"/>
        </w:trPr>
        <w:tc>
          <w:tcPr>
            <w:tcW w:w="53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80" w:type="dxa"/>
            <w:vAlign w:val="bottom"/>
          </w:tcPr>
          <w:p>
            <w:pPr>
              <w:ind w:left="660"/>
              <w:spacing w:after="0"/>
              <w:rPr>
                <w:sz w:val="20"/>
                <w:szCs w:val="20"/>
                <w:color w:val="auto"/>
              </w:rPr>
            </w:pPr>
            <w:r>
              <w:rPr>
                <w:rFonts w:ascii="Arial" w:cs="Arial" w:eastAsia="Arial" w:hAnsi="Arial"/>
                <w:sz w:val="18"/>
                <w:szCs w:val="18"/>
                <w:color w:val="auto"/>
              </w:rPr>
              <w:t>Total change in unrealized gains (losses), net of tax</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0"/>
        </w:trPr>
        <w:tc>
          <w:tcPr>
            <w:tcW w:w="5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September 30, 2020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r>
      <w:tr>
        <w:trPr>
          <w:trHeight w:val="413"/>
        </w:trPr>
        <w:tc>
          <w:tcPr>
            <w:tcW w:w="53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00" w:type="dxa"/>
            <w:vAlign w:val="bottom"/>
          </w:tcPr>
          <w:p>
            <w:pPr>
              <w:jc w:val="center"/>
              <w:ind w:left="4950"/>
              <w:spacing w:after="0"/>
              <w:rPr>
                <w:sz w:val="20"/>
                <w:szCs w:val="20"/>
                <w:color w:val="auto"/>
              </w:rPr>
            </w:pPr>
            <w:r>
              <w:rPr>
                <w:rFonts w:ascii="Arial" w:cs="Arial" w:eastAsia="Arial" w:hAnsi="Arial"/>
                <w:sz w:val="18"/>
                <w:szCs w:val="18"/>
                <w:b w:val="1"/>
                <w:bCs w:val="1"/>
                <w:color w:val="auto"/>
                <w:w w:val="90"/>
              </w:rPr>
              <w:t>Qualys,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0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00" w:type="dxa"/>
            <w:vAlign w:val="bottom"/>
          </w:tcPr>
          <w:p>
            <w:pPr>
              <w:jc w:val="center"/>
              <w:ind w:left="49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24"/>
                <w:szCs w:val="24"/>
                <w:color w:val="auto"/>
              </w:rPr>
            </w:pPr>
          </w:p>
        </w:tc>
        <w:tc>
          <w:tcPr>
            <w:tcW w:w="14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gains (losses)</w:t>
            </w:r>
          </w:p>
        </w:tc>
        <w:tc>
          <w:tcPr>
            <w:tcW w:w="120" w:type="dxa"/>
            <w:vAlign w:val="bottom"/>
          </w:tcPr>
          <w:p>
            <w:pPr>
              <w:spacing w:after="0"/>
              <w:rPr>
                <w:sz w:val="18"/>
                <w:szCs w:val="18"/>
                <w:color w:val="auto"/>
              </w:rPr>
            </w:pPr>
          </w:p>
        </w:tc>
        <w:tc>
          <w:tcPr>
            <w:tcW w:w="14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1"/>
              </w:rPr>
              <w:t>gains (losses)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on AFS debt</w:t>
            </w:r>
          </w:p>
        </w:tc>
        <w:tc>
          <w:tcPr>
            <w:tcW w:w="120" w:type="dxa"/>
            <w:vAlign w:val="bottom"/>
          </w:tcPr>
          <w:p>
            <w:pPr>
              <w:spacing w:after="0"/>
              <w:rPr>
                <w:sz w:val="18"/>
                <w:szCs w:val="18"/>
                <w:color w:val="auto"/>
              </w:rPr>
            </w:pPr>
          </w:p>
        </w:tc>
        <w:tc>
          <w:tcPr>
            <w:tcW w:w="14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6"/>
              </w:rPr>
              <w:t>on cash flow</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4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2"/>
              </w:rPr>
              <w:t>hedges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(gains) losses from other comprehensive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ind w:left="660"/>
              <w:spacing w:after="0"/>
              <w:rPr>
                <w:sz w:val="20"/>
                <w:szCs w:val="20"/>
                <w:color w:val="auto"/>
              </w:rPr>
            </w:pPr>
            <w:r>
              <w:rPr>
                <w:rFonts w:ascii="Arial" w:cs="Arial" w:eastAsia="Arial" w:hAnsi="Arial"/>
                <w:sz w:val="18"/>
                <w:szCs w:val="18"/>
                <w:color w:val="auto"/>
              </w:rPr>
              <w:t>Total change in unrealized gains, net of tax</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September 30, 2019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r>
      <w:tr>
        <w:trPr>
          <w:trHeight w:val="872"/>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20" w:type="dxa"/>
            <w:vAlign w:val="bottom"/>
            <w:gridSpan w:val="5"/>
          </w:tcPr>
          <w:p>
            <w:pPr>
              <w:ind w:left="420"/>
              <w:spacing w:after="0"/>
              <w:rPr>
                <w:sz w:val="20"/>
                <w:szCs w:val="20"/>
                <w:color w:val="auto"/>
              </w:rPr>
            </w:pPr>
            <w:r>
              <w:rPr>
                <w:rFonts w:ascii="Arial" w:cs="Arial" w:eastAsia="Arial" w:hAnsi="Arial"/>
                <w:sz w:val="18"/>
                <w:szCs w:val="18"/>
                <w:color w:val="auto"/>
                <w:w w:val="96"/>
              </w:rPr>
              <w:t>Property and equipment, net, which includes assets under finance leases, consists of the following:</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09"/>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133,628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112,599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Computer software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26,298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26,137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Finance leases - right of use asset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3,503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Scanner appliances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18,817</w:t>
            </w:r>
          </w:p>
        </w:tc>
        <w:tc>
          <w:tcPr>
            <w:tcW w:w="100" w:type="dxa"/>
            <w:vAlign w:val="bottom"/>
          </w:tcPr>
          <w:p>
            <w:pPr>
              <w:spacing w:after="0"/>
              <w:rPr>
                <w:sz w:val="18"/>
                <w:szCs w:val="18"/>
                <w:color w:val="auto"/>
              </w:rPr>
            </w:pPr>
          </w:p>
        </w:tc>
      </w:tr>
      <w:tr>
        <w:trPr>
          <w:trHeight w:val="21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209,195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183,893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(141,621)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(123,314)</w:t>
            </w: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Physical scanner appliances and other computer equipment had a net carrying value of $7.4 million and $4.9 million at September 30, 2020 and December 31, 2019, respectively, including assets that had not been placed in service of $3.7 million and $0.9 million, respectively. Depreciation and amortization expense relating to property and equipment, including assets under finance leases, was $6.7 million and $6.2 million for the three months ended September 30, 2020 and 2019, respectively, and $19.3 million and $18.9 million for the nine months ended September 30, 2020 and 2019, respectively.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 from Contracts with Customers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Company's subscription contracts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professional services based on time and materials or completion of milestones stated in the contracts.</w:t>
      </w:r>
    </w:p>
    <w:p>
      <w:pPr>
        <w:spacing w:after="0" w:line="16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As the vast majority of the Company’s offerings are subscription based, the Company rarely needs to allocate the transaction price to separate performance obligations. In the rare case that allocation of the transaction price is needed, the Company recognizes revenue in proportion to the standalone selling prices ("SSP") of the underlying services at contract inception. If an SSP is not directly observable, the Company determines the SSP using information that may include market conditions and other observable inputs. The Company's transaction prices typically do not include variable consideration and are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and the Company does not grant its customers any material rights. For contracts that include leased scanners and PCPs, the Company applies the lease and non-lease component practical expedient under ASC 842 to account for non-lease components and lease components as combined components under the revenue recognition guidance in ASU 2014-09, "Revenue from Contracts with Customers" (Topic 606) as the subscriptions are the predominant components in the arrangements.</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Costs of shipping and handling charges associated with physical scanner appliances and other computer equipment are included in cost of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taxes and other taxes collected from customers to be remitted to government authorities are excluded from revenues.</w:t>
      </w:r>
    </w:p>
    <w:p>
      <w:pPr>
        <w:spacing w:after="0" w:line="2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Capitalized costs to obtain contracts, current and noncurrent are as follows: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Commission asset,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Commission asset, 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6,783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6,454</w:t>
            </w:r>
          </w:p>
        </w:tc>
      </w:tr>
    </w:tbl>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September 30, 2020 and 2019, the Company recognized $0.8 million and $0.5 million, respectively, of commission expense from amortization of its commission assets. For the nine months ended September 30, 2020 and 2019, the Company recognized $2.2 million and $1.4 million, respectively, of commission expense from amortization of its commission assets. During the same periods, there was no impairment loss related to capitalized costs.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Revenue of $38.3 million and $31.3 million was recognized during the three months ended September 30, 2020 and 2019, respectively, which amounts were included in the deferred revenue balances as of December 31, 2019 and 2018, respectively. Revenue of $168.0 million and $144.6 million was recognized during the nine months ended September 30, 2020 and 2019, respectively, which amounts were included in the deferred revenue balances as of December 31, 2019 and 2018, respectively.</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For certain products or services and customer types, the Company requires payment before the products or services are delivered to the customer.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 Expected</w:t>
            </w:r>
          </w:p>
        </w:tc>
      </w:tr>
      <w:tr>
        <w:trPr>
          <w:trHeight w:val="234"/>
        </w:trPr>
        <w:tc>
          <w:tcPr>
            <w:tcW w:w="38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r>
      <w:tr>
        <w:trPr>
          <w:trHeight w:val="210"/>
        </w:trPr>
        <w:tc>
          <w:tcPr>
            <w:tcW w:w="38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three months)</w:t>
            </w:r>
          </w:p>
        </w:tc>
        <w:tc>
          <w:tcPr>
            <w:tcW w:w="5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82,348</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2023</w:t>
            </w: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18,779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2025 and thereafter</w:t>
            </w:r>
          </w:p>
        </w:tc>
        <w:tc>
          <w:tcPr>
            <w:tcW w:w="5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r>
      <w:tr>
        <w:trPr>
          <w:trHeight w:val="25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181,126</w:t>
            </w:r>
          </w:p>
        </w:tc>
      </w:tr>
      <w:tr>
        <w:trPr>
          <w:trHeight w:val="413"/>
        </w:trPr>
        <w:tc>
          <w:tcPr>
            <w:tcW w:w="388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tcPr>
          <w:p>
            <w:pPr>
              <w:jc w:val="right"/>
              <w:ind w:right="387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5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and the amounts that will be invoiced and recognized as revenues in future periods from open contracts. Remaining performance obligations represent the transaction price of noncancelable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95"/>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400"/>
              <w:spacing w:after="0" w:line="195"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54,821</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47,997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156,631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136,708</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38,248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34,674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111,531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100,235</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93,069</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3"/>
              </w:rPr>
              <w:t>82,671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268,162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236,943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Information and Information about Geographic Area" for disaggregation of revenue by geographic area.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January 10, 2019, the Company acquired the assets of Adya, Inc. ("Adya"), an India-based company. The acquisition included a cloud application management platform, which enables security and compliance audits of SaaS applications.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Total purchase consideration was $1.0 million, including $0.2 million of deferred consideration due 18 months from the closing date of the acquisition, subject to potential adjustment from possible indemnity claims. During the three months ended September 30, 2020, the $0.2 million of deferred consideration was fully paid to Adya.</w:t>
      </w:r>
    </w:p>
    <w:p>
      <w:pPr>
        <w:spacing w:after="0" w:line="1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accounted for this transaction as a business combination and allocated $0.9 million of the purchase price to technology-based intangible assets and $0.1 million to goodwill. The acquired intangible assets relating to Adya's developed technology are being amortized over the estimated useful lives of approximately four years. Goodwill arising from the Adya acquisition is deductible for tax purposes over 15 years.</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July 24, 2020, the Company acquired certain intangible assets of Spell Security Private Limited ("Spell Security"), a privately held company incorporated in India. Spell Security’s technology expands the Company's endpoint behavior detection, threat hunting, malware research and multi-layered response capabilities for its EDR application. The purchase consideration related to the acquisition was $1.5 million in cash, including $0.2 million of deferred consideration due 15 months from the closing date of the acquisition, subject to potential adjustment from possible indemnity claims.</w:t>
      </w:r>
    </w:p>
    <w:p>
      <w:pPr>
        <w:spacing w:after="0" w:line="15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accounted for this transaction as an asset purchase. The Company recognized intangible assets of $1.0 million for developed technology and $0.5 million for non-compete agreements, which will be amortized over four and two years,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from business combinations. Acquired intangibles are amortized on a straight-line basis over the respective estimated useful lives of the assets.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of intangible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2020</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(in thousands, except for years)</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4.6</w:t>
            </w:r>
          </w:p>
        </w:tc>
        <w:tc>
          <w:tcPr>
            <w:tcW w:w="14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5"/>
              </w:rPr>
              <w:t>2.1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14.0</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2.0</w:t>
            </w:r>
          </w:p>
        </w:tc>
        <w:tc>
          <w:tcPr>
            <w:tcW w:w="14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5"/>
              </w:rPr>
              <w:t>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29,243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(15,632)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left w:val="single" w:sz="8" w:color="CCEEFF"/>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340"/>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13,651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(in thousands, except for years)</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4.6</w:t>
            </w:r>
          </w:p>
        </w:tc>
        <w:tc>
          <w:tcPr>
            <w:tcW w:w="14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5"/>
              </w:rPr>
              <w:t>2.7</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26,356</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14.0</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27,743</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(10,988)</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16,755</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1060" w:type="dxa"/>
            <w:vAlign w:val="bottom"/>
            <w:tcBorders>
              <w:top w:val="single" w:sz="8" w:color="CCEEFF"/>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Intangible asset amortization expense was $1.6 million and $1.5 million for the three months ended September 30, 2020 and 2019, respectively, and $4.6 million for each of the nine months ended September 30, 2020 and 2019.</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2020, the Company expects amortization expense in future periods to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2020 (remaining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2024</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expected future amortization expense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Amortization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ind w:left="1040" w:hanging="1033"/>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1,645</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6,581</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4,823</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350</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212</w:t>
      </w:r>
    </w:p>
    <w:p>
      <w:pPr>
        <w:spacing w:after="0" w:line="32" w:lineRule="exact"/>
        <w:rPr>
          <w:sz w:val="20"/>
          <w:szCs w:val="20"/>
          <w:color w:val="auto"/>
        </w:rPr>
      </w:pPr>
    </w:p>
    <w:p>
      <w:pPr>
        <w:ind w:left="960" w:hanging="953"/>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13,611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16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69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916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ectPr>
          <w:pgSz w:w="11900" w:h="16838" w:orient="portrait"/>
          <w:cols w:equalWidth="0" w:num="2">
            <w:col w:w="8960" w:space="720"/>
            <w:col w:w="156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January 1, 2019, the Company adopted ASU No. 2016-02, “Leases (Topic 842),” which requires leases with durations greater than twelve months to be recognized on the balance sheet. We adopted the standard using the current period adjustment method with an effective date of January 1, 2019. For both operating and finance leases, we recognize a right-of-use asset, which represents our right to use the underlying asset for the lease term, and a lease liability, which represents the present value of our obligation to make payments arising over the lease term. The present value of the lease payments is calculated using the incremental borrowing rate for operating and finance leases. The incremental borrowing rate is determined using a portfolio approach based on the rate of interest that the Company would have to pay to borrow an amount equal to the lease payments on a collateralized basis over a similar term.</w:t>
      </w:r>
    </w:p>
    <w:p>
      <w:pPr>
        <w:spacing w:after="0" w:line="19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Where the Company is the lessee, the Company elected to account for non-lease components associated with its leases (e.g., common area maintenance costs) and lease components separately for substantially all of its asset classes, except for data centers, for which the Company elected to combine lease and non-lease components. In arrangements where the Company is the lessor, the Company elected to apply the practical expedient which allows the Company to account for lease components (e.g., customer premise equipment) and non-lease components (e.g., service revenue) as combined components under the revenue recognition guidance in Topic 606 as service revenues are the predominant components in the arrangements.</w:t>
      </w:r>
    </w:p>
    <w:p>
      <w:pPr>
        <w:spacing w:after="0" w:line="16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over the term. Many of its leases include rental escalation clauses, renewal options and/or termination options that are factored into our determination of lease payments when appropriate.</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the leases do not provide a readily determinable implicit rate. Therefore, the Company must estimate an incremental borrowing rate to discount the lease payments based on information available at lease commencement.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lease-related assets and liabilities recorded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3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Classification on the Balance Sheet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5360" w:type="dxa"/>
            <w:vAlign w:val="bottom"/>
          </w:tcPr>
          <w:p>
            <w:pPr>
              <w:ind w:left="820"/>
              <w:spacing w:after="0"/>
              <w:rPr>
                <w:sz w:val="20"/>
                <w:szCs w:val="20"/>
                <w:color w:val="auto"/>
              </w:rPr>
            </w:pPr>
            <w:r>
              <w:rPr>
                <w:rFonts w:ascii="Arial" w:cs="Arial" w:eastAsia="Arial" w:hAnsi="Arial"/>
                <w:sz w:val="18"/>
                <w:szCs w:val="18"/>
                <w:color w:val="auto"/>
              </w:rPr>
              <w:t>Operating lease - right of use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47,985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40,551</w:t>
            </w:r>
          </w:p>
        </w:tc>
      </w:tr>
      <w:tr>
        <w:trPr>
          <w:trHeight w:val="21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53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640" w:type="dxa"/>
            <w:vAlign w:val="bottom"/>
          </w:tcPr>
          <w:p>
            <w:pPr>
              <w:ind w:left="340"/>
              <w:spacing w:after="0"/>
              <w:rPr>
                <w:sz w:val="20"/>
                <w:szCs w:val="20"/>
                <w:color w:val="auto"/>
              </w:rPr>
            </w:pPr>
            <w:r>
              <w:rPr>
                <w:rFonts w:ascii="Arial" w:cs="Arial" w:eastAsia="Arial" w:hAnsi="Arial"/>
                <w:sz w:val="18"/>
                <w:szCs w:val="18"/>
                <w:color w:val="auto"/>
              </w:rPr>
              <w:t>Total lease assets</w:t>
            </w:r>
          </w:p>
        </w:tc>
        <w:tc>
          <w:tcPr>
            <w:tcW w:w="5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48,408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41,850</w:t>
            </w:r>
          </w:p>
        </w:tc>
      </w:tr>
      <w:tr>
        <w:trPr>
          <w:trHeight w:val="20"/>
        </w:trPr>
        <w:tc>
          <w:tcPr>
            <w:tcW w:w="2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64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5360" w:type="dxa"/>
            <w:vAlign w:val="bottom"/>
          </w:tcPr>
          <w:p>
            <w:pPr>
              <w:ind w:left="8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11,777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7,663</w:t>
            </w: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5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Noncurrent</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5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44,015</w:t>
            </w: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Finance</w:t>
            </w:r>
          </w:p>
        </w:tc>
        <w:tc>
          <w:tcPr>
            <w:tcW w:w="5360" w:type="dxa"/>
            <w:vAlign w:val="bottom"/>
          </w:tcPr>
          <w:p>
            <w:pPr>
              <w:ind w:left="8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50"/>
        </w:trPr>
        <w:tc>
          <w:tcPr>
            <w:tcW w:w="2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liabilities</w:t>
            </w:r>
          </w:p>
        </w:tc>
        <w:tc>
          <w:tcPr>
            <w:tcW w:w="53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60,255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51,856</w:t>
            </w:r>
          </w:p>
        </w:tc>
      </w:tr>
      <w:tr>
        <w:trPr>
          <w:trHeight w:val="413"/>
        </w:trPr>
        <w:tc>
          <w:tcPr>
            <w:tcW w:w="264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tcPr>
          <w:p>
            <w:pPr>
              <w:ind w:left="290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leases certain offices, computer equipment and its data center facilities under non-cancelable operating leases for varying periods through 2028. Lease expense was $4.6 million and $3.3 million for the three months ended September 30, 2020 and 2019, respectively, and $13.5 million and $9.6 million for the nine months ended September 30, 2020 and 2019,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48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included in the measurement of lease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9,183</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6,469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15,735</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and financing cash flows from finance leases were immaterial during the nine months ended September 30, 2020 and 2019.</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remaining lease term and the weighted average discount rate of the Company's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920" w:type="dxa"/>
            <w:vAlign w:val="bottom"/>
          </w:tcPr>
          <w:p>
            <w:pPr>
              <w:spacing w:after="0"/>
              <w:rPr>
                <w:sz w:val="20"/>
                <w:szCs w:val="20"/>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 (years)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720" w:type="dxa"/>
            <w:vAlign w:val="bottom"/>
            <w:gridSpan w:val="2"/>
          </w:tcPr>
          <w:p>
            <w:pPr>
              <w:ind w:left="1220"/>
              <w:spacing w:after="0"/>
              <w:rPr>
                <w:sz w:val="20"/>
                <w:szCs w:val="20"/>
                <w:color w:val="auto"/>
              </w:rPr>
            </w:pPr>
            <w:r>
              <w:rPr>
                <w:rFonts w:ascii="Arial" w:cs="Arial" w:eastAsia="Arial" w:hAnsi="Arial"/>
                <w:sz w:val="18"/>
                <w:szCs w:val="18"/>
                <w:color w:val="auto"/>
              </w:rPr>
              <w:t>5.4</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rPr>
              <w:t>7.1</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7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0.3</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0.8</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Weighted average discount rates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7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4.8%</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87"/>
              </w:rPr>
              <w:t>4.6%</w:t>
            </w:r>
          </w:p>
        </w:tc>
      </w:tr>
      <w:tr>
        <w:trPr>
          <w:trHeight w:val="230"/>
        </w:trPr>
        <w:tc>
          <w:tcPr>
            <w:tcW w:w="792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720" w:type="dxa"/>
            <w:vAlign w:val="bottom"/>
            <w:gridSpan w:val="2"/>
          </w:tcPr>
          <w:p>
            <w:pPr>
              <w:ind w:left="1220"/>
              <w:spacing w:after="0"/>
              <w:rPr>
                <w:sz w:val="20"/>
                <w:szCs w:val="20"/>
                <w:color w:val="auto"/>
              </w:rPr>
            </w:pPr>
            <w:r>
              <w:rPr>
                <w:rFonts w:ascii="Arial" w:cs="Arial" w:eastAsia="Arial" w:hAnsi="Arial"/>
                <w:sz w:val="18"/>
                <w:szCs w:val="18"/>
                <w:color w:val="auto"/>
              </w:rPr>
              <w:t>5.0%</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5.0%</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and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Equity Incentive Plan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15.7 million shares of common stock as of September 30, 2020. Options may be granted with an exercise price that is at least equal to the fair market value of the Company's stock at the date of grant and are exercisable when vested. As of September 30, 2020, 7.2 million shares were available for grant under the 2012 Plan.</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2000 Equity Incentive Plan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shows a summary of the stock-based compensation expense included in the condensed consolidated statements of operations for the three and nine months ended September 30,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40" w:type="dxa"/>
            <w:vAlign w:val="bottom"/>
          </w:tcPr>
          <w:p>
            <w:pPr>
              <w:spacing w:after="0"/>
              <w:rPr>
                <w:sz w:val="20"/>
                <w:szCs w:val="20"/>
                <w:color w:val="auto"/>
              </w:rPr>
            </w:pPr>
          </w:p>
        </w:tc>
        <w:tc>
          <w:tcPr>
            <w:tcW w:w="24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95"/>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920"/>
              <w:spacing w:after="0" w:line="195"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1,674</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9,887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7,875</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3,590</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3,516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13,776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12,024</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10,489</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September 30, 2020, the Company had $16.6 million of total unrecognized stock-based compensation cost related to unvested options which was expected to be recognized over a weighted-average period of 2.2 years, and $54.1 million of unrecognized stock-based compensation cost related to unvested RSUs which was expected to be recognized over a weighted-average period of 2.4 years. Compensation cost is recognized over the service period. Forfeitures are estimated at the time of grant and revised in subsequent periods, if actual forfeitures differ from those estimates.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Option Plan Activity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20" w:type="dxa"/>
            <w:vAlign w:val="bottom"/>
          </w:tcPr>
          <w:p>
            <w:pPr>
              <w:ind w:left="420"/>
              <w:spacing w:after="0"/>
              <w:rPr>
                <w:sz w:val="20"/>
                <w:szCs w:val="20"/>
                <w:color w:val="auto"/>
              </w:rPr>
            </w:pPr>
            <w:r>
              <w:rPr>
                <w:rFonts w:ascii="Arial" w:cs="Arial" w:eastAsia="Arial" w:hAnsi="Arial"/>
                <w:sz w:val="18"/>
                <w:szCs w:val="18"/>
                <w:color w:val="auto"/>
              </w:rPr>
              <w:t>A summary of the Company’s stock option activity is as follows: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r>
      <w:tr>
        <w:trPr>
          <w:trHeight w:val="234"/>
        </w:trPr>
        <w:tc>
          <w:tcPr>
            <w:tcW w:w="55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2,866,675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125,647</w:t>
            </w: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269,950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107.01</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(695,468)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34.46</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color w:val="auto"/>
              </w:rPr>
              <w:t>Canceled</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(84,486)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86.08</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2,356,671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120,055</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color w:val="auto"/>
              </w:rPr>
              <w:t>Vested and expected to vest - September 30, 2020</w:t>
            </w:r>
          </w:p>
        </w:tc>
        <w:tc>
          <w:tcPr>
            <w:tcW w:w="14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2,208,860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45.07</w:t>
            </w: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7"/>
              </w:rPr>
              <w:t>5.8</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118,883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Exercisable - September 30, 2020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1,666,292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112,502</w:t>
            </w:r>
          </w:p>
        </w:tc>
      </w:tr>
      <w:tr>
        <w:trPr>
          <w:trHeight w:val="432"/>
        </w:trPr>
        <w:tc>
          <w:tcPr>
            <w:tcW w:w="552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the Company’s RSU activity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as of September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expected to vest - September 30, 2020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Performance-Based Stock Options and 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16"/>
        </w:trPr>
        <w:tc>
          <w:tcPr>
            <w:tcW w:w="16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34"/>
        </w:trPr>
        <w:tc>
          <w:tcPr>
            <w:tcW w:w="1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Per Share</w:t>
            </w:r>
          </w:p>
        </w:tc>
        <w:tc>
          <w:tcPr>
            <w:tcW w:w="0" w:type="dxa"/>
            <w:vAlign w:val="bottom"/>
          </w:tcPr>
          <w:p>
            <w:pPr>
              <w:spacing w:after="0"/>
              <w:rPr>
                <w:sz w:val="1"/>
                <w:szCs w:val="1"/>
                <w:color w:val="auto"/>
              </w:rPr>
            </w:pPr>
          </w:p>
        </w:tc>
      </w:tr>
      <w:tr>
        <w:trPr>
          <w:trHeight w:val="411"/>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1,214,818</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214,380</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106.72</w:t>
            </w:r>
          </w:p>
        </w:tc>
        <w:tc>
          <w:tcPr>
            <w:tcW w:w="0" w:type="dxa"/>
            <w:vAlign w:val="bottom"/>
          </w:tcPr>
          <w:p>
            <w:pPr>
              <w:spacing w:after="0"/>
              <w:rPr>
                <w:sz w:val="1"/>
                <w:szCs w:val="1"/>
                <w:color w:val="auto"/>
              </w:rPr>
            </w:pPr>
          </w:p>
        </w:tc>
      </w:tr>
      <w:tr>
        <w:trPr>
          <w:trHeight w:val="216"/>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(382,011)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30"/>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(194,576)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852,611</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line="20" w:lineRule="exact"/>
              <w:rPr>
                <w:sz w:val="1"/>
                <w:szCs w:val="1"/>
                <w:color w:val="auto"/>
              </w:rPr>
            </w:pPr>
          </w:p>
        </w:tc>
      </w:tr>
      <w:tr>
        <w:trPr>
          <w:trHeight w:val="211"/>
        </w:trPr>
        <w:tc>
          <w:tcPr>
            <w:tcW w:w="1480" w:type="dxa"/>
            <w:vAlign w:val="bottom"/>
          </w:tcPr>
          <w:p>
            <w:pPr>
              <w:jc w:val="right"/>
              <w:spacing w:after="0"/>
              <w:rPr>
                <w:sz w:val="20"/>
                <w:szCs w:val="20"/>
                <w:color w:val="auto"/>
              </w:rPr>
            </w:pPr>
            <w:r>
              <w:rPr>
                <w:rFonts w:ascii="Arial" w:cs="Arial" w:eastAsia="Arial" w:hAnsi="Arial"/>
                <w:sz w:val="18"/>
                <w:szCs w:val="18"/>
                <w:color w:val="auto"/>
              </w:rPr>
              <w:t>640,166</w:t>
            </w:r>
          </w:p>
        </w:tc>
        <w:tc>
          <w:tcPr>
            <w:tcW w:w="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6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November 2, 2019, the Compensation Committee of the Company's board of directors granted the equity award for 2020, which consisted of time-based RSUs and performance-based non-statutory stock options ("NSOs"), to the Company’s Chairman and Chief Executive Officer, Philippe Courtot. The Compensation Committee,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first portion of the award consists of 48,683 time-based RSUs that will vest in 16 quarterly installments beginning on December 1, 2019, assuming continued service through each applicable vesting date. The second portion of the award consists of 123,856 NSOs that will vest at the end of the performance period based on achievement of goals related to revenue growth and free cash flow per share growth during the three-year period from January 2020 through December 2022, generally conditioned on Mr. Courtot’s continued status as a service provider through the date that performance is certified. If Mr. Courtot’s employment (a) is terminated by reason of death or disability or (b) is terminated by the Company for reasons other than cause within 12 months following a change in control, then 100% of any unvested portions of the award will vest, with any vesting in connection with change in control terminations conditioned upon the effectiveness of a release of claims in favor of the Company (2019 performance-based NSOs).</w:t>
      </w:r>
    </w:p>
    <w:p>
      <w:pPr>
        <w:spacing w:after="0" w:line="16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December 21, 2018, the Compensation Committee granted the equity award for 2019, which consisted of time-based and performance-based RSUs, to Mr. Courtot. The Compensation Committee,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14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first portion of the award consists of 56,250 time-based RSUs that will vest in 16 quarterly increments beginning on January 1, 2019, assuming continued service through each applicable vesting date. The second portion of the award consists of 33,089 performance-based RSUs that will vest based on achievement of goals related to revenue growth for a three-year period from January 2019 through December 2021 and Adjusted EBITDA margin for the 2021 fiscal year, generally conditioned on Mr. Courtot’s continued status as a service provider through the date that performance is certified. The third portion of the award consists of 33,088 performance-based RSUs that will vest in three increments based on the achievement of goals related to revenue growth and Adjusted EBITDA margin for each of the 2019, 2020 and 2021 fiscal years, generally conditioned on Mr. Courtot’s continued status as a service provider through the date that performance is certified for the relevant increment. If Mr. Courtot’s employment (a) is terminated by reason of death or disability or (b) is terminated by the Company for reasons other than cause or good reason within 12 months following a change in control, then 100% of any unvested portions of the award will vest, with any vesting in connection with change in control terminations conditioned upon the effectiveness of a release of claims in favor of the Company (2018 performance-based RSUs).</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2020, 14,864 shares, which represent 135% of the target number of 11,030 shares under the 2018 performance-based RSUs, vested as a result of the Company achieving the performance goals for fiscal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June 10, 2020, the board of directors approved changes in the performance targets for the 2019 and 2018 performance-based awards. Based on the projected performance levels expected to be achieved for those awards as of June 10, 2020, the modification resulted in an incremental expense of $7.5 million, which is expected to be recognized over 12 quarters beginning with the quarter ended June 30, 2020. This amount may change based upon actual performance achieved and updates to estimates of future performance during the remainder of the performance periods. During the three and nine months ended September 30, 2020, $0.9 million and $1.1 million, respectively, of incremental expenses due to the modification were recognized.</w:t>
      </w:r>
    </w:p>
    <w:p>
      <w:pPr>
        <w:spacing w:after="0" w:line="16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September 30, 2020 and 2019, stock-based compensation costs of $2.0 million, including changes due to modifications, and $0.2 million, respectively, were recognized for the performance-based NSOs and RSUs. During the nine months ended September 30, 2020 and 2019, stock-based compensation costs of $2.8 million, including changes due to modifications, and $0.7 million, respectively, were recognized for the performance-based NSOs and RSUs.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5, 2018, the Company's board of directors authorized a $100.0 million two-year share repurchase program, which was announced on February 12, 2018. On October 30, 2018, October 30, 2019 and May 7, 2020, the Company announced that its board of directors had authorized an increase of $100.0 million, $100.0 million and $100.0 million, respectively, to the original share repurchase program authorization, resulting in an aggregate authorization of $400.0 million. Shares may be repurchased from time to time on the open market in accordance with Rule 10b-18 of the Exchange Act of 1934, including pursuant to a pre-set trading plan adopted in accordance with Rule 10b5-1 under the Exchange Act ("Rule 10b5-1"), until April 28, 2022.</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nine months ended September 30, 2020, the Company repurchased 940,750 shares of its common stock for approximately $91.9 million. All share repurchases were made using cash resources. As of September 30, 2020, approximately $136.7 million remained available for share repurchases pursuant to the Company's share repurchase program.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Per Share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computations for basic and diluted net income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(in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66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w w:val="88"/>
              </w:rPr>
              <w:t>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22,743</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67,756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48,672</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w w:val="93"/>
              </w:rPr>
              <w:t>Weighted-average shares used in computing net income per share: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39,238</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39,099</w:t>
            </w:r>
          </w:p>
        </w:tc>
        <w:tc>
          <w:tcPr>
            <w:tcW w:w="0" w:type="dxa"/>
            <w:vAlign w:val="bottom"/>
          </w:tcPr>
          <w:p>
            <w:pPr>
              <w:spacing w:after="0"/>
              <w:rPr>
                <w:sz w:val="1"/>
                <w:szCs w:val="1"/>
                <w:color w:val="auto"/>
              </w:rPr>
            </w:pPr>
          </w:p>
        </w:tc>
      </w:tr>
      <w:tr>
        <w:trPr>
          <w:trHeight w:val="216"/>
        </w:trPr>
        <w:tc>
          <w:tcPr>
            <w:tcW w:w="524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options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5240" w:type="dxa"/>
            <w:vAlign w:val="bottom"/>
          </w:tcPr>
          <w:p>
            <w:pPr>
              <w:ind w:left="660"/>
              <w:spacing w:after="0"/>
              <w:rPr>
                <w:sz w:val="20"/>
                <w:szCs w:val="20"/>
                <w:color w:val="auto"/>
              </w:rPr>
            </w:pPr>
            <w:r>
              <w:rPr>
                <w:rFonts w:ascii="Arial" w:cs="Arial" w:eastAsia="Arial" w:hAnsi="Arial"/>
                <w:sz w:val="18"/>
                <w:szCs w:val="18"/>
                <w:color w:val="auto"/>
              </w:rPr>
              <w:t>Restricted stock units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40,764</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41,447</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share:</w:t>
            </w: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00" w:type="dxa"/>
            <w:vAlign w:val="bottom"/>
            <w:tcBorders>
              <w:lef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9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0.56</w:t>
            </w:r>
          </w:p>
        </w:tc>
        <w:tc>
          <w:tcPr>
            <w:tcW w:w="5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0.47</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Potentially dilutive securities not included in the calculation of diluted net income per share because doing so would be anti-dilutive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980" w:type="dxa"/>
            <w:vAlign w:val="bottom"/>
          </w:tcPr>
          <w:p>
            <w:pPr>
              <w:spacing w:after="0"/>
              <w:rPr>
                <w:sz w:val="20"/>
                <w:szCs w:val="20"/>
                <w:color w:val="auto"/>
              </w:rPr>
            </w:pPr>
          </w:p>
        </w:tc>
        <w:tc>
          <w:tcPr>
            <w:tcW w:w="21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9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476</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462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536</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and the benefit of U.S. federal income tax credits and foreign-derived intangible income deduction.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an income tax provision of $4.9 million and $5.2 million for the three months ended September 30, 2020 and 2019, respectively, resulting in an effective tax rate of 17.7% and 21.2%, respectively. The tax provision for the three months ended September 30, 2020 as compared to the tax provision for the three months ended September 30, 2019 changed primarily due to higher excess tax benefits from stock-based compensation, offset by an increase in pre-tax income.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an income tax provision of $9.2 million and $10.0 million for the nine months ended September 30, 2020 and 2019, respectively, resulting in an effective tax rate of 11.9% and 17.1%, respectively. The tax provision for the nine months ended September 30, 2020 as compared to the tax provision for the nine months ended September 30, 2019 changed primarily due to higher excess tax benefits from stock-based compensation, offset by an increase in pre-tax income.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2020, the Company had unrecognized tax benefits of $8.7 million, of which $4.4 million, if recognized, would favorably impact the Company's effective tax rate. As of December 31, 2019, the Company had unrecognized tax benefits of $7.8 million, of which $4.2 million, if recognized, would favorably impact the Company's effective tax rate. The Company does not anticipate a material change in its unrecognized tax benefits in the next 12 months.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 million annually for 2020, 2021 and 2022. The Company is continuing to assess the 2020 Budget Act, but currently does not expect any material impact to the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and Information about Geographic Area</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operates in one segment. The Company determines its reportable operating segments in accordance with the provisions in the FASB guidance on segment reporting, which establishes standards for, and requires disclosure of, certain financial information related to reportable operating segments and geographic regions. The Company’s chief operating decision maker is the Chairman and Chief Executive Officer, who makes operating decisions, assesses performance and allocates resources on a consolidated basis. The Company’s principal operating and decision-making functions are located in the United States.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6"/>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59,152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0"/>
              </w:rPr>
              <w:t>53,132</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171,130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152,457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33,917</w:t>
            </w:r>
          </w:p>
        </w:tc>
        <w:tc>
          <w:tcPr>
            <w:tcW w:w="240" w:type="dxa"/>
            <w:vAlign w:val="bottom"/>
          </w:tcPr>
          <w:p>
            <w:pPr>
              <w:spacing w:after="0"/>
              <w:rPr>
                <w:sz w:val="18"/>
                <w:szCs w:val="18"/>
                <w:color w:val="auto"/>
              </w:rPr>
            </w:pPr>
          </w:p>
        </w:tc>
        <w:tc>
          <w:tcPr>
            <w:tcW w:w="920" w:type="dxa"/>
            <w:vAlign w:val="bottom"/>
            <w:gridSpan w:val="3"/>
          </w:tcPr>
          <w:p>
            <w:pPr>
              <w:ind w:left="400"/>
              <w:spacing w:after="0"/>
              <w:rPr>
                <w:sz w:val="20"/>
                <w:szCs w:val="20"/>
                <w:color w:val="auto"/>
              </w:rPr>
            </w:pPr>
            <w:r>
              <w:rPr>
                <w:rFonts w:ascii="Arial" w:cs="Arial" w:eastAsia="Arial" w:hAnsi="Arial"/>
                <w:sz w:val="18"/>
                <w:szCs w:val="18"/>
                <w:color w:val="auto"/>
                <w:w w:val="90"/>
              </w:rPr>
              <w:t>29,539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97,032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84,486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0"/>
              </w:rPr>
              <w:t>82,671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268,162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236,943</w:t>
            </w:r>
          </w:p>
        </w:tc>
        <w:tc>
          <w:tcPr>
            <w:tcW w:w="0" w:type="dxa"/>
            <w:vAlign w:val="bottom"/>
          </w:tcPr>
          <w:p>
            <w:pPr>
              <w:spacing w:after="0"/>
              <w:rPr>
                <w:sz w:val="1"/>
                <w:szCs w:val="1"/>
                <w:color w:val="auto"/>
              </w:rPr>
            </w:pPr>
          </w:p>
        </w:tc>
      </w:tr>
      <w:tr>
        <w:trPr>
          <w:trHeight w:val="413"/>
        </w:trPr>
        <w:tc>
          <w:tcPr>
            <w:tcW w:w="524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w w:val="95"/>
              </w:rPr>
              <w:t>Property and equipment, net, by geographic area, is as follows:</w:t>
            </w:r>
          </w:p>
        </w:tc>
        <w:tc>
          <w:tcPr>
            <w:tcW w:w="7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6"/>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4"/>
              </w:rPr>
              <w:t>47,014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India</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w w:val="94"/>
              </w:rPr>
              <w:t>12,907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9,221</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w w:val="94"/>
              </w:rPr>
              <w:t>67,574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60,579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6" w:name="page27"/>
    <w:bookmarkEnd w:id="26"/>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2019, filed with the Securities and Exchange Commission, or SEC, on February 21, 2020.</w:t>
      </w:r>
    </w:p>
    <w:p>
      <w:pPr>
        <w:spacing w:after="0" w:line="1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5" w:lineRule="exact"/>
        <w:rPr>
          <w:sz w:val="20"/>
          <w:szCs w:val="20"/>
          <w:color w:val="auto"/>
        </w:rPr>
      </w:pPr>
    </w:p>
    <w:p>
      <w:pPr>
        <w:ind w:left="1040" w:hanging="317"/>
        <w:spacing w:after="0" w:line="258" w:lineRule="auto"/>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ongoing COVID-19 pandemic and related public health measures on our business;</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40" w:hanging="317"/>
        <w:spacing w:after="0" w:line="250" w:lineRule="auto"/>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anticipated investments in sales and marketing, our infrastructure, new solutions, and research and development, and acquisitions;</w:t>
      </w:r>
    </w:p>
    <w:p>
      <w:pPr>
        <w:spacing w:after="0" w:line="20" w:lineRule="exact"/>
        <w:rPr>
          <w:rFonts w:ascii="Arial" w:cs="Arial" w:eastAsia="Arial" w:hAnsi="Arial"/>
          <w:sz w:val="17"/>
          <w:szCs w:val="17"/>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40" w:hanging="317"/>
        <w:spacing w:after="0"/>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40" w:right="20" w:hanging="317"/>
        <w:spacing w:after="0" w:line="250" w:lineRule="auto"/>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assumptions and conclusions related to our provision for income taxes, our deferred tax assets and our effective tax rate; and</w:t>
      </w:r>
    </w:p>
    <w:p>
      <w:pPr>
        <w:ind w:left="1040" w:right="20" w:hanging="317"/>
        <w:spacing w:after="0" w:line="260" w:lineRule="auto"/>
        <w:tabs>
          <w:tab w:leader="none" w:pos="10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pioneer and leading provider of a cloud-based platform delivering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IT asset inventory as well as security and compliance posture across globally distributed IT infrastructures as our solution offers a single platform for information technology, information security, application security, endpoint, developer security and cloud teams.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ind w:left="1300" w:right="340" w:hanging="320"/>
        <w:spacing w:after="0" w:line="342" w:lineRule="auto"/>
        <w:tabs>
          <w:tab w:leader="none" w:pos="130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IT Security: </w:t>
      </w:r>
      <w:r>
        <w:rPr>
          <w:rFonts w:ascii="Arial" w:cs="Arial" w:eastAsia="Arial" w:hAnsi="Arial"/>
          <w:sz w:val="16"/>
          <w:szCs w:val="16"/>
          <w:color w:val="auto"/>
        </w:rPr>
        <w:t>Vulnerability Management (VM), Vulnerability Management, Detection and Response (VMDR), Threat Protection (TP),</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Monitoring (CM), Patch Management (PM), Multi-Vector Endpoint Detection and Response (EDR), Indication of</w:t>
      </w:r>
    </w:p>
    <w:p>
      <w:pPr>
        <w:sectPr>
          <w:pgSz w:w="11900" w:h="16915" w:orient="portrait"/>
          <w:cols w:equalWidth="0" w:num="1">
            <w:col w:w="11240"/>
          </w:cols>
          <w:pgMar w:left="320" w:top="125" w:right="339" w:bottom="0" w:gutter="0" w:footer="0" w:header="0"/>
        </w:sectPr>
      </w:pPr>
    </w:p>
    <w:bookmarkStart w:id="27" w:name="page28"/>
    <w:bookmarkEnd w:id="27"/>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Compromise (IOC), Certificate Assessment (CRA);</w:t>
      </w:r>
    </w:p>
    <w:p>
      <w:pPr>
        <w:spacing w:after="0" w:line="23" w:lineRule="exact"/>
        <w:rPr>
          <w:sz w:val="20"/>
          <w:szCs w:val="20"/>
          <w:color w:val="auto"/>
        </w:rPr>
      </w:pPr>
    </w:p>
    <w:p>
      <w:pPr>
        <w:ind w:left="1300" w:right="420" w:hanging="320"/>
        <w:spacing w:after="0" w:line="250" w:lineRule="auto"/>
        <w:tabs>
          <w:tab w:leader="none" w:pos="13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w:t>
      </w:r>
      <w:r>
        <w:rPr>
          <w:rFonts w:ascii="Arial" w:cs="Arial" w:eastAsia="Arial" w:hAnsi="Arial"/>
          <w:sz w:val="18"/>
          <w:szCs w:val="18"/>
          <w:i w:val="1"/>
          <w:iCs w:val="1"/>
          <w:color w:val="auto"/>
        </w:rPr>
        <w:t xml:space="preserve"> </w:t>
      </w:r>
      <w:r>
        <w:rPr>
          <w:rFonts w:ascii="Arial" w:cs="Arial" w:eastAsia="Arial" w:hAnsi="Arial"/>
          <w:sz w:val="18"/>
          <w:szCs w:val="18"/>
          <w:color w:val="auto"/>
        </w:rPr>
        <w:t>(FIM), Security Assessment Questionnaire (SAQ), Out-of-Band Configuration Assessment (OCA);</w:t>
      </w:r>
    </w:p>
    <w:p>
      <w:pPr>
        <w:ind w:left="1300" w:hanging="320"/>
        <w:spacing w:after="0"/>
        <w:tabs>
          <w:tab w:leader="none" w:pos="13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i w:val="1"/>
          <w:iCs w:val="1"/>
          <w:color w:val="auto"/>
        </w:rPr>
      </w:pPr>
    </w:p>
    <w:p>
      <w:pPr>
        <w:ind w:left="1300" w:hanging="320"/>
        <w:spacing w:after="0"/>
        <w:tabs>
          <w:tab w:leader="none" w:pos="13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IT Asset Inventory (AI), CMDB Sync (SYN), Certificate Inventory (CRI); and</w:t>
      </w:r>
    </w:p>
    <w:p>
      <w:pPr>
        <w:spacing w:after="0" w:line="9" w:lineRule="exact"/>
        <w:rPr>
          <w:rFonts w:ascii="Arial" w:cs="Arial" w:eastAsia="Arial" w:hAnsi="Arial"/>
          <w:sz w:val="18"/>
          <w:szCs w:val="18"/>
          <w:i w:val="1"/>
          <w:iCs w:val="1"/>
          <w:color w:val="auto"/>
        </w:rPr>
      </w:pPr>
    </w:p>
    <w:p>
      <w:pPr>
        <w:ind w:left="1300" w:hanging="320"/>
        <w:spacing w:after="0"/>
        <w:tabs>
          <w:tab w:leader="none" w:pos="13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Our VM solutions (including VM, VMDR, CM, TP, Cloud Agent for VM, CS, allocated scanner revenue and Qualys Private Cloud Platform) have provided a substantial majority of our revenues to date, representing 72% and 73% of our revenues for the nine months ended September 30, 2020 and 2019, respectively.</w:t>
      </w:r>
    </w:p>
    <w:p>
      <w:pPr>
        <w:spacing w:after="0" w:line="1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In each of the nine months ended September 30, 2020 and 2019, approximately 64%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March 2020, the World Health Organization declared the outbreak of COVID-19 as a pandemic. As a result of COVID-19, we have modified certain aspects of our business, including restricting employee travel, requiring employees to work from home, and canceling certain events and meetings, among other modifications.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While we have not incurred significant disruptions from the COVID-19 outbreak, we are unable to accurately predict the full impact that COVID-19 will have due to numerous uncertainties, including the duration of the outbreak, actions that may be taken by governmental authorities and the impact to the business of our customers and partners. We will continue to evaluate the nature and extent of the impact to our business, financial position, results of operations and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Cost of revenues consists primarily of personnel expenses, comprised of salaries, benefits, amortization of capitalized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18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capitalize certain research and development costs related to new products' internal-use software development efforts. Capitalized costs include salaries, benefits, and stock-based compensation charges for employees that are directly involved in developing new products for our cloud security</w:t>
      </w:r>
    </w:p>
    <w:p>
      <w:pPr>
        <w:sectPr>
          <w:pgSz w:w="11900" w:h="16861" w:orient="portrait"/>
          <w:cols w:equalWidth="0" w:num="1">
            <w:col w:w="11240"/>
          </w:cols>
          <w:pgMar w:left="320" w:top="125" w:right="339" w:bottom="0" w:gutter="0" w:footer="0" w:header="0"/>
        </w:sectPr>
      </w:pPr>
    </w:p>
    <w:bookmarkStart w:id="28" w:name="page29"/>
    <w:bookmarkEnd w:id="28"/>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platform during the application development stage. Capitalized costs related to internally developed software under development are treated as construction in progress until the program, feature or functionality is ready for its intended use, at which time amortization commences.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Our other income (expense), net consists primarily of interest and investment income from our short-term and long-term marketable securities; foreign exchange gains and losses, the majority of which result from fluctuations between the U.S. Dollar and the Euro, British Pound and Indian Rupee; and gains and losses from disposal of property and equipment.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countries at rates which were generally similar to the U.S. statutory tax rate.</w:t>
      </w:r>
    </w:p>
    <w:p>
      <w:pPr>
        <w:spacing w:after="0" w:line="18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effective tax rate differs from the U.S. statutory rate of 21% primarily due to non-deductible stock-based compensation expense, state taxes, and the benefit of U.S. federal income tax credits and foreign-derived intangible income deduction.</w:t>
      </w:r>
    </w:p>
    <w:p>
      <w:pPr>
        <w:spacing w:after="0" w:line="1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selected condensed consolidated statements of operations data for each of the periods presented as a percentage of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1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60" w:type="dxa"/>
            <w:vAlign w:val="bottom"/>
          </w:tcPr>
          <w:p>
            <w:pPr>
              <w:spacing w:after="0"/>
              <w:rPr>
                <w:sz w:val="20"/>
                <w:szCs w:val="20"/>
                <w:color w:val="auto"/>
              </w:rPr>
            </w:pPr>
          </w:p>
        </w:tc>
        <w:tc>
          <w:tcPr>
            <w:tcW w:w="21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Cost of revenues</w:t>
            </w:r>
          </w:p>
        </w:tc>
        <w:tc>
          <w:tcPr>
            <w:tcW w:w="7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
        </w:trPr>
        <w:tc>
          <w:tcPr>
            <w:tcW w:w="5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66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0"/>
        </w:trPr>
        <w:tc>
          <w:tcPr>
            <w:tcW w:w="58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4"/>
        </w:trPr>
        <w:tc>
          <w:tcPr>
            <w:tcW w:w="58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2875"/>
                    </a:xfrm>
                    <a:prstGeom prst="rect">
                      <a:avLst/>
                    </a:prstGeom>
                    <a:noFill/>
                  </pic:spPr>
                </pic:pic>
              </a:graphicData>
            </a:graphic>
          </wp:anchor>
        </w:drawing>
      </w:r>
    </w:p>
    <w:p>
      <w:pPr>
        <w:sectPr>
          <w:pgSz w:w="11900" w:h="16896" w:orient="portrait"/>
          <w:cols w:equalWidth="0" w:num="1">
            <w:col w:w="11240"/>
          </w:cols>
          <w:pgMar w:left="320" w:top="125" w:right="339" w:bottom="0" w:gutter="0" w:footer="0" w:header="0"/>
        </w:sectPr>
      </w:pPr>
    </w:p>
    <w:p>
      <w:pPr>
        <w:spacing w:after="0"/>
        <w:tabs>
          <w:tab w:leader="none" w:pos="6740" w:val="left"/>
          <w:tab w:leader="none" w:pos="8120" w:val="left"/>
          <w:tab w:leader="none" w:pos="9500" w:val="left"/>
          <w:tab w:leader="none" w:pos="10880" w:val="left"/>
        </w:tabs>
        <w:rPr>
          <w:sz w:val="20"/>
          <w:szCs w:val="20"/>
          <w:color w:val="auto"/>
        </w:rPr>
      </w:pPr>
      <w:r>
        <w:rPr>
          <w:rFonts w:ascii="Arial" w:cs="Arial" w:eastAsia="Arial" w:hAnsi="Arial"/>
          <w:sz w:val="18"/>
          <w:szCs w:val="18"/>
          <w:color w:val="auto"/>
        </w:rPr>
        <w:t>Income from operations</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22</w:t>
      </w:r>
    </w:p>
    <w:p>
      <w:pPr>
        <w:sectPr>
          <w:pgSz w:w="11900" w:h="16896" w:orient="portrait"/>
          <w:cols w:equalWidth="0" w:num="1">
            <w:col w:w="11240"/>
          </w:cols>
          <w:pgMar w:left="320" w:top="125" w:right="33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413"/>
        </w:trPr>
        <w:tc>
          <w:tcPr>
            <w:tcW w:w="5860" w:type="dxa"/>
            <w:vAlign w:val="bottom"/>
            <w:tcBorders>
              <w:top w:val="single" w:sz="8" w:color="CCEEFF"/>
            </w:tcBorders>
            <w:gridSpan w:val="11"/>
          </w:tcPr>
          <w:p>
            <w:pPr>
              <w:spacing w:after="0"/>
              <w:rPr>
                <w:sz w:val="20"/>
                <w:szCs w:val="20"/>
                <w:color w:val="auto"/>
              </w:rPr>
            </w:pPr>
            <w:r>
              <w:rPr>
                <w:rFonts w:ascii="Arial" w:cs="Arial" w:eastAsia="Arial" w:hAnsi="Arial"/>
                <w:sz w:val="18"/>
                <w:szCs w:val="18"/>
                <w:b w:val="1"/>
                <w:bCs w:val="1"/>
                <w:color w:val="auto"/>
                <w:w w:val="90"/>
              </w:rPr>
              <w:t>Comparison of Three and Nine Months Ended September 30, 2020 and 2019</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2"/>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4"/>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12"/>
          </w:tcPr>
          <w:p>
            <w:pPr>
              <w:ind w:left="580"/>
              <w:spacing w:after="0"/>
              <w:rPr>
                <w:sz w:val="20"/>
                <w:szCs w:val="20"/>
                <w:color w:val="auto"/>
              </w:rPr>
            </w:pPr>
            <w:r>
              <w:rPr>
                <w:rFonts w:ascii="Arial" w:cs="Arial" w:eastAsia="Arial" w:hAnsi="Arial"/>
                <w:sz w:val="18"/>
                <w:szCs w:val="18"/>
                <w:b w:val="1"/>
                <w:bCs w:val="1"/>
                <w:color w:val="auto"/>
                <w:w w:val="88"/>
              </w:rPr>
              <w:t>(in thousands, except percentages)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93,069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82,671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10,398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12.6%  $</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268,162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236,943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31,219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bl>
    <w:p>
      <w:pPr>
        <w:spacing w:after="0" w:line="20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Revenues increased $10.4 million for the three months ended September 30, 2020 compared to the three months ended September 30, 2019, due to an increase in the purchase of subscriptions from existing customers and new customer subscriptions entered into after September 30, 2019. Of the total increase of $10.4 million, $6.0 million was from customers in the United States and the remaining $4.4 million was from customers in foreign countries.</w:t>
      </w:r>
    </w:p>
    <w:p>
      <w:pPr>
        <w:spacing w:after="0" w:line="14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Revenues increased $31.2 million for the nine months ended September 30, 2020 compared to the nine months ended September 30, 2019, due to an increase in the purchase of subscriptions from existing customers and new customer subscriptions entered into after September 30, 2019. Of the total increase of $31.2 million, $18.7 million was from customers in the United States and the remaining $12.5 million was from customers in foreign countries. We expect revenue growth from existing and new customers to continue. The growth in revenues reflects the continued demand for our solutions.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Cost of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3,511</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432"/>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Cost of revenues increased $3.5 million for the three months ended September 30, 2020 compared to the three months ended September 30, 2019. The increase was primarily due to an increase in personnel costs of $1.3 million driven by the headcount increase to support the growth of our business, an increase in data center costs of $0.6 million to meet growing demand, an increase in depreciation and amortization expenses of $0.4 million as more computer equipment was placed in service in the three months ended September 30, 2020, a $0.4 million increase in allocation of overhead costs to the cost of revenue related to increased leasing expenses for our new office in India and data centers, an increase in shipping costs of $0.3 million and an increase in licenses and software services of $0.3 million.</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Cost of revenues increased $5.7 million for the nine months ended September 30, 2020 compared to the nine months ended September 30, 2019. The increase was primarily due to an increase in personnel costs of $1.4 million driven by the headcount increase to support the growth of our business, an increase in data center costs of $1.3 million to meet growing demand, an increase in licenses and software services of $1.2 million, an increase in equipment repairs and maintenance costs of $0.9 million and a $0.8 million increase in allocation of overhead costs to the cost of revenue related to increased leasing expenses for our new office in India and data centers.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Research and development expenses increased $1.0 million for the three months ended September 30, 2020 compared to the three months ended September 30, 2019, primarily due to a $0.6 million increase in allocation of overhead costs to the research and development department mainly caused by an increase in leasing expenses for our new office in India, increases in stock-based compensation expense of $0.4 million and in personnel costs of $0.2 million driven by additional employees hired to support the growth of our business and an increase in depreciation and amortization expense of $0.2 million as more computer equipment was placed in service in the three months ended September 30, 2020. These increases were partially offset by a decrease in acquisition-related expense of $0.5 million.</w:t>
      </w:r>
    </w:p>
    <w:p>
      <w:pPr>
        <w:spacing w:after="0" w:line="19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Research and development expenses increased $3.5 million for the nine months ended September 30, 2020 compared to the nine months ended September 30, 2019, primarily due to a $2.1 million increase in allocation of overhead costs to the research and development department mainly caused by an increase in leasing expenses for our new office in India, an increase in stock-based compensation expense of $2.1 million driven by additional employees hired to support the growth of our business, an increase in depreciation and amortization expense of $0.6 million and an increase in licenses and software services of $0.4 million. These increases were partially offset by a decrease in acquisition-related expense of $1.7 million.</w:t>
      </w:r>
    </w:p>
    <w:p>
      <w:pPr>
        <w:spacing w:after="0" w:line="16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900" w:type="dxa"/>
            <w:vAlign w:val="bottom"/>
            <w:gridSpan w:val="2"/>
          </w:tcPr>
          <w:p>
            <w:pPr>
              <w:jc w:val="right"/>
              <w:ind w:right="530"/>
              <w:spacing w:after="0"/>
              <w:rPr>
                <w:sz w:val="20"/>
                <w:szCs w:val="20"/>
                <w:color w:val="auto"/>
              </w:rPr>
            </w:pPr>
            <w:r>
              <w:rPr>
                <w:rFonts w:ascii="Arial" w:cs="Arial" w:eastAsia="Arial" w:hAnsi="Arial"/>
                <w:sz w:val="18"/>
                <w:szCs w:val="18"/>
                <w:b w:val="1"/>
                <w:bCs w:val="1"/>
                <w:i w:val="1"/>
                <w:iCs w:val="1"/>
                <w:color w:val="auto"/>
                <w:w w:val="85"/>
              </w:rPr>
              <w:t>Sales and Marketing Expenses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4"/>
        </w:trPr>
        <w:tc>
          <w:tcPr>
            <w:tcW w:w="2020" w:type="dxa"/>
            <w:vAlign w:val="bottom"/>
          </w:tcPr>
          <w:p>
            <w:pPr>
              <w:spacing w:after="0"/>
              <w:rPr>
                <w:sz w:val="24"/>
                <w:szCs w:val="24"/>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2020" w:type="dxa"/>
            <w:vAlign w:val="bottom"/>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Change</w:t>
            </w:r>
          </w:p>
        </w:tc>
      </w:tr>
      <w:tr>
        <w:trPr>
          <w:trHeight w:val="209"/>
        </w:trPr>
        <w:tc>
          <w:tcPr>
            <w:tcW w:w="20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bl>
    <w:p>
      <w:pPr>
        <w:sectPr>
          <w:pgSz w:w="11900" w:h="16838" w:orient="portrait"/>
          <w:cols w:equalWidth="0" w:num="1">
            <w:col w:w="11240"/>
          </w:cols>
          <w:pgMar w:left="320" w:top="125" w:right="3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(in thousands, except percentages)</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16,060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(949)</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 $</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50,073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51,489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Sales and marketing expenses decreased $0.9 million for the three months ended September 30, 2020 compared to the three months ended September 30, 2019, primarily due to decreases in trade show related costs of $1.3 million and travel related expenses of $0.9 million driven by the COVID-19 pandemic, partially offset by an increase in personnel costs of $1.3 million due to additional employees hired to support the growth of our business.</w:t>
      </w:r>
    </w:p>
    <w:p>
      <w:pPr>
        <w:spacing w:after="0" w:line="1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Sales and marketing expenses decreased $1.4 million for the nine months ended September 30, 2020 compared to the nine months ended September 30, 2019, primarily due to decreases in trade show related costs of $2.4 million and travel related expenses of $1.7 million driven by the COVID-19 pandemic and a $0.4 million decrease in marketing related expenses, partially offset by an increase in personnel costs of $1.4 million due to additional employees hired to support the growth of our business, a $1.0 million increase in commission expenses and a $0.7 million increase in stock-based compensation driven by an increase in headcount.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3,117</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33,937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r>
    </w:tbl>
    <w:p>
      <w:pPr>
        <w:spacing w:after="0" w:line="20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General and administrative expenses increased $3.1 million for the three months ended September 30, 2020 compared to the three months ended September 30, 2019, primarily due to an increase in performance-based stock compensation of $1.8 million as a result of the modification of certain awards in June 2020 and a higher forecasted performance level, an increase in legal fees of $1.1 million and a $0.5 million increase in personnel costs due to additional employees hired to support the growth of our business, partially offset by a decrease in miscellaneous expense of $0.3 million.</w:t>
      </w:r>
    </w:p>
    <w:p>
      <w:pPr>
        <w:spacing w:after="0" w:line="15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General and administrative expenses increased by $4.0 million for the nine months ended September 30, 2020 compared to the nine months ended September 30, 2019, primarily due to an increase in performance-based stock compensation of $1.8 million as a result of the modification of certain awards in June 2020 and a higher forecasted performance level, an increase in legal fees of $1.7 million and a $1.0 million increase in personnel costs due to additional employees hired to support the growth of our business, partially offset by a decrease in miscellaneous expense of $0.5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3"/>
              </w:rPr>
              <w:t>Total Other Income, Net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1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7"/>
              </w:rPr>
              <w:t>Change</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(in</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thousands,</w:t>
            </w:r>
          </w:p>
        </w:tc>
        <w:tc>
          <w:tcPr>
            <w:tcW w:w="1620" w:type="dxa"/>
            <w:vAlign w:val="bottom"/>
            <w:gridSpan w:val="5"/>
          </w:tcPr>
          <w:p>
            <w:pPr>
              <w:jc w:val="right"/>
              <w:ind w:right="67"/>
              <w:spacing w:after="0"/>
              <w:rPr>
                <w:sz w:val="20"/>
                <w:szCs w:val="20"/>
                <w:color w:val="auto"/>
              </w:rPr>
            </w:pPr>
            <w:r>
              <w:rPr>
                <w:rFonts w:ascii="Arial" w:cs="Arial" w:eastAsia="Arial" w:hAnsi="Arial"/>
                <w:sz w:val="18"/>
                <w:szCs w:val="18"/>
                <w:b w:val="1"/>
                <w:bCs w:val="1"/>
                <w:color w:val="auto"/>
                <w:w w:val="83"/>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(25.5)%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other income, net decreased by $0.5 million and $1.3 million for the three and nine months ended September 30, 2020, respectively, compared to the same periods ended September 30, 2019, primarily due to a decrease in interest income driven by lower yield.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w w:val="88"/>
              </w:rPr>
              <w:t>Provision for Income Taxes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3"/>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5"/>
              </w:rPr>
              <w:t>Nine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1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Change</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120" w:type="dxa"/>
            <w:vAlign w:val="bottom"/>
            <w:gridSpan w:val="3"/>
          </w:tcPr>
          <w:p>
            <w:pPr>
              <w:ind w:left="440"/>
              <w:spacing w:after="0"/>
              <w:rPr>
                <w:sz w:val="20"/>
                <w:szCs w:val="20"/>
                <w:color w:val="auto"/>
              </w:rPr>
            </w:pPr>
            <w:r>
              <w:rPr>
                <w:rFonts w:ascii="Arial" w:cs="Arial" w:eastAsia="Arial" w:hAnsi="Arial"/>
                <w:sz w:val="18"/>
                <w:szCs w:val="18"/>
                <w:b w:val="1"/>
                <w:bCs w:val="1"/>
                <w:color w:val="auto"/>
                <w:w w:val="99"/>
              </w:rPr>
              <w:t>Change</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2"/>
              </w:rPr>
              <w:t>(in</w:t>
            </w: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6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4"/>
              </w:rPr>
              <w:t>except percentages)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Provision for income taxes   $</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recorded an income tax provision of $4.9 million and $5.2 million for the three months ended September 30, 2020 and 2019, respectively, and $9.2 million and $10.0 million for the nine months ended September 30, 2020 and 2019, respectively. The decreases in income tax provision for the three and nine months ended September 30, 2020 compared to the same periods ended September 30, 2019 were primarily due to higher excess tax benefits from stock-based compensation, offset by an increase in pre-tax income.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ectPr>
          <w:pgSz w:w="11900" w:h="16838" w:orient="portrait"/>
          <w:cols w:equalWidth="0" w:num="1">
            <w:col w:w="11240"/>
          </w:cols>
          <w:pgMar w:left="320" w:top="121" w:right="339" w:bottom="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of property and equipment, (4) amortization of intangible assets, (5) stock-based compensation and (6) non-recurring expenses that do not reflect ongoing costs of operating the business.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6"/>
          </w:tcPr>
          <w:p>
            <w:pPr>
              <w:jc w:val="right"/>
              <w:ind w:right="8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7"/>
              </w:rPr>
              <w:t>(in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78"/>
              </w:rPr>
              <w:t>except percentages)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45,134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38,609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126,147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101,357</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bl>
    <w:p>
      <w:pPr>
        <w:spacing w:after="0" w:line="20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and nine months ended September 30,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22,743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48,672</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6,738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18,926</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4,891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10,009</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25,163</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(1,331)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(1,786)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(5,973)</w:t>
            </w:r>
          </w:p>
        </w:tc>
      </w:tr>
      <w:tr>
        <w:trPr>
          <w:trHeight w:val="20"/>
        </w:trPr>
        <w:tc>
          <w:tcPr>
            <w:tcW w:w="4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101,357</w:t>
            </w:r>
          </w:p>
        </w:tc>
      </w:tr>
      <w:tr>
        <w:trPr>
          <w:trHeight w:val="413"/>
        </w:trPr>
        <w:tc>
          <w:tcPr>
            <w:tcW w:w="49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September 30, 2020, our principal source of liquidity was cash, cash equivalents, and marketable securities of $452.0 million, including $32.1 million held outside of the United States. We do not anticipate that we will need funds generated from foreign operations to fund our domestic operations. However, if we repatriate these funds, we could be subject to foreign withholding taxes.</w:t>
      </w:r>
    </w:p>
    <w:p>
      <w:pPr>
        <w:spacing w:after="0" w:line="18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generated positive cash flows from operations during each of the nine months ended September 30, 2020 and 2019.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 While the COVID-19 pandemic has not had a material adverse financial impact on our operations to date, the future impact of the pandemic cannot be predicted with certainty and may increase our costs of capital and otherwise adversely affect our business, result of operations, financial condition and liquidity.</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report:</w:t>
      </w:r>
    </w:p>
    <w:p>
      <w:pPr>
        <w:spacing w:after="0" w:line="166"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5715</wp:posOffset>
            </wp:positionV>
            <wp:extent cx="19888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ind w:left="8560"/>
        <w:spacing w:after="0"/>
        <w:tabs>
          <w:tab w:leader="none" w:pos="102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888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571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715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141,297</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126,949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(51,480)</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(17,360)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September 30, 2020, cash flows from operating activities of $141.3 million primarily resulted from our net income of approximately $67.8 million, as adjusted for non-cash items including stock-based compensation of $29.9 million and depreciation and amortization expense of $24.0 million; and cash flows from working capital of $14.0 million mainly due to a stronger cash collection and the continued growth in our deferred revenues during the nine months ended September 30, 2020.</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September 30, 2019, cash flows from operating activities of $126.9 million primarily resulted from our net income of approximately $48.7 million, as adjusted for non-cash items including stock-based compensation of $25.2 million and depreciation and amortization expense of $23.5 million; and cash flows from working capital of $23.4 million mainly attributable to the continued growth in our deferred revenues and timing of customer payments.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September 30, 2020, cash used in investing activities of $51.5 million was mainly attributable to $27.2 million of cash used for purchases of marketable securities, net of sales and maturities, and $22.7 million of cash used for capital expenditures, including computer equipment to support our growth and development. Additionally, we paid $1.5 million in connection with our acquisition of the assets of Spell Security and payment of deferred consideration to Adya.</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nine months ended September 30, 2019, cash used in investing activities of $17.4 million was mainly attributable to $19.5 million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$1.8 million in connection with our acquisition of the assets of Adya and a holdback payment for an acquisition in a prior year, as well as $0.6 million to acquire a convertible security issued by privately-held company. These decreases in investing activities were partially offset by a $4.6 million increase in cash from sales and maturities of marketable securities, net of purchases.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the nine months ended September 30, 2020, cash used in financing activities of $84.3 million was attributable to share repurchases of $91.9 million and the payment of employee payroll taxes related to the net share settlement of equity awards of $16.3 million, which were partially offset by the proceeds received from the exercise of stock options of $24.0 million.</w:t>
      </w:r>
    </w:p>
    <w:p>
      <w:pPr>
        <w:spacing w:after="0" w:line="184"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For the nine months ended September 30, 2019, cash used in financing activities of $75.0 million was attributable to share repurchases of $73.9 million, the payment of employee payroll taxes related to the net share settlement of equity awards of $10.9 million, and principal payments under finance lease obligations of $1.3 million. These decreases were partially offset by the proceeds received from the exercise of stock options of $11.0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 and Commitments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presented our contractual obligations in our Annual Report on Form 10-K for the fiscal year ended December 31, 2019. Our contractual obligations consist of operating leases, purchase commitments and other contractual obligations. During the nine months ended September 30, 2020, we recorded lease liabilities of approximately$15.7 million related to leasing of new data center space. There have been no material changes to these obligations outside the ordinary course of business during the nine months ended September 30, 2020 as compared to the contractual obligations disclosed in the “Management’s Discussion and Analysis of Financial Condition and Results of Operations” section of our Annual Report on Form 10-K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such as entities often referred to as structured finance or special purpose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 to the unaudited condensed consolidated financial statements in Part I, Item 1 of this Quarterly Report on Form 10-Q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in our Annual Report on Form 10-K for the fiscal year ended December 31, 2019, filed with the SEC on February 21, 2020, the accounting policies related to revenue recognition, leases, derivative instruments,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ectPr>
          <w:pgSz w:w="11900" w:h="16838" w:orient="portrait"/>
          <w:cols w:equalWidth="0" w:num="1">
            <w:col w:w="11240"/>
          </w:cols>
          <w:pgMar w:left="320" w:top="140" w:right="339" w:bottom="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results of operations and cash flows have been and will continue to be subject to fluctuations because of changes in foreign currency exchange rates, particularly changes in exchange rates between the U.S. dollar and the Euro, GBP, and INR, the currencies of countries where we currently have our most significant international operations. A portion of our invoicing is denominated in the Euro, GBP, Canadian Dollar and Japanese Yen. Our expenses in international locations are generally denominated in the currencies of the countries in which our operations are located.</w:t>
      </w:r>
    </w:p>
    <w:p>
      <w:pPr>
        <w:spacing w:after="0" w:line="1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cash flow effects of our derivative contracts for the nine months ended September 30, 2020 and 2019 were included within net cash provided by operating activities on our condensed consolidated statements of cash flows. As of September 30, 2020, we had 39 open designated cash flow hedge contracts with notional amounts of €22.5 million, £8.8 million and Rs</w:t>
      </w:r>
      <w:r>
        <w:rPr>
          <w:rFonts w:ascii="Arial" w:cs="Arial" w:eastAsia="Arial" w:hAnsi="Arial"/>
          <w:sz w:val="18"/>
          <w:szCs w:val="18"/>
          <w:color w:val="3498DB"/>
        </w:rPr>
        <w:t>.</w:t>
      </w:r>
      <w:r>
        <w:rPr>
          <w:rFonts w:ascii="Arial" w:cs="Arial" w:eastAsia="Arial" w:hAnsi="Arial"/>
          <w:sz w:val="18"/>
          <w:szCs w:val="18"/>
          <w:color w:val="auto"/>
        </w:rPr>
        <w:t>1,745.0million. During the nine months ended September 30, 2020 and 2019, we recorded unrealized foreign currency losses of $0.7 million and unrealized foreign currency gains of $1.7 million (before taxes), respectively, in AOCI related to these contracts. As of December 31, 2019, we had 26 open designated cash flow hedge contracts with notional amounts of €24.2 million and £9.7 million.</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an immediate 10% adverse change in foreign exchange rates would not be material to our financial condition, operating results or cash flows.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had $452.0 million in cash, cash equivalents and short-term and long-term marketable securities at September 30, 2020. Cash and cash equivalents include cash held in banks, highly liquid money market funds and commercial paper. Marketable securities consist of fixed-income U.S. and foreign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240"/>
          </w:cols>
          <w:pgMar w:left="320" w:top="341" w:right="339" w:bottom="0" w:gutter="0" w:footer="0" w:header="0"/>
        </w:sectPr>
      </w:pPr>
    </w:p>
    <w:bookmarkStart w:id="34" w:name="page35"/>
    <w:bookmarkEnd w:id="34"/>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December 2019, an outbreak of COVID-19 originated in Wuhan, China and has since spread to countries around the world. On March 11, 2020, the World Health Organization characterized COVID-19 as a pandemic. The spread of COVID-19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It is likely that the current outbreak and continued spread of COVID-19 will cause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6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ultimate extent of the impact of COVID-19 on our business, financial position, results of operations and cash flows will depend on future developments, which are highly uncertain and cannot be predicted at this time. These impacts, individually or in the aggregate, could have a material and adverse effect on our business, financial position, results of operations and cash flows. Such effect may be exacerbated in the event the pandemic and the measures taken in response to it persist for an extended period of time. Under any of these circumstances, the resumption of normal business operations may be delayed or hampered by lingering effects of COVID-19 on our operations, partners, and customers.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Subscriptions to our Vulnerability Management solutions generate most of our revenues, and if we are unable to continue to renew and grow subscriptions for these solutions, our operating results would suffer.</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derived approximately 72% and 73% of our revenues from subscriptions to our VM solutions for the nine months ended September 30, 2020 and 2019, respectively.</w:t>
      </w:r>
    </w:p>
    <w:p>
      <w:pPr>
        <w:spacing w:after="0" w:line="17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7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ectPr>
          <w:pgSz w:w="11900" w:h="16841" w:orient="portrait"/>
          <w:cols w:equalWidth="0" w:num="1">
            <w:col w:w="11240"/>
          </w:cols>
          <w:pgMar w:left="320" w:top="121" w:right="339" w:bottom="0" w:gutter="0" w:footer="0" w:header="0"/>
        </w:sectPr>
      </w:pPr>
    </w:p>
    <w:bookmarkStart w:id="35" w:name="page36"/>
    <w:bookmarkEnd w:id="35"/>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and timing of income tax benefits that we recognize resulting from excess tax benefits related to stock-based compensation;</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example, a Data Protection Act that substantially implements the European Union’s General Data Protection Regulation ("GDPR")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6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39" w:right="339" w:bottom="0" w:gutter="0" w:footer="0" w:header="0"/>
        </w:sectPr>
      </w:pPr>
    </w:p>
    <w:bookmarkStart w:id="36" w:name="page37"/>
    <w:bookmarkEnd w:id="36"/>
    <w:p>
      <w:pPr>
        <w:spacing w:after="0" w:line="2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sell subscriptions to additional solutions, our future revenue growth may be harmed and our business may suffer.</w:t>
      </w:r>
    </w:p>
    <w:p>
      <w:pPr>
        <w:spacing w:after="0" w:line="23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will need to increase the revenues that we derive from our current and future solutions for our business and revenues to grow as we expect. Revenues from our other solutions such as Policy Compliance, PCI Compliance, Web Application Scanning, Web Application Firewall, CMDB Sync, Security Assessment Questionnaire, File Integrity Monitoring, Indication of Compromise, Global IT Asset Inventory, Security Configuration Assessment, Cloud Security Assessment, Certificate Inventory, Container Security, Patch Management and Multi-Vector Endpoint Detection and Response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are taking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w:t>
      </w:r>
    </w:p>
    <w:p>
      <w:pPr>
        <w:spacing w:after="0" w:line="168"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w:t>
      </w:r>
    </w:p>
    <w:p>
      <w:pPr>
        <w:sectPr>
          <w:pgSz w:w="11900" w:h="16861" w:orient="portrait"/>
          <w:cols w:equalWidth="0" w:num="1">
            <w:col w:w="11240"/>
          </w:cols>
          <w:pgMar w:left="320" w:top="341" w:right="339" w:bottom="0" w:gutter="0" w:footer="0" w:header="0"/>
        </w:sectPr>
      </w:pPr>
    </w:p>
    <w:bookmarkStart w:id="37" w:name="page38"/>
    <w:bookmarkEnd w:id="37"/>
    <w:p>
      <w:pPr>
        <w:jc w:val="both"/>
        <w:spacing w:after="0" w:line="269" w:lineRule="auto"/>
        <w:rPr>
          <w:sz w:val="20"/>
          <w:szCs w:val="20"/>
          <w:color w:val="auto"/>
        </w:rPr>
      </w:pPr>
      <w:r>
        <w:rPr>
          <w:rFonts w:ascii="Arial" w:cs="Arial" w:eastAsia="Arial" w:hAnsi="Arial"/>
          <w:sz w:val="17"/>
          <w:szCs w:val="17"/>
          <w:color w:val="auto"/>
        </w:rPr>
        <w:t>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8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retaining our current customers, and any reduction in our customer renewals or revenues from such customers could harm our future operating results.</w:t>
      </w:r>
    </w:p>
    <w:p>
      <w:pPr>
        <w:spacing w:after="0" w:line="1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continue to attract new customers and grow our customer base, our growth could be slower than we expect and our business may be harmed.</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9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38" w:name="page39"/>
    <w:bookmarkEnd w:id="38"/>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IT, security and compliance solutions are delivered from seven data centers, and any disruption of service at these facilities would interrupt or delay our ability to deliver our solutions to our customers which could reduce our revenues and harm our operating results.</w:t>
      </w:r>
    </w:p>
    <w:p>
      <w:pPr>
        <w:spacing w:after="0" w:line="14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currently host substantially all of our solutions from third-party data centers located in the United States, Canada,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Some of our data centers are not currently redundant and we may not be able to rapidly move our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 frame and we may incur unplanned expenses.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increase market awareness of our company and our new solutions, our revenues may not continue to grow, or may decline.</w:t>
      </w:r>
    </w:p>
    <w:p>
      <w:pPr>
        <w:spacing w:after="0" w:line="248"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compete with large and small public companies, such as Belden (Tripwire), Broadcom (Symantec Enterprise Security), CrowdStrike, F5 Networks, FireEye, Forescout Technologies, International Business Machines, Micro Focus International, Rapid7, Palo Alto Networks, Tenable Holdings and VMware, as well as privately held security providers including Barracuda Networks, BeyondTrust Software, Flexera, Imperva, McAfee, SentinelOne,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w:t>
      </w:r>
    </w:p>
    <w:p>
      <w:pPr>
        <w:sectPr>
          <w:pgSz w:w="11900" w:h="16969" w:orient="portrait"/>
          <w:cols w:equalWidth="0" w:num="1">
            <w:col w:w="11240"/>
          </w:cols>
          <w:pgMar w:left="320" w:top="125" w:right="339" w:bottom="0" w:gutter="0" w:footer="0" w:header="0"/>
        </w:sectPr>
      </w:pPr>
    </w:p>
    <w:bookmarkStart w:id="39" w:name="page40"/>
    <w:bookmarkEnd w:id="39"/>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6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GBP, Canadian Dollars, Japanese Yen and INR,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w:t>
      </w:r>
    </w:p>
    <w:p>
      <w:pPr>
        <w:sectPr>
          <w:pgSz w:w="11900" w:h="16861" w:orient="portrait"/>
          <w:cols w:equalWidth="0" w:num="1">
            <w:col w:w="11240"/>
          </w:cols>
          <w:pgMar w:left="320" w:top="125" w:right="339" w:bottom="0" w:gutter="0" w:footer="0" w:header="0"/>
        </w:sectPr>
      </w:pPr>
    </w:p>
    <w:bookmarkStart w:id="40" w:name="page41"/>
    <w:bookmarkEnd w:id="40"/>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infrastructures may be compromised by attacks that infiltrate their networks through such devices.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GDPR. This regulation, which took effect in May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among other things, requires covered companies to provide new disclosures to California consumers and afford such consumers new rights to opt-out of certain sales of personal information. The CCPA creates a private right of action for statutory damages for certain breaches of information. Aspects of the CCPA and its interpretation remain unclear. Additionally, a new privacy law, the California Privacy Rights Act (CPRA), recently was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addition, other states have enacted or proposed legislation that regulates the collection, use, and sale of personal information, and such regimes might not be compatible with either the GDPR or the CCPA, or may require us to undertake additional practices. We cannot yet predict the impact of the CCPA or impending legislation on our business or operations, but it may require us to modify our data processing practices and policies and incur substantial costs and expenses in an effort to comply.</w:t>
      </w:r>
    </w:p>
    <w:p>
      <w:pPr>
        <w:spacing w:after="0" w:line="18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w:t>
      </w:r>
    </w:p>
    <w:p>
      <w:pPr>
        <w:sectPr>
          <w:pgSz w:w="11900" w:h="16863" w:orient="portrait"/>
          <w:cols w:equalWidth="0" w:num="1">
            <w:col w:w="11240"/>
          </w:cols>
          <w:pgMar w:left="320" w:top="125" w:right="339" w:bottom="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6"/>
          <w:szCs w:val="16"/>
          <w:color w:val="auto"/>
        </w:rPr>
        <w:t>regulations will develop in the medium to longer term and how data transfers to and from the United Kingdom will be regulated. Additionally, we have joined the EU-U.S. Privacy Shield Framework and a related program, the Swiss-U.S. Privacy Shield Framework, and make use of certain model clauses approved by the European Commission (the “SCCs”), with regard to certain transfers of personal data from the European Economic Area (“EEA”) to the U.S. Both the EU-U.S. Privacy Shield Framework and SCCs have been subject to legal challenge, however, and on July 16, 2020, the Court of Justice of the European Union (“CJEU”) issued a decision that invalidated the EU-U.S. Privacy Shield and imposed additional obligations on companies when relying on the SCCs. This CJEU decision may result in European data protection regulators applying differing standards for, and requiring ad hoc verification of, transfers of personal data from Europe to the U.S. We are analyzing the impacts of this decision,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heightened risks of unfair or corrupt business practices in certain geographies and of improper or fraudulent sales arrangements that may impact</w:t>
      </w:r>
    </w:p>
    <w:p>
      <w:pPr>
        <w:sectPr>
          <w:pgSz w:w="11900" w:h="16838" w:orient="portrait"/>
          <w:cols w:equalWidth="0" w:num="1">
            <w:col w:w="11240"/>
          </w:cols>
          <w:pgMar w:left="320" w:top="125" w:right="339" w:bottom="0" w:gutter="0" w:footer="0" w:header="0"/>
        </w:sectPr>
      </w:pPr>
    </w:p>
    <w:bookmarkStart w:id="42" w:name="page43"/>
    <w:bookmarkEnd w:id="42"/>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results and result in restatements of, and irregularities in, financial statements;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as of September 30, 2020, approximately 72% of our employees were located outside of the United States, of which 62%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experienced significant growth over the last several years. From 2017 to 2019, our revenues grew from $230.8 million to $321.6 million and our headcount increased from 684 employees at the beginning of 2017 to 1,459 employees as of September 30, 2020.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success significantly depends upon establishing and maintaining relationships with a variety of channel partners, and we anticipate that we will continue to depend on these partners in order to grow our business. For the nine months ended September 30, 2020, we derived approximately 42%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w:t>
      </w:r>
    </w:p>
    <w:p>
      <w:pPr>
        <w:sectPr>
          <w:pgSz w:w="11900" w:h="16847" w:orient="portrait"/>
          <w:cols w:equalWidth="0" w:num="1">
            <w:col w:w="11240"/>
          </w:cols>
          <w:pgMar w:left="320" w:top="125" w:right="339" w:bottom="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Delays or interruptions in the manufacturing and delivery of our physical scanner appliances by our sole source manufacturer may harm our business.</w:t>
      </w:r>
    </w:p>
    <w:p>
      <w:pPr>
        <w:spacing w:after="0" w:line="26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ectPr>
          <w:pgSz w:w="11900" w:h="16838" w:orient="portrait"/>
          <w:cols w:equalWidth="0" w:num="1">
            <w:col w:w="11240"/>
          </w:cols>
          <w:pgMar w:left="320" w:top="125" w:right="339" w:bottom="97" w:gutter="0" w:footer="0" w:header="0"/>
        </w:sectPr>
      </w:pPr>
    </w:p>
    <w:bookmarkStart w:id="44" w:name="page45"/>
    <w:bookmarkEnd w:id="44"/>
    <w:p>
      <w:pPr>
        <w:jc w:val="both"/>
        <w:ind w:firstLine="405"/>
        <w:spacing w:after="0" w:line="257" w:lineRule="auto"/>
        <w:rPr>
          <w:sz w:val="20"/>
          <w:szCs w:val="20"/>
          <w:color w:val="auto"/>
        </w:rPr>
      </w:pPr>
      <w:r>
        <w:rPr>
          <w:rFonts w:ascii="Arial" w:cs="Arial" w:eastAsia="Arial" w:hAnsi="Arial"/>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reporting currency is the U.S. dollar and we generate a majority of our revenues in U.S. dollars. However, for the nine months ended September 30, 2020, we incurred approximately 27% of our expenses in foreign currencies, primarily Euros, GBP, and INR, principally with respect to salaries and related personnel expenses associated with our European and Indian operations. Additionally, for the nine months ended September 30, 2020, approximately 20%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GBP and INR. The results of our operations may be adversely affected by foreign exchange fluctuations.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 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7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ectPr>
          <w:pgSz w:w="11900" w:h="16838" w:orient="portrait"/>
          <w:cols w:equalWidth="0" w:num="1">
            <w:col w:w="11240"/>
          </w:cols>
          <w:pgMar w:left="320" w:top="125" w:right="339" w:bottom="0" w:gutter="0" w:footer="0" w:header="0"/>
        </w:sectPr>
      </w:pPr>
    </w:p>
    <w:bookmarkStart w:id="45" w:name="page46"/>
    <w:bookmarkEnd w:id="45"/>
    <w:p>
      <w:pPr>
        <w:ind w:left="420"/>
        <w:spacing w:after="0"/>
        <w:rPr>
          <w:sz w:val="20"/>
          <w:szCs w:val="20"/>
          <w:color w:val="auto"/>
        </w:rPr>
      </w:pPr>
      <w:r>
        <w:rPr>
          <w:rFonts w:ascii="Arial" w:cs="Arial" w:eastAsia="Arial" w:hAnsi="Arial"/>
          <w:sz w:val="18"/>
          <w:szCs w:val="18"/>
          <w:color w:val="auto"/>
        </w:rPr>
        <w:t>An adverse outcome of a dispute may require us to:</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particularly Philippe F. Courtot, our Chairman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are required under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laws or regulations related to the Internet may diminish the demand for our solutions and could have a negative impact on our business.</w:t>
      </w:r>
    </w:p>
    <w:p>
      <w:pPr>
        <w:spacing w:after="0" w:line="26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w:t>
      </w:r>
    </w:p>
    <w:p>
      <w:pPr>
        <w:sectPr>
          <w:pgSz w:w="11900" w:h="16838" w:orient="portrait"/>
          <w:cols w:equalWidth="0" w:num="1">
            <w:col w:w="11240"/>
          </w:cols>
          <w:pgMar w:left="320" w:top="341" w:right="339" w:bottom="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order to remain competitive, we have in the past and may in the future seek to acquire additional businesses, products, services or technologies. For example, we acquired 1Mobility on April 1, 2018, Layered Insight on October 16, 2018, Adya on January 10, 2019, and certain intellectual property of Spell Security on July 24, 2020.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w:t>
      </w:r>
    </w:p>
    <w:p>
      <w:pPr>
        <w:sectPr>
          <w:pgSz w:w="11900" w:h="16838" w:orient="portrait"/>
          <w:cols w:equalWidth="0" w:num="1">
            <w:col w:w="11240"/>
          </w:cols>
          <w:pgMar w:left="320" w:top="125" w:right="339" w:bottom="0" w:gutter="0" w:footer="0" w:header="0"/>
        </w:sectPr>
      </w:pPr>
    </w:p>
    <w:bookmarkStart w:id="47" w:name="page48"/>
    <w:bookmarkEnd w:id="47"/>
    <w:p>
      <w:pPr>
        <w:jc w:val="both"/>
        <w:spacing w:after="0" w:line="342" w:lineRule="auto"/>
        <w:rPr>
          <w:sz w:val="20"/>
          <w:szCs w:val="20"/>
          <w:color w:val="auto"/>
        </w:rPr>
      </w:pPr>
      <w:r>
        <w:rPr>
          <w:rFonts w:ascii="Arial" w:cs="Arial" w:eastAsia="Arial" w:hAnsi="Arial"/>
          <w:sz w:val="16"/>
          <w:szCs w:val="16"/>
          <w:color w:val="auto"/>
        </w:rPr>
        <w:t>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provision for income taxes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$5.0 million and $2.1 million, respectively, as of December 31, 2019. Increases in our effective tax rate could harm our operating results.</w:t>
      </w:r>
    </w:p>
    <w:p>
      <w:pPr>
        <w:spacing w:after="0" w:line="17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2019,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ectPr>
          <w:pgSz w:w="11900" w:h="16838" w:orient="portrait"/>
          <w:cols w:equalWidth="0" w:num="1">
            <w:col w:w="11240"/>
          </w:cols>
          <w:pgMar w:left="320" w:top="125" w:right="339" w:bottom="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8" w:name="page49"/>
    <w:bookmarkEnd w:id="48"/>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holders of 10% or more of our outstanding common stock may prevent new investors from influencing significant corporate decisions.</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September 30, 2020, our executive officers, directors and holders of 10% or more of our outstanding common stock beneficially owned, in the aggregate, approximately 29%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2020, we had approximately 39.1 million shares of our common stock outstanding.</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as of September 30, 2020, there were approximately 0.9 million restricted stock units and options to purchase approximately 2.4 million shares of our common stock outstanding. If such options are exercised and restricted stock units are released, these additional shares will become available for sale. As of September 30, 2020, we had an aggregate of 7.2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stockholder value, and any stock repurchases we make could affect the price of our common stock.</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February 2018, we announced a $100.0 million stock repurchase program. In October 2018, October 2019 and May 2020, we announced that our authorization under this program had increased by $100.0 million, $100.0 million and $100.0 million, respectively.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three and nine months ended September 30, 2020, we repurchased 352,000 and 940,750 shares of our common stock, respectively, for an aggregate purchase price of approximately $37.7 million and $91.9</w:t>
      </w:r>
    </w:p>
    <w:p>
      <w:pPr>
        <w:sectPr>
          <w:pgSz w:w="11900" w:h="16874" w:orient="portrait"/>
          <w:cols w:equalWidth="0" w:num="1">
            <w:col w:w="11240"/>
          </w:cols>
          <w:pgMar w:left="320" w:top="125" w:right="339" w:bottom="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million, respectively. As of September 30, 2020, approximately $136.7 million remained available for share repurchases pursuant to our stock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70" w:lineRule="exact"/>
        <w:rPr>
          <w:sz w:val="20"/>
          <w:szCs w:val="20"/>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February 5, 2018, our board of directors authorized a $100.0 million two-year share repurchase program, which was announced on February 12, 2018. On October 30, 2018, October 30, 2019 and May 7, 2020, we announced that our board of directors had authorized an increase of $100.0 million, $100.0 million and $100.0 million, respectively, to the original share repurchase program authorization, resulting in an aggregate authorization of $400.0 million. Shares may be repurchased from time to time on the open market in accordance with Rule 10b-18 of the Exchange Act of 1934, including pursuant to a pre-set trading plan adopted in accordance with Rule 10b5-1 under the Exchange Act, until April 28, 2022.</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September 30, 2020, we repurchased 352,000 shares of common stock for approximately $37.7 million. All share repurchases were made using cash resources. As of September 30, 2020, approximately $136.7 million remained available for share repurchases pursuant to our share repurchase program.</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the three months ended September 30,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Approximate Dollar</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9"/>
              </w:rPr>
              <w:t>as</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Value of Shares that</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24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Price Paid</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Announced Plan or</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 Plan or</w:t>
            </w:r>
          </w:p>
        </w:tc>
      </w:tr>
      <w:tr>
        <w:trPr>
          <w:trHeight w:val="23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20"/>
                <w:szCs w:val="20"/>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2020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111.08</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160,909,726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August 1 - August 31, 2020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115,500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110.75</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115,500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148,117,770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2020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99.28</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136,651,177</w:t>
            </w:r>
          </w:p>
        </w:tc>
      </w:tr>
      <w:tr>
        <w:trPr>
          <w:trHeight w:val="20"/>
        </w:trPr>
        <w:tc>
          <w:tcPr>
            <w:tcW w:w="4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352,000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352,000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240"/>
          </w:cols>
          <w:pgMar w:left="320" w:top="125" w:right="33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Certification of Chief Executive Officer pursuant to Rule 13a-14(a) or Rule 15d-14(a) of the Securities Exchange Act of 1934, as</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adopted pursuant to Section 302 of The Sarbanes-Oxley Act of 2002.</w:t>
              </w:r>
            </w:hyperlink>
          </w:p>
        </w:tc>
        <w:tc>
          <w:tcPr>
            <w:tcW w:w="80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Chief Financial Officer pursuant to Rule 13a-14(a) or Rule 15d-14(a) of the Securities Exchange Act of 1934, as</w:t>
              </w:r>
            </w:hyperlink>
          </w:p>
        </w:tc>
        <w:tc>
          <w:tcPr>
            <w:tcW w:w="840" w:type="dxa"/>
            <w:vAlign w:val="bottom"/>
            <w:gridSpan w:val="4"/>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adopted pursuant to Section 302 of The Sarbanes-Oxley Act of 2002.</w:t>
              </w:r>
            </w:hyperlink>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Certification of Chief Executive Officer pursuant to Rule 13a-14(b) or Rule 15d-14(b) of the Securities Exchange Act of 1934 and</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18 U.S.C. Section 1350 as adopted pursuant to Section 906 of The Sarbanes-Oxley Act of 2002.</w:t>
              </w:r>
            </w:hyperlink>
          </w:p>
        </w:tc>
        <w:tc>
          <w:tcPr>
            <w:tcW w:w="2440" w:type="dxa"/>
            <w:vAlign w:val="bottom"/>
            <w:tcBorders>
              <w:top w:val="single" w:sz="8" w:color="0000EE"/>
            </w:tcBorders>
            <w:gridSpan w:val="4"/>
          </w:tcPr>
          <w:p>
            <w:pPr>
              <w:spacing w:after="0"/>
              <w:rPr>
                <w:sz w:val="17"/>
                <w:szCs w:val="17"/>
                <w:color w:val="auto"/>
              </w:rPr>
            </w:pPr>
          </w:p>
        </w:tc>
        <w:tc>
          <w:tcPr>
            <w:tcW w:w="720" w:type="dxa"/>
            <w:vAlign w:val="bottom"/>
          </w:tcPr>
          <w:p>
            <w:pPr>
              <w:spacing w:after="0"/>
              <w:rPr>
                <w:sz w:val="17"/>
                <w:szCs w:val="17"/>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Chief Financial Officer pursuant to Rule 13a-14(b) or Rule 15d-14(b) of the Securities Exchange Act of 1934 and</w:t>
              </w:r>
            </w:hyperlink>
          </w:p>
        </w:tc>
        <w:tc>
          <w:tcPr>
            <w:tcW w:w="76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18 U.S.C. Section 1350 as adopted pursuant to Section 906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gridSpan w:val="2"/>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 are</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CAL</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DEF</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LAB</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PRE</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Cover Page Interactive Data File - formatted in Inline XBRL and included as Exhibit 101</w:t>
            </w:r>
          </w:p>
        </w:tc>
      </w:tr>
    </w:tbl>
    <w:p>
      <w:pPr>
        <w:spacing w:after="0" w:line="202" w:lineRule="exact"/>
        <w:rPr>
          <w:sz w:val="20"/>
          <w:szCs w:val="20"/>
          <w:color w:val="auto"/>
        </w:rPr>
      </w:pPr>
    </w:p>
    <w:p>
      <w:pPr>
        <w:jc w:val="both"/>
        <w:ind w:left="500" w:right="200" w:hanging="492"/>
        <w:spacing w:after="0" w:line="259"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right="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November 4, 2020.</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Philippe F. Courtot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Joo Mi Kim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125" w:right="3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4, 2020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PHILIPPE F. COURTOT</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Philippe F. Courtot</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4, 2020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Qualys, Inc. (the “Company”) on Form 10-Q for the quarter ended September 30, 2020, as filed with the Securities and Exchange Commission on the date hereof (the “Report”), I, Philippe F. Courtot, Chairman and Chief Executive Officer of the Company, certify, pursuant to 18 U.S.C. § 1350, as adopted pursuant to § 906 of the Sarbanes-Oxley Act of 2002, that, to the best of my knowledge:</w:t>
      </w:r>
    </w:p>
    <w:p>
      <w:pPr>
        <w:spacing w:after="0" w:line="143"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4, 2020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PHILIPPE F. COURTOT</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Philippe F. Courtot</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2020,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61"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4, 2020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815"/>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2020-11-04T16:20:48Z</dcterms:created>
  <dcterms:modified xsi:type="dcterms:W3CDTF">2020-11-04T16:20:48Z</dcterms:modified>
</cp:coreProperties>
</file>