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92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March 31, 2013</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2013 was 31,672,662.</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360" w:type="dxa"/>
            <w:vAlign w:val="bottom"/>
            <w:tcBorders>
              <w:bottom w:val="single" w:sz="8" w:color="0000FF"/>
            </w:tcBorders>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March 31, 2013 and December 31, 2012</w:t>
              </w:r>
            </w:hyperlink>
          </w:p>
        </w:tc>
        <w:tc>
          <w:tcPr>
            <w:tcW w:w="3340" w:type="dxa"/>
            <w:vAlign w:val="bottom"/>
            <w:gridSpan w:val="5"/>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months ended March 31, 2013 and 2012</w:t>
              </w:r>
            </w:hyperlink>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Comprehensive Income for the three months ended March 31, 2013 and 2012</w:t>
              </w:r>
            </w:hyperlink>
          </w:p>
        </w:tc>
        <w:tc>
          <w:tcPr>
            <w:tcW w:w="80" w:type="dxa"/>
            <w:vAlign w:val="bottom"/>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500" w:type="dxa"/>
            <w:vAlign w:val="bottom"/>
            <w:tcBorders>
              <w:top w:val="single" w:sz="8" w:color="0000FF"/>
            </w:tcBorders>
            <w:gridSpan w:val="17"/>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three months ended March 31, 2013 and 2012</w:t>
              </w:r>
            </w:hyperlink>
          </w:p>
        </w:tc>
        <w:tc>
          <w:tcPr>
            <w:tcW w:w="1200" w:type="dxa"/>
            <w:vAlign w:val="bottom"/>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640" w:type="dxa"/>
            <w:vAlign w:val="bottom"/>
            <w:tcBorders>
              <w:top w:val="single" w:sz="8" w:color="0000FF"/>
            </w:tcBorders>
            <w:gridSpan w:val="16"/>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2060" w:type="dxa"/>
            <w:vAlign w:val="bottom"/>
            <w:gridSpan w:val="2"/>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20</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32</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33</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34</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57">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57">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58</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2012</w:t>
            </w:r>
          </w:p>
        </w:tc>
      </w:tr>
      <w:tr>
        <w:trPr>
          <w:trHeight w:val="283"/>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34,885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45,541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83,547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$327 and $331 at March 31, 2013 and December 31, 2012, respectively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4,377</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116,006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147,354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32,557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19,787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18,148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172,723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8,749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7,803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58,356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56,497</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69,988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67,514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7,847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8,616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79,980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78,763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2013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2012</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31,649,002 and 31,420,028 shares issued and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outstanding at March 31, 2013 and December 31, 2012, respectively</w:t>
            </w: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168,457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(74,695)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(74,092)</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92,743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91,555</w:t>
            </w: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172,723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170,318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9,246</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17,161</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loss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31,494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5,260</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3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r>
      <w:tr>
        <w:trPr>
          <w:trHeight w:val="276"/>
        </w:trPr>
        <w:tc>
          <w:tcPr>
            <w:tcW w:w="85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Change in foreign currency translation gain (loss), net of zero tax</w:t>
            </w:r>
          </w:p>
        </w:tc>
        <w:tc>
          <w:tcPr>
            <w:tcW w:w="90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zero tax</w:t>
            </w:r>
          </w:p>
        </w:tc>
        <w:tc>
          <w:tcPr>
            <w:tcW w:w="9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gain (loss) included in net loss</w:t>
            </w:r>
          </w:p>
        </w:tc>
        <w:tc>
          <w:tcPr>
            <w:tcW w:w="9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zero tax</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net</w:t>
            </w:r>
          </w:p>
        </w:tc>
        <w:tc>
          <w:tcPr>
            <w:tcW w:w="900" w:type="dxa"/>
            <w:vAlign w:val="bottom"/>
            <w:tcBorders>
              <w:bottom w:val="single" w:sz="8" w:color="231F20"/>
            </w:tcBorders>
            <w:shd w:val="clear" w:color="auto" w:fill="CCEEFF"/>
          </w:tcPr>
          <w:p>
            <w:pPr>
              <w:spacing w:after="0"/>
              <w:rPr>
                <w:sz w:val="21"/>
                <w:szCs w:val="21"/>
                <w:color w:val="auto"/>
              </w:rPr>
            </w:pPr>
          </w:p>
        </w:tc>
        <w:tc>
          <w:tcPr>
            <w:tcW w:w="4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231F20"/>
            </w:tcBorders>
            <w:shd w:val="clear" w:color="auto" w:fill="CCEEFF"/>
          </w:tcPr>
          <w:p>
            <w:pPr>
              <w:spacing w:after="0"/>
              <w:rPr>
                <w:sz w:val="21"/>
                <w:szCs w:val="21"/>
                <w:color w:val="auto"/>
              </w:rPr>
            </w:pPr>
          </w:p>
        </w:tc>
        <w:tc>
          <w:tcPr>
            <w:tcW w:w="4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43"/>
        </w:trPr>
        <w:tc>
          <w:tcPr>
            <w:tcW w:w="858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1,750</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Non-cash interest expense</w:t>
            </w:r>
          </w:p>
        </w:tc>
        <w:tc>
          <w:tcPr>
            <w:tcW w:w="9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on investments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5,159</w:t>
            </w:r>
          </w:p>
        </w:tc>
      </w:tr>
      <w:tr>
        <w:trPr>
          <w:trHeight w:val="264"/>
        </w:trPr>
        <w:tc>
          <w:tcPr>
            <w:tcW w:w="812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r>
      <w:tr>
        <w:trPr>
          <w:trHeight w:val="264"/>
        </w:trPr>
        <w:tc>
          <w:tcPr>
            <w:tcW w:w="812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(734)</w:t>
            </w: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2,668</w:t>
            </w:r>
          </w:p>
        </w:tc>
      </w:tr>
      <w:tr>
        <w:trPr>
          <w:trHeight w:val="264"/>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56"/>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9,628</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Sales of investments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65,309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w:t>
            </w:r>
          </w:p>
        </w:tc>
      </w:tr>
      <w:tr>
        <w:trPr>
          <w:trHeight w:val="250"/>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9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50"/>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6,098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47,105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30,646</w:t>
            </w:r>
          </w:p>
        </w:tc>
      </w:tr>
      <w:tr>
        <w:trPr>
          <w:trHeight w:val="264"/>
        </w:trPr>
        <w:tc>
          <w:tcPr>
            <w:tcW w:w="8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2012</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months ended March 31, 2013 is not necessarily indicative of the results of operations expected for the entire year ending December 31, 2013 or for any other future annual or interim period. These condensed consolidated financial statements should be read in conjunction with the consolidated financial statements and related notes included in the Company’s Annual Report on Form 10-K for the year ended December 31, 2012 filed with the SEC on March 5, 2013.</w:t>
      </w:r>
    </w:p>
    <w:p>
      <w:pPr>
        <w:spacing w:after="0" w:line="211"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(loss) from operations or net income (loss).</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condensed consolidated financial statements.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The Company invests its cash, cash equivalents and investments with major financial institutions. Cash balances with any one institution at times may be in excess of federally insured limits. Cash equivalents and investments are invested in high-quality investment grade financial instruments and are diversified. The Company has not experienced any other-than-temporary losses in such accounts and believes it is not exposed to any significant credit risk.</w:t>
      </w:r>
    </w:p>
    <w:p>
      <w:pPr>
        <w:spacing w:after="0" w:line="200" w:lineRule="exact"/>
        <w:rPr>
          <w:sz w:val="20"/>
          <w:szCs w:val="20"/>
          <w:color w:val="auto"/>
        </w:rPr>
      </w:pPr>
    </w:p>
    <w:p>
      <w:pPr>
        <w:spacing w:after="0" w:line="22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and commercial paper,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municipal bonds, asset-backed securities and commercial paper. Management determines the appropriate classification of the Company's investments at the time of purchase. Investments with original maturities greater than three months and less than one year are classified as short-term and investments with original maturities greater than one year are classified as long-term.</w:t>
      </w:r>
    </w:p>
    <w:p>
      <w:pPr>
        <w:spacing w:after="0" w:line="200" w:lineRule="exact"/>
        <w:rPr>
          <w:sz w:val="20"/>
          <w:szCs w:val="20"/>
          <w:color w:val="auto"/>
        </w:rPr>
      </w:pPr>
    </w:p>
    <w:p>
      <w:pPr>
        <w:spacing w:after="0" w:line="22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Cash is stated at cost, which approximates fair market value. Cash equivalents and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301"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5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 xml:space="preserve">In February 2013, the FASB issued an update to ASC 220: </w:t>
      </w:r>
      <w:r>
        <w:rPr>
          <w:rFonts w:ascii="Arial" w:cs="Arial" w:eastAsia="Arial" w:hAnsi="Arial"/>
          <w:sz w:val="18"/>
          <w:szCs w:val="18"/>
          <w:i w:val="1"/>
          <w:iCs w:val="1"/>
          <w:color w:val="231F20"/>
        </w:rPr>
        <w:t>Reporting of Amounts Reclassified Out of Accumulated Other Comprehensive</w:t>
      </w:r>
      <w:r>
        <w:rPr>
          <w:rFonts w:ascii="Arial" w:cs="Arial" w:eastAsia="Arial" w:hAnsi="Arial"/>
          <w:sz w:val="18"/>
          <w:szCs w:val="18"/>
          <w:color w:val="231F20"/>
        </w:rPr>
        <w:t xml:space="preserve"> </w:t>
      </w:r>
      <w:r>
        <w:rPr>
          <w:rFonts w:ascii="Arial" w:cs="Arial" w:eastAsia="Arial" w:hAnsi="Arial"/>
          <w:sz w:val="18"/>
          <w:szCs w:val="18"/>
          <w:i w:val="1"/>
          <w:iCs w:val="1"/>
          <w:color w:val="231F20"/>
        </w:rPr>
        <w:t>Income</w:t>
      </w:r>
      <w:r>
        <w:rPr>
          <w:rFonts w:ascii="Arial" w:cs="Arial" w:eastAsia="Arial" w:hAnsi="Arial"/>
          <w:sz w:val="18"/>
          <w:szCs w:val="18"/>
          <w:color w:val="231F20"/>
        </w:rPr>
        <w:t>. Under this update, an entity is required to provide information about the amounts reclassified out of accumulated other comprehensive</w:t>
      </w:r>
      <w:r>
        <w:rPr>
          <w:rFonts w:ascii="Arial" w:cs="Arial" w:eastAsia="Arial" w:hAnsi="Arial"/>
          <w:sz w:val="18"/>
          <w:szCs w:val="18"/>
          <w:i w:val="1"/>
          <w:iCs w:val="1"/>
          <w:color w:val="231F20"/>
        </w:rPr>
        <w:t xml:space="preserve"> </w:t>
      </w:r>
      <w:r>
        <w:rPr>
          <w:rFonts w:ascii="Arial" w:cs="Arial" w:eastAsia="Arial" w:hAnsi="Arial"/>
          <w:sz w:val="18"/>
          <w:szCs w:val="18"/>
          <w:color w:val="231F20"/>
        </w:rPr>
        <w:t>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Company adopted this standard in the first quarter of 2013, and the adoption of this standard did not have a material impact on the condensed consolidated financial statements. Amounts reclassified out of AOCI are recorded in interest income on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and certain cash equivalents, accounts receivable, restricted cash,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municipal bonds and asset 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using observable inputs.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and restricted cash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March 31, 2013</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23,639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23,639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4,171</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19,295</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47,105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40,614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3,774</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45,528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45,541</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13,591</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17,966</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32,557</w:t>
            </w: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125,314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23,419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11,296</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83,541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83,547</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March 31, 2013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59,909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59,909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13,591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13,591</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21,740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21,740</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97,393</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97,393</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8"/>
        </w:trPr>
        <w:tc>
          <w:tcPr>
            <w:tcW w:w="47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94,843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March 31, 2013</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59,909</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13,591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13,591</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17,966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21,740</w:t>
            </w:r>
          </w:p>
        </w:tc>
      </w:tr>
      <w:tr>
        <w:trPr>
          <w:trHeight w:val="273"/>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6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40"/>
        </w:trPr>
        <w:tc>
          <w:tcPr>
            <w:tcW w:w="4020" w:type="dxa"/>
            <w:vAlign w:val="bottom"/>
          </w:tcPr>
          <w:p>
            <w:pPr>
              <w:ind w:left="40"/>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64,836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31,557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97,393</w:t>
            </w:r>
          </w:p>
        </w:tc>
      </w:tr>
      <w:tr>
        <w:trPr>
          <w:trHeight w:val="20"/>
        </w:trPr>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60"/>
        </w:trPr>
        <w:tc>
          <w:tcPr>
            <w:tcW w:w="40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9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22222"/>
        </w:rPr>
        <w:t xml:space="preserve">At March 31, 2013, the Company had </w:t>
      </w:r>
      <w:r>
        <w:rPr>
          <w:rFonts w:ascii="Arial" w:cs="Arial" w:eastAsia="Arial" w:hAnsi="Arial"/>
          <w:sz w:val="18"/>
          <w:szCs w:val="18"/>
          <w:color w:val="000000"/>
        </w:rPr>
        <w:t>two</w:t>
      </w:r>
      <w:r>
        <w:rPr>
          <w:rFonts w:ascii="Arial" w:cs="Arial" w:eastAsia="Arial" w:hAnsi="Arial"/>
          <w:sz w:val="18"/>
          <w:szCs w:val="18"/>
          <w:color w:val="222222"/>
        </w:rPr>
        <w:t xml:space="preserve"> outstanding forward contracts with notional amounts of </w:t>
      </w:r>
      <w:r>
        <w:rPr>
          <w:rFonts w:ascii="Arial" w:cs="Arial" w:eastAsia="Arial" w:hAnsi="Arial"/>
          <w:sz w:val="18"/>
          <w:szCs w:val="18"/>
          <w:color w:val="000000"/>
        </w:rPr>
        <w:t>5.2 million</w:t>
      </w:r>
      <w:r>
        <w:rPr>
          <w:rFonts w:ascii="Arial" w:cs="Arial" w:eastAsia="Arial" w:hAnsi="Arial"/>
          <w:sz w:val="18"/>
          <w:szCs w:val="18"/>
          <w:color w:val="222222"/>
        </w:rPr>
        <w:t xml:space="preserve"> Euros and </w:t>
      </w:r>
      <w:r>
        <w:rPr>
          <w:rFonts w:ascii="Arial" w:cs="Arial" w:eastAsia="Arial" w:hAnsi="Arial"/>
          <w:sz w:val="18"/>
          <w:szCs w:val="18"/>
          <w:color w:val="000000"/>
        </w:rPr>
        <w:t>2.0 million</w:t>
      </w:r>
      <w:r>
        <w:rPr>
          <w:rFonts w:ascii="Arial" w:cs="Arial" w:eastAsia="Arial" w:hAnsi="Arial"/>
          <w:sz w:val="18"/>
          <w:szCs w:val="18"/>
          <w:color w:val="222222"/>
        </w:rPr>
        <w:t xml:space="preserve"> British pounds, both of which expired on April 30, 2013. At December 31, 2012, the Company had </w:t>
      </w:r>
      <w:r>
        <w:rPr>
          <w:rFonts w:ascii="Arial" w:cs="Arial" w:eastAsia="Arial" w:hAnsi="Arial"/>
          <w:sz w:val="18"/>
          <w:szCs w:val="18"/>
          <w:color w:val="000000"/>
        </w:rPr>
        <w:t>one</w:t>
      </w:r>
      <w:r>
        <w:rPr>
          <w:rFonts w:ascii="Arial" w:cs="Arial" w:eastAsia="Arial" w:hAnsi="Arial"/>
          <w:sz w:val="18"/>
          <w:szCs w:val="18"/>
          <w:color w:val="222222"/>
        </w:rPr>
        <w:t xml:space="preserve"> outstanding forward contract with a notional amount of </w:t>
      </w:r>
      <w:r>
        <w:rPr>
          <w:rFonts w:ascii="Arial" w:cs="Arial" w:eastAsia="Arial" w:hAnsi="Arial"/>
          <w:sz w:val="18"/>
          <w:szCs w:val="18"/>
          <w:color w:val="000000"/>
        </w:rPr>
        <w:t>10.7 million</w:t>
      </w:r>
      <w:r>
        <w:rPr>
          <w:rFonts w:ascii="Arial" w:cs="Arial" w:eastAsia="Arial" w:hAnsi="Arial"/>
          <w:sz w:val="18"/>
          <w:szCs w:val="18"/>
          <w:color w:val="222222"/>
        </w:rPr>
        <w:t xml:space="preserve"> Euros, which expired on January 31, 2013. These </w:t>
      </w:r>
      <w:r>
        <w:rPr>
          <w:rFonts w:ascii="Arial" w:cs="Arial" w:eastAsia="Arial" w:hAnsi="Arial"/>
          <w:sz w:val="18"/>
          <w:szCs w:val="18"/>
          <w:color w:val="231F20"/>
        </w:rPr>
        <w:t>forward contracts were entered into at the end of each month, and</w:t>
      </w:r>
      <w:r>
        <w:rPr>
          <w:rFonts w:ascii="Arial" w:cs="Arial" w:eastAsia="Arial" w:hAnsi="Arial"/>
          <w:sz w:val="18"/>
          <w:szCs w:val="18"/>
          <w:color w:val="222222"/>
        </w:rPr>
        <w:t xml:space="preserve"> </w:t>
      </w:r>
      <w:r>
        <w:rPr>
          <w:rFonts w:ascii="Arial" w:cs="Arial" w:eastAsia="Arial" w:hAnsi="Arial"/>
          <w:sz w:val="18"/>
          <w:szCs w:val="18"/>
          <w:color w:val="231F20"/>
        </w:rPr>
        <w:t xml:space="preserve">thus the fair value of these contracts were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 March 31, 2013 and December 31, 2012.</w:t>
      </w:r>
      <w:r>
        <w:rPr>
          <w:rFonts w:ascii="Arial" w:cs="Arial" w:eastAsia="Arial" w:hAnsi="Arial"/>
          <w:sz w:val="18"/>
          <w:szCs w:val="18"/>
          <w:color w:val="231F20"/>
        </w:rPr>
        <w:t xml:space="preserve"> The Company recorded a loss of </w:t>
      </w:r>
      <w:r>
        <w:rPr>
          <w:rFonts w:ascii="Arial" w:cs="Arial" w:eastAsia="Arial" w:hAnsi="Arial"/>
          <w:sz w:val="18"/>
          <w:szCs w:val="18"/>
          <w:color w:val="000000"/>
        </w:rPr>
        <w:t>$0.1 million</w:t>
      </w:r>
      <w:r>
        <w:rPr>
          <w:rFonts w:ascii="Arial" w:cs="Arial" w:eastAsia="Arial" w:hAnsi="Arial"/>
          <w:sz w:val="18"/>
          <w:szCs w:val="18"/>
          <w:color w:val="231F20"/>
        </w:rPr>
        <w:t xml:space="preserve"> and $0.2 million from these contracts for the three months ended March 31, 2013 and 2012, respectively. These were in addition to other foreign currency transaction losses of </w:t>
      </w:r>
      <w:r>
        <w:rPr>
          <w:rFonts w:ascii="Arial" w:cs="Arial" w:eastAsia="Arial" w:hAnsi="Arial"/>
          <w:sz w:val="18"/>
          <w:szCs w:val="18"/>
          <w:color w:val="000000"/>
        </w:rPr>
        <w:t>$0.2 million</w:t>
      </w:r>
      <w:r>
        <w:rPr>
          <w:rFonts w:ascii="Arial" w:cs="Arial" w:eastAsia="Arial" w:hAnsi="Arial"/>
          <w:sz w:val="18"/>
          <w:szCs w:val="18"/>
          <w:color w:val="231F20"/>
        </w:rPr>
        <w:t xml:space="preserve"> and foreign currency transaction gains of </w:t>
      </w:r>
      <w:r>
        <w:rPr>
          <w:rFonts w:ascii="Arial" w:cs="Arial" w:eastAsia="Arial" w:hAnsi="Arial"/>
          <w:sz w:val="18"/>
          <w:szCs w:val="18"/>
          <w:color w:val="000000"/>
        </w:rPr>
        <w:t>$0.2 million</w:t>
      </w:r>
      <w:r>
        <w:rPr>
          <w:rFonts w:ascii="Arial" w:cs="Arial" w:eastAsia="Arial" w:hAnsi="Arial"/>
          <w:sz w:val="18"/>
          <w:szCs w:val="18"/>
          <w:color w:val="231F20"/>
        </w:rPr>
        <w:t xml:space="preserve"> for the three months ended March 31, 2013 and 2012, respectively. These derivatives did not meet the criteria to be designated as hedges. These instruments were valued using Level 2 inputs.</w:t>
      </w:r>
    </w:p>
    <w:p>
      <w:pPr>
        <w:spacing w:after="0" w:line="206"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auto"/>
        </w:rPr>
        <w:t>There were no significant transfers between Level 1, Level 2 or Level 3 of the fair value hierarchy, as determined at the end of each reporting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47"/>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6,449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6,327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16,911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16,470</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44,812</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(26,664)</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19,787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18,148</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2012 totaled approximately </w:t>
      </w:r>
      <w:r>
        <w:rPr>
          <w:rFonts w:ascii="Arial" w:cs="Arial" w:eastAsia="Arial" w:hAnsi="Arial"/>
          <w:sz w:val="18"/>
          <w:szCs w:val="18"/>
          <w:color w:val="000000"/>
        </w:rPr>
        <w:t>$3.8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March 31, 2013 </w:t>
      </w:r>
      <w:r>
        <w:rPr>
          <w:rFonts w:ascii="Arial" w:cs="Arial" w:eastAsia="Arial" w:hAnsi="Arial"/>
          <w:sz w:val="18"/>
          <w:szCs w:val="18"/>
          <w:color w:val="231F20"/>
        </w:rPr>
        <w:t>and December 31, 2012 totaled</w:t>
      </w:r>
      <w:r>
        <w:rPr>
          <w:rFonts w:ascii="Arial" w:cs="Arial" w:eastAsia="Arial" w:hAnsi="Arial"/>
          <w:sz w:val="18"/>
          <w:szCs w:val="18"/>
          <w:color w:val="000000"/>
        </w:rPr>
        <w:t xml:space="preserve"> $1.5 million </w:t>
      </w:r>
      <w:r>
        <w:rPr>
          <w:rFonts w:ascii="Arial" w:cs="Arial" w:eastAsia="Arial" w:hAnsi="Arial"/>
          <w:sz w:val="18"/>
          <w:szCs w:val="18"/>
          <w:color w:val="231F20"/>
        </w:rPr>
        <w:t>and</w:t>
      </w:r>
      <w:r>
        <w:rPr>
          <w:rFonts w:ascii="Arial" w:cs="Arial" w:eastAsia="Arial" w:hAnsi="Arial"/>
          <w:sz w:val="18"/>
          <w:szCs w:val="18"/>
          <w:color w:val="000000"/>
        </w:rPr>
        <w:t xml:space="preserve"> $1.2 million</w:t>
      </w:r>
      <w:r>
        <w:rPr>
          <w:rFonts w:ascii="Arial" w:cs="Arial" w:eastAsia="Arial" w:hAnsi="Arial"/>
          <w:sz w:val="18"/>
          <w:szCs w:val="18"/>
          <w:color w:val="231F20"/>
        </w:rPr>
        <w:t>, respectively.</w:t>
      </w:r>
      <w:r>
        <w:rPr>
          <w:rFonts w:ascii="Arial" w:cs="Arial" w:eastAsia="Arial" w:hAnsi="Arial"/>
          <w:sz w:val="18"/>
          <w:szCs w:val="18"/>
          <w:color w:val="000000"/>
        </w:rPr>
        <w:t xml:space="preserve"> </w:t>
      </w:r>
      <w:r>
        <w:rPr>
          <w:rFonts w:ascii="Arial" w:cs="Arial" w:eastAsia="Arial" w:hAnsi="Arial"/>
          <w:sz w:val="18"/>
          <w:szCs w:val="18"/>
          <w:color w:val="231F20"/>
        </w:rPr>
        <w:t>The capital lease obligations are secured by the related software.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$ 5.7</w:t>
      </w:r>
      <w:r>
        <w:rPr>
          <w:rFonts w:ascii="Arial" w:cs="Arial" w:eastAsia="Arial" w:hAnsi="Arial"/>
          <w:sz w:val="18"/>
          <w:szCs w:val="18"/>
          <w:color w:val="231F20"/>
        </w:rPr>
        <w:t xml:space="preserve"> million and </w:t>
      </w:r>
      <w:r>
        <w:rPr>
          <w:rFonts w:ascii="Arial" w:cs="Arial" w:eastAsia="Arial" w:hAnsi="Arial"/>
          <w:sz w:val="18"/>
          <w:szCs w:val="18"/>
          <w:color w:val="000000"/>
        </w:rPr>
        <w:t>$ 5.5</w:t>
      </w:r>
      <w:r>
        <w:rPr>
          <w:rFonts w:ascii="Arial" w:cs="Arial" w:eastAsia="Arial" w:hAnsi="Arial"/>
          <w:sz w:val="18"/>
          <w:szCs w:val="18"/>
          <w:color w:val="231F20"/>
        </w:rPr>
        <w:t xml:space="preserve"> million at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2012, respectively, including assets that have not been placed in service of </w:t>
      </w:r>
      <w:r>
        <w:rPr>
          <w:rFonts w:ascii="Arial" w:cs="Arial" w:eastAsia="Arial" w:hAnsi="Arial"/>
          <w:sz w:val="18"/>
          <w:szCs w:val="18"/>
          <w:color w:val="000000"/>
        </w:rPr>
        <w:t>$1.6</w:t>
      </w:r>
      <w:r>
        <w:rPr>
          <w:rFonts w:ascii="Arial" w:cs="Arial" w:eastAsia="Arial" w:hAnsi="Arial"/>
          <w:sz w:val="18"/>
          <w:szCs w:val="18"/>
          <w:color w:val="231F20"/>
        </w:rPr>
        <w:t xml:space="preserve"> million and </w:t>
      </w:r>
      <w:r>
        <w:rPr>
          <w:rFonts w:ascii="Arial" w:cs="Arial" w:eastAsia="Arial" w:hAnsi="Arial"/>
          <w:sz w:val="18"/>
          <w:szCs w:val="18"/>
          <w:color w:val="000000"/>
        </w:rPr>
        <w:t>$1.5</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2012, included in computer equipment and leasehold improvements, relate to new information technology systems and tenant improvements of approximately </w:t>
      </w:r>
      <w:r>
        <w:rPr>
          <w:rFonts w:ascii="Arial" w:cs="Arial" w:eastAsia="Arial" w:hAnsi="Arial"/>
          <w:sz w:val="18"/>
          <w:szCs w:val="18"/>
          <w:color w:val="000000"/>
        </w:rPr>
        <w:t>$1.2</w:t>
      </w:r>
      <w:r>
        <w:rPr>
          <w:rFonts w:ascii="Arial" w:cs="Arial" w:eastAsia="Arial" w:hAnsi="Arial"/>
          <w:sz w:val="18"/>
          <w:szCs w:val="18"/>
          <w:color w:val="231F20"/>
        </w:rPr>
        <w:t xml:space="preserve"> million and </w:t>
      </w:r>
      <w:r>
        <w:rPr>
          <w:rFonts w:ascii="Arial" w:cs="Arial" w:eastAsia="Arial" w:hAnsi="Arial"/>
          <w:sz w:val="18"/>
          <w:szCs w:val="18"/>
          <w:color w:val="000000"/>
        </w:rPr>
        <w:t>$1.7</w:t>
      </w:r>
      <w:r>
        <w:rPr>
          <w:rFonts w:ascii="Arial" w:cs="Arial" w:eastAsia="Arial" w:hAnsi="Arial"/>
          <w:sz w:val="18"/>
          <w:szCs w:val="18"/>
          <w:color w:val="231F20"/>
        </w:rPr>
        <w:t xml:space="preserve"> million, respectively. Depreciation and amortization expense relating to property and equipment, including capitalized leases, was </w:t>
      </w:r>
      <w:r>
        <w:rPr>
          <w:rFonts w:ascii="Arial" w:cs="Arial" w:eastAsia="Arial" w:hAnsi="Arial"/>
          <w:sz w:val="18"/>
          <w:szCs w:val="18"/>
          <w:color w:val="000000"/>
        </w:rPr>
        <w:t>$2.0</w:t>
      </w:r>
      <w:r>
        <w:rPr>
          <w:rFonts w:ascii="Arial" w:cs="Arial" w:eastAsia="Arial" w:hAnsi="Arial"/>
          <w:sz w:val="18"/>
          <w:szCs w:val="18"/>
          <w:color w:val="231F20"/>
        </w:rPr>
        <w:t xml:space="preserve"> million and </w:t>
      </w:r>
      <w:r>
        <w:rPr>
          <w:rFonts w:ascii="Arial" w:cs="Arial" w:eastAsia="Arial" w:hAnsi="Arial"/>
          <w:sz w:val="18"/>
          <w:szCs w:val="18"/>
          <w:color w:val="000000"/>
        </w:rPr>
        <w:t>$1.6</w:t>
      </w:r>
      <w:r>
        <w:rPr>
          <w:rFonts w:ascii="Arial" w:cs="Arial" w:eastAsia="Arial" w:hAnsi="Arial"/>
          <w:sz w:val="18"/>
          <w:szCs w:val="18"/>
          <w:color w:val="231F20"/>
        </w:rPr>
        <w:t xml:space="preserve"> million for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153"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2012</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1,273</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2,409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2,516</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Intangibles amortization expense was </w:t>
      </w:r>
      <w:r>
        <w:rPr>
          <w:rFonts w:ascii="Arial" w:cs="Arial" w:eastAsia="Arial" w:hAnsi="Arial"/>
          <w:sz w:val="18"/>
          <w:szCs w:val="18"/>
          <w:color w:val="000000"/>
        </w:rPr>
        <w:t>$0.1</w:t>
      </w:r>
      <w:r>
        <w:rPr>
          <w:rFonts w:ascii="Arial" w:cs="Arial" w:eastAsia="Arial" w:hAnsi="Arial"/>
          <w:sz w:val="18"/>
          <w:szCs w:val="18"/>
          <w:color w:val="231F20"/>
        </w:rPr>
        <w:t xml:space="preserve"> million for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2013</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2,409</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 xml:space="preserve">The Company leases certain computer equipment and its corporate office and data center facilities under noncancelable operating leases for varying periods through 2022. The Company has also entered into capital lease obligations, with varying interest rates from </w:t>
      </w:r>
      <w:r>
        <w:rPr>
          <w:rFonts w:ascii="Arial" w:cs="Arial" w:eastAsia="Arial" w:hAnsi="Arial"/>
          <w:sz w:val="18"/>
          <w:szCs w:val="18"/>
          <w:color w:val="000000"/>
        </w:rPr>
        <w:t>1.8%</w:t>
      </w:r>
      <w:r>
        <w:rPr>
          <w:rFonts w:ascii="Arial" w:cs="Arial" w:eastAsia="Arial" w:hAnsi="Arial"/>
          <w:sz w:val="18"/>
          <w:szCs w:val="18"/>
          <w:color w:val="231F20"/>
        </w:rPr>
        <w:t xml:space="preserve"> to </w:t>
      </w:r>
      <w:r>
        <w:rPr>
          <w:rFonts w:ascii="Arial" w:cs="Arial" w:eastAsia="Arial" w:hAnsi="Arial"/>
          <w:sz w:val="18"/>
          <w:szCs w:val="18"/>
          <w:color w:val="000000"/>
        </w:rPr>
        <w:t>4.0%</w:t>
      </w:r>
      <w:r>
        <w:rPr>
          <w:rFonts w:ascii="Arial" w:cs="Arial" w:eastAsia="Arial" w:hAnsi="Arial"/>
          <w:sz w:val="18"/>
          <w:szCs w:val="18"/>
          <w:color w:val="231F20"/>
        </w:rPr>
        <w:t>, a portion of which are secured by the related computer equipment and software as of March 31, 2013 and December 31, 2012.</w:t>
      </w:r>
    </w:p>
    <w:p>
      <w:pPr>
        <w:spacing w:after="0" w:line="161"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of </w:t>
      </w:r>
      <w:r>
        <w:rPr>
          <w:rFonts w:ascii="Arial" w:cs="Arial" w:eastAsia="Arial" w:hAnsi="Arial"/>
          <w:sz w:val="18"/>
          <w:szCs w:val="18"/>
          <w:color w:val="000000"/>
        </w:rPr>
        <w:t>$ 1.3 million</w:t>
      </w:r>
      <w:r>
        <w:rPr>
          <w:rFonts w:ascii="Arial" w:cs="Arial" w:eastAsia="Arial" w:hAnsi="Arial"/>
          <w:sz w:val="18"/>
          <w:szCs w:val="18"/>
          <w:color w:val="231F20"/>
        </w:rPr>
        <w:t xml:space="preserve"> and </w:t>
      </w:r>
      <w:r>
        <w:rPr>
          <w:rFonts w:ascii="Arial" w:cs="Arial" w:eastAsia="Arial" w:hAnsi="Arial"/>
          <w:sz w:val="18"/>
          <w:szCs w:val="18"/>
          <w:color w:val="000000"/>
        </w:rPr>
        <w:t>$1.6 million</w:t>
      </w:r>
      <w:r>
        <w:rPr>
          <w:rFonts w:ascii="Arial" w:cs="Arial" w:eastAsia="Arial" w:hAnsi="Arial"/>
          <w:sz w:val="18"/>
          <w:szCs w:val="18"/>
          <w:color w:val="231F20"/>
        </w:rPr>
        <w:t xml:space="preserve"> at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respectively. Such obligation for maintenance and support is recorded in current and other noncurrent liabilities in the condensed consolidated balance sheets.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March 31, 2013</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line="20" w:lineRule="exact"/>
              <w:rPr>
                <w:sz w:val="1"/>
                <w:szCs w:val="1"/>
                <w:color w:val="auto"/>
              </w:rPr>
            </w:pPr>
          </w:p>
        </w:tc>
      </w:tr>
      <w:tr>
        <w:trPr>
          <w:trHeight w:val="247"/>
        </w:trPr>
        <w:tc>
          <w:tcPr>
            <w:tcW w:w="79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$1.3 million</w:t>
      </w:r>
      <w:r>
        <w:rPr>
          <w:rFonts w:ascii="Arial" w:cs="Arial" w:eastAsia="Arial" w:hAnsi="Arial"/>
          <w:sz w:val="18"/>
          <w:szCs w:val="18"/>
          <w:color w:val="231F20"/>
        </w:rPr>
        <w:t xml:space="preserve"> and </w:t>
      </w:r>
      <w:r>
        <w:rPr>
          <w:rFonts w:ascii="Arial" w:cs="Arial" w:eastAsia="Arial" w:hAnsi="Arial"/>
          <w:sz w:val="18"/>
          <w:szCs w:val="18"/>
          <w:color w:val="000000"/>
        </w:rPr>
        <w:t>$1.0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has accrued </w:t>
      </w:r>
      <w:r>
        <w:rPr>
          <w:rFonts w:ascii="Arial" w:cs="Arial" w:eastAsia="Arial" w:hAnsi="Arial"/>
          <w:sz w:val="18"/>
          <w:szCs w:val="18"/>
          <w:color w:val="000000"/>
        </w:rPr>
        <w:t>$0.5 million</w:t>
      </w:r>
      <w:r>
        <w:rPr>
          <w:rFonts w:ascii="Arial" w:cs="Arial" w:eastAsia="Arial" w:hAnsi="Arial"/>
          <w:sz w:val="18"/>
          <w:szCs w:val="18"/>
          <w:color w:val="231F20"/>
        </w:rPr>
        <w:t xml:space="preserve"> of deferred rent related to these agreements, which is reflected in other noncurrent liabilities in the accompanying condensed consolidated balance sheets.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$0.4 million</w:t>
      </w:r>
      <w:r>
        <w:rPr>
          <w:rFonts w:ascii="Arial" w:cs="Arial" w:eastAsia="Arial" w:hAnsi="Arial"/>
          <w:sz w:val="18"/>
          <w:szCs w:val="18"/>
          <w:color w:val="231F20"/>
        </w:rPr>
        <w:t xml:space="preserve"> at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March 31, 2013</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March 31, 2013</w:t>
      </w:r>
      <w:r>
        <w:rPr>
          <w:rFonts w:ascii="Arial" w:cs="Arial" w:eastAsia="Arial" w:hAnsi="Arial"/>
          <w:sz w:val="18"/>
          <w:szCs w:val="18"/>
          <w:color w:val="231F20"/>
        </w:rPr>
        <w:t>, other than an accrual for sales and other taxes, the Company has not recorded any material liabilities in accordance with</w:t>
      </w:r>
      <w:r>
        <w:rPr>
          <w:rFonts w:ascii="Arial" w:cs="Arial" w:eastAsia="Arial" w:hAnsi="Arial"/>
          <w:sz w:val="18"/>
          <w:szCs w:val="18"/>
          <w:color w:val="000000"/>
        </w:rPr>
        <w:t xml:space="preserve"> </w:t>
      </w:r>
      <w:r>
        <w:rPr>
          <w:rFonts w:ascii="Arial" w:cs="Arial" w:eastAsia="Arial" w:hAnsi="Arial"/>
          <w:sz w:val="18"/>
          <w:szCs w:val="18"/>
          <w:color w:val="231F20"/>
        </w:rPr>
        <w:t>accounting for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Employee Stock Options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Options, SARs, RSAs, RSUs, performance units and performance awards may be granted with vesting terms as determined by the board of directors and expire no more than </w:t>
      </w:r>
      <w:r>
        <w:rPr>
          <w:rFonts w:ascii="Arial" w:cs="Arial" w:eastAsia="Arial" w:hAnsi="Arial"/>
          <w:sz w:val="18"/>
          <w:szCs w:val="18"/>
          <w:color w:val="000000"/>
        </w:rPr>
        <w:t>ten</w:t>
      </w:r>
      <w:r>
        <w:rPr>
          <w:rFonts w:ascii="Arial" w:cs="Arial" w:eastAsia="Arial" w:hAnsi="Arial"/>
          <w:sz w:val="18"/>
          <w:szCs w:val="18"/>
          <w:color w:val="231F20"/>
        </w:rPr>
        <w:t xml:space="preserve"> years after the date of grant or earlier if employment or service is terminated. As of March 31, 2013, </w:t>
      </w:r>
      <w:r>
        <w:rPr>
          <w:rFonts w:ascii="Arial" w:cs="Arial" w:eastAsia="Arial" w:hAnsi="Arial"/>
          <w:sz w:val="18"/>
          <w:szCs w:val="18"/>
          <w:color w:val="000000"/>
        </w:rPr>
        <w:t>2,328,125</w:t>
      </w:r>
      <w:r>
        <w:rPr>
          <w:rFonts w:ascii="Arial" w:cs="Arial" w:eastAsia="Arial" w:hAnsi="Arial"/>
          <w:sz w:val="18"/>
          <w:szCs w:val="18"/>
          <w:color w:val="231F20"/>
        </w:rPr>
        <w:t xml:space="preserve"> shares were available for grant under the 2012 Plan.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right="160" w:firstLine="405"/>
        <w:spacing w:after="0" w:line="251"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As of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2012, there were </w:t>
      </w:r>
      <w:r>
        <w:rPr>
          <w:rFonts w:ascii="Arial" w:cs="Arial" w:eastAsia="Arial" w:hAnsi="Arial"/>
          <w:sz w:val="18"/>
          <w:szCs w:val="18"/>
          <w:color w:val="000000"/>
        </w:rPr>
        <w:t>40,278</w:t>
      </w:r>
      <w:r>
        <w:rPr>
          <w:rFonts w:ascii="Arial" w:cs="Arial" w:eastAsia="Arial" w:hAnsi="Arial"/>
          <w:sz w:val="18"/>
          <w:szCs w:val="18"/>
          <w:color w:val="231F20"/>
        </w:rPr>
        <w:t xml:space="preserve"> and </w:t>
      </w:r>
      <w:r>
        <w:rPr>
          <w:rFonts w:ascii="Arial" w:cs="Arial" w:eastAsia="Arial" w:hAnsi="Arial"/>
          <w:sz w:val="18"/>
          <w:szCs w:val="18"/>
          <w:color w:val="000000"/>
        </w:rPr>
        <w:t>47,220</w:t>
      </w:r>
      <w:r>
        <w:rPr>
          <w:rFonts w:ascii="Arial" w:cs="Arial" w:eastAsia="Arial" w:hAnsi="Arial"/>
          <w:sz w:val="18"/>
          <w:szCs w:val="18"/>
          <w:color w:val="231F20"/>
        </w:rPr>
        <w:t xml:space="preserve"> shares, respectively, that were subject to the Company’s right to repurchase. There were no shares repurchased during the three months ended </w:t>
      </w:r>
      <w:r>
        <w:rPr>
          <w:rFonts w:ascii="Arial" w:cs="Arial" w:eastAsia="Arial" w:hAnsi="Arial"/>
          <w:sz w:val="18"/>
          <w:szCs w:val="18"/>
          <w:color w:val="000000"/>
        </w:rPr>
        <w:t>March 31, 2013</w:t>
      </w:r>
      <w:r>
        <w:rPr>
          <w:rFonts w:ascii="Arial" w:cs="Arial" w:eastAsia="Arial" w:hAnsi="Arial"/>
          <w:sz w:val="18"/>
          <w:szCs w:val="18"/>
          <w:color w:val="231F20"/>
        </w:rPr>
        <w:t xml:space="preserve">. The Company repurchased 600,000 unvested common shares in the three months ended </w:t>
      </w:r>
      <w:r>
        <w:rPr>
          <w:rFonts w:ascii="Arial" w:cs="Arial" w:eastAsia="Arial" w:hAnsi="Arial"/>
          <w:sz w:val="18"/>
          <w:szCs w:val="18"/>
          <w:color w:val="000000"/>
        </w:rPr>
        <w:t>March 31, 2012</w:t>
      </w:r>
      <w:r>
        <w:rPr>
          <w:rFonts w:ascii="Arial" w:cs="Arial" w:eastAsia="Arial" w:hAnsi="Arial"/>
          <w:sz w:val="18"/>
          <w:szCs w:val="18"/>
          <w:color w:val="231F20"/>
        </w:rPr>
        <w:t xml:space="preserve">. The amounts paid for these shares purchased under an early exercise of stock options are not reported as a component of stockholders’ equity until those shares vest. The amounts received in exchange for these shares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March 31, 2013 and December 31, 2012, have been recorded as an accrued liability in the accompanying condensed consolidated balance sheets and will be reclassified to common stock and additional paid-in capital as the shares vest.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Stock-based employee compensation is included in the condensed consolidated statements of operations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40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r>
      <w:tr>
        <w:trPr>
          <w:trHeight w:val="283"/>
        </w:trPr>
        <w:tc>
          <w:tcPr>
            <w:tcW w:w="8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4"/>
                <w:szCs w:val="24"/>
                <w:color w:val="auto"/>
              </w:rPr>
            </w:pPr>
          </w:p>
        </w:tc>
      </w:tr>
      <w:tr>
        <w:trPr>
          <w:trHeight w:val="264"/>
        </w:trPr>
        <w:tc>
          <w:tcPr>
            <w:tcW w:w="85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r>
      <w:tr>
        <w:trPr>
          <w:trHeight w:val="247"/>
        </w:trPr>
        <w:tc>
          <w:tcPr>
            <w:tcW w:w="8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21"/>
                <w:szCs w:val="21"/>
                <w:color w:val="auto"/>
              </w:rPr>
            </w:pPr>
          </w:p>
        </w:tc>
      </w:tr>
      <w:tr>
        <w:trPr>
          <w:trHeight w:val="280"/>
        </w:trPr>
        <w:tc>
          <w:tcPr>
            <w:tcW w:w="8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60"/>
        </w:trPr>
        <w:tc>
          <w:tcPr>
            <w:tcW w:w="8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80"/>
        </w:trPr>
        <w:tc>
          <w:tcPr>
            <w:tcW w:w="8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6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r>
      <w:tr>
        <w:trPr>
          <w:trHeight w:val="24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620" w:firstLine="486"/>
        <w:spacing w:after="0" w:line="291"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March 31, 2013</w:t>
      </w:r>
      <w:r>
        <w:rPr>
          <w:rFonts w:ascii="Arial" w:cs="Arial" w:eastAsia="Arial" w:hAnsi="Arial"/>
          <w:sz w:val="17"/>
          <w:szCs w:val="17"/>
          <w:color w:val="231F20"/>
        </w:rPr>
        <w:t xml:space="preserve"> and December 31, 2012, the Company had </w:t>
      </w:r>
      <w:r>
        <w:rPr>
          <w:rFonts w:ascii="Arial" w:cs="Arial" w:eastAsia="Arial" w:hAnsi="Arial"/>
          <w:sz w:val="17"/>
          <w:szCs w:val="17"/>
          <w:color w:val="000000"/>
        </w:rPr>
        <w:t>$ 7.5 million</w:t>
      </w:r>
      <w:r>
        <w:rPr>
          <w:rFonts w:ascii="Arial" w:cs="Arial" w:eastAsia="Arial" w:hAnsi="Arial"/>
          <w:sz w:val="17"/>
          <w:szCs w:val="17"/>
          <w:color w:val="231F20"/>
        </w:rPr>
        <w:t xml:space="preserve"> and $5.8 million, respectively, of total unrecognized employee compensation cost related to nonvested awards that it expects to recognize over a weighted-average period of </w:t>
      </w:r>
      <w:r>
        <w:rPr>
          <w:rFonts w:ascii="Arial" w:cs="Arial" w:eastAsia="Arial" w:hAnsi="Arial"/>
          <w:sz w:val="17"/>
          <w:szCs w:val="17"/>
          <w:color w:val="000000"/>
        </w:rPr>
        <w:t>2</w:t>
      </w:r>
      <w:r>
        <w:rPr>
          <w:rFonts w:ascii="Arial" w:cs="Arial" w:eastAsia="Arial" w:hAnsi="Arial"/>
          <w:sz w:val="17"/>
          <w:szCs w:val="17"/>
          <w:color w:val="231F20"/>
        </w:rPr>
        <w:t xml:space="preserve"> years.</w:t>
      </w:r>
    </w:p>
    <w:p>
      <w:pPr>
        <w:spacing w:after="0" w:line="215"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Pr>
          <w:p>
            <w:pPr>
              <w:spacing w:after="0"/>
              <w:rPr>
                <w:sz w:val="18"/>
                <w:szCs w:val="18"/>
                <w:color w:val="auto"/>
              </w:rPr>
            </w:pPr>
          </w:p>
        </w:tc>
      </w:tr>
      <w:tr>
        <w:trPr>
          <w:trHeight w:val="283"/>
        </w:trPr>
        <w:tc>
          <w:tcPr>
            <w:tcW w:w="78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24"/>
                <w:szCs w:val="24"/>
                <w:color w:val="auto"/>
              </w:rPr>
            </w:pPr>
          </w:p>
        </w:tc>
      </w:tr>
      <w:tr>
        <w:trPr>
          <w:trHeight w:val="264"/>
        </w:trPr>
        <w:tc>
          <w:tcPr>
            <w:tcW w:w="7820" w:type="dxa"/>
            <w:vAlign w:val="bottom"/>
          </w:tcPr>
          <w:p>
            <w:pPr>
              <w:spacing w:after="0"/>
              <w:rPr>
                <w:sz w:val="22"/>
                <w:szCs w:val="22"/>
                <w:color w:val="auto"/>
              </w:rPr>
            </w:pPr>
          </w:p>
        </w:tc>
        <w:tc>
          <w:tcPr>
            <w:tcW w:w="134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2013</w:t>
            </w:r>
          </w:p>
        </w:tc>
        <w:tc>
          <w:tcPr>
            <w:tcW w:w="216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rPr>
              <w:t>2012</w:t>
            </w:r>
          </w:p>
        </w:tc>
      </w:tr>
      <w:tr>
        <w:trPr>
          <w:trHeight w:val="257"/>
        </w:trPr>
        <w:tc>
          <w:tcPr>
            <w:tcW w:w="7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6.1</w:t>
            </w:r>
          </w:p>
        </w:tc>
        <w:tc>
          <w:tcPr>
            <w:tcW w:w="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6.0</w:t>
            </w:r>
          </w:p>
        </w:tc>
      </w:tr>
      <w:tr>
        <w:trPr>
          <w:trHeight w:val="260"/>
        </w:trPr>
        <w:tc>
          <w:tcPr>
            <w:tcW w:w="782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52% to</w:t>
            </w:r>
          </w:p>
        </w:tc>
        <w:tc>
          <w:tcPr>
            <w:tcW w:w="400" w:type="dxa"/>
            <w:vAlign w:val="bottom"/>
          </w:tcPr>
          <w:p>
            <w:pPr>
              <w:ind w:left="40"/>
              <w:spacing w:after="0"/>
              <w:rPr>
                <w:sz w:val="20"/>
                <w:szCs w:val="20"/>
                <w:color w:val="auto"/>
              </w:rPr>
            </w:pPr>
            <w:r>
              <w:rPr>
                <w:rFonts w:ascii="Arial" w:cs="Arial" w:eastAsia="Arial" w:hAnsi="Arial"/>
                <w:sz w:val="16"/>
                <w:szCs w:val="16"/>
                <w:color w:val="auto"/>
              </w:rPr>
              <w:t>53%</w:t>
            </w:r>
          </w:p>
        </w:tc>
        <w:tc>
          <w:tcPr>
            <w:tcW w:w="2160" w:type="dxa"/>
            <w:vAlign w:val="bottom"/>
            <w:gridSpan w:val="4"/>
          </w:tcPr>
          <w:p>
            <w:pPr>
              <w:jc w:val="center"/>
              <w:ind w:left="399"/>
              <w:spacing w:after="0"/>
              <w:rPr>
                <w:sz w:val="20"/>
                <w:szCs w:val="20"/>
                <w:color w:val="auto"/>
              </w:rPr>
            </w:pPr>
            <w:r>
              <w:rPr>
                <w:rFonts w:ascii="Arial" w:cs="Arial" w:eastAsia="Arial" w:hAnsi="Arial"/>
                <w:sz w:val="16"/>
                <w:szCs w:val="16"/>
                <w:color w:val="auto"/>
                <w:w w:val="99"/>
              </w:rPr>
              <w:t>53%</w:t>
            </w:r>
          </w:p>
        </w:tc>
      </w:tr>
      <w:tr>
        <w:trPr>
          <w:trHeight w:val="28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34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color w:val="auto"/>
                <w:w w:val="98"/>
              </w:rPr>
              <w:t>0.8%</w:t>
            </w: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0.9%</w:t>
            </w:r>
          </w:p>
        </w:tc>
      </w:tr>
      <w:tr>
        <w:trPr>
          <w:trHeight w:val="251"/>
        </w:trPr>
        <w:tc>
          <w:tcPr>
            <w:tcW w:w="782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left="659"/>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21"/>
                <w:szCs w:val="21"/>
                <w:color w:val="auto"/>
              </w:rPr>
            </w:pPr>
          </w:p>
        </w:tc>
      </w:tr>
    </w:tbl>
    <w:p>
      <w:pPr>
        <w:spacing w:after="0" w:line="23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1" w:right="2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0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$30 thousand</w:t>
      </w:r>
      <w:r>
        <w:rPr>
          <w:rFonts w:ascii="Arial" w:cs="Arial" w:eastAsia="Arial" w:hAnsi="Arial"/>
          <w:sz w:val="18"/>
          <w:szCs w:val="18"/>
          <w:color w:val="231F20"/>
        </w:rPr>
        <w:t xml:space="preserve"> and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4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6,513,508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596,000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2013</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6,741,336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49,316</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2013</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6,055,667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46,736</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2013</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6,027,487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44,094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42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r>
      <w:tr>
        <w:trPr>
          <w:trHeight w:val="283"/>
        </w:trPr>
        <w:tc>
          <w:tcPr>
            <w:tcW w:w="8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22"/>
                <w:szCs w:val="22"/>
                <w:color w:val="auto"/>
              </w:rPr>
            </w:pPr>
          </w:p>
        </w:tc>
      </w:tr>
      <w:tr>
        <w:trPr>
          <w:trHeight w:val="247"/>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(in thousands)</w:t>
            </w:r>
          </w:p>
        </w:tc>
        <w:tc>
          <w:tcPr>
            <w:tcW w:w="420" w:type="dxa"/>
            <w:vAlign w:val="bottom"/>
          </w:tcPr>
          <w:p>
            <w:pPr>
              <w:spacing w:after="0"/>
              <w:rPr>
                <w:sz w:val="21"/>
                <w:szCs w:val="2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 net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4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5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231F20"/>
        </w:rPr>
        <w:t>The provision for income taxes for the three months ended March 31, 2013 and 2012 primarily reflects the provision for income taxes for foreign taxes and certain discrete items.</w:t>
      </w:r>
    </w:p>
    <w:p>
      <w:pPr>
        <w:spacing w:after="0" w:line="196" w:lineRule="exact"/>
        <w:rPr>
          <w:sz w:val="20"/>
          <w:szCs w:val="20"/>
          <w:color w:val="auto"/>
        </w:rPr>
      </w:pPr>
    </w:p>
    <w:p>
      <w:pPr>
        <w:ind w:right="40" w:firstLine="486"/>
        <w:spacing w:after="0" w:line="278" w:lineRule="auto"/>
        <w:rPr>
          <w:sz w:val="20"/>
          <w:szCs w:val="20"/>
          <w:color w:val="auto"/>
        </w:rPr>
      </w:pPr>
      <w:r>
        <w:rPr>
          <w:rFonts w:ascii="Arial" w:cs="Arial" w:eastAsia="Arial" w:hAnsi="Arial"/>
          <w:sz w:val="17"/>
          <w:szCs w:val="17"/>
          <w:color w:val="231F20"/>
        </w:rPr>
        <w:t xml:space="preserve">The Company had unrecognized tax benefits of </w:t>
      </w:r>
      <w:r>
        <w:rPr>
          <w:rFonts w:ascii="Arial" w:cs="Arial" w:eastAsia="Arial" w:hAnsi="Arial"/>
          <w:sz w:val="17"/>
          <w:szCs w:val="17"/>
          <w:color w:val="000000"/>
        </w:rPr>
        <w:t>$2.7 million</w:t>
      </w:r>
      <w:r>
        <w:rPr>
          <w:rFonts w:ascii="Arial" w:cs="Arial" w:eastAsia="Arial" w:hAnsi="Arial"/>
          <w:sz w:val="17"/>
          <w:szCs w:val="17"/>
          <w:color w:val="231F20"/>
        </w:rPr>
        <w:t xml:space="preserve">, of which </w:t>
      </w:r>
      <w:r>
        <w:rPr>
          <w:rFonts w:ascii="Arial" w:cs="Arial" w:eastAsia="Arial" w:hAnsi="Arial"/>
          <w:sz w:val="17"/>
          <w:szCs w:val="17"/>
          <w:color w:val="000000"/>
        </w:rPr>
        <w:t>$ 1.0 million</w:t>
      </w:r>
      <w:r>
        <w:rPr>
          <w:rFonts w:ascii="Arial" w:cs="Arial" w:eastAsia="Arial" w:hAnsi="Arial"/>
          <w:sz w:val="17"/>
          <w:szCs w:val="17"/>
          <w:color w:val="231F20"/>
        </w:rPr>
        <w:t xml:space="preserve">, if recognized and in absence of a valuation allowance, would favorably impact the Company's effective tax rate. As of December 31, 2012, the Company had unrecognized tax benefits of </w:t>
      </w:r>
      <w:r>
        <w:rPr>
          <w:rFonts w:ascii="Arial" w:cs="Arial" w:eastAsia="Arial" w:hAnsi="Arial"/>
          <w:sz w:val="17"/>
          <w:szCs w:val="17"/>
          <w:color w:val="000000"/>
        </w:rPr>
        <w:t>$2.6</w:t>
      </w:r>
      <w:r>
        <w:rPr>
          <w:rFonts w:ascii="Arial" w:cs="Arial" w:eastAsia="Arial" w:hAnsi="Arial"/>
          <w:sz w:val="17"/>
          <w:szCs w:val="17"/>
          <w:color w:val="231F20"/>
        </w:rPr>
        <w:t xml:space="preserve"> </w:t>
      </w:r>
      <w:r>
        <w:rPr>
          <w:rFonts w:ascii="Arial" w:cs="Arial" w:eastAsia="Arial" w:hAnsi="Arial"/>
          <w:sz w:val="17"/>
          <w:szCs w:val="17"/>
          <w:color w:val="000000"/>
        </w:rPr>
        <w:t>million</w:t>
      </w:r>
      <w:r>
        <w:rPr>
          <w:rFonts w:ascii="Arial" w:cs="Arial" w:eastAsia="Arial" w:hAnsi="Arial"/>
          <w:sz w:val="17"/>
          <w:szCs w:val="17"/>
          <w:color w:val="231F20"/>
        </w:rPr>
        <w:t>, of which</w:t>
      </w:r>
      <w:r>
        <w:rPr>
          <w:rFonts w:ascii="Arial" w:cs="Arial" w:eastAsia="Arial" w:hAnsi="Arial"/>
          <w:sz w:val="17"/>
          <w:szCs w:val="17"/>
          <w:color w:val="000000"/>
        </w:rPr>
        <w:t xml:space="preserve"> $1.0 million</w:t>
      </w:r>
      <w:r>
        <w:rPr>
          <w:rFonts w:ascii="Arial" w:cs="Arial" w:eastAsia="Arial" w:hAnsi="Arial"/>
          <w:sz w:val="17"/>
          <w:szCs w:val="17"/>
          <w:color w:val="231F20"/>
        </w:rPr>
        <w:t>, if recognized and in absence of valuation allowance, would favorably impact the Company's effective tax rate.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Segment Information and Information about Geographic Area</w:t>
      </w:r>
    </w:p>
    <w:p>
      <w:pPr>
        <w:spacing w:after="0" w:line="15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(“CODM”)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17,373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14,212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6,979</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24,883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21,191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2013</w:t>
      </w:r>
      <w:r>
        <w:rPr>
          <w:rFonts w:ascii="Arial" w:cs="Arial" w:eastAsia="Arial" w:hAnsi="Arial"/>
          <w:sz w:val="18"/>
          <w:szCs w:val="18"/>
          <w:color w:val="231F20"/>
        </w:rPr>
        <w:t xml:space="preserve"> and December 31, 2012, property and equipment located outside the United States were not material.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(Loss) Per Share Attributable to Common Stockholders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loss per share attributable to common stockholders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2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44"/>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r>
      <w:tr>
        <w:trPr>
          <w:trHeight w:val="276"/>
        </w:trPr>
        <w:tc>
          <w:tcPr>
            <w:tcW w:w="8580" w:type="dxa"/>
            <w:vAlign w:val="bottom"/>
          </w:tcPr>
          <w:p>
            <w:pPr>
              <w:ind w:left="40"/>
              <w:spacing w:after="0"/>
              <w:rPr>
                <w:sz w:val="20"/>
                <w:szCs w:val="20"/>
                <w:color w:val="auto"/>
              </w:rPr>
            </w:pPr>
            <w:r>
              <w:rPr>
                <w:rFonts w:ascii="Arial" w:cs="Arial" w:eastAsia="Arial" w:hAnsi="Arial"/>
                <w:sz w:val="14"/>
                <w:szCs w:val="14"/>
                <w:color w:val="auto"/>
              </w:rPr>
              <w:t>Numerator: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Denominator:</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 basic</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31,494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5,260</w:t>
            </w: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 diluted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31,494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5,260</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per share attributable to common stockholders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(loss) per share because doing so would be antidilutive are as follows:</w:t>
      </w:r>
    </w:p>
    <w:p>
      <w:pPr>
        <w:spacing w:after="0" w:line="21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26035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26035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options</w:t>
            </w:r>
          </w:p>
        </w:tc>
        <w:tc>
          <w:tcPr>
            <w:tcW w:w="49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6,176</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6,396</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340"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2012, filed with the Securities and Exchange Commission, or SEC, on March 5, 2013.</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We disclaim any obligation to update any forward-looking statements to reflect events or circumstances after the date of such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7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were founded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85% and 88% for the three months ended March 31, 2013 and 2012,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w:t>
      </w:r>
    </w:p>
    <w:p>
      <w:pPr>
        <w:spacing w:after="0" w:line="16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w:t>
      </w:r>
    </w:p>
    <w:p>
      <w:pPr>
        <w:spacing w:after="0" w:line="16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jc w:val="both"/>
        <w:ind w:right="400" w:firstLine="405"/>
        <w:spacing w:after="0" w:line="256" w:lineRule="auto"/>
        <w:rPr>
          <w:sz w:val="20"/>
          <w:szCs w:val="20"/>
          <w:color w:val="auto"/>
        </w:rPr>
      </w:pPr>
      <w:r>
        <w:rPr>
          <w:rFonts w:ascii="Arial" w:cs="Arial" w:eastAsia="Arial" w:hAnsi="Arial"/>
          <w:sz w:val="18"/>
          <w:szCs w:val="18"/>
          <w:color w:val="231F20"/>
        </w:rPr>
        <w:t xml:space="preserve">We have had strong revenue growth in the three months ended March 31, 2013 compared to the same period in 2012. Our revenues increased to </w:t>
      </w:r>
      <w:r>
        <w:rPr>
          <w:rFonts w:ascii="Arial" w:cs="Arial" w:eastAsia="Arial" w:hAnsi="Arial"/>
          <w:sz w:val="18"/>
          <w:szCs w:val="18"/>
          <w:color w:val="000000"/>
        </w:rPr>
        <w:t>$24.9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from </w:t>
      </w:r>
      <w:r>
        <w:rPr>
          <w:rFonts w:ascii="Arial" w:cs="Arial" w:eastAsia="Arial" w:hAnsi="Arial"/>
          <w:sz w:val="18"/>
          <w:szCs w:val="18"/>
          <w:color w:val="000000"/>
        </w:rPr>
        <w:t>$21.2 million</w:t>
      </w:r>
      <w:r>
        <w:rPr>
          <w:rFonts w:ascii="Arial" w:cs="Arial" w:eastAsia="Arial" w:hAnsi="Arial"/>
          <w:sz w:val="18"/>
          <w:szCs w:val="18"/>
          <w:color w:val="231F20"/>
        </w:rPr>
        <w:t xml:space="preserve"> for the comparable period in 2012, representing a period-over-period increase of </w:t>
      </w:r>
      <w:r>
        <w:rPr>
          <w:rFonts w:ascii="Arial" w:cs="Arial" w:eastAsia="Arial" w:hAnsi="Arial"/>
          <w:sz w:val="18"/>
          <w:szCs w:val="18"/>
          <w:color w:val="000000"/>
        </w:rPr>
        <w:t>$3.7 million</w:t>
      </w:r>
      <w:r>
        <w:rPr>
          <w:rFonts w:ascii="Arial" w:cs="Arial" w:eastAsia="Arial" w:hAnsi="Arial"/>
          <w:sz w:val="18"/>
          <w:szCs w:val="18"/>
          <w:color w:val="231F20"/>
        </w:rPr>
        <w:t xml:space="preserve">, or </w:t>
      </w:r>
      <w:r>
        <w:rPr>
          <w:rFonts w:ascii="Arial" w:cs="Arial" w:eastAsia="Arial" w:hAnsi="Arial"/>
          <w:sz w:val="18"/>
          <w:szCs w:val="18"/>
          <w:color w:val="000000"/>
        </w:rPr>
        <w:t>17%</w:t>
      </w:r>
      <w:r>
        <w:rPr>
          <w:rFonts w:ascii="Arial" w:cs="Arial" w:eastAsia="Arial" w:hAnsi="Arial"/>
          <w:sz w:val="18"/>
          <w:szCs w:val="18"/>
          <w:color w:val="231F20"/>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09" w:right="27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w:t>
      </w:r>
    </w:p>
    <w:p>
      <w:pPr>
        <w:spacing w:after="0" w:line="212"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231F20"/>
        </w:rPr>
        <w:t>The following unaudited table presents the reconciliation of revenues to Four-Quarter Bookings for the four quarters ended March 31, 2013 and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Four Quarters Ended</w:t>
            </w:r>
          </w:p>
        </w:tc>
      </w:tr>
      <w:tr>
        <w:trPr>
          <w:trHeight w:val="283"/>
        </w:trPr>
        <w:tc>
          <w:tcPr>
            <w:tcW w:w="7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6"/>
                <w:szCs w:val="16"/>
                <w:b w:val="1"/>
                <w:bCs w:val="1"/>
                <w:color w:val="auto"/>
              </w:rPr>
              <w:t>March 31,</w:t>
            </w:r>
          </w:p>
        </w:tc>
        <w:tc>
          <w:tcPr>
            <w:tcW w:w="132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247"/>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95,112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79,713</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Beginning of the Four-Quarter Period</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48,354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37,773</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Ending</w:t>
            </w: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58,356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48,354</w:t>
            </w:r>
          </w:p>
        </w:tc>
      </w:tr>
      <w:tr>
        <w:trPr>
          <w:trHeight w:val="250"/>
        </w:trPr>
        <w:tc>
          <w:tcPr>
            <w:tcW w:w="7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change</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10,581</w:t>
            </w: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Four-Quarter Bookings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105,114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90,294</w:t>
            </w:r>
          </w:p>
        </w:tc>
      </w:tr>
      <w:tr>
        <w:trPr>
          <w:trHeight w:val="22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 xml:space="preserve">The following unaudited table presents the reconciliation of net income to Adjusted EBITDA for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r>
      <w:tr>
        <w:trPr>
          <w:trHeight w:val="264"/>
        </w:trPr>
        <w:tc>
          <w:tcPr>
            <w:tcW w:w="8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47"/>
        </w:trPr>
        <w:tc>
          <w:tcPr>
            <w:tcW w:w="8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77</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14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1,648</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676</w:t>
            </w:r>
          </w:p>
        </w:tc>
      </w:tr>
      <w:tr>
        <w:trPr>
          <w:trHeight w:val="24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2,296</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0"/>
        </w:trPr>
        <w:tc>
          <w:tcPr>
            <w:tcW w:w="84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Four-Quarter Bookings and Adjusted EBITDA</w:t>
      </w:r>
    </w:p>
    <w:p>
      <w:pPr>
        <w:spacing w:after="0" w:line="19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88" w:lineRule="exact"/>
        <w:rPr>
          <w:sz w:val="20"/>
          <w:szCs w:val="20"/>
          <w:color w:val="auto"/>
        </w:rPr>
      </w:pPr>
    </w:p>
    <w:p>
      <w:pPr>
        <w:ind w:left="106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Four-Quarter Bookings reflects the amount of revenues over a four-quarter period, plus the net change in the current portion of deferred revenues, while revenues are recognized ratably over the subscription periods;</w:t>
      </w:r>
    </w:p>
    <w:p>
      <w:pPr>
        <w:spacing w:after="0" w:line="47"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right="2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Four-Quarter Bookings or Adjusted EBITDA differently or not at all, which reduces their usefulness as a comparative measure.</w:t>
      </w:r>
    </w:p>
    <w:p>
      <w:pPr>
        <w:spacing w:after="0" w:line="23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Because of these limitations, Four-Quarter Bookings and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provided to certain customers as part of their subscriptions, expenses related to the use of third-party data centers, amortization of third-party technology licensing fees, shipping costs, fees paid to contractors who supplement or support our operations center personnel and overhead allocations. We expect to continue to make significant capital investments to expand our data center operations, which will increase the cost of revenues in absolute dollars.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that sales and marketing expenses will increase in absolute dollars.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professional services fees, insurance, certain other corporate governance-related expenses, and overhead allocations. We expect that general and administrative expenses will increase in absolute dollars, as we continue to add personnel to support our growth and operate as a public company.</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Our other income (expense), net consists primarily of foreign exchange gains and losses, the majority of which result from fluctuations between the U.S. dollar and the Euro, British pound and Japanese yen, interest expense associated with our capital leases, and interest and investment income.</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Our effective tax rate could also change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41" w:right="29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center"/>
              <w:ind w:right="34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left="402"/>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center"/>
              <w:ind w:right="342"/>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103"/>
              <w:spacing w:after="0"/>
              <w:rPr>
                <w:sz w:val="20"/>
                <w:szCs w:val="20"/>
                <w:color w:val="auto"/>
              </w:rPr>
            </w:pPr>
            <w:r>
              <w:rPr>
                <w:rFonts w:ascii="Arial" w:cs="Arial" w:eastAsia="Arial" w:hAnsi="Arial"/>
                <w:sz w:val="16"/>
                <w:szCs w:val="16"/>
                <w:color w:val="231F20"/>
                <w:w w:val="89"/>
              </w:rPr>
              <w:t>$</w:t>
            </w:r>
          </w:p>
        </w:tc>
        <w:tc>
          <w:tcPr>
            <w:tcW w:w="16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24,883</w:t>
            </w:r>
          </w:p>
        </w:tc>
        <w:tc>
          <w:tcPr>
            <w:tcW w:w="12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32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21,191</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28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5,795</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2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4,160</w:t>
            </w:r>
          </w:p>
        </w:tc>
        <w:tc>
          <w:tcPr>
            <w:tcW w:w="0" w:type="dxa"/>
            <w:vAlign w:val="bottom"/>
          </w:tcPr>
          <w:p>
            <w:pPr>
              <w:spacing w:after="0"/>
              <w:rPr>
                <w:sz w:val="1"/>
                <w:szCs w:val="1"/>
                <w:color w:val="auto"/>
              </w:rPr>
            </w:pPr>
          </w:p>
        </w:tc>
      </w:tr>
      <w:tr>
        <w:trPr>
          <w:trHeight w:val="240"/>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19,088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17,031</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5,297</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5,101</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10,168</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9,246</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28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3,896</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2,814</w:t>
            </w:r>
          </w:p>
        </w:tc>
        <w:tc>
          <w:tcPr>
            <w:tcW w:w="0" w:type="dxa"/>
            <w:vAlign w:val="bottom"/>
          </w:tcPr>
          <w:p>
            <w:pPr>
              <w:spacing w:after="0"/>
              <w:rPr>
                <w:sz w:val="1"/>
                <w:szCs w:val="1"/>
                <w:color w:val="auto"/>
              </w:rPr>
            </w:pPr>
          </w:p>
        </w:tc>
      </w:tr>
      <w:tr>
        <w:trPr>
          <w:trHeight w:val="244"/>
        </w:trPr>
        <w:tc>
          <w:tcPr>
            <w:tcW w:w="85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19,361</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17,161</w:t>
            </w:r>
          </w:p>
        </w:tc>
        <w:tc>
          <w:tcPr>
            <w:tcW w:w="0" w:type="dxa"/>
            <w:vAlign w:val="bottom"/>
          </w:tcPr>
          <w:p>
            <w:pPr>
              <w:spacing w:after="0"/>
              <w:rPr>
                <w:sz w:val="1"/>
                <w:szCs w:val="1"/>
                <w:color w:val="auto"/>
              </w:rPr>
            </w:pPr>
          </w:p>
        </w:tc>
      </w:tr>
      <w:tr>
        <w:trPr>
          <w:trHeight w:val="23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7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before provision for income taxes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7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70</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80" w:type="dxa"/>
            <w:vAlign w:val="bottom"/>
            <w:vMerge w:val="continue"/>
          </w:tcPr>
          <w:p>
            <w:pPr>
              <w:spacing w:after="0"/>
              <w:rPr>
                <w:sz w:val="24"/>
                <w:szCs w:val="24"/>
                <w:color w:val="auto"/>
              </w:rPr>
            </w:pPr>
          </w:p>
        </w:tc>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58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1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right="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left="682"/>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center"/>
              <w:ind w:right="4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4"/>
                <w:szCs w:val="24"/>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740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4"/>
                <w:szCs w:val="24"/>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949</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31750</wp:posOffset>
            </wp:positionV>
            <wp:extent cx="1920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57"/>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43"/>
        </w:trPr>
        <w:tc>
          <w:tcPr>
            <w:tcW w:w="9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w:t>
            </w:r>
          </w:p>
        </w:tc>
      </w:tr>
      <w:tr>
        <w:trPr>
          <w:trHeight w:val="260"/>
        </w:trPr>
        <w:tc>
          <w:tcPr>
            <w:tcW w:w="93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0"/>
        </w:trPr>
        <w:tc>
          <w:tcPr>
            <w:tcW w:w="9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60"/>
        </w:trPr>
        <w:tc>
          <w:tcPr>
            <w:tcW w:w="93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44</w:t>
            </w:r>
          </w:p>
        </w:tc>
      </w:tr>
      <w:tr>
        <w:trPr>
          <w:trHeight w:val="273"/>
        </w:trPr>
        <w:tc>
          <w:tcPr>
            <w:tcW w:w="8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37"/>
        </w:trPr>
        <w:tc>
          <w:tcPr>
            <w:tcW w:w="8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w:t>
            </w:r>
          </w:p>
        </w:tc>
      </w:tr>
      <w:tr>
        <w:trPr>
          <w:trHeight w:val="243"/>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43"/>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before provision for income taxes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40"/>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2013</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2012</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24,883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3,692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1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$3.7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2012</w:t>
      </w:r>
      <w:r>
        <w:rPr>
          <w:rFonts w:ascii="Arial" w:cs="Arial" w:eastAsia="Arial" w:hAnsi="Arial"/>
          <w:sz w:val="18"/>
          <w:szCs w:val="18"/>
          <w:color w:val="231F20"/>
        </w:rPr>
        <w:t xml:space="preserve">, primarily due to new customer subscriptions entered into after March 31, 2012 and from an increase in the purchase of subscriptions from existing customers. Of the total increase of </w:t>
      </w:r>
      <w:r>
        <w:rPr>
          <w:rFonts w:ascii="Arial" w:cs="Arial" w:eastAsia="Arial" w:hAnsi="Arial"/>
          <w:sz w:val="18"/>
          <w:szCs w:val="18"/>
          <w:color w:val="000000"/>
        </w:rPr>
        <w:t>$3.7 million</w:t>
      </w:r>
      <w:r>
        <w:rPr>
          <w:rFonts w:ascii="Arial" w:cs="Arial" w:eastAsia="Arial" w:hAnsi="Arial"/>
          <w:sz w:val="18"/>
          <w:szCs w:val="18"/>
          <w:color w:val="231F20"/>
        </w:rPr>
        <w:t xml:space="preserve">, </w:t>
      </w:r>
      <w:r>
        <w:rPr>
          <w:rFonts w:ascii="Arial" w:cs="Arial" w:eastAsia="Arial" w:hAnsi="Arial"/>
          <w:sz w:val="18"/>
          <w:szCs w:val="18"/>
          <w:color w:val="000000"/>
        </w:rPr>
        <w:t>$3.2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$0.5 million</w:t>
      </w:r>
      <w:r>
        <w:rPr>
          <w:rFonts w:ascii="Arial" w:cs="Arial" w:eastAsia="Arial" w:hAnsi="Arial"/>
          <w:sz w:val="18"/>
          <w:szCs w:val="18"/>
          <w:color w:val="231F20"/>
        </w:rPr>
        <w:t xml:space="preserve"> was from customers in foreign countries. The growth in revenues reflects increased demand for our solutions.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5,795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1,635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$1.6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primarily due to increased personnel expenses of $0.6 million, principally driven by the addition of employees in our operations team;</w:t>
      </w:r>
      <w:r>
        <w:rPr>
          <w:rFonts w:ascii="Arial" w:cs="Arial" w:eastAsia="Arial" w:hAnsi="Arial"/>
          <w:sz w:val="18"/>
          <w:szCs w:val="18"/>
          <w:color w:val="000000"/>
        </w:rPr>
        <w:t xml:space="preserve"> </w:t>
      </w:r>
      <w:r>
        <w:rPr>
          <w:rFonts w:ascii="Arial" w:cs="Arial" w:eastAsia="Arial" w:hAnsi="Arial"/>
          <w:sz w:val="18"/>
          <w:szCs w:val="18"/>
          <w:color w:val="231F20"/>
        </w:rPr>
        <w:t>$0.4 million of higher depreciation expenses related to additional data center equipment and physical scanner appliances deployed to customers; and $0.3 million related to increased data center costs, driven by expanded storage and other data center-related costs. The decrease in gross profit percentage reflects the impact of continued increased investments to expand our data center infrastructure and to add capacity to deploy new solutions on our cloud platform.</w:t>
      </w: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5,297</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196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$0.2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2012</w:t>
      </w:r>
      <w:r>
        <w:rPr>
          <w:rFonts w:ascii="Arial" w:cs="Arial" w:eastAsia="Arial" w:hAnsi="Arial"/>
          <w:sz w:val="18"/>
          <w:szCs w:val="18"/>
          <w:color w:val="231F20"/>
        </w:rPr>
        <w:t>, primarily due to an increase in personnel expenses due to the addition of employees as we continue to invest in</w:t>
      </w:r>
      <w:r>
        <w:rPr>
          <w:rFonts w:ascii="Arial" w:cs="Arial" w:eastAsia="Arial" w:hAnsi="Arial"/>
          <w:sz w:val="18"/>
          <w:szCs w:val="18"/>
          <w:color w:val="000000"/>
        </w:rPr>
        <w:t xml:space="preserve"> </w:t>
      </w:r>
      <w:r>
        <w:rPr>
          <w:rFonts w:ascii="Arial" w:cs="Arial" w:eastAsia="Arial" w:hAnsi="Arial"/>
          <w:sz w:val="18"/>
          <w:szCs w:val="18"/>
          <w:color w:val="231F20"/>
        </w:rPr>
        <w:t>enhancing our platform and developing new solutions.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10,168</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922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$0.9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2012</w:t>
      </w:r>
      <w:r>
        <w:rPr>
          <w:rFonts w:ascii="Arial" w:cs="Arial" w:eastAsia="Arial" w:hAnsi="Arial"/>
          <w:sz w:val="18"/>
          <w:szCs w:val="18"/>
          <w:color w:val="231F20"/>
        </w:rPr>
        <w:t>, primarily due to an increase in personnel expenses of $0.9 million, principally driven by the addition of employees as we</w:t>
      </w:r>
      <w:r>
        <w:rPr>
          <w:rFonts w:ascii="Arial" w:cs="Arial" w:eastAsia="Arial" w:hAnsi="Arial"/>
          <w:sz w:val="18"/>
          <w:szCs w:val="18"/>
          <w:color w:val="000000"/>
        </w:rPr>
        <w:t xml:space="preserve"> </w:t>
      </w:r>
      <w:r>
        <w:rPr>
          <w:rFonts w:ascii="Arial" w:cs="Arial" w:eastAsia="Arial" w:hAnsi="Arial"/>
          <w:sz w:val="18"/>
          <w:szCs w:val="18"/>
          <w:color w:val="231F20"/>
        </w:rPr>
        <w:t>continue to expand our domestic and international sales and marketing efforts and higher performance-based compensation as a result of higher bookings. We also incurred increased marketing program and event expenses, partially offset by lower travel related costs.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3,896</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1,082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$1.1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2012</w:t>
      </w:r>
      <w:r>
        <w:rPr>
          <w:rFonts w:ascii="Arial" w:cs="Arial" w:eastAsia="Arial" w:hAnsi="Arial"/>
          <w:sz w:val="18"/>
          <w:szCs w:val="18"/>
          <w:color w:val="231F20"/>
        </w:rPr>
        <w:t>, primarily due to an increase in personnel expenses of $0.6 million principally due to the addition of employees to</w:t>
      </w:r>
      <w:r>
        <w:rPr>
          <w:rFonts w:ascii="Arial" w:cs="Arial" w:eastAsia="Arial" w:hAnsi="Arial"/>
          <w:sz w:val="18"/>
          <w:szCs w:val="18"/>
          <w:color w:val="000000"/>
        </w:rPr>
        <w:t xml:space="preserve"> </w:t>
      </w:r>
      <w:r>
        <w:rPr>
          <w:rFonts w:ascii="Arial" w:cs="Arial" w:eastAsia="Arial" w:hAnsi="Arial"/>
          <w:sz w:val="18"/>
          <w:szCs w:val="18"/>
          <w:color w:val="231F20"/>
        </w:rPr>
        <w:t>support the growth of our business and building out of our infrastructure to support the requirements of being a public company; an increase of $0.3 million related to insurance, director fees and other fees; and $0.1 million in professional services.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52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5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6"/>
              </w:rPr>
              <w:t>(260)</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(183)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 xml:space="preserve">Other expense increased </w:t>
      </w:r>
      <w:r>
        <w:rPr>
          <w:rFonts w:ascii="Arial" w:cs="Arial" w:eastAsia="Arial" w:hAnsi="Arial"/>
          <w:sz w:val="18"/>
          <w:szCs w:val="18"/>
          <w:color w:val="000000"/>
        </w:rPr>
        <w:t>$0.2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2012</w:t>
      </w:r>
      <w:r>
        <w:rPr>
          <w:rFonts w:ascii="Arial" w:cs="Arial" w:eastAsia="Arial" w:hAnsi="Arial"/>
          <w:sz w:val="18"/>
          <w:szCs w:val="18"/>
          <w:color w:val="231F20"/>
        </w:rPr>
        <w:t>, primarily due to foreign exchange losses of $0.3 million, partially offset by $0.1 million of investment income.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2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70</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6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231F20"/>
        </w:rPr>
        <w:t>Provision for income taxes was relatively constant in the three months ended March 31, 2013 and 2012. Although the loss before provision for income tax was higher in the three months ended March 31, 2013, as we had a valuation allowance in the United States, the provision for income taxes was primarily recorded for taxes on income in foreign jurisdictions and did not change significantly from the same quarter a year ago.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2013</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$125.2</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$1.6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applicable foreign tax credits.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three months ended March 31, 2013 and 2012. We believe our existing cash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9,628</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provided by (used in) investing activities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(2,927)</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12,220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jc w:val="both"/>
        <w:ind w:left="1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$10.1 million</w:t>
      </w:r>
      <w:r>
        <w:rPr>
          <w:rFonts w:ascii="Arial" w:cs="Arial" w:eastAsia="Arial" w:hAnsi="Arial"/>
          <w:sz w:val="18"/>
          <w:szCs w:val="18"/>
          <w:color w:val="231F20"/>
        </w:rPr>
        <w:t xml:space="preserve"> in cash related to a decrease of accounts receivable of </w:t>
      </w:r>
      <w:r>
        <w:rPr>
          <w:rFonts w:ascii="Arial" w:cs="Arial" w:eastAsia="Arial" w:hAnsi="Arial"/>
          <w:sz w:val="18"/>
          <w:szCs w:val="18"/>
          <w:color w:val="000000"/>
        </w:rPr>
        <w:t>$5.5 million</w:t>
      </w:r>
      <w:r>
        <w:rPr>
          <w:rFonts w:ascii="Arial" w:cs="Arial" w:eastAsia="Arial" w:hAnsi="Arial"/>
          <w:sz w:val="18"/>
          <w:szCs w:val="18"/>
          <w:color w:val="231F20"/>
        </w:rPr>
        <w:t xml:space="preserve"> due to lower bookings in the first quarter compared to the fourth quarter of the prior year and an increase of </w:t>
      </w:r>
      <w:r>
        <w:rPr>
          <w:rFonts w:ascii="Arial" w:cs="Arial" w:eastAsia="Arial" w:hAnsi="Arial"/>
          <w:sz w:val="18"/>
          <w:szCs w:val="18"/>
          <w:color w:val="000000"/>
        </w:rPr>
        <w:t>$1.1</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in deferred revenues, attributable to our continued growth. These working capital increases are partially offset by a net loss of</w:t>
      </w:r>
      <w:r>
        <w:rPr>
          <w:rFonts w:ascii="Arial" w:cs="Arial" w:eastAsia="Arial" w:hAnsi="Arial"/>
          <w:sz w:val="18"/>
          <w:szCs w:val="18"/>
          <w:color w:val="000000"/>
        </w:rPr>
        <w:t xml:space="preserve"> $0.6 million</w:t>
      </w:r>
      <w:r>
        <w:rPr>
          <w:rFonts w:ascii="Arial" w:cs="Arial" w:eastAsia="Arial" w:hAnsi="Arial"/>
          <w:sz w:val="18"/>
          <w:szCs w:val="18"/>
          <w:color w:val="231F20"/>
        </w:rPr>
        <w:t>, adjusted by non-cash items including depreciation and amortization of</w:t>
      </w:r>
      <w:r>
        <w:rPr>
          <w:rFonts w:ascii="Arial" w:cs="Arial" w:eastAsia="Arial" w:hAnsi="Arial"/>
          <w:sz w:val="18"/>
          <w:szCs w:val="18"/>
          <w:color w:val="000000"/>
        </w:rPr>
        <w:t xml:space="preserve"> $2.1 million </w:t>
      </w:r>
      <w:r>
        <w:rPr>
          <w:rFonts w:ascii="Arial" w:cs="Arial" w:eastAsia="Arial" w:hAnsi="Arial"/>
          <w:sz w:val="18"/>
          <w:szCs w:val="18"/>
          <w:color w:val="231F20"/>
        </w:rPr>
        <w:t>and stock-based compensation of</w:t>
      </w:r>
      <w:r>
        <w:rPr>
          <w:rFonts w:ascii="Arial" w:cs="Arial" w:eastAsia="Arial" w:hAnsi="Arial"/>
          <w:sz w:val="18"/>
          <w:szCs w:val="18"/>
          <w:color w:val="000000"/>
        </w:rPr>
        <w:t xml:space="preserve"> $0.9 million</w:t>
      </w:r>
      <w:r>
        <w:rPr>
          <w:rFonts w:ascii="Arial" w:cs="Arial" w:eastAsia="Arial" w:hAnsi="Arial"/>
          <w:sz w:val="18"/>
          <w:szCs w:val="18"/>
          <w:color w:val="231F20"/>
        </w:rPr>
        <w:t>.</w:t>
      </w:r>
    </w:p>
    <w:p>
      <w:pPr>
        <w:spacing w:after="0" w:line="204" w:lineRule="exact"/>
        <w:rPr>
          <w:sz w:val="20"/>
          <w:szCs w:val="20"/>
          <w:color w:val="auto"/>
        </w:rPr>
      </w:pPr>
    </w:p>
    <w:p>
      <w:pPr>
        <w:ind w:left="140" w:right="8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2012</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$9.6 million</w:t>
      </w:r>
      <w:r>
        <w:rPr>
          <w:rFonts w:ascii="Arial" w:cs="Arial" w:eastAsia="Arial" w:hAnsi="Arial"/>
          <w:sz w:val="18"/>
          <w:szCs w:val="18"/>
          <w:color w:val="231F20"/>
        </w:rPr>
        <w:t xml:space="preserve"> in cash related to a decrease of accounts receivable of </w:t>
      </w:r>
      <w:r>
        <w:rPr>
          <w:rFonts w:ascii="Arial" w:cs="Arial" w:eastAsia="Arial" w:hAnsi="Arial"/>
          <w:sz w:val="18"/>
          <w:szCs w:val="18"/>
          <w:color w:val="000000"/>
        </w:rPr>
        <w:t>$5.2 million</w:t>
      </w:r>
      <w:r>
        <w:rPr>
          <w:rFonts w:ascii="Arial" w:cs="Arial" w:eastAsia="Arial" w:hAnsi="Arial"/>
          <w:sz w:val="18"/>
          <w:szCs w:val="18"/>
          <w:color w:val="231F20"/>
        </w:rPr>
        <w:t xml:space="preserve"> due to lower bookings in the first quarter compared to the fourth quarter of the prior year and an increase of </w:t>
      </w:r>
      <w:r>
        <w:rPr>
          <w:rFonts w:ascii="Arial" w:cs="Arial" w:eastAsia="Arial" w:hAnsi="Arial"/>
          <w:sz w:val="18"/>
          <w:szCs w:val="18"/>
          <w:color w:val="000000"/>
        </w:rPr>
        <w:t>$2.7</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in deferred revenues, attributable to our continued growth and also due to an increase in subscriptions exceeding one year. These</w:t>
      </w:r>
      <w:r>
        <w:rPr>
          <w:rFonts w:ascii="Arial" w:cs="Arial" w:eastAsia="Arial" w:hAnsi="Arial"/>
          <w:sz w:val="18"/>
          <w:szCs w:val="18"/>
          <w:color w:val="000000"/>
        </w:rPr>
        <w:t xml:space="preserve"> </w:t>
      </w:r>
      <w:r>
        <w:rPr>
          <w:rFonts w:ascii="Arial" w:cs="Arial" w:eastAsia="Arial" w:hAnsi="Arial"/>
          <w:sz w:val="18"/>
          <w:szCs w:val="18"/>
          <w:color w:val="231F20"/>
        </w:rPr>
        <w:t xml:space="preserve">working capital increases were partially offset by a net loss of </w:t>
      </w:r>
      <w:r>
        <w:rPr>
          <w:rFonts w:ascii="Arial" w:cs="Arial" w:eastAsia="Arial" w:hAnsi="Arial"/>
          <w:sz w:val="18"/>
          <w:szCs w:val="18"/>
          <w:color w:val="000000"/>
        </w:rPr>
        <w:t>$0.3 million</w:t>
      </w:r>
      <w:r>
        <w:rPr>
          <w:rFonts w:ascii="Arial" w:cs="Arial" w:eastAsia="Arial" w:hAnsi="Arial"/>
          <w:sz w:val="18"/>
          <w:szCs w:val="18"/>
          <w:color w:val="231F20"/>
        </w:rPr>
        <w:t xml:space="preserve">, adjusted by non-cash items such as depreciation and amortization of $1.7 million and stock-based compensation of </w:t>
      </w:r>
      <w:r>
        <w:rPr>
          <w:rFonts w:ascii="Arial" w:cs="Arial" w:eastAsia="Arial" w:hAnsi="Arial"/>
          <w:sz w:val="18"/>
          <w:szCs w:val="18"/>
          <w:color w:val="000000"/>
        </w:rPr>
        <w:t>$0.7 million</w:t>
      </w:r>
      <w:r>
        <w:rPr>
          <w:rFonts w:ascii="Arial" w:cs="Arial" w:eastAsia="Arial" w:hAnsi="Arial"/>
          <w:sz w:val="18"/>
          <w:szCs w:val="18"/>
          <w:color w:val="231F20"/>
        </w:rPr>
        <w: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 investing activities provided </w:t>
      </w:r>
      <w:r>
        <w:rPr>
          <w:rFonts w:ascii="Arial" w:cs="Arial" w:eastAsia="Arial" w:hAnsi="Arial"/>
          <w:sz w:val="18"/>
          <w:szCs w:val="18"/>
          <w:color w:val="000000"/>
        </w:rPr>
        <w:t>$1.7 million. This increase is primarily attributable to the sale of</w:t>
      </w:r>
      <w:r>
        <w:rPr>
          <w:rFonts w:ascii="Arial" w:cs="Arial" w:eastAsia="Arial" w:hAnsi="Arial"/>
          <w:sz w:val="18"/>
          <w:szCs w:val="18"/>
          <w:color w:val="231F20"/>
        </w:rPr>
        <w:t xml:space="preserve"> </w:t>
      </w:r>
      <w:r>
        <w:rPr>
          <w:rFonts w:ascii="Arial" w:cs="Arial" w:eastAsia="Arial" w:hAnsi="Arial"/>
          <w:sz w:val="18"/>
          <w:szCs w:val="18"/>
          <w:color w:val="000000"/>
        </w:rPr>
        <w:t>investments of $65.3 million, partially offset by the purchase of investments of $59.9 million, and the use of $3.7 million of cash for capital expenditures, including computer hardware and software for our data centers to support our growth and development, and to purchase physical scanner appliances provided to certain customers as part of their subscriptions.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2012</w:t>
      </w:r>
      <w:r>
        <w:rPr>
          <w:rFonts w:ascii="Arial" w:cs="Arial" w:eastAsia="Arial" w:hAnsi="Arial"/>
          <w:sz w:val="18"/>
          <w:szCs w:val="18"/>
          <w:color w:val="231F20"/>
        </w:rPr>
        <w:t xml:space="preserve">, we used </w:t>
      </w:r>
      <w:r>
        <w:rPr>
          <w:rFonts w:ascii="Arial" w:cs="Arial" w:eastAsia="Arial" w:hAnsi="Arial"/>
          <w:sz w:val="18"/>
          <w:szCs w:val="18"/>
          <w:color w:val="000000"/>
        </w:rPr>
        <w:t>$2.9 million</w:t>
      </w:r>
      <w:r>
        <w:rPr>
          <w:rFonts w:ascii="Arial" w:cs="Arial" w:eastAsia="Arial" w:hAnsi="Arial"/>
          <w:sz w:val="18"/>
          <w:szCs w:val="18"/>
          <w:color w:val="231F20"/>
        </w:rPr>
        <w:t xml:space="preserve"> of cash for capital expenditures, including computer hardware and software for our data centers to support our growth and development, and to purchase physical scanner appliances provided to certain customers as part of their subscriptions.</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$0.5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$0.8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$0.3 million</w:t>
      </w:r>
      <w:r>
        <w:rPr>
          <w:rFonts w:ascii="Arial" w:cs="Arial" w:eastAsia="Arial" w:hAnsi="Arial"/>
          <w:sz w:val="18"/>
          <w:szCs w:val="18"/>
          <w:color w:val="231F20"/>
        </w:rPr>
        <w:t>.</w:t>
      </w:r>
    </w:p>
    <w:p>
      <w:pPr>
        <w:spacing w:after="0" w:line="196"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2012</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$0.6 million</w:t>
      </w:r>
      <w:r>
        <w:rPr>
          <w:rFonts w:ascii="Arial" w:cs="Arial" w:eastAsia="Arial" w:hAnsi="Arial"/>
          <w:sz w:val="18"/>
          <w:szCs w:val="18"/>
          <w:color w:val="231F20"/>
        </w:rPr>
        <w:t xml:space="preserve"> was primarily attributable to repayments on our capital lease obligations of </w:t>
      </w:r>
      <w:r>
        <w:rPr>
          <w:rFonts w:ascii="Arial" w:cs="Arial" w:eastAsia="Arial" w:hAnsi="Arial"/>
          <w:sz w:val="18"/>
          <w:szCs w:val="18"/>
          <w:color w:val="000000"/>
        </w:rPr>
        <w:t>$0.7 million</w:t>
      </w:r>
      <w:r>
        <w:rPr>
          <w:rFonts w:ascii="Arial" w:cs="Arial" w:eastAsia="Arial" w:hAnsi="Arial"/>
          <w:sz w:val="18"/>
          <w:szCs w:val="18"/>
          <w:color w:val="231F20"/>
        </w:rPr>
        <w:t xml:space="preserve">, partially offset by </w:t>
      </w:r>
      <w:r>
        <w:rPr>
          <w:rFonts w:ascii="Arial" w:cs="Arial" w:eastAsia="Arial" w:hAnsi="Arial"/>
          <w:sz w:val="18"/>
          <w:szCs w:val="18"/>
          <w:color w:val="000000"/>
        </w:rPr>
        <w:t>$0.2 million</w:t>
      </w:r>
      <w:r>
        <w:rPr>
          <w:rFonts w:ascii="Arial" w:cs="Arial" w:eastAsia="Arial" w:hAnsi="Arial"/>
          <w:sz w:val="18"/>
          <w:szCs w:val="18"/>
          <w:color w:val="231F20"/>
        </w:rPr>
        <w:t xml:space="preserve"> of proceeds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and third-party data centers, capital lease and third-party software maintenance obligations. The following table summarizes our contractual cash obligations, including future interest payments, at </w:t>
      </w:r>
      <w:r>
        <w:rPr>
          <w:rFonts w:ascii="Arial" w:cs="Arial" w:eastAsia="Arial" w:hAnsi="Arial"/>
          <w:sz w:val="18"/>
          <w:szCs w:val="18"/>
          <w:color w:val="000000"/>
        </w:rPr>
        <w:t>March 31, 2013</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 and</w:t>
            </w:r>
          </w:p>
        </w:tc>
      </w:tr>
      <w:tr>
        <w:trPr>
          <w:trHeight w:val="180"/>
        </w:trPr>
        <w:tc>
          <w:tcPr>
            <w:tcW w:w="4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1"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rPr>
              <w:t>2014-2015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2016-2017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Maintenance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13,741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4,329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6,448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2,876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r>
      <w:tr>
        <w:trPr>
          <w:trHeight w:val="20"/>
        </w:trPr>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61"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three months ended March 31, 2013</w:t>
      </w:r>
      <w:r>
        <w:rPr>
          <w:rFonts w:ascii="Arial" w:cs="Arial" w:eastAsia="Arial" w:hAnsi="Arial"/>
          <w:sz w:val="14"/>
          <w:szCs w:val="14"/>
          <w:color w:val="231F20"/>
        </w:rPr>
        <w:t>, we made regular payments on our operating lease obligations of $0.9 million</w:t>
      </w:r>
    </w:p>
    <w:p>
      <w:pPr>
        <w:ind w:left="340" w:right="40" w:hanging="332"/>
        <w:spacing w:after="0" w:line="251"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software purchases. During the </w:t>
      </w:r>
      <w:r>
        <w:rPr>
          <w:rFonts w:ascii="Arial" w:cs="Arial" w:eastAsia="Arial" w:hAnsi="Arial"/>
          <w:sz w:val="14"/>
          <w:szCs w:val="14"/>
          <w:color w:val="000000"/>
        </w:rPr>
        <w:t>three months ended March 31, 2013</w:t>
      </w:r>
      <w:r>
        <w:rPr>
          <w:rFonts w:ascii="Arial" w:cs="Arial" w:eastAsia="Arial" w:hAnsi="Arial"/>
          <w:sz w:val="14"/>
          <w:szCs w:val="14"/>
          <w:color w:val="231F20"/>
        </w:rPr>
        <w:t xml:space="preserve">, we made regular payments on our capital lease obligations of </w:t>
      </w:r>
      <w:r>
        <w:rPr>
          <w:rFonts w:ascii="Arial" w:cs="Arial" w:eastAsia="Arial" w:hAnsi="Arial"/>
          <w:sz w:val="14"/>
          <w:szCs w:val="14"/>
          <w:color w:val="000000"/>
        </w:rPr>
        <w:t>$0.3 million</w:t>
      </w:r>
      <w:r>
        <w:rPr>
          <w:rFonts w:ascii="Arial" w:cs="Arial" w:eastAsia="Arial" w:hAnsi="Arial"/>
          <w:sz w:val="14"/>
          <w:szCs w:val="14"/>
          <w:color w:val="231F20"/>
        </w:rPr>
        <w:t>.</w:t>
      </w:r>
    </w:p>
    <w:p>
      <w:pPr>
        <w:ind w:left="340" w:right="140" w:hanging="332"/>
        <w:spacing w:after="0" w:line="278"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Maintenance obligations relate to third-party software licenses. During the </w:t>
      </w:r>
      <w:r>
        <w:rPr>
          <w:rFonts w:ascii="Arial" w:cs="Arial" w:eastAsia="Arial" w:hAnsi="Arial"/>
          <w:sz w:val="14"/>
          <w:szCs w:val="14"/>
          <w:color w:val="000000"/>
        </w:rPr>
        <w:t>three months ended March 31, 2013</w:t>
      </w:r>
      <w:r>
        <w:rPr>
          <w:rFonts w:ascii="Arial" w:cs="Arial" w:eastAsia="Arial" w:hAnsi="Arial"/>
          <w:sz w:val="14"/>
          <w:szCs w:val="14"/>
          <w:color w:val="231F20"/>
        </w:rPr>
        <w:t>, we made regular payments on our maintenance obligations of $0.2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condensed consolidated financial statements, the accounting policies related to revenue recognition, goodwill and intangibles,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2012, filed with the SEC on March 5, 2013.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328"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3.</w:t>
      </w:r>
      <w:r>
        <w:rPr>
          <w:sz w:val="20"/>
          <w:szCs w:val="20"/>
          <w:color w:val="auto"/>
        </w:rPr>
        <w:tab/>
      </w:r>
      <w:r>
        <w:rPr>
          <w:rFonts w:ascii="Arial" w:cs="Arial" w:eastAsia="Arial" w:hAnsi="Arial"/>
          <w:sz w:val="18"/>
          <w:szCs w:val="18"/>
          <w:b w:val="1"/>
          <w:bCs w:val="1"/>
          <w:color w:val="231F20"/>
        </w:rPr>
        <w:t>Quantitative and Qualitative Disclosures about Market Risk</w:t>
      </w:r>
    </w:p>
    <w:p>
      <w:pPr>
        <w:spacing w:after="0" w:line="207"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Beginning in December 2011, we began to use foreign exchange forward contracts to partially mitigate the impact of fluctuations in cash and accounts receivable balances denominated in Euros, and beginning in February 2013, to mitigate the impact of balances denominated in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jc w:val="both"/>
        <w:ind w:right="80" w:firstLine="486"/>
        <w:spacing w:after="0" w:line="253" w:lineRule="auto"/>
        <w:rPr>
          <w:sz w:val="20"/>
          <w:szCs w:val="20"/>
          <w:color w:val="auto"/>
        </w:rPr>
      </w:pPr>
      <w:r>
        <w:rPr>
          <w:rFonts w:ascii="Arial" w:cs="Arial" w:eastAsia="Arial" w:hAnsi="Arial"/>
          <w:sz w:val="18"/>
          <w:szCs w:val="18"/>
          <w:color w:val="auto"/>
        </w:rPr>
        <w:t>We have $125.2 million in cash, cash equivalents and investments at March 31, 2013. Cash and cash equivalents include cash held in banks and highly liquid money market funds and commercial paper. Investments consist of fixed-income U.S. government agency securities, corporate bonds, municipal bonds, asset-backed securities and commercial paper. All of these investments, excluding long-term investments, have maturities of less than one year from date of purchase. Long-term investments have maturities that extend more than one year from date of purchase.</w:t>
      </w:r>
    </w:p>
    <w:p>
      <w:pPr>
        <w:spacing w:after="0" w:line="16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primary objective of our investment activities is the preservation of principal and supporting our liquidity requirements. We do not enter into investments for trading or speculative purposes. Our investments are subject to market risk due to changes in interest rates, which may affect the interest income we earn and the fair market value of the investments. Due to the relative short-term nature of these investments held as available-for-sale securities, we do not believe that a 10% increase or decrease in interest rates would have a material impact. We therefore do not expect our operating results or cash flows to be materially affected by a sudden change in market interest rates.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2013,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35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Legal Proceedings</w:t>
      </w:r>
    </w:p>
    <w:p>
      <w:pPr>
        <w:spacing w:after="0" w:line="207"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have not been consistently profitable on a quarterly or annual basis. While we have experienced significant revenue growth over recent years, we may not be able to sustain or increase our growth or return to profitability in the future. Although we had net income for each of the three years ended December 31, </w:t>
      </w:r>
      <w:r>
        <w:rPr>
          <w:rFonts w:ascii="Arial" w:cs="Arial" w:eastAsia="Arial" w:hAnsi="Arial"/>
          <w:sz w:val="18"/>
          <w:szCs w:val="18"/>
          <w:color w:val="000000"/>
        </w:rPr>
        <w:t>2012</w:t>
      </w:r>
      <w:r>
        <w:rPr>
          <w:rFonts w:ascii="Arial" w:cs="Arial" w:eastAsia="Arial" w:hAnsi="Arial"/>
          <w:sz w:val="18"/>
          <w:szCs w:val="18"/>
          <w:color w:val="231F20"/>
        </w:rPr>
        <w:t>, we had net losses in the fourth quarter of 2011, the first two quarters of 2012 and in the first quarter of 2013. The net losses were primarily due to increased sales and marketing activities during those quarters as we continued to expand our worldwide customer base as well as focus on the promotion of our new solutions. We plan to continue to invest in our infrastructure, new solutions, research and development and sales and marketing, and as a result, we cannot assure you that we will regain or maintain profitability. In addition, as a public company, we incur significant accounting, legal and other expenses that we did not incur as a private company.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41" w:right="31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85% and 88%</w:t>
      </w:r>
      <w:r>
        <w:rPr>
          <w:rFonts w:ascii="Arial" w:cs="Arial" w:eastAsia="Arial" w:hAnsi="Arial"/>
          <w:sz w:val="18"/>
          <w:szCs w:val="18"/>
          <w:color w:val="231F20"/>
        </w:rPr>
        <w:t xml:space="preserve"> of our revenues from subscriptions to our QualysGuard Vulnerability Management solution for the quarters ended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two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two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intend to add additional data center facilities in 2013 to provide additional capacity for our cloud platform and enable disaster recovery. These additional facilities may not be operational in the anticipated time 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6"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6"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2010</w:t>
      </w:r>
      <w:r>
        <w:rPr>
          <w:rFonts w:ascii="Arial" w:cs="Arial" w:eastAsia="Arial" w:hAnsi="Arial"/>
          <w:sz w:val="18"/>
          <w:szCs w:val="18"/>
          <w:color w:val="231F20"/>
        </w:rPr>
        <w:t xml:space="preserve"> to </w:t>
      </w:r>
      <w:r>
        <w:rPr>
          <w:rFonts w:ascii="Arial" w:cs="Arial" w:eastAsia="Arial" w:hAnsi="Arial"/>
          <w:sz w:val="18"/>
          <w:szCs w:val="18"/>
          <w:color w:val="000000"/>
        </w:rPr>
        <w:t>2012</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$ 65.4 million</w:t>
      </w:r>
      <w:r>
        <w:rPr>
          <w:rFonts w:ascii="Arial" w:cs="Arial" w:eastAsia="Arial" w:hAnsi="Arial"/>
          <w:sz w:val="18"/>
          <w:szCs w:val="18"/>
          <w:color w:val="231F20"/>
        </w:rPr>
        <w:t xml:space="preserve"> to </w:t>
      </w:r>
      <w:r>
        <w:rPr>
          <w:rFonts w:ascii="Arial" w:cs="Arial" w:eastAsia="Arial" w:hAnsi="Arial"/>
          <w:sz w:val="18"/>
          <w:szCs w:val="18"/>
          <w:color w:val="000000"/>
        </w:rPr>
        <w:t>$91.4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232 employees at the beginning of 2010 to 363 employees at March 31, 2013.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the forecasts of market growth included in this Quarterly Report on Form 10-Q should not be taken as indicative of our future growth.</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three months ended March 31,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we derived approximately</w:t>
      </w:r>
      <w:r>
        <w:rPr>
          <w:rFonts w:ascii="Arial" w:cs="Arial" w:eastAsia="Arial" w:hAnsi="Arial"/>
          <w:sz w:val="18"/>
          <w:szCs w:val="18"/>
          <w:color w:val="000000"/>
        </w:rPr>
        <w:t xml:space="preserve"> 39% </w:t>
      </w:r>
      <w:r>
        <w:rPr>
          <w:rFonts w:ascii="Arial" w:cs="Arial" w:eastAsia="Arial" w:hAnsi="Arial"/>
          <w:sz w:val="18"/>
          <w:szCs w:val="18"/>
          <w:color w:val="231F20"/>
        </w:rPr>
        <w:t>and</w:t>
      </w:r>
      <w:r>
        <w:rPr>
          <w:rFonts w:ascii="Arial" w:cs="Arial" w:eastAsia="Arial" w:hAnsi="Arial"/>
          <w:sz w:val="18"/>
          <w:szCs w:val="18"/>
          <w:color w:val="000000"/>
        </w:rPr>
        <w:t xml:space="preserve"> 41%</w:t>
      </w:r>
      <w:r>
        <w:rPr>
          <w:rFonts w:ascii="Arial" w:cs="Arial" w:eastAsia="Arial" w:hAnsi="Arial"/>
          <w:sz w:val="18"/>
          <w:szCs w:val="18"/>
          <w:color w:val="231F20"/>
        </w:rPr>
        <w:t>, respectively, of our revenues from sales of subscriptions for our solutions through channel</w:t>
      </w:r>
      <w:r>
        <w:rPr>
          <w:rFonts w:ascii="Arial" w:cs="Arial" w:eastAsia="Arial" w:hAnsi="Arial"/>
          <w:sz w:val="18"/>
          <w:szCs w:val="18"/>
          <w:color w:val="000000"/>
        </w:rPr>
        <w:t xml:space="preserve"> </w:t>
      </w:r>
      <w:r>
        <w:rPr>
          <w:rFonts w:ascii="Arial" w:cs="Arial" w:eastAsia="Arial" w:hAnsi="Arial"/>
          <w:sz w:val="18"/>
          <w:szCs w:val="18"/>
          <w:color w:val="231F20"/>
        </w:rPr>
        <w:t xml:space="preserve">partners, and the percentage of 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and </w:t>
      </w:r>
      <w:r>
        <w:rPr>
          <w:rFonts w:ascii="Arial" w:cs="Arial" w:eastAsia="Arial" w:hAnsi="Arial"/>
          <w:sz w:val="18"/>
          <w:szCs w:val="18"/>
          <w:color w:val="000000"/>
        </w:rPr>
        <w:t>6%</w:t>
      </w:r>
      <w:r>
        <w:rPr>
          <w:rFonts w:ascii="Arial" w:cs="Arial" w:eastAsia="Arial" w:hAnsi="Arial"/>
          <w:sz w:val="18"/>
          <w:szCs w:val="18"/>
          <w:color w:val="231F20"/>
        </w:rPr>
        <w:t xml:space="preserve"> of our revenues for the three months ended </w:t>
      </w:r>
      <w:r>
        <w:rPr>
          <w:rFonts w:ascii="Arial" w:cs="Arial" w:eastAsia="Arial" w:hAnsi="Arial"/>
          <w:sz w:val="18"/>
          <w:szCs w:val="18"/>
          <w:color w:val="000000"/>
        </w:rPr>
        <w:t>March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three months ended March 31, </w:t>
      </w:r>
      <w:r>
        <w:rPr>
          <w:rFonts w:ascii="Arial" w:cs="Arial" w:eastAsia="Arial" w:hAnsi="Arial"/>
          <w:sz w:val="18"/>
          <w:szCs w:val="18"/>
          <w:color w:val="000000"/>
        </w:rPr>
        <w:t>2013</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18%</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three months ended March 31, </w:t>
      </w:r>
      <w:r>
        <w:rPr>
          <w:rFonts w:ascii="Arial" w:cs="Arial" w:eastAsia="Arial" w:hAnsi="Arial"/>
          <w:sz w:val="18"/>
          <w:szCs w:val="18"/>
          <w:color w:val="000000"/>
        </w:rPr>
        <w:t>2013</w:t>
      </w:r>
      <w:r>
        <w:rPr>
          <w:rFonts w:ascii="Arial" w:cs="Arial" w:eastAsia="Arial" w:hAnsi="Arial"/>
          <w:sz w:val="18"/>
          <w:szCs w:val="18"/>
          <w:color w:val="231F20"/>
        </w:rPr>
        <w:t xml:space="preserve">,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have one issued patent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 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13"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$0.4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March 31, 2013</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19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231F20"/>
        </w:rPr>
        <w:t xml:space="preserve">For example, 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 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 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41" w:right="27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goodwill and intangibles, reserves, accounting for income taxes and stock-based compensation.</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$52.9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During the quarter ended June 30, 2012, we identified a deficiency in our internal control over financial reporting and we determined that we should restate our consolidated financial statements as of December 31, 2010 and 2011 and for the year ended December 31, 2010 to correct an error in our 2010 provision for income taxes. The restatement related to the tax benefit resulting from a reduction of our liability for uncertain tax positions upon the lapse of the statute of limitations for the 2007 tax year of our French subsidiary. We did not release the liability at December 31, 2010 due to an error in the determination of when the statute of limitations would expire. Our review of the tax provision prepared by a third-party tax advisor was not effective in identifying the error in an appropriate timeframe. We concluded that this control deficiency was not a material weakness, but rather constituted a significant deficiency in our internal control over financial reporting. However, other control deficiencies which may rise to the level of a material weakness may be discovered in the future. In addition, our current controls and any new controls that we develop may 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and may result in additional restatements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09"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commencing with our Annual Report on Form 10-K for the year ending December 31, 2013. Our independent registered public accounting firm is not required to formally attest to the effectiveness of our internal control over financial reporting until the later of our Annual Report on Form 10-K for the year ending December 31, 2013 or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would remain an “emerging growth company” for up to five years, although,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89"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2013</w:t>
      </w:r>
      <w:r>
        <w:rPr>
          <w:rFonts w:ascii="Arial" w:cs="Arial" w:eastAsia="Arial" w:hAnsi="Arial"/>
          <w:sz w:val="18"/>
          <w:szCs w:val="18"/>
          <w:color w:val="231F20"/>
        </w:rPr>
        <w:t>, our executive officers, directors and holders of 5% or more of our outstanding common stock beneficially own, in the aggregate, a majority of our outstanding common stock. As a result, such persons, acting together, have the ability to control our management and affairs and substantially all matters submitted to our stockholders for approval, including the election and removal of directors and approval of any significant transaction. These persons also have the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2013, we had approximately 31.6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 xml:space="preserve">In addition, an aggregate of </w:t>
      </w:r>
      <w:r>
        <w:rPr>
          <w:rFonts w:ascii="Arial" w:cs="Arial" w:eastAsia="Arial" w:hAnsi="Arial"/>
          <w:sz w:val="18"/>
          <w:szCs w:val="18"/>
          <w:color w:val="000000"/>
        </w:rPr>
        <w:t>2.3 million</w:t>
      </w:r>
      <w:r>
        <w:rPr>
          <w:rFonts w:ascii="Arial" w:cs="Arial" w:eastAsia="Arial" w:hAnsi="Arial"/>
          <w:sz w:val="18"/>
          <w:szCs w:val="18"/>
          <w:color w:val="231F20"/>
        </w:rPr>
        <w:t xml:space="preserve"> shares of our common stock is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41" w:right="27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532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141" w:right="49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231F20"/>
        </w:rPr>
        <w:t>SIGNATURES</w:t>
      </w:r>
    </w:p>
    <w:p>
      <w:pPr>
        <w:spacing w:after="0" w:line="301"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May 10, 2013.</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1380" w:type="dxa"/>
            <w:vAlign w:val="bottom"/>
            <w:gridSpan w:val="3"/>
          </w:tcPr>
          <w:p>
            <w:pPr>
              <w:jc w:val="center"/>
              <w:ind w:right="120"/>
              <w:spacing w:after="0"/>
              <w:rPr>
                <w:rFonts w:ascii="Arial" w:cs="Arial" w:eastAsia="Arial" w:hAnsi="Arial"/>
                <w:sz w:val="16"/>
                <w:szCs w:val="16"/>
                <w:color w:val="0000FF"/>
                <w:w w:val="99"/>
              </w:rPr>
            </w:pPr>
            <w:hyperlink w:anchor="page1">
              <w:r>
                <w:rPr>
                  <w:rFonts w:ascii="Arial" w:cs="Arial" w:eastAsia="Arial" w:hAnsi="Arial"/>
                  <w:sz w:val="16"/>
                  <w:szCs w:val="16"/>
                  <w:color w:val="0000FF"/>
                  <w:w w:val="99"/>
                </w:rPr>
                <w:t>Table of Contents</w:t>
              </w:r>
            </w:hyperlink>
          </w:p>
        </w:tc>
        <w:tc>
          <w:tcPr>
            <w:tcW w:w="10040" w:type="dxa"/>
            <w:vAlign w:val="bottom"/>
          </w:tcPr>
          <w:p>
            <w:pPr>
              <w:spacing w:after="0"/>
              <w:rPr>
                <w:sz w:val="16"/>
                <w:szCs w:val="16"/>
                <w:color w:val="auto"/>
              </w:rPr>
            </w:pPr>
          </w:p>
        </w:tc>
      </w:tr>
      <w:tr>
        <w:trPr>
          <w:trHeight w:val="466"/>
        </w:trPr>
        <w:tc>
          <w:tcPr>
            <w:tcW w:w="3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Exhibit</w:t>
            </w:r>
          </w:p>
        </w:tc>
        <w:tc>
          <w:tcPr>
            <w:tcW w:w="10040" w:type="dxa"/>
            <w:vAlign w:val="bottom"/>
          </w:tcPr>
          <w:p>
            <w:pPr>
              <w:spacing w:after="0"/>
              <w:rPr>
                <w:sz w:val="24"/>
                <w:szCs w:val="24"/>
                <w:color w:val="auto"/>
              </w:rPr>
            </w:pPr>
          </w:p>
        </w:tc>
      </w:tr>
      <w:tr>
        <w:trPr>
          <w:trHeight w:val="224"/>
        </w:trPr>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350"/>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and 18 U.S.C. Section 1350 as adopted pursuant to Section 906 of The Sarbanes-Oxley Act of 2002.</w:t>
            </w:r>
          </w:p>
        </w:tc>
      </w:tr>
      <w:tr>
        <w:trPr>
          <w:trHeight w:val="40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color w:val="auto"/>
              </w:rPr>
              <w:t>INS^^</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Instance Document</w:t>
            </w:r>
          </w:p>
        </w:tc>
      </w:tr>
      <w:tr>
        <w:trPr>
          <w:trHeight w:val="500"/>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 SCH^^</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CAL^^</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DEF^^</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LAB^^</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PRE^^</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60" w:hanging="492"/>
        <w:spacing w:after="0" w:line="253" w:lineRule="auto"/>
        <w:tabs>
          <w:tab w:leader="none" w:pos="50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right="40" w:hanging="492"/>
        <w:spacing w:after="0" w:line="302"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10,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10, 2013</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2013,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10,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2013,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2013</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decimal"/>
      <w:start w:val="2"/>
    </w:lvl>
  </w:abstractNum>
  <w:abstractNum w:abstractNumId="16">
    <w:nsid w:val="25E45D3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2019-12-07T00:10:44Z</dcterms:created>
  <dcterms:modified xsi:type="dcterms:W3CDTF">2019-12-07T00:10:44Z</dcterms:modified>
</cp:coreProperties>
</file>